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  <w:t>姚安县第五次全国经济普查单位清查阶段地区生产总值（GDP）推算表</w:t>
      </w:r>
    </w:p>
    <w:tbl>
      <w:tblPr>
        <w:tblStyle w:val="3"/>
        <w:tblpPr w:leftFromText="180" w:rightFromText="180" w:vertAnchor="text" w:horzAnchor="page" w:tblpX="1794" w:tblpY="2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0"/>
        <w:gridCol w:w="850"/>
        <w:gridCol w:w="1159"/>
        <w:gridCol w:w="1034"/>
        <w:gridCol w:w="10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360" w:firstLineChars="23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地区生产总值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快报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四下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差值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110.2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21.1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97.3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-12.9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农林牧渔业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32.9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32.9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27.2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-18.6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批发和零售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交通运输、仓储和邮政业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住宿餐饮业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-0.5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金融业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房地产业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房地产业（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K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门类）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居民自有住房服务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其他服务业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18.5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28.5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营利性服务业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非营利性服务业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24.2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10.0 </w:t>
            </w:r>
          </w:p>
        </w:tc>
      </w:tr>
    </w:tbl>
    <w:p>
      <w:pPr>
        <w:pStyle w:val="8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8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jBjZjk3MTlkYTA3YTc4YzhhNjk5YzJlZmUxMDgifQ=="/>
  </w:docVars>
  <w:rsids>
    <w:rsidRoot w:val="21C321D1"/>
    <w:rsid w:val="21C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character" w:customStyle="1" w:styleId="5">
    <w:name w:val="font21"/>
    <w:basedOn w:val="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8">
    <w:name w:val="正文首行缩进 21"/>
    <w:basedOn w:val="9"/>
    <w:qFormat/>
    <w:uiPriority w:val="0"/>
    <w:pPr>
      <w:ind w:firstLine="420"/>
    </w:pPr>
  </w:style>
  <w:style w:type="paragraph" w:customStyle="1" w:styleId="9">
    <w:name w:val="正文文本缩进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2023-11-29T10:17:00Z</dcterms:created>
  <dc:creator>杨宁燕</dc:creator>
  <cp:lastModifiedBy>杨宁燕</cp:lastModifiedBy>
  <dcterms:modified xsi:type="dcterms:W3CDTF">2023-11-29T10:17:36Z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D91EDF7A203548DB99C98F811C11FA3D_11</vt:lpwstr>
  </property>
</Properties>
</file>