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_GBK" w:hAnsi="方正小标宋_GBK" w:eastAsia="方正小标宋_GBK" w:cs="方正小标宋_GBK"/>
          <w:sz w:val="44"/>
          <w:szCs w:val="44"/>
        </w:rPr>
      </w:pPr>
    </w:p>
    <w:p>
      <w:pPr>
        <w:spacing w:line="60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乡镇企业、乡村公共设施、公益事业</w:t>
      </w:r>
    </w:p>
    <w:p>
      <w:pPr>
        <w:spacing w:line="60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建设规划许可</w:t>
      </w:r>
    </w:p>
    <w:p>
      <w:pPr>
        <w:spacing w:line="600" w:lineRule="exact"/>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【000115134005】</w:t>
      </w:r>
    </w:p>
    <w:p>
      <w:pPr>
        <w:spacing w:line="600" w:lineRule="exact"/>
        <w:jc w:val="center"/>
        <w:outlineLvl w:val="0"/>
        <w:rPr>
          <w:rFonts w:ascii="仿宋_GB2312" w:hAnsi="仿宋_GB2312" w:eastAsia="仿宋_GB2312" w:cs="仿宋_GB2312"/>
          <w:sz w:val="32"/>
          <w:szCs w:val="32"/>
        </w:rPr>
      </w:pPr>
    </w:p>
    <w:p>
      <w:pPr>
        <w:spacing w:line="600" w:lineRule="exact"/>
        <w:ind w:firstLine="640" w:firstLineChars="200"/>
        <w:outlineLvl w:val="1"/>
        <w:rPr>
          <w:rFonts w:ascii="Times New Roman" w:hAnsi="Times New Roman" w:eastAsia="黑体"/>
          <w:sz w:val="32"/>
          <w:szCs w:val="32"/>
        </w:rPr>
      </w:pPr>
      <w:r>
        <w:rPr>
          <w:rFonts w:hint="eastAsia" w:ascii="Times New Roman" w:hAnsi="Times New Roman" w:eastAsia="黑体"/>
          <w:sz w:val="32"/>
          <w:szCs w:val="32"/>
        </w:rPr>
        <w:t>一、基本要素</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1.行政许可事项名称及编码</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乡村建设规划许可【00011513400Y】</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2.行政许可事项子项名称及编码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乡镇企业、乡村公共设施、公益事业建设规划许可【000115134005】</w:t>
      </w:r>
      <w:bookmarkStart w:id="0" w:name="_GoBack"/>
      <w:bookmarkEnd w:id="0"/>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3.行政许可事项业务办理项名称及编码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（1）乡村建设规划许可办理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00011513400501</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（2）乡村建设规划许可变更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00011513400502</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（3）乡村建设规划许可延期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00011513400503</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（4）乡村建设规划许可注销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00011513400504</w:t>
      </w:r>
      <w:r>
        <w:rPr>
          <w:rFonts w:hint="eastAsia" w:ascii="仿宋_GB2312" w:hAnsi="仿宋_GB2312" w:eastAsia="仿宋_GB2312" w:cs="仿宋_GB2312"/>
          <w:sz w:val="32"/>
          <w:szCs w:val="32"/>
          <w:lang w:eastAsia="zh-CN"/>
        </w:rPr>
        <w:t>）</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4.设定依据</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（1）《中华人民共和国城乡规划法》第四十一条</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（2）《中华人民共和国土地管理法》第十八条</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（3）《中华人民共和国土地管理法实施条例》第二条</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5.实施依据</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（1）《中华人民共和国城乡规划法》第四十一条</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（2）《中华人民共和国土地管理法》第十八条</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（3）《中华人民共和国长江保护法》第二十条</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（4）《中华人民共和国黄河保护法》第二十五条</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（5）《中华人民共和国土地管理法实施条例》第二条</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（6）《中共中央 国务院关于建立国土空间规划体系并监督实施的若干意见》</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6.监管依据</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（1）《中华人民共和国城乡规划法》第五十一条</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（2）《中华人民共和国城乡规划法》第五十三条</w:t>
      </w:r>
    </w:p>
    <w:p>
      <w:pPr>
        <w:spacing w:line="60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（3）《中华人民共和国城乡规划法》第六十五条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7.实施机关：</w:t>
      </w:r>
      <w:r>
        <w:rPr>
          <w:rFonts w:hint="eastAsia" w:ascii="仿宋_GB2312" w:hAnsi="仿宋_GB2312" w:eastAsia="仿宋_GB2312" w:cs="仿宋_GB2312"/>
          <w:sz w:val="32"/>
          <w:szCs w:val="32"/>
        </w:rPr>
        <w:t>县级城乡规划部门</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8.审批层级：</w:t>
      </w:r>
      <w:r>
        <w:rPr>
          <w:rFonts w:hint="eastAsia" w:ascii="仿宋_GB2312" w:hAnsi="仿宋_GB2312" w:eastAsia="仿宋_GB2312" w:cs="仿宋_GB2312"/>
          <w:sz w:val="32"/>
          <w:szCs w:val="32"/>
        </w:rPr>
        <w:t>县级</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9.行使层级：</w:t>
      </w:r>
      <w:r>
        <w:rPr>
          <w:rFonts w:hint="eastAsia" w:ascii="仿宋_GB2312" w:hAnsi="仿宋_GB2312" w:eastAsia="仿宋_GB2312" w:cs="仿宋_GB2312"/>
          <w:sz w:val="32"/>
          <w:szCs w:val="32"/>
        </w:rPr>
        <w:t>县级</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10.是否由审批机关受理：</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11.受理层级：</w:t>
      </w:r>
      <w:r>
        <w:rPr>
          <w:rFonts w:hint="eastAsia" w:ascii="仿宋_GB2312" w:hAnsi="仿宋_GB2312" w:eastAsia="仿宋_GB2312" w:cs="仿宋_GB2312"/>
          <w:sz w:val="32"/>
          <w:szCs w:val="32"/>
        </w:rPr>
        <w:t>乡级</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12.是否存在初审环节：</w:t>
      </w:r>
      <w:r>
        <w:rPr>
          <w:rFonts w:hint="eastAsia" w:ascii="仿宋_GB2312" w:hAnsi="仿宋_GB2312" w:eastAsia="仿宋_GB2312" w:cs="仿宋_GB2312"/>
          <w:sz w:val="32"/>
          <w:szCs w:val="32"/>
        </w:rPr>
        <w:t>是</w:t>
      </w:r>
    </w:p>
    <w:p>
      <w:pPr>
        <w:spacing w:line="600" w:lineRule="exact"/>
        <w:ind w:firstLine="643"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13.初审层级：</w:t>
      </w:r>
      <w:r>
        <w:rPr>
          <w:rFonts w:hint="eastAsia" w:ascii="仿宋_GB2312" w:hAnsi="仿宋_GB2312" w:eastAsia="仿宋_GB2312" w:cs="仿宋_GB2312"/>
          <w:sz w:val="32"/>
          <w:szCs w:val="32"/>
        </w:rPr>
        <w:t>乡级</w:t>
      </w:r>
    </w:p>
    <w:p>
      <w:pPr>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14.对应政务服务事项国家级基本目录名称：</w:t>
      </w:r>
      <w:r>
        <w:rPr>
          <w:rFonts w:hint="eastAsia" w:ascii="仿宋_GB2312" w:hAnsi="仿宋_GB2312" w:eastAsia="仿宋_GB2312" w:cs="仿宋_GB2312"/>
          <w:sz w:val="32"/>
          <w:szCs w:val="32"/>
        </w:rPr>
        <w:t>乡村建设规划许可证核发</w:t>
      </w:r>
    </w:p>
    <w:p>
      <w:pPr>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15.要素统一情况：</w:t>
      </w:r>
      <w:r>
        <w:rPr>
          <w:rFonts w:hint="eastAsia" w:ascii="仿宋_GB2312" w:hAnsi="仿宋_GB2312" w:eastAsia="仿宋_GB2312" w:cs="仿宋_GB2312"/>
          <w:sz w:val="32"/>
          <w:szCs w:val="32"/>
        </w:rPr>
        <w:t>部分要素全国统一</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条件型</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1.准予行政许可的条件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（1）拟建设项目批准、核准、备案的用地面积、建设规模、建设用途等符合国土空间规划；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（2）建设工程设计方案符合国土空间规划和用途管制要求；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（3）项目土地界址、地类、面积属实且清晰，权属无争议。</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2.规定行政许可条件的依据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在乡、村庄规划区内使用原有宅基地进行农村村民住宅建设的规划管理办法，由省、自治区、直辖市制定。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建设单位或者个人在取得乡村建设规划许可证后，方可办理用地审批手续。</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1.服务对象类型：</w:t>
      </w:r>
      <w:r>
        <w:rPr>
          <w:rFonts w:hint="eastAsia" w:ascii="仿宋_GB2312" w:hAnsi="仿宋_GB2312" w:eastAsia="仿宋_GB2312" w:cs="仿宋_GB2312"/>
          <w:sz w:val="32"/>
          <w:szCs w:val="32"/>
        </w:rPr>
        <w:t>自然人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企业法人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事业单位法人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社会组织法人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非法人企业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其他组织</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2.是否为涉企许可事项：</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3.涉企经营许可事项名称：</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4.许可证件名称：</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5.改革方式：</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6.具体改革举措：</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7.加强事中事后监管措施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1.申请材料名称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（1）乡村建设规划许可证申请表；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（2）建设项目批准、核准、备案文件；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（3）建设工程设计方案；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（4）经村民会议讨论同意、村委会签署的意见。</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2.规定申请材料的依据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在乡、村庄规划区内使用原有宅基地进行农村村民住宅建设的规划管理办法，由省、自治区、直辖市制定。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建设单位或者个人在取得乡村建设规划许可证后，方可办理用地审批手续。</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1.有无法定中介服务事项：</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2.中介服务事项名称：</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3.设定中介服务事项的依据：</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4.提供中介服务的机构：</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5.中介服务事项的收费性质：</w:t>
      </w:r>
      <w:r>
        <w:rPr>
          <w:rFonts w:hint="eastAsia" w:ascii="仿宋_GB2312" w:hAnsi="仿宋_GB2312" w:eastAsia="仿宋_GB2312" w:cs="仿宋_GB2312"/>
          <w:sz w:val="32"/>
          <w:szCs w:val="32"/>
        </w:rPr>
        <w:t>无</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1.办理行政许可的程序环节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（2）审批机构受理/不予受理。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（3）审批机构审查。涉及需进行现场勘查、专家评审、听证、委托服务机构开展技术性服务的，按有关规定组织实施。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4.决定核发许可证/不予核发许可证。</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2.规定行政许可程序的依据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《中华人民共和国行政许可法》第四章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3.是否需要现场勘验：</w:t>
      </w:r>
      <w:r>
        <w:rPr>
          <w:rFonts w:hint="eastAsia" w:ascii="仿宋_GB2312" w:hAnsi="仿宋_GB2312" w:eastAsia="仿宋_GB2312" w:cs="仿宋_GB2312"/>
          <w:sz w:val="32"/>
          <w:szCs w:val="32"/>
        </w:rPr>
        <w:t>部分情况下开展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4.是否需要组织听证：</w:t>
      </w:r>
      <w:r>
        <w:rPr>
          <w:rFonts w:hint="eastAsia" w:ascii="仿宋_GB2312" w:hAnsi="仿宋_GB2312" w:eastAsia="仿宋_GB2312" w:cs="仿宋_GB2312"/>
          <w:sz w:val="32"/>
          <w:szCs w:val="32"/>
        </w:rPr>
        <w:t>部分情况下开展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5.是否需要招标、拍卖、挂牌交易：</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6.是否需要检验、检测、检疫：</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7.是否需要鉴定：</w:t>
      </w:r>
      <w:r>
        <w:rPr>
          <w:rFonts w:hint="eastAsia" w:ascii="仿宋_GB2312" w:hAnsi="仿宋_GB2312" w:eastAsia="仿宋_GB2312" w:cs="仿宋_GB2312"/>
          <w:sz w:val="32"/>
          <w:szCs w:val="32"/>
        </w:rPr>
        <w:t>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8.是否需要专家评审：</w:t>
      </w:r>
      <w:r>
        <w:rPr>
          <w:rFonts w:hint="eastAsia" w:ascii="仿宋_GB2312" w:hAnsi="仿宋_GB2312" w:eastAsia="仿宋_GB2312" w:cs="仿宋_GB2312"/>
          <w:sz w:val="32"/>
          <w:szCs w:val="32"/>
        </w:rPr>
        <w:t>部分情况下开展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9.是否需要向社会公示：</w:t>
      </w:r>
      <w:r>
        <w:rPr>
          <w:rFonts w:hint="eastAsia" w:ascii="仿宋_GB2312" w:hAnsi="仿宋_GB2312" w:eastAsia="仿宋_GB2312" w:cs="仿宋_GB2312"/>
          <w:sz w:val="32"/>
          <w:szCs w:val="32"/>
        </w:rPr>
        <w:t>是</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10.是否实行告知承诺办理：</w:t>
      </w:r>
      <w:r>
        <w:rPr>
          <w:rFonts w:hint="eastAsia" w:ascii="仿宋_GB2312" w:hAnsi="仿宋_GB2312" w:eastAsia="仿宋_GB2312" w:cs="仿宋_GB2312"/>
          <w:sz w:val="32"/>
          <w:szCs w:val="32"/>
        </w:rPr>
        <w:t>部分情况下开展</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11.审批机关是否委托服务机构开展技术性服务：</w:t>
      </w:r>
      <w:r>
        <w:rPr>
          <w:rFonts w:hint="eastAsia" w:ascii="仿宋_GB2312" w:hAnsi="仿宋_GB2312" w:eastAsia="仿宋_GB2312" w:cs="仿宋_GB2312"/>
          <w:sz w:val="32"/>
          <w:szCs w:val="32"/>
        </w:rPr>
        <w:t>部分情况下开展</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1.承诺受理时限：</w:t>
      </w:r>
      <w:r>
        <w:rPr>
          <w:rFonts w:hint="eastAsia" w:ascii="仿宋_GB2312" w:hAnsi="仿宋_GB2312" w:eastAsia="仿宋_GB2312" w:cs="仿宋_GB2312"/>
          <w:sz w:val="32"/>
          <w:szCs w:val="32"/>
        </w:rPr>
        <w:t>5个工作日</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2.法定审批时限：</w:t>
      </w:r>
      <w:r>
        <w:rPr>
          <w:rFonts w:hint="eastAsia" w:ascii="仿宋_GB2312" w:hAnsi="仿宋_GB2312" w:eastAsia="仿宋_GB2312" w:cs="仿宋_GB2312"/>
          <w:sz w:val="32"/>
          <w:szCs w:val="32"/>
        </w:rPr>
        <w:t>20个工作日</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3.规定法定审批时限依据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4.承诺审批时限：</w:t>
      </w:r>
      <w:r>
        <w:rPr>
          <w:rFonts w:hint="eastAsia" w:ascii="仿宋_GB2312" w:hAnsi="仿宋_GB2312" w:eastAsia="仿宋_GB2312" w:cs="仿宋_GB2312"/>
          <w:sz w:val="32"/>
          <w:szCs w:val="32"/>
        </w:rPr>
        <w:t>20个工作日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依法进行听证、专家评审等另需时间不计算在该时限内</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1.办理行政许可是否收费：</w:t>
      </w:r>
      <w:r>
        <w:rPr>
          <w:rFonts w:hint="eastAsia" w:ascii="仿宋_GB2312" w:hAnsi="仿宋_GB2312" w:eastAsia="仿宋_GB2312" w:cs="仿宋_GB2312"/>
          <w:sz w:val="32"/>
          <w:szCs w:val="32"/>
        </w:rPr>
        <w:t>否</w:t>
      </w:r>
    </w:p>
    <w:p>
      <w:pPr>
        <w:spacing w:line="600" w:lineRule="exact"/>
        <w:ind w:firstLine="643" w:firstLineChars="200"/>
        <w:outlineLvl w:val="2"/>
        <w:rPr>
          <w:rFonts w:ascii="仿宋_GB2312" w:hAnsi="仿宋_GB2312" w:eastAsia="仿宋_GB2312" w:cs="仿宋_GB2312"/>
          <w:b/>
          <w:bCs/>
          <w:color w:val="FF0000"/>
          <w:sz w:val="32"/>
          <w:szCs w:val="32"/>
        </w:rPr>
      </w:pPr>
      <w:r>
        <w:rPr>
          <w:rFonts w:hint="eastAsia" w:ascii="仿宋_GB2312" w:hAnsi="仿宋_GB2312" w:eastAsia="仿宋_GB2312" w:cs="仿宋_GB2312"/>
          <w:b/>
          <w:bCs/>
          <w:sz w:val="32"/>
          <w:szCs w:val="32"/>
        </w:rPr>
        <w:t>2.收费项目的名称、收费项目的标准、设定收费项目的依据、规定收费标准的依据：</w:t>
      </w:r>
      <w:r>
        <w:rPr>
          <w:rFonts w:hint="eastAsia" w:ascii="仿宋_GB2312" w:hAnsi="仿宋_GB2312" w:eastAsia="仿宋_GB2312" w:cs="仿宋_GB2312"/>
          <w:sz w:val="32"/>
          <w:szCs w:val="32"/>
        </w:rPr>
        <w:t>无</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1.审批结果类型：</w:t>
      </w:r>
      <w:r>
        <w:rPr>
          <w:rFonts w:hint="eastAsia" w:ascii="仿宋_GB2312" w:hAnsi="仿宋_GB2312" w:eastAsia="仿宋_GB2312" w:cs="仿宋_GB2312"/>
          <w:sz w:val="32"/>
          <w:szCs w:val="32"/>
        </w:rPr>
        <w:t>证照</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2.审批结果名称：</w:t>
      </w:r>
      <w:r>
        <w:rPr>
          <w:rFonts w:hint="eastAsia" w:ascii="仿宋_GB2312" w:hAnsi="仿宋_GB2312" w:eastAsia="仿宋_GB2312" w:cs="仿宋_GB2312"/>
          <w:sz w:val="32"/>
          <w:szCs w:val="32"/>
        </w:rPr>
        <w:t>乡村建设规划许可证</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3.审批结果的有效期限：</w:t>
      </w:r>
      <w:r>
        <w:rPr>
          <w:rFonts w:ascii="Times New Roman" w:hAnsi="Times New Roman" w:eastAsia="仿宋_GB2312"/>
          <w:sz w:val="32"/>
          <w:szCs w:val="32"/>
        </w:rPr>
        <w:t>2年</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4.规定审批结果有效期限的依据：</w:t>
      </w:r>
      <w:r>
        <w:rPr>
          <w:rFonts w:ascii="Times New Roman" w:hAnsi="Times New Roman" w:eastAsia="仿宋_GB2312"/>
          <w:sz w:val="32"/>
          <w:szCs w:val="32"/>
        </w:rPr>
        <w:t>《云南省城乡规划条例》第三十一条 建设项目选址意见书、建设工程规划许可证的有效期为1年；建设用地规划许可证、乡村建设规划许可证的有效期为2年。确需延长的，应当在期限届满之日的30日前，向发证的城乡规划主管部门申请办理延期手续。</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5.是否需要办理审批结果变更手续：</w:t>
      </w:r>
      <w:r>
        <w:rPr>
          <w:rFonts w:hint="eastAsia" w:ascii="仿宋_GB2312" w:hAnsi="仿宋_GB2312" w:eastAsia="仿宋_GB2312" w:cs="仿宋_GB2312"/>
          <w:sz w:val="32"/>
          <w:szCs w:val="32"/>
        </w:rPr>
        <w:t>是</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6.办理审批结果变更手续的要求：</w:t>
      </w:r>
      <w:r>
        <w:rPr>
          <w:rFonts w:hint="eastAsia" w:ascii="仿宋_GB2312" w:hAnsi="仿宋_GB2312" w:eastAsia="仿宋_GB2312" w:cs="仿宋_GB2312"/>
          <w:sz w:val="32"/>
          <w:szCs w:val="32"/>
        </w:rPr>
        <w:t>暂由地方自行规定</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7.是否需要办理审批结果延续手续：</w:t>
      </w:r>
      <w:r>
        <w:rPr>
          <w:rFonts w:hint="eastAsia" w:ascii="仿宋_GB2312" w:hAnsi="仿宋_GB2312" w:eastAsia="仿宋_GB2312" w:cs="仿宋_GB2312"/>
          <w:sz w:val="32"/>
          <w:szCs w:val="32"/>
        </w:rPr>
        <w:t>是</w:t>
      </w:r>
    </w:p>
    <w:p>
      <w:pPr>
        <w:spacing w:line="560" w:lineRule="exact"/>
        <w:ind w:firstLine="643" w:firstLineChars="200"/>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8.办理审批结果延续手续的要求：</w:t>
      </w:r>
    </w:p>
    <w:p>
      <w:pPr>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（1）因城乡规划修改而改变地块建设条件，无法按照原规划许可进行建设的；</w:t>
      </w:r>
    </w:p>
    <w:p>
      <w:pPr>
        <w:spacing w:line="560" w:lineRule="exact"/>
        <w:ind w:firstLine="640" w:firstLineChars="200"/>
        <w:outlineLvl w:val="2"/>
        <w:rPr>
          <w:rFonts w:ascii="Times New Roman" w:hAnsi="Times New Roman" w:eastAsia="仿宋_GB2312"/>
          <w:sz w:val="32"/>
          <w:szCs w:val="32"/>
        </w:rPr>
      </w:pPr>
      <w:r>
        <w:rPr>
          <w:rFonts w:ascii="Times New Roman" w:hAnsi="Times New Roman" w:eastAsia="仿宋_GB2312"/>
          <w:sz w:val="32"/>
          <w:szCs w:val="32"/>
        </w:rPr>
        <w:t>（2）因历史文化古迹保护，地质灾害防治和基础设施、市政设施、公共服务设施的建设需要，以及其他</w:t>
      </w:r>
      <w:r>
        <w:rPr>
          <w:rFonts w:hint="eastAsia" w:ascii="Times New Roman" w:hAnsi="Times New Roman" w:eastAsia="仿宋_GB2312"/>
          <w:sz w:val="32"/>
          <w:szCs w:val="32"/>
          <w:lang w:eastAsia="zh-CN"/>
        </w:rPr>
        <w:t>涉及</w:t>
      </w:r>
      <w:r>
        <w:rPr>
          <w:rFonts w:ascii="Times New Roman" w:hAnsi="Times New Roman" w:eastAsia="仿宋_GB2312"/>
          <w:sz w:val="32"/>
          <w:szCs w:val="32"/>
        </w:rPr>
        <w:t>公共利益原因，造成地块建设范围和建设条件发生变化，无法按照原规划许可进行建设的；</w:t>
      </w:r>
    </w:p>
    <w:p>
      <w:pPr>
        <w:pStyle w:val="2"/>
        <w:ind w:left="0" w:leftChars="0" w:firstLine="640" w:firstLineChars="200"/>
        <w:rPr>
          <w:rFonts w:ascii="Times New Roman" w:hAnsi="Times New Roman" w:eastAsia="仿宋_GB2312"/>
          <w:sz w:val="32"/>
          <w:szCs w:val="32"/>
        </w:rPr>
      </w:pPr>
      <w:r>
        <w:rPr>
          <w:rFonts w:ascii="Times New Roman" w:hAnsi="Times New Roman" w:eastAsia="仿宋_GB2312"/>
          <w:sz w:val="32"/>
          <w:szCs w:val="32"/>
        </w:rPr>
        <w:t>（3）因不可抗力因素，在建设过程中确需对原规划许可进行变更的；</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（4）因法律、法规和政策发生变化，确需对原规划许可进行变更的；</w:t>
      </w:r>
    </w:p>
    <w:p>
      <w:pPr>
        <w:spacing w:line="600" w:lineRule="exact"/>
        <w:ind w:firstLine="640" w:firstLineChars="200"/>
        <w:outlineLvl w:val="2"/>
        <w:rPr>
          <w:rFonts w:ascii="仿宋_GB2312" w:hAnsi="仿宋_GB2312" w:eastAsia="仿宋_GB2312" w:cs="仿宋_GB2312"/>
          <w:sz w:val="32"/>
          <w:szCs w:val="32"/>
        </w:rPr>
      </w:pPr>
      <w:r>
        <w:rPr>
          <w:rFonts w:ascii="Times New Roman" w:hAnsi="Times New Roman" w:eastAsia="仿宋_GB2312"/>
          <w:sz w:val="32"/>
          <w:szCs w:val="32"/>
        </w:rPr>
        <w:t>（5）在不改变控制性详细规划强制性内容的前提下，确需对原规划许可进行变更的；</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9.审批结果的有效地域范围：</w:t>
      </w:r>
      <w:r>
        <w:rPr>
          <w:rFonts w:hint="eastAsia" w:ascii="仿宋_GB2312" w:hAnsi="仿宋_GB2312" w:eastAsia="仿宋_GB2312" w:cs="仿宋_GB2312"/>
          <w:sz w:val="32"/>
          <w:szCs w:val="32"/>
        </w:rPr>
        <w:t>全国</w:t>
      </w:r>
    </w:p>
    <w:p>
      <w:pPr>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10.规定审批结果有效地域范围的依据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《中华人民共和国行政许可法》第四十一条  法律、行政法规设定的行政许可，其适用范围没有地域限制的，申请人取得的行政许可在全国范围内有效。</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1.有无行政许可数量限制：</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2.公布数量限制的方式：</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3.公布数量限制的周期：</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4.在数量限制条件下实施行政许可的方式：</w:t>
      </w:r>
      <w:r>
        <w:rPr>
          <w:rFonts w:hint="eastAsia" w:ascii="仿宋_GB2312" w:hAnsi="仿宋_GB2312" w:eastAsia="仿宋_GB2312" w:cs="仿宋_GB2312"/>
          <w:sz w:val="32"/>
          <w:szCs w:val="32"/>
        </w:rPr>
        <w:t>无</w:t>
      </w:r>
    </w:p>
    <w:p>
      <w:pPr>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5.规定在数量限制条件下实施行政许可方式的依据：</w:t>
      </w:r>
      <w:r>
        <w:rPr>
          <w:rFonts w:hint="eastAsia" w:ascii="仿宋_GB2312" w:hAnsi="仿宋_GB2312" w:eastAsia="仿宋_GB2312" w:cs="仿宋_GB2312"/>
          <w:sz w:val="32"/>
          <w:szCs w:val="32"/>
        </w:rPr>
        <w:t>无</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1.有无年检要求：</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2.设定年检要求的依据：</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3.年检周期：</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4.年检是否要求报送材料：</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5.年检报送材料名称：</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6.年检是否收费：</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7.年检收费项目的名称、年检收费项目的标准、设定年检收费项目的依据、规定年检项目收费标准的依据：</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8.通过年检的证明或者标志：</w:t>
      </w:r>
      <w:r>
        <w:rPr>
          <w:rFonts w:hint="eastAsia" w:ascii="仿宋_GB2312" w:hAnsi="仿宋_GB2312" w:eastAsia="仿宋_GB2312" w:cs="仿宋_GB2312"/>
          <w:sz w:val="32"/>
          <w:szCs w:val="32"/>
        </w:rPr>
        <w:t>无</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1.有无年报要求：</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2.年报报送材料名称：</w:t>
      </w:r>
      <w:r>
        <w:rPr>
          <w:rFonts w:hint="eastAsia" w:ascii="仿宋_GB2312" w:hAnsi="仿宋_GB2312" w:eastAsia="仿宋_GB2312" w:cs="仿宋_GB2312"/>
          <w:sz w:val="32"/>
          <w:szCs w:val="32"/>
        </w:rPr>
        <w:t>无</w:t>
      </w:r>
    </w:p>
    <w:p>
      <w:pPr>
        <w:spacing w:line="600" w:lineRule="exact"/>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3.设定年报要求的依据：</w:t>
      </w:r>
      <w:r>
        <w:rPr>
          <w:rFonts w:hint="eastAsia" w:ascii="仿宋_GB2312" w:hAnsi="仿宋_GB2312" w:eastAsia="仿宋_GB2312" w:cs="仿宋_GB2312"/>
          <w:sz w:val="32"/>
          <w:szCs w:val="32"/>
        </w:rPr>
        <w:t>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4.年报周期：</w:t>
      </w:r>
      <w:r>
        <w:rPr>
          <w:rFonts w:hint="eastAsia" w:ascii="仿宋_GB2312" w:hAnsi="仿宋_GB2312" w:eastAsia="仿宋_GB2312" w:cs="仿宋_GB2312"/>
          <w:sz w:val="32"/>
          <w:szCs w:val="32"/>
        </w:rPr>
        <w:t>无</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县级自然资源主管部门</w:t>
      </w:r>
    </w:p>
    <w:p>
      <w:pPr>
        <w:spacing w:line="600" w:lineRule="exact"/>
        <w:ind w:firstLine="560" w:firstLineChars="200"/>
        <w:outlineLvl w:val="1"/>
        <w:rPr>
          <w:rFonts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1.按照“放管服”改革精神，地方自然资源主管部门可结合实际推行告知承诺制，制定免于许可或豁免许可清单。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3.审批程序中的“向社会公示”特指批前公示。</w:t>
      </w:r>
    </w:p>
    <w:p>
      <w:pPr>
        <w:spacing w:line="600" w:lineRule="exact"/>
        <w:ind w:firstLine="640" w:firstLineChars="200"/>
        <w:rPr>
          <w:rFonts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MWYxZjNiNDY3MTFmNzJjOTkyMGY1ZTgwMmRiMjcifQ=="/>
  </w:docVars>
  <w:rsids>
    <w:rsidRoot w:val="4A1947CF"/>
    <w:rsid w:val="001F2ADD"/>
    <w:rsid w:val="00606C5E"/>
    <w:rsid w:val="007906FC"/>
    <w:rsid w:val="00AB5615"/>
    <w:rsid w:val="00E652BA"/>
    <w:rsid w:val="00F2514F"/>
    <w:rsid w:val="3DEA42A0"/>
    <w:rsid w:val="4A1947CF"/>
    <w:rsid w:val="6E011431"/>
    <w:rsid w:val="7FBF30D3"/>
    <w:rsid w:val="FD1B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unhideWhenUsed/>
    <w:qFormat/>
    <w:uiPriority w:val="39"/>
    <w:pPr>
      <w:ind w:left="840" w:leftChars="4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642</Words>
  <Characters>3661</Characters>
  <Lines>30</Lines>
  <Paragraphs>8</Paragraphs>
  <TotalTime>4</TotalTime>
  <ScaleCrop>false</ScaleCrop>
  <LinksUpToDate>false</LinksUpToDate>
  <CharactersWithSpaces>4295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儁楊</cp:lastModifiedBy>
  <dcterms:modified xsi:type="dcterms:W3CDTF">2024-01-12T01:17:17Z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91F5D05AFEE04C80940D0C6E8F93097F_12</vt:lpwstr>
  </property>
</Properties>
</file>