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楷体简体" w:cs="Times New Roman"/>
          <w:b w:val="0"/>
          <w:bCs w:val="0"/>
          <w:strike w:val="0"/>
          <w:dstrike w:val="0"/>
          <w:color w:val="auto"/>
          <w:sz w:val="32"/>
          <w:szCs w:val="32"/>
          <w:lang w:eastAsia="zh-CN"/>
        </w:rPr>
      </w:pPr>
      <w:r>
        <w:rPr>
          <w:rFonts w:hint="default" w:ascii="Times New Roman" w:hAnsi="Times New Roman" w:eastAsia="方正楷体简体"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仿宋简体" w:cs="Times New Roman"/>
          <w:b w:val="0"/>
          <w:bCs w:val="0"/>
          <w:strike w:val="0"/>
          <w:dstrike w:val="0"/>
          <w:color w:val="FF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工商企业等社会资本通过流转取得林地经营权审批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县林草局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县级林草部门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《中华人民共和国农村土地承包法》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eastAsia" w:ascii="Times New Roman" w:hAnsi="Times New Roman" w:eastAsia="方正仿宋简体" w:cs="Times New Roman"/>
          <w:strike w:val="0"/>
          <w:dstrike w:val="0"/>
          <w:sz w:val="32"/>
          <w:szCs w:val="32"/>
          <w:lang w:val="en-US" w:eastAsia="zh-CN"/>
        </w:rPr>
        <w:t>　　</w:t>
      </w:r>
      <w:r>
        <w:rPr>
          <w:rFonts w:hint="default" w:ascii="Times New Roman" w:hAnsi="Times New Roman" w:eastAsia="方正仿宋简体" w:cs="Times New Roman"/>
          <w:strike w:val="0"/>
          <w:dstrike w:val="0"/>
          <w:sz w:val="32"/>
          <w:szCs w:val="32"/>
          <w:lang w:val="en-US" w:eastAsia="zh-CN"/>
        </w:rPr>
        <w:t>工商企业等社会资本通过流转取得林地经营权</w:t>
      </w:r>
      <w:r>
        <w:rPr>
          <w:rFonts w:hint="eastAsia" w:ascii="Times New Roman" w:hAnsi="Times New Roman" w:eastAsia="方正仿宋简体" w:cs="Times New Roman"/>
          <w:strike w:val="0"/>
          <w:dstrike w:val="0"/>
          <w:sz w:val="32"/>
          <w:szCs w:val="32"/>
          <w:lang w:val="en-US" w:eastAsia="zh-CN"/>
        </w:rPr>
        <w:t>新办</w:t>
      </w:r>
      <w:r>
        <w:rPr>
          <w:rFonts w:hint="default" w:ascii="Times New Roman" w:hAnsi="Times New Roman" w:eastAsia="方正仿宋简体" w:cs="Times New Roman"/>
          <w:strike w:val="0"/>
          <w:dstrike w:val="0"/>
          <w:sz w:val="32"/>
          <w:szCs w:val="32"/>
          <w:lang w:val="en-US" w:eastAsia="zh-CN"/>
        </w:rPr>
        <w:t>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工商企业等社会资本通过流转取得林地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经营权新办审批（县级权限）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【00016422800301】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1.行政许可事项名称及编码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工商企业等社会资本通过流转取得林地经营权审批【00016422800Y】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2.行政许可事项子项名称及编码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工商企业等社会资本通过流转取得林地经营权审批（县级权限）【000164228003】</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3.行政许可事项业务办理项</w:t>
      </w:r>
      <w:r>
        <w:rPr>
          <w:rFonts w:hint="eastAsia" w:ascii="Times New Roman" w:hAnsi="Times New Roman" w:eastAsia="方正仿宋简体" w:cs="Times New Roman"/>
          <w:b/>
          <w:bCs/>
          <w:sz w:val="32"/>
          <w:szCs w:val="32"/>
          <w:lang w:eastAsia="zh-CN"/>
        </w:rPr>
        <w:t>目</w:t>
      </w:r>
      <w:r>
        <w:rPr>
          <w:rFonts w:hint="default" w:ascii="Times New Roman" w:hAnsi="Times New Roman" w:eastAsia="方正仿宋简体" w:cs="Times New Roman"/>
          <w:b/>
          <w:bCs/>
          <w:sz w:val="32"/>
          <w:szCs w:val="32"/>
        </w:rPr>
        <w:t>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工商企业等社会资本通过流转取得林地经营权新办审批（县级权限）(00016422800301)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4.设定依据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《中华人民共和国农村土地承包法》第四十五条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5.实施依据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《中华人民共和国农村土地承包法》第四十五条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6.监管依据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《中华人民共和国行政许可法》第六十一条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7.实施机关：</w:t>
      </w:r>
      <w:r>
        <w:rPr>
          <w:rFonts w:hint="default" w:ascii="Times New Roman" w:hAnsi="Times New Roman" w:eastAsia="方正仿宋简体" w:cs="Times New Roman"/>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13.初审层级：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15.要素统一情况：</w:t>
      </w:r>
      <w:r>
        <w:rPr>
          <w:rFonts w:hint="default" w:ascii="Times New Roman" w:hAnsi="Times New Roman" w:eastAsia="方正仿宋简体" w:cs="Times New Roman"/>
          <w:sz w:val="32"/>
          <w:szCs w:val="32"/>
        </w:rPr>
        <w:t>全省要素统一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（1）双方需依法、自愿、有偿，平等协商，任何组织和个人不得强迫或者阻碍林地经营权流转。</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（2）不得改变林地用途。</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（3）公益林流转的，不得改变公益林性质。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（4）流转的期限不得超过承包期的剩余期限。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（5）流入方须有林业经营能力。</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2.规定行政许可条件的依据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5.改革方式：</w:t>
      </w:r>
      <w:r>
        <w:rPr>
          <w:rFonts w:hint="default" w:ascii="Times New Roman" w:hAnsi="Times New Roman" w:eastAsia="方正仿宋简体" w:cs="Times New Roman"/>
          <w:sz w:val="32"/>
          <w:szCs w:val="32"/>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6.具体改革举措：</w:t>
      </w:r>
      <w:r>
        <w:rPr>
          <w:rFonts w:hint="default" w:ascii="Times New Roman" w:hAnsi="Times New Roman" w:eastAsia="方正仿宋简体" w:cs="Times New Roman"/>
          <w:sz w:val="32"/>
          <w:szCs w:val="32"/>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对违法行为，依法处罚。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（1）工商企业等社会资本通过流转取得林地经营权行政许可申请报告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（2）附有流转意向条件的集体林权流转合同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（3）流转后的林地林木开发利用项目方案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（4）申请人为市场主体或社会组织的，提供中国人民银行征信中心出具的《企业信用报告》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（5）申请人为自然人的，出具中国人民银行征信中心出具的《个人信用报告》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2.规定申请材料的依据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仿宋简体" w:cs="Times New Roman"/>
          <w:sz w:val="32"/>
          <w:szCs w:val="32"/>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2.中介服务事项名称：</w:t>
      </w:r>
      <w:r>
        <w:rPr>
          <w:rFonts w:hint="default" w:ascii="Times New Roman" w:hAnsi="Times New Roman" w:eastAsia="方正仿宋简体" w:cs="Times New Roman"/>
          <w:b w:val="0"/>
          <w:bCs w:val="0"/>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3.设定中介服务事项的依据: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4.是否需要组织听证：</w:t>
      </w:r>
      <w:r>
        <w:rPr>
          <w:rFonts w:hint="default" w:ascii="Times New Roman" w:hAnsi="Times New Roman" w:eastAsia="方正仿宋简体" w:cs="Times New Roman"/>
          <w:b w:val="0"/>
          <w:bCs w:val="0"/>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5.是否需要招标、拍卖、挂牌交易：</w:t>
      </w:r>
      <w:r>
        <w:rPr>
          <w:rFonts w:hint="default" w:ascii="Times New Roman" w:hAnsi="Times New Roman" w:eastAsia="方正仿宋简体" w:cs="Times New Roman"/>
          <w:b w:val="0"/>
          <w:bCs w:val="0"/>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法律、法规另有规定的，依照其规定。依照本法第二十六条的规定，行政许可采取统一办理或者联合办理、集中办理的，办理的时间不得超过四十五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4.承诺审批时限：</w:t>
      </w:r>
      <w:r>
        <w:rPr>
          <w:rFonts w:hint="default" w:ascii="Times New Roman" w:hAnsi="Times New Roman" w:eastAsia="方正仿宋简体" w:cs="Times New Roman"/>
          <w:b w:val="0"/>
          <w:bCs w:val="0"/>
          <w:strike w:val="0"/>
          <w:dstrike w:val="0"/>
          <w:color w:val="auto"/>
          <w:sz w:val="32"/>
          <w:szCs w:val="32"/>
          <w:lang w:eastAsia="zh-CN"/>
        </w:rPr>
        <w:t>5个工作日</w:t>
      </w:r>
      <w:r>
        <w:rPr>
          <w:rFonts w:hint="eastAsia" w:ascii="Times New Roman" w:hAnsi="Times New Roman" w:eastAsia="方正仿宋简体" w:cs="Times New Roman"/>
          <w:b w:val="0"/>
          <w:bCs w:val="0"/>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依法进行现场勘验另需</w:t>
      </w:r>
      <w:r>
        <w:rPr>
          <w:rFonts w:hint="eastAsia" w:ascii="Times New Roman" w:hAnsi="Times New Roman" w:eastAsia="方正仿宋简体" w:cs="Times New Roman"/>
          <w:b w:val="0"/>
          <w:bCs w:val="0"/>
          <w:strike w:val="0"/>
          <w:dstrike w:val="0"/>
          <w:color w:val="auto"/>
          <w:sz w:val="32"/>
          <w:szCs w:val="32"/>
          <w:lang w:eastAsia="zh-CN"/>
        </w:rPr>
        <w:t>的</w:t>
      </w:r>
      <w:r>
        <w:rPr>
          <w:rFonts w:hint="default" w:ascii="Times New Roman" w:hAnsi="Times New Roman" w:eastAsia="方正仿宋简体" w:cs="Times New Roman"/>
          <w:b w:val="0"/>
          <w:bCs w:val="0"/>
          <w:strike w:val="0"/>
          <w:dstrike w:val="0"/>
          <w:color w:val="auto"/>
          <w:sz w:val="32"/>
          <w:szCs w:val="32"/>
          <w:lang w:eastAsia="zh-CN"/>
        </w:rPr>
        <w:t>时间不计算在该时限</w:t>
      </w:r>
      <w:r>
        <w:rPr>
          <w:rFonts w:hint="eastAsia" w:ascii="Times New Roman" w:hAnsi="Times New Roman" w:eastAsia="方正仿宋简体" w:cs="Times New Roman"/>
          <w:b w:val="0"/>
          <w:bCs w:val="0"/>
          <w:strike w:val="0"/>
          <w:dstrike w:val="0"/>
          <w:color w:val="auto"/>
          <w:sz w:val="32"/>
          <w:szCs w:val="32"/>
          <w:lang w:eastAsia="zh-CN"/>
        </w:rPr>
        <w:t>内</w:t>
      </w:r>
      <w:r>
        <w:rPr>
          <w:rFonts w:hint="default" w:ascii="Times New Roman" w:hAnsi="Times New Roman" w:eastAsia="方正仿宋简体" w:cs="Times New Roman"/>
          <w:b w:val="0"/>
          <w:bCs w:val="0"/>
          <w:strike w:val="0"/>
          <w:dstrike w:val="0"/>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2.收费项目的名称、收费项目的标准、设定收费项目的依据、规定收费标准的依据: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2.审批结果名称：</w:t>
      </w:r>
      <w:r>
        <w:rPr>
          <w:rFonts w:hint="default" w:ascii="Times New Roman" w:hAnsi="Times New Roman" w:eastAsia="方正仿宋简体" w:cs="Times New Roman"/>
          <w:b w:val="0"/>
          <w:bCs w:val="0"/>
          <w:sz w:val="32"/>
          <w:szCs w:val="32"/>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4.规定审批结果有效期限的依据: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6.办理审批结果变更手续的要求</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向作出行政许可决定的行政机关提出申请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8.办理审批结果延续手续的要求: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9.审批结果的有效地域范围</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本县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5.规定在数量限制条件下实施行政许可方式的依据: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2.设定年检要求的依据:</w:t>
      </w:r>
      <w:r>
        <w:rPr>
          <w:rFonts w:hint="default" w:ascii="Times New Roman" w:hAnsi="Times New Roman" w:eastAsia="方正仿宋简体" w:cs="Times New Roman"/>
          <w:b w:val="0"/>
          <w:bCs w:val="0"/>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7.年检收费项目的名称、年检收费项目的标准、设定年检收费项目的依据、规定年检项目收费标准的依据: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3.设定年报要求的依据: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县级人民政府（由</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林草部门承办）</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经典行楷繁">
    <w:panose1 w:val="02010609000101010101"/>
    <w:charset w:val="86"/>
    <w:family w:val="auto"/>
    <w:pitch w:val="default"/>
    <w:sig w:usb0="A1007AEF" w:usb1="F9DF7CFB" w:usb2="0000001E" w:usb3="00000000" w:csb0="20040000"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仿宋GB2312">
    <w:altName w:val="方正仿宋_GBK"/>
    <w:panose1 w:val="00000000000000000000"/>
    <w:charset w:val="00"/>
    <w:family w:val="roman"/>
    <w:pitch w:val="default"/>
    <w:sig w:usb0="00000000" w:usb1="00000000" w:usb2="00000000" w:usb3="00000000" w:csb0="00040001" w:csb1="0000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58240;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O5GJ1AAAAAg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52886"/>
    <w:rsid w:val="11A50297"/>
    <w:rsid w:val="17D768C9"/>
    <w:rsid w:val="18C2048D"/>
    <w:rsid w:val="1B0F2487"/>
    <w:rsid w:val="24D944AE"/>
    <w:rsid w:val="2DBC7853"/>
    <w:rsid w:val="364D12C3"/>
    <w:rsid w:val="388D7972"/>
    <w:rsid w:val="5DA154B7"/>
    <w:rsid w:val="5E6173B5"/>
    <w:rsid w:val="5E937DE0"/>
    <w:rsid w:val="6064444A"/>
    <w:rsid w:val="6294752D"/>
    <w:rsid w:val="65C62A9E"/>
    <w:rsid w:val="770C6944"/>
    <w:rsid w:val="79FC2AB7"/>
    <w:rsid w:val="7AF7067C"/>
    <w:rsid w:val="7F614D11"/>
    <w:rsid w:val="7F7F09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Administrator.DESKTOP-HEGMPM8</dc:creator>
  <cp:lastModifiedBy>Administrator</cp:lastModifiedBy>
  <dcterms:modified xsi:type="dcterms:W3CDTF">2024-01-05T08:28:49Z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