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设置X射线影像诊断的建设项目放射性</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【00012311300301】</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医疗机构建设项目放射性职业病防护设施竣工验收【00012311300Y】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设置X射线影像诊断的建设项目放射性职业病防护设施竣工验收【000123113003】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设置X射线影像诊断的建设项目放射性职业病防护设施竣工验收(00012311300301)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《中华人民共和国职业病防治法》第十八条</w:t>
      </w:r>
      <w:r>
        <w:rPr>
          <w:rFonts w:hint="default" w:ascii="Times New Roman" w:hAnsi="Times New Roman" w:eastAsia="方正仿宋简体" w:cs="Times New Roman"/>
          <w:sz w:val="32"/>
          <w:szCs w:val="32"/>
          <w:lang w:val="en-US" w:eastAsia="zh-CN"/>
        </w:rPr>
        <w:t xml:space="preserve">第三、四款 </w:t>
      </w:r>
      <w:r>
        <w:rPr>
          <w:rFonts w:hint="default" w:ascii="Times New Roman" w:hAnsi="Times New Roman" w:eastAsia="方正仿宋简体" w:cs="Times New Roman"/>
          <w:i w:val="0"/>
          <w:iCs w:val="0"/>
          <w:caps w:val="0"/>
          <w:spacing w:val="0"/>
          <w:sz w:val="32"/>
          <w:szCs w:val="32"/>
          <w:shd w:val="clear" w:color="auto" w:fill="auto"/>
        </w:rPr>
        <w:t>建设项目在竣工验收前，建设单位应当进行职业病危害控制效果评价。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（2）《卫生部关于印发&lt;放射卫生技术服务机构管理办法&gt;等文件的通知》（卫监督发〔2012〕25号）第三条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rPr>
        <w:t>从事放射卫生技术服务的机构，必须取得卫生部或者省级卫生行政部门颁发的《放射卫生技术服务机构资质证书》。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具有委托放射卫生技术服务机构承做的放射诊疗建设项目职业病危害控制效果放射防护评价报告；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具有放射诊疗建设项目职业病危害预评价审核同意批复；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控制效果评价报告审核通过。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（1）对于医疗放射卫生建设项目开展分类管理，必要时组织专家组进行审核或现场进行检测</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（2）申请单位在竣工验收和评审过程中存在弄虚作假和其他违纪违法行为的，不予出具验收合格证明文件，并按照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的规定进行处罚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申请单位及与本项目有关机构和人员违反职业病防治有关法律、法规、标准的行为，均有权向卫生行政部门或者有关部门举报，受理举报的卫生行政部门应当为举报人保密，并依法对举报内容进行核查和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放射诊疗建设项目职业病放射防护设施竣工验收申请表；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放射诊疗建设项目职业病危害控制效果放射防护评价报告书；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放射诊疗建设项目竣工后，建设单位应向审核建设项目职业病危害放射防护预评价的卫生行政部门申请竣工验收，并提交下列资料:（1）放射诊疗建设项目职业病放射防护设施竣工验收申请表;（2）放射诊疗建设项目职业病危害控制效果放射防护评价报告;（3）放射诊疗建设项目职业病危害预评价审核同意证明材料;（4）委托申报的，应提供委托申报证明;（5）省级卫生行政部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放射诊疗建设项目职业病危害控制效果放射防护评价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r>
        <w:rPr>
          <w:rFonts w:hint="default"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（2）《云南省人民政府关于清理规范行政审批中介服务事项的决定》附件2第27项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放射诊疗建设项目职业病危害控制效果放射防护评价</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具备相应资质的放射卫生技术服务机构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（1）《放射诊疗建设项目卫生审查管理规定》第十条 放射诊疗建设项目竣工后，建设单位应向审核建设项目职业病危害放射防护预评价的卫生行政部门申请竣工验收，并提交下列资料：（一）放射诊疗建设项目职业病放射防护设施竣工验收申请表；（二）放射诊疗建设项目职业病危害控制效果放射防护评价报告；（三）放射诊疗建设项目职业病危害预评价审核同意证明材料（复印件）；（四）委托申报的，应提供委托申报证明；（五）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危害一般类的放射诊疗建设项目职业病危害放射防护控制效果评价报告是否需要专家评审由省级卫生行政部门确定。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0" w:name="_Hlk142513105"/>
      <w:r>
        <w:rPr>
          <w:rFonts w:hint="default" w:ascii="Times New Roman" w:hAnsi="Times New Roman" w:eastAsia="方正仿宋简体" w:cs="Times New Roman"/>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医疗机构建设项目放射性职业病防护设施竣工验收</w:t>
      </w:r>
      <w:r>
        <w:rPr>
          <w:rFonts w:hint="default" w:ascii="Times New Roman" w:hAnsi="Times New Roman" w:eastAsia="方正仿宋简体" w:cs="Times New Roman"/>
          <w:sz w:val="32"/>
          <w:szCs w:val="32"/>
          <w:lang w:val="en-US" w:eastAsia="zh-CN"/>
        </w:rPr>
        <w:t>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《放射诊疗建设项目卫生审查管理规定》第三条</w:t>
      </w:r>
      <w:r>
        <w:rPr>
          <w:rFonts w:hint="default" w:ascii="Times New Roman" w:hAnsi="Times New Roman" w:eastAsia="方正仿宋简体" w:cs="Times New Roman"/>
          <w:sz w:val="32"/>
          <w:szCs w:val="32"/>
          <w:u w:val="none" w:color="auto"/>
          <w:lang w:val="en-US" w:eastAsia="zh-CN"/>
        </w:rPr>
        <w:t xml:space="preserve"> </w:t>
      </w:r>
      <w:r>
        <w:rPr>
          <w:rFonts w:hint="default" w:ascii="Times New Roman" w:hAnsi="Times New Roman" w:eastAsia="方正仿宋简体" w:cs="Times New Roman"/>
          <w:sz w:val="32"/>
          <w:szCs w:val="32"/>
          <w:u w:val="none" w:color="auto"/>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县区级卫生行政部门负责X射线影像诊断建设项目的卫生审查。同一医疗机构有不同类别放射诊疗建设项目的卫生审查由具有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color="auto"/>
        </w:rPr>
        <w:t>高类别审批权限的卫生行政部门负责。省级卫生行政部门可以根据本地区实际情况，调整审批权限。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bookmarkStart w:id="1" w:name="_GoBack"/>
      <w:bookmarkEnd w:id="1"/>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3bf97273-dde2-4bb3-a95f-18dd15b2c6ad"/>
  </w:docVars>
  <w:rsids>
    <w:rsidRoot w:val="725D50AA"/>
    <w:rsid w:val="725D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2024-02-22T03:07:00Z</dcterms:created>
  <dc:creator>Administrator</dc:creator>
  <cp:lastModifiedBy>Administrator</cp:lastModifiedBy>
  <dcterms:modified xsi:type="dcterms:W3CDTF">2024-02-22T03:08:46Z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B1F901F1D1EF4F6487D9B7ABBD10CD1D_11</vt:lpwstr>
  </property>
</Properties>
</file>