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单采血浆站设置审批（变更）</w:t>
      </w:r>
    </w:p>
    <w:p>
      <w:pPr>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【00012312400003】</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一、</w:t>
      </w:r>
      <w:r>
        <w:rPr>
          <w:rFonts w:hint="default" w:ascii="Times New Roman" w:hAnsi="Times New Roman" w:eastAsia="方正黑体简体" w:cs="Times New Roman"/>
          <w:sz w:val="32"/>
          <w:szCs w:val="32"/>
        </w:rPr>
        <w:t>基本要素</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单采血浆站设置审批【000123124000】</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单采血浆站设置审批【000123124000】</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spacing w:line="360" w:lineRule="auto"/>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单采血浆站设置审批（变更）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00012312400003</w:t>
      </w:r>
      <w:r>
        <w:rPr>
          <w:rFonts w:hint="eastAsia" w:ascii="Times New Roman" w:hAnsi="Times New Roman" w:eastAsia="方正仿宋简体" w:cs="Times New Roman"/>
          <w:sz w:val="32"/>
          <w:szCs w:val="32"/>
          <w:lang w:eastAsia="zh-CN"/>
        </w:rPr>
        <w:t>）</w:t>
      </w:r>
    </w:p>
    <w:p>
      <w:pPr>
        <w:spacing w:line="360" w:lineRule="auto"/>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spacing w:line="540" w:lineRule="exact"/>
        <w:ind w:firstLine="640" w:firstLineChars="200"/>
        <w:outlineLvl w:val="1"/>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spacing w:line="540" w:lineRule="exact"/>
        <w:ind w:firstLine="640" w:firstLineChars="200"/>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单采血浆站只能对省、自治区、直辖市人民政府卫生行政部门划定区域内的供血浆者进行筛查和采集血浆。</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spacing w:line="540" w:lineRule="exact"/>
        <w:ind w:firstLine="640" w:firstLineChars="200"/>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国家实行单采血浆站统一规划、设置的制度。</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国务院卫生行政部门根据核准的全国生产用原料血浆的需求，对单采血浆站的布局、数量和规模制定总体规划。省、自治区、直辖市人民政府卫生行政部门根据总体规划制定本行政区域内单采血浆站设置规划和采集血浆的区域规划，并报国务院卫生行政部门备案。</w:t>
      </w:r>
    </w:p>
    <w:p>
      <w:pPr>
        <w:spacing w:line="540" w:lineRule="exact"/>
        <w:ind w:firstLine="640" w:firstLineChars="200"/>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设置单采血浆站，必须具备下列条件：</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符合单采血浆站布局、数量、规模的规划；</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具有与所采集原料血浆相适应的卫生专业技术人员；</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具有与所采集原料血浆相适应的场所及卫生环境；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具有识别供血浆者的身份识别系统；</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具有与所采集原料血浆相适应的单采血浆机械及其他设施；</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具有对所采集原料血浆进行质量检验的技术人员以及必要的仪器设备</w:t>
      </w:r>
    </w:p>
    <w:p>
      <w:pPr>
        <w:spacing w:line="540" w:lineRule="exact"/>
        <w:ind w:firstLine="640" w:firstLineChars="200"/>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置单采血浆站必须具备下列条件：（一）符合采供血机构设置规划、单采血浆站设置规划以及《单采血浆站基本标准》要求的条件；（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七）符合国家生物安全管理相关规定。</w:t>
      </w:r>
    </w:p>
    <w:p>
      <w:pPr>
        <w:numPr>
          <w:ilvl w:val="0"/>
          <w:numId w:val="0"/>
        </w:num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单采血浆站变更名称、地址、法定代表人、业务项目等内容的，应当向原发证部门办理变更登记手续。</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r>
        <w:rPr>
          <w:rFonts w:hint="default" w:ascii="Times New Roman" w:hAnsi="Times New Roman" w:eastAsia="方正仿宋简体" w:cs="Times New Roman"/>
          <w:sz w:val="32"/>
          <w:szCs w:val="32"/>
          <w:lang w:eastAsia="zh-CN"/>
        </w:rPr>
        <w:t>。</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spacing w:line="540" w:lineRule="exact"/>
        <w:ind w:firstLine="420" w:firstLineChars="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以上地方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县级以上地方各级人民政府卫生行政部门的监督人员执行职务时，可以按照国家有关规定抽取样品和索取有关资料，有关单位不得拒绝和隐瞒</w:t>
      </w:r>
    </w:p>
    <w:p>
      <w:pPr>
        <w:spacing w:line="540" w:lineRule="exact"/>
        <w:ind w:firstLine="420" w:firstLineChars="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省、自治区、直辖市人民政府卫生行政部门每年组织1次对本行政区域内单采血浆站的监督检查并进行年度注册。设区的市、自治州人民政府卫生行政部门或者省、自治区人民政府设立的派出机关的卫生行政机构每半年对本行政区域内的单采血浆站进行1次检查。</w:t>
      </w:r>
    </w:p>
    <w:p>
      <w:pPr>
        <w:spacing w:line="540" w:lineRule="exact"/>
        <w:ind w:firstLine="420" w:firstLineChars="0"/>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第三十四条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r>
        <w:rPr>
          <w:rFonts w:hint="default" w:ascii="Times New Roman" w:hAnsi="Times New Roman" w:eastAsia="方正仿宋简体" w:cs="Times New Roman"/>
          <w:sz w:val="32"/>
          <w:szCs w:val="32"/>
          <w:lang w:eastAsia="zh-CN"/>
        </w:rPr>
        <w:t>。</w:t>
      </w:r>
    </w:p>
    <w:p>
      <w:pPr>
        <w:spacing w:line="540" w:lineRule="exact"/>
        <w:ind w:firstLine="420" w:firstLineChars="0"/>
        <w:outlineLvl w:val="1"/>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采集血浆前，未按照国务院卫生行政部门颁布的健康检查标准对供血浆者进行健康检查和血液化验的；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采集非划定区域内的供血浆者或者其他人员的血浆的，或者不对供血浆者进行身份识别，采集冒名顶替者、健康检查不合格者或者无《供血浆证》者的血浆的；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违反国务院卫生行政部门制定的血浆采集技术操作标准和程序，过频过量采集血浆的；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向医疗机构直接供应原料血浆或者擅自采集血液的；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未使用单采血浆机械进行血浆采集的；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未使用有产品批准文号并经国家药品生物制品检定机构逐批检定合格的体外诊断试剂以及合格的一次性采血浆器材的；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未按照国家规定的卫生标准和要求包装、储存、运输原料血浆的</w:t>
      </w:r>
      <w:r>
        <w:rPr>
          <w:rFonts w:hint="default" w:ascii="Times New Roman" w:hAnsi="Times New Roman" w:eastAsia="方正仿宋简体" w:cs="Times New Roman"/>
          <w:i w:val="0"/>
          <w:iCs w:val="0"/>
          <w:caps w:val="0"/>
          <w:spacing w:val="0"/>
          <w:sz w:val="32"/>
          <w:szCs w:val="32"/>
          <w:shd w:val="clear" w:color="auto" w:fill="auto"/>
          <w:lang w:val="en-US" w:eastAsia="zh-CN"/>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八</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对国家规定检测项目检测结果呈阳性的血浆不清除、不及时上报的；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九</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对污染的注射器、采血浆器材及不合格血浆等不经消毒处理，擅自倾倒，污染环境，造成社会危害的；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重复使用一次性采血浆器材的；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向与其签订质量责任书的血液制品生产单位以外的</w:t>
      </w:r>
      <w:r>
        <w:rPr>
          <w:rFonts w:hint="default" w:ascii="Times New Roman" w:hAnsi="Times New Roman" w:eastAsia="方正仿宋简体" w:cs="Times New Roman"/>
          <w:i w:val="0"/>
          <w:iCs w:val="0"/>
          <w:caps w:val="0"/>
          <w:spacing w:val="0"/>
          <w:sz w:val="32"/>
          <w:szCs w:val="32"/>
          <w:shd w:val="clear" w:color="auto" w:fill="auto"/>
        </w:rPr>
        <w:t>其他单位供应原料血浆的</w:t>
      </w:r>
      <w:r>
        <w:rPr>
          <w:rFonts w:hint="default" w:ascii="Times New Roman" w:hAnsi="Times New Roman" w:eastAsia="方正仿宋简体" w:cs="Times New Roman"/>
          <w:i w:val="0"/>
          <w:iCs w:val="0"/>
          <w:caps w:val="0"/>
          <w:spacing w:val="0"/>
          <w:sz w:val="32"/>
          <w:szCs w:val="32"/>
          <w:shd w:val="clear" w:color="auto" w:fill="auto"/>
          <w:lang w:eastAsia="zh-CN"/>
        </w:rPr>
        <w:t>。</w:t>
      </w:r>
    </w:p>
    <w:p>
      <w:pPr>
        <w:spacing w:line="540" w:lineRule="exact"/>
        <w:ind w:firstLine="420" w:firstLineChars="0"/>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云南省卫生健康委（由县级卫生健康部门初审、设区的市级卫生健康部门二审）</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省级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省级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省级,设区的市级,县级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是</w:t>
      </w:r>
    </w:p>
    <w:p>
      <w:pPr>
        <w:spacing w:line="600" w:lineRule="exact"/>
        <w:ind w:firstLine="643"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县级</w:t>
      </w:r>
    </w:p>
    <w:p>
      <w:pPr>
        <w:spacing w:line="600" w:lineRule="exact"/>
        <w:ind w:firstLine="643"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单采血浆站设置审批及许可证核发</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二、</w:t>
      </w:r>
      <w:r>
        <w:rPr>
          <w:rFonts w:hint="default" w:ascii="Times New Roman" w:hAnsi="Times New Roman" w:eastAsia="方正黑体简体" w:cs="Times New Roman"/>
          <w:sz w:val="32"/>
          <w:szCs w:val="32"/>
        </w:rPr>
        <w:t>行政许可事项类型</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三、</w:t>
      </w:r>
      <w:r>
        <w:rPr>
          <w:rFonts w:hint="default" w:ascii="Times New Roman" w:hAnsi="Times New Roman" w:eastAsia="方正黑体简体" w:cs="Times New Roman"/>
          <w:sz w:val="32"/>
          <w:szCs w:val="32"/>
        </w:rPr>
        <w:t>行政许可条件</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变更名称、地址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路牌、路名）</w:t>
      </w:r>
      <w:r>
        <w:rPr>
          <w:rFonts w:hint="default" w:ascii="Times New Roman" w:hAnsi="Times New Roman" w:eastAsia="方正仿宋简体" w:cs="Times New Roman"/>
          <w:sz w:val="32"/>
          <w:szCs w:val="32"/>
        </w:rPr>
        <w:t>、法定代表人、业务项目等内容的，应当向原发证部门办理变更登记手续</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设置单采血浆站的血液制品生产单位</w:t>
      </w:r>
      <w:r>
        <w:rPr>
          <w:rFonts w:hint="default" w:ascii="Times New Roman" w:hAnsi="Times New Roman" w:eastAsia="方正仿宋简体" w:cs="Times New Roman"/>
          <w:sz w:val="32"/>
          <w:szCs w:val="32"/>
          <w:lang w:val="en-US" w:eastAsia="zh-CN"/>
        </w:rPr>
        <w:t>和实际地址、采浆区域</w:t>
      </w:r>
      <w:r>
        <w:rPr>
          <w:rFonts w:hint="default" w:ascii="Times New Roman" w:hAnsi="Times New Roman" w:eastAsia="方正仿宋简体" w:cs="Times New Roman"/>
          <w:sz w:val="32"/>
          <w:szCs w:val="32"/>
        </w:rPr>
        <w:t>发生变更的，该单采血浆站应当重新办理《单采血浆许可证》，原《单采血浆许可证》注销。</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《单采血浆站管理办法》第十九条 单采血浆站变更名称、地址、法定代表人、业务项目等内容的，应当向原发证部门办理变更登记手续。</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四、</w:t>
      </w:r>
      <w:r>
        <w:rPr>
          <w:rFonts w:hint="default" w:ascii="Times New Roman" w:hAnsi="Times New Roman" w:eastAsia="方正黑体简体" w:cs="Times New Roman"/>
          <w:sz w:val="32"/>
          <w:szCs w:val="32"/>
        </w:rPr>
        <w:t>行政许可服务对象类型与改革举措</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企业法人</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是</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单采血浆站设置审批及许可证核发</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单采血浆许可证</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spacing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（1）实现网上提交申请材料</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（2）将审批时限由20个工作日压减至</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个工作日。</w:t>
      </w:r>
    </w:p>
    <w:p>
      <w:pPr>
        <w:spacing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（1）开展“双随机、一公开”监管，发现违法违规行为要依法查处并公开结果</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（2）利用信息化手段加强监管</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（3）依法及时处理投诉举报。</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五、</w:t>
      </w:r>
      <w:r>
        <w:rPr>
          <w:rFonts w:hint="default" w:ascii="Times New Roman" w:hAnsi="Times New Roman" w:eastAsia="方正黑体简体" w:cs="Times New Roman"/>
          <w:sz w:val="32"/>
          <w:szCs w:val="32"/>
        </w:rPr>
        <w:t>申请材料</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变更法定代表人或主要负责人、地址（路牌、路名），应提交以下材料：</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（1）变更申请书；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（2）单采血浆许可证；</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（3）营业执照；</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（4）法定代表人任职文件及身份证（法定代表人变更需要提供）；</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（5）主要负责人任职文件及身份证、工作履历、学历证书、专业技术资格证书（主要负责人变更需要提供）。</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变更业务项目，应提交以下材料：</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（1）变更申请书；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（2）单采血浆许可证；</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（3）营业执照；</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color w:val="auto"/>
          <w:sz w:val="32"/>
          <w:szCs w:val="32"/>
          <w:shd w:val="clear" w:color="auto" w:fill="auto"/>
        </w:rPr>
        <w:t>从业人员名单；</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color w:val="auto"/>
          <w:sz w:val="32"/>
          <w:szCs w:val="32"/>
          <w:shd w:val="clear" w:color="auto" w:fill="auto"/>
        </w:rPr>
        <w:t>主要设备清单；</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6）相应的</w:t>
      </w:r>
      <w:r>
        <w:rPr>
          <w:rFonts w:hint="default" w:ascii="Times New Roman" w:hAnsi="Times New Roman" w:eastAsia="方正仿宋简体" w:cs="Times New Roman"/>
          <w:color w:val="auto"/>
          <w:sz w:val="32"/>
          <w:szCs w:val="32"/>
          <w:shd w:val="clear" w:color="auto" w:fill="auto"/>
        </w:rPr>
        <w:t xml:space="preserve">规章制度和质量管理体系文件； </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color w:val="auto"/>
          <w:sz w:val="32"/>
          <w:szCs w:val="32"/>
          <w:shd w:val="clear" w:color="auto" w:fill="auto"/>
        </w:rPr>
        <w:t>符合《单采血浆站基本标准》、《单采血浆站质量管理规范》的专家现场技术审查意见；</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color w:val="auto"/>
          <w:sz w:val="32"/>
          <w:szCs w:val="32"/>
          <w:shd w:val="clear" w:color="auto" w:fill="auto"/>
        </w:rPr>
        <w:t>HIV初筛实验室备案凭证</w:t>
      </w:r>
      <w:r>
        <w:rPr>
          <w:rFonts w:hint="default" w:ascii="Times New Roman" w:hAnsi="Times New Roman" w:eastAsia="方正仿宋简体" w:cs="Times New Roman"/>
          <w:color w:val="auto"/>
          <w:sz w:val="32"/>
          <w:szCs w:val="32"/>
          <w:shd w:val="clear" w:color="auto" w:fill="auto"/>
          <w:lang w:val="en-US" w:eastAsia="zh-CN"/>
        </w:rPr>
        <w:t>或</w:t>
      </w:r>
      <w:r>
        <w:rPr>
          <w:rFonts w:hint="default" w:ascii="Times New Roman" w:hAnsi="Times New Roman" w:eastAsia="方正仿宋简体" w:cs="Times New Roman"/>
          <w:color w:val="auto"/>
          <w:sz w:val="32"/>
          <w:szCs w:val="32"/>
          <w:shd w:val="clear" w:color="auto" w:fill="auto"/>
        </w:rPr>
        <w:t>云南省病原微生物实验室备案凭证；</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color w:val="auto"/>
          <w:sz w:val="32"/>
          <w:szCs w:val="32"/>
          <w:shd w:val="clear" w:color="auto" w:fill="auto"/>
        </w:rPr>
        <w:t>主要负责人</w:t>
      </w:r>
      <w:r>
        <w:rPr>
          <w:rFonts w:hint="default" w:ascii="Times New Roman" w:hAnsi="Times New Roman" w:eastAsia="方正仿宋简体" w:cs="Times New Roman"/>
          <w:color w:val="auto"/>
          <w:sz w:val="32"/>
          <w:szCs w:val="32"/>
          <w:shd w:val="clear" w:color="auto" w:fill="auto"/>
          <w:lang w:val="en-US" w:eastAsia="zh-CN"/>
        </w:rPr>
        <w:t>的</w:t>
      </w:r>
      <w:r>
        <w:rPr>
          <w:rFonts w:hint="default" w:ascii="Times New Roman" w:hAnsi="Times New Roman" w:eastAsia="方正仿宋简体" w:cs="Times New Roman"/>
          <w:color w:val="auto"/>
          <w:sz w:val="32"/>
          <w:szCs w:val="32"/>
          <w:shd w:val="clear" w:color="auto" w:fill="auto"/>
        </w:rPr>
        <w:t>学历、职称证书</w:t>
      </w:r>
      <w:r>
        <w:rPr>
          <w:rFonts w:hint="default" w:ascii="Times New Roman" w:hAnsi="Times New Roman" w:eastAsia="方正仿宋简体" w:cs="Times New Roman"/>
          <w:color w:val="auto"/>
          <w:sz w:val="32"/>
          <w:szCs w:val="32"/>
          <w:shd w:val="clear" w:color="auto" w:fill="auto"/>
          <w:lang w:eastAsia="zh-CN"/>
        </w:rPr>
        <w:t>、</w:t>
      </w:r>
      <w:r>
        <w:rPr>
          <w:rFonts w:hint="default" w:ascii="Times New Roman" w:hAnsi="Times New Roman" w:eastAsia="方正仿宋简体" w:cs="Times New Roman"/>
          <w:color w:val="auto"/>
          <w:sz w:val="32"/>
          <w:szCs w:val="32"/>
          <w:shd w:val="clear" w:color="auto" w:fill="auto"/>
          <w:lang w:val="en-US" w:eastAsia="zh-CN"/>
        </w:rPr>
        <w:t>工作履历</w:t>
      </w:r>
      <w:r>
        <w:rPr>
          <w:rFonts w:hint="default" w:ascii="Times New Roman" w:hAnsi="Times New Roman" w:eastAsia="方正仿宋简体" w:cs="Times New Roman"/>
          <w:sz w:val="32"/>
          <w:szCs w:val="32"/>
        </w:rPr>
        <w:t>；</w:t>
      </w:r>
    </w:p>
    <w:p>
      <w:pPr>
        <w:spacing w:line="600" w:lineRule="exact"/>
        <w:ind w:firstLine="640" w:firstLineChars="200"/>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color w:val="auto"/>
          <w:sz w:val="32"/>
          <w:szCs w:val="32"/>
          <w:shd w:val="clear" w:color="auto" w:fill="auto"/>
        </w:rPr>
        <w:t>属地卫生健康部门审核意见。</w:t>
      </w:r>
    </w:p>
    <w:p>
      <w:pPr>
        <w:spacing w:line="600" w:lineRule="exact"/>
        <w:ind w:firstLine="640" w:firstLineChars="200"/>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auto"/>
          <w:sz w:val="32"/>
          <w:szCs w:val="32"/>
          <w:shd w:val="clear" w:color="auto" w:fill="auto"/>
        </w:rPr>
        <w:t>设置单采血浆站的血液制品生产单位或实际地址</w:t>
      </w:r>
      <w:r>
        <w:rPr>
          <w:rFonts w:hint="default" w:ascii="Times New Roman" w:hAnsi="Times New Roman" w:eastAsia="方正仿宋简体" w:cs="Times New Roman"/>
          <w:color w:val="auto"/>
          <w:sz w:val="32"/>
          <w:szCs w:val="32"/>
          <w:shd w:val="clear" w:color="auto" w:fill="auto"/>
          <w:lang w:eastAsia="zh-CN"/>
        </w:rPr>
        <w:t>、</w:t>
      </w:r>
      <w:r>
        <w:rPr>
          <w:rFonts w:hint="default" w:ascii="Times New Roman" w:hAnsi="Times New Roman" w:eastAsia="方正仿宋简体" w:cs="Times New Roman"/>
          <w:color w:val="auto"/>
          <w:sz w:val="32"/>
          <w:szCs w:val="32"/>
          <w:shd w:val="clear" w:color="auto" w:fill="auto"/>
          <w:lang w:val="en-US" w:eastAsia="zh-CN"/>
        </w:rPr>
        <w:t>采浆区域</w:t>
      </w:r>
      <w:r>
        <w:rPr>
          <w:rFonts w:hint="default" w:ascii="Times New Roman" w:hAnsi="Times New Roman" w:eastAsia="方正仿宋简体" w:cs="Times New Roman"/>
          <w:color w:val="auto"/>
          <w:sz w:val="32"/>
          <w:szCs w:val="32"/>
          <w:shd w:val="clear" w:color="auto" w:fill="auto"/>
        </w:rPr>
        <w:t>发生变更的，该单采血浆站应当重新办理《单采血浆许可证》，原《单采血浆许可证》注销。</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《单采血浆站管理办法》第十九条 单采血浆站变更名称、地址、法定代表人、业务项目等内容的，应当向原发证部门办理变更登记手续。</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r>
        <w:rPr>
          <w:rFonts w:hint="default" w:ascii="Times New Roman" w:hAnsi="Times New Roman" w:eastAsia="方正仿宋简体" w:cs="Times New Roman"/>
          <w:sz w:val="32"/>
          <w:szCs w:val="32"/>
          <w:lang w:eastAsia="zh-CN"/>
        </w:rPr>
        <w:t>。</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六、</w:t>
      </w:r>
      <w:r>
        <w:rPr>
          <w:rFonts w:hint="default" w:ascii="Times New Roman" w:hAnsi="Times New Roman" w:eastAsia="方正黑体简体" w:cs="Times New Roman"/>
          <w:sz w:val="32"/>
          <w:szCs w:val="32"/>
        </w:rPr>
        <w:t>中介服务</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无</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七、</w:t>
      </w:r>
      <w:r>
        <w:rPr>
          <w:rFonts w:hint="default" w:ascii="Times New Roman" w:hAnsi="Times New Roman" w:eastAsia="方正黑体简体" w:cs="Times New Roman"/>
          <w:sz w:val="32"/>
          <w:szCs w:val="32"/>
        </w:rPr>
        <w:t>审批程序</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向设置地县级卫生健康行政部门提出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rPr>
        <w:t>不予受理</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县级卫生健康行政部门在收到全部申请材料后进行初审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设区的市、自治州卫生健康行政部门审查同意后，报省级卫生健康行政部门审批</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省级卫生健康行政部门在收到申请材料后，可以组织有关专家或者委托技术机构，根据有关文件要求进行现场技术审查</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w:t>
      </w:r>
      <w:r>
        <w:rPr>
          <w:rFonts w:hint="default" w:ascii="Times New Roman" w:hAnsi="Times New Roman" w:eastAsia="方正仿宋简体" w:cs="Times New Roman"/>
          <w:sz w:val="32"/>
          <w:szCs w:val="32"/>
        </w:rPr>
        <w:t>作出许可决定。经审查符合条件的，由省级卫生健康行政部门核发《单采血浆站许可证》；经审查不符合条件的，应当将不予批准的理由书面通知申请人。</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《单采血浆站管理办法》第</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二）拟设单采血浆站的可行性研究报告。内容包括：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拟设单采血浆站基本情况，包括名称、地址、规模、任务、功能、组织结构等；2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拟设单采血浆站的选址和建筑设计平面图；4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申请开展的业务项目、技术设备条件资料；5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《单采血浆站管理办法》第十三条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县级人民政府卫生计生行政部门在收到全部申请材料后进行初审，经设区的市、自治州人民政府卫生计生行政部门审查同意后，报省级人民政府卫生计生行政部门审批。</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《单采血浆站管理办法》第十四条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在收到单采血浆站申请材料后，可以组织有关专家或者委托技术机构，根据《单采血浆站质量管理规范》进行技术审查。经审查符合条件的，由省级人民政府卫生计生行政部门核发《单采血浆许可证》，并在设置审批后10日内报国家卫生计生委备案；经审查不符合条件的，应当将不予批准的理由书面通知申请人。</w:t>
      </w:r>
    </w:p>
    <w:p>
      <w:pPr>
        <w:spacing w:line="600" w:lineRule="exact"/>
        <w:ind w:firstLine="643"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lang w:val="en-US" w:eastAsia="zh-CN"/>
        </w:rPr>
        <w:t>部分情况下需要</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lang w:val="en-US" w:eastAsia="zh-CN"/>
        </w:rPr>
        <w:t>部分情况下需要</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八、</w:t>
      </w:r>
      <w:r>
        <w:rPr>
          <w:rFonts w:hint="default" w:ascii="Times New Roman" w:hAnsi="Times New Roman" w:eastAsia="方正黑体简体" w:cs="Times New Roman"/>
          <w:sz w:val="32"/>
          <w:szCs w:val="32"/>
        </w:rPr>
        <w:t>受理和审批时限</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（2）《单采血浆站管理办法》第二十条 县级以上地方各级人民政府卫生计生行政部门审核批准设置单采血浆站的程序和期限，按照</w:t>
      </w:r>
      <w:r>
        <w:rPr>
          <w:rFonts w:hint="eastAsia" w:ascii="Times New Roman" w:hAnsi="Times New Roman" w:eastAsia="方正仿宋简体" w:cs="Times New Roman"/>
          <w:sz w:val="32"/>
          <w:szCs w:val="32"/>
          <w:lang w:eastAsia="zh-CN"/>
        </w:rPr>
        <w:t>《中华人民共和国行政许可法》</w:t>
      </w:r>
      <w:r>
        <w:rPr>
          <w:rFonts w:hint="default" w:ascii="Times New Roman" w:hAnsi="Times New Roman" w:eastAsia="方正仿宋简体" w:cs="Times New Roman"/>
          <w:sz w:val="32"/>
          <w:szCs w:val="32"/>
        </w:rPr>
        <w:t>、《卫生行政许可管理办法》等有关规定执行。</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九、</w:t>
      </w:r>
      <w:r>
        <w:rPr>
          <w:rFonts w:hint="default" w:ascii="Times New Roman" w:hAnsi="Times New Roman" w:eastAsia="方正黑体简体" w:cs="Times New Roman"/>
          <w:sz w:val="32"/>
          <w:szCs w:val="32"/>
        </w:rPr>
        <w:t>收费</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w:t>
      </w:r>
      <w:r>
        <w:rPr>
          <w:rFonts w:hint="default" w:ascii="Times New Roman" w:hAnsi="Times New Roman" w:eastAsia="方正黑体简体" w:cs="Times New Roman"/>
          <w:sz w:val="32"/>
          <w:szCs w:val="32"/>
        </w:rPr>
        <w:t>行政许可证件</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单采血浆许可证</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2年</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《单采血浆站管理办法》第十六条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《单采血浆许可证》有效期为2年。</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《单采血浆站管理办法》第十九条 单采血浆站变更名称、地址、法定代表人、业务项目等内容的，应当向原发证部门办理变更登记手续。</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r>
        <w:rPr>
          <w:rFonts w:hint="default" w:ascii="Times New Roman" w:hAnsi="Times New Roman" w:eastAsia="方正仿宋简体" w:cs="Times New Roman"/>
          <w:sz w:val="32"/>
          <w:szCs w:val="32"/>
          <w:lang w:eastAsia="zh-CN"/>
        </w:rPr>
        <w:t>。</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spacing w:line="540" w:lineRule="exact"/>
        <w:ind w:firstLine="640"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val="en-US" w:eastAsia="zh-CN"/>
        </w:rPr>
        <w:t xml:space="preserve">第十七条 </w:t>
      </w:r>
      <w:r>
        <w:rPr>
          <w:rFonts w:hint="default" w:ascii="Times New Roman" w:hAnsi="Times New Roman" w:eastAsia="方正仿宋简体" w:cs="Times New Roman"/>
          <w:sz w:val="32"/>
          <w:szCs w:val="32"/>
        </w:rPr>
        <w:t>《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本行政区域内划定采浆区域</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（1）《血液制品管理条例》第九条 在一个采血浆区域内，只能设置一个单采血浆站。严禁单采血浆站采集非划定区域内的供血浆者和其他人员的血浆。</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（2）《单采血浆站管理办法》第八条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省、自治区、直辖市人民政府卫生行政部门根据实际情况，划定单采血浆站的采浆区域。采浆区域的选择应当保证供血浆者的数量，能满足原料血浆年采集量不少于30吨。新建单采血浆站在3 年内达到年采集量不少于30吨。</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十一、</w:t>
      </w:r>
      <w:r>
        <w:rPr>
          <w:rFonts w:hint="default" w:ascii="Times New Roman" w:hAnsi="Times New Roman" w:eastAsia="方正黑体简体" w:cs="Times New Roman"/>
          <w:sz w:val="32"/>
          <w:szCs w:val="32"/>
        </w:rPr>
        <w:t>行政许可数量限制</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有</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规划</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不定期</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根据受理先后顺序</w:t>
      </w:r>
      <w:r>
        <w:rPr>
          <w:rFonts w:hint="default" w:ascii="Times New Roman" w:hAnsi="Times New Roman" w:eastAsia="方正仿宋简体" w:cs="Times New Roman"/>
          <w:sz w:val="32"/>
          <w:szCs w:val="32"/>
          <w:lang w:val="en-US" w:eastAsia="zh-CN"/>
        </w:rPr>
        <w:t>实施</w:t>
      </w:r>
      <w:r>
        <w:rPr>
          <w:rFonts w:hint="default" w:ascii="Times New Roman" w:hAnsi="Times New Roman" w:eastAsia="方正仿宋简体" w:cs="Times New Roman"/>
          <w:sz w:val="32"/>
          <w:szCs w:val="32"/>
        </w:rPr>
        <w:t>行政许可</w:t>
      </w:r>
    </w:p>
    <w:p>
      <w:pPr>
        <w:spacing w:line="600" w:lineRule="exact"/>
        <w:ind w:firstLine="643" w:firstLineChars="20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《血液制品管理条例》第四条 国家实行单采血浆站统一规划、设置的制度。国务院卫生行政部门根据核准的全国生产用原料血浆的需求，对单采血浆站的布局、数量和规模制定总体规划。</w:t>
      </w:r>
    </w:p>
    <w:p>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省、自治区、直辖市人民政府卫生行政部门根据总体规划制定本行政区域内单采血浆站设置规划和采集血浆的区域规划，并报国务院卫生行政部门备案。</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十二、</w:t>
      </w:r>
      <w:r>
        <w:rPr>
          <w:rFonts w:hint="default" w:ascii="Times New Roman" w:hAnsi="Times New Roman" w:eastAsia="方正黑体简体" w:cs="Times New Roman"/>
          <w:sz w:val="32"/>
          <w:szCs w:val="32"/>
        </w:rPr>
        <w:t>行政许可后年检</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有</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《血液制品管理条例》第三十一条 省、自治区、直辖市人民政府卫生行政部门每年组织1次对本行政区域内单采血浆站的监督检查并进行年度注册。设区的市、自治州人民政府卫生行政部门或者省、自治区人民政府设立的派出机关的卫生行政机构每半年对本行政区域内的单采血浆站进行1次检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（2）《单采血浆站管理办法》第五十条 单采血浆站每年应当委托技术机构按照《单采血浆站质量管理规范》要求进行不少于一次的技术审查。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（3）《单采血浆站管理办法》第五十二条</w:t>
      </w:r>
      <w:r>
        <w:rPr>
          <w:rFonts w:hint="default" w:ascii="Times New Roman" w:hAnsi="Times New Roman" w:eastAsia="方正仿宋简体" w:cs="Times New Roman"/>
          <w:sz w:val="32"/>
          <w:szCs w:val="32"/>
          <w:lang w:val="en-US" w:eastAsia="zh-CN"/>
        </w:rPr>
        <w:t>第二、三、四、五款</w:t>
      </w:r>
      <w:r>
        <w:rPr>
          <w:rFonts w:hint="default" w:ascii="Times New Roman" w:hAnsi="Times New Roman" w:eastAsia="方正仿宋简体" w:cs="Times New Roman"/>
          <w:sz w:val="32"/>
          <w:szCs w:val="32"/>
        </w:rPr>
        <w:t>县级人民政府卫生行政部门依照本办法的规定负责本行政区域内单采血浆站的日常监督管理工作。</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设区的市级人民政府卫生行政部门至少每半年对本行政区域内单采血浆站进行一次检查和不定期抽查。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省级人民政府卫生行政部门至少每年组织一次对本行政区域内单采血浆站的监督检查和不定期抽查。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上级卫生行政部门应当定期或者不定期监督检查辖区内原料血浆管理工作，并及时向下级卫生行政部门通报监督检查情况。</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每半年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每年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不定期</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符合《血液制品管理条例》和《单采血浆站管理办法》相关要求。</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十三、</w:t>
      </w:r>
      <w:r>
        <w:rPr>
          <w:rFonts w:hint="default" w:ascii="Times New Roman" w:hAnsi="Times New Roman" w:eastAsia="方正黑体简体" w:cs="Times New Roman"/>
          <w:sz w:val="32"/>
          <w:szCs w:val="32"/>
        </w:rPr>
        <w:t>行政许可后年报</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有</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原料血浆采集情况</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《单采血浆站管理办法》第四十六条 单采血浆站应当每半年向所在地县级人民政府卫生行政部门报告有关原料血浆采集情况。</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1年</w:t>
      </w:r>
    </w:p>
    <w:p>
      <w:pPr>
        <w:numPr>
          <w:ilvl w:val="0"/>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十四、</w:t>
      </w:r>
      <w:r>
        <w:rPr>
          <w:rFonts w:hint="default" w:ascii="Times New Roman" w:hAnsi="Times New Roman" w:eastAsia="方正黑体简体" w:cs="Times New Roman"/>
          <w:sz w:val="32"/>
          <w:szCs w:val="32"/>
        </w:rPr>
        <w:t>监管主体</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县级以上地方卫生健康行政部门。</w:t>
      </w:r>
    </w:p>
    <w:p>
      <w:p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70b048df-646d-4d2f-9437-6c6e90dc4ee5"/>
  </w:docVars>
  <w:rsids>
    <w:rsidRoot w:val="41817E20"/>
    <w:rsid w:val="03963DCD"/>
    <w:rsid w:val="257A2524"/>
    <w:rsid w:val="4181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16</Pages>
  <Words>6980</Words>
  <Characters>7081</Characters>
  <Lines>0</Lines>
  <Paragraphs>0</Paragraphs>
  <TotalTime>15</TotalTime>
  <ScaleCrop>false</ScaleCrop>
  <LinksUpToDate>false</LinksUpToDate>
  <CharactersWithSpaces>7109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2023-12-27T09:45:00Z</dcterms:created>
  <dc:creator>Administrator</dc:creator>
  <cp:lastModifiedBy>Administrator</cp:lastModifiedBy>
  <dcterms:modified xsi:type="dcterms:W3CDTF">2024-01-31T09:45:35Z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938F4EB2E9884CCD98D00C44573D1720_12</vt:lpwstr>
  </property>
</Properties>
</file>