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Cs/>
          <w:sz w:val="24"/>
        </w:rPr>
      </w:pPr>
      <w:r>
        <w:rPr>
          <w:bCs/>
          <w:sz w:val="24"/>
        </w:rPr>
        <w:t xml:space="preserve">  </w:t>
      </w:r>
    </w:p>
    <w:p>
      <w:pPr>
        <w:adjustRightInd w:val="0"/>
        <w:snapToGrid w:val="0"/>
        <w:spacing w:line="360" w:lineRule="auto"/>
        <w:jc w:val="center"/>
        <w:rPr>
          <w:bCs/>
          <w:sz w:val="24"/>
        </w:rPr>
      </w:pPr>
    </w:p>
    <w:p>
      <w:pPr>
        <w:adjustRightInd w:val="0"/>
        <w:snapToGrid w:val="0"/>
        <w:spacing w:line="360" w:lineRule="auto"/>
        <w:jc w:val="center"/>
        <w:outlineLvl w:val="0"/>
        <w:rPr>
          <w:rFonts w:eastAsia="方正小标宋_GBK"/>
          <w:bCs/>
          <w:sz w:val="72"/>
          <w:szCs w:val="72"/>
        </w:rPr>
      </w:pPr>
      <w:bookmarkStart w:id="0" w:name="_Toc26044"/>
      <w:bookmarkStart w:id="1" w:name="_Toc21327"/>
      <w:bookmarkStart w:id="2" w:name="_Toc144147939"/>
      <w:bookmarkStart w:id="3" w:name="_Toc29656"/>
      <w:bookmarkStart w:id="4" w:name="_Toc16529"/>
      <w:r>
        <w:rPr>
          <w:rFonts w:eastAsia="方正小标宋_GBK"/>
          <w:bCs/>
          <w:sz w:val="72"/>
          <w:szCs w:val="72"/>
        </w:rPr>
        <w:t>建设项目环境影响报告</w:t>
      </w:r>
      <w:bookmarkEnd w:id="0"/>
      <w:bookmarkEnd w:id="1"/>
      <w:bookmarkEnd w:id="2"/>
      <w:bookmarkEnd w:id="3"/>
      <w:bookmarkEnd w:id="4"/>
    </w:p>
    <w:p>
      <w:pPr>
        <w:adjustRightInd w:val="0"/>
        <w:snapToGrid w:val="0"/>
        <w:spacing w:before="249" w:beforeLines="80" w:line="360" w:lineRule="auto"/>
        <w:jc w:val="center"/>
        <w:rPr>
          <w:rFonts w:eastAsia="楷体_GB2312"/>
          <w:bCs/>
          <w:sz w:val="48"/>
          <w:szCs w:val="48"/>
        </w:rPr>
      </w:pPr>
      <w:r>
        <w:rPr>
          <w:rFonts w:eastAsia="楷体_GB2312"/>
          <w:bCs/>
          <w:sz w:val="48"/>
          <w:szCs w:val="48"/>
        </w:rPr>
        <w:t>（污染影响类）</w:t>
      </w:r>
    </w:p>
    <w:p>
      <w:pPr>
        <w:adjustRightInd w:val="0"/>
        <w:snapToGrid w:val="0"/>
        <w:spacing w:before="249" w:beforeLines="80" w:line="360" w:lineRule="auto"/>
        <w:jc w:val="center"/>
        <w:rPr>
          <w:rFonts w:eastAsia="楷体_GB2312"/>
          <w:bCs/>
          <w:sz w:val="48"/>
          <w:szCs w:val="48"/>
        </w:rPr>
      </w:pPr>
      <w:r>
        <w:rPr>
          <w:rFonts w:eastAsia="楷体_GB2312"/>
          <w:bCs/>
          <w:sz w:val="40"/>
          <w:szCs w:val="40"/>
        </w:rPr>
        <w:t>（</w:t>
      </w:r>
      <w:r>
        <w:rPr>
          <w:rFonts w:hint="eastAsia" w:eastAsia="楷体_GB2312"/>
          <w:bCs/>
          <w:sz w:val="40"/>
          <w:szCs w:val="40"/>
        </w:rPr>
        <w:t>公示</w:t>
      </w:r>
      <w:r>
        <w:rPr>
          <w:rFonts w:eastAsia="楷体_GB2312"/>
          <w:bCs/>
          <w:sz w:val="40"/>
          <w:szCs w:val="40"/>
        </w:rPr>
        <w:t>稿）</w:t>
      </w:r>
      <w:r>
        <w:rPr>
          <w:rFonts w:eastAsia="楷体_GB2312"/>
          <w:bCs/>
          <w:sz w:val="48"/>
          <w:szCs w:val="48"/>
        </w:rPr>
        <w:t xml:space="preserve"> </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adjustRightInd w:val="0"/>
        <w:snapToGrid w:val="0"/>
        <w:spacing w:line="360" w:lineRule="auto"/>
        <w:ind w:left="2877" w:leftChars="513" w:hanging="1800" w:hangingChars="500"/>
        <w:jc w:val="left"/>
        <w:rPr>
          <w:rFonts w:eastAsia="仿宋_GB2312"/>
          <w:sz w:val="36"/>
          <w:szCs w:val="36"/>
          <w:u w:val="single"/>
        </w:rPr>
      </w:pPr>
      <w:r>
        <w:rPr>
          <w:rFonts w:eastAsia="仿宋_GB2312"/>
          <w:sz w:val="36"/>
          <w:szCs w:val="36"/>
        </w:rPr>
        <w:t>项目名称：</w:t>
      </w:r>
      <w:r>
        <w:rPr>
          <w:rFonts w:eastAsia="仿宋_GB2312"/>
          <w:sz w:val="36"/>
          <w:szCs w:val="36"/>
          <w:u w:val="single"/>
        </w:rPr>
        <w:t>云南花当家天然气锅炉及生物质锅炉建设项目</w:t>
      </w:r>
      <w:r>
        <w:rPr>
          <w:rFonts w:hint="eastAsia" w:eastAsia="仿宋_GB2312"/>
          <w:sz w:val="36"/>
          <w:szCs w:val="36"/>
          <w:u w:val="single"/>
        </w:rPr>
        <w:t xml:space="preserve"> </w:t>
      </w:r>
      <w:r>
        <w:rPr>
          <w:rFonts w:eastAsia="仿宋_GB2312"/>
          <w:sz w:val="36"/>
          <w:szCs w:val="36"/>
          <w:u w:val="single"/>
        </w:rPr>
        <w:t xml:space="preserve">                                 </w:t>
      </w:r>
    </w:p>
    <w:p>
      <w:pPr>
        <w:adjustRightInd w:val="0"/>
        <w:snapToGrid w:val="0"/>
        <w:spacing w:line="360" w:lineRule="auto"/>
        <w:ind w:firstLine="1040"/>
        <w:rPr>
          <w:sz w:val="24"/>
          <w:u w:val="single"/>
        </w:rPr>
      </w:pPr>
      <w:r>
        <w:rPr>
          <w:rFonts w:eastAsia="仿宋_GB2312"/>
          <w:sz w:val="36"/>
          <w:szCs w:val="36"/>
        </w:rPr>
        <w:t>建设单位（盖章）：</w:t>
      </w:r>
      <w:r>
        <w:rPr>
          <w:rFonts w:eastAsia="仿宋_GB2312"/>
          <w:sz w:val="36"/>
          <w:szCs w:val="36"/>
          <w:u w:val="single"/>
        </w:rPr>
        <w:t xml:space="preserve"> 云南花当家园艺有限公司     </w:t>
      </w:r>
    </w:p>
    <w:p>
      <w:pPr>
        <w:adjustRightInd w:val="0"/>
        <w:snapToGrid w:val="0"/>
        <w:spacing w:line="360" w:lineRule="auto"/>
        <w:ind w:firstLine="1040"/>
        <w:rPr>
          <w:rFonts w:eastAsia="仿宋_GB2312"/>
          <w:sz w:val="36"/>
          <w:szCs w:val="36"/>
          <w:u w:val="single"/>
        </w:rPr>
      </w:pPr>
      <w:r>
        <w:rPr>
          <w:rFonts w:eastAsia="仿宋_GB2312"/>
          <w:sz w:val="36"/>
          <w:szCs w:val="36"/>
        </w:rPr>
        <w:t>编制日期：</w:t>
      </w:r>
      <w:r>
        <w:rPr>
          <w:rFonts w:eastAsia="仿宋_GB2312"/>
          <w:sz w:val="36"/>
          <w:szCs w:val="36"/>
          <w:u w:val="single"/>
        </w:rPr>
        <w:t xml:space="preserve">         2023年09月                 </w:t>
      </w:r>
    </w:p>
    <w:p>
      <w:pPr>
        <w:adjustRightInd w:val="0"/>
        <w:snapToGrid w:val="0"/>
        <w:spacing w:line="360" w:lineRule="auto"/>
        <w:ind w:firstLine="1040"/>
        <w:rPr>
          <w:sz w:val="24"/>
          <w:u w:val="single"/>
        </w:rPr>
      </w:pPr>
      <w:bookmarkStart w:id="5" w:name="_Hlk57884087"/>
    </w:p>
    <w:p>
      <w:pPr>
        <w:adjustRightInd w:val="0"/>
        <w:snapToGrid w:val="0"/>
        <w:spacing w:line="360" w:lineRule="auto"/>
        <w:ind w:firstLine="1040"/>
        <w:rPr>
          <w:sz w:val="24"/>
        </w:rPr>
      </w:pPr>
    </w:p>
    <w:p>
      <w:pPr>
        <w:adjustRightInd w:val="0"/>
        <w:snapToGrid w:val="0"/>
        <w:spacing w:line="360" w:lineRule="auto"/>
        <w:ind w:firstLine="1040"/>
        <w:rPr>
          <w:sz w:val="24"/>
        </w:rPr>
      </w:pPr>
    </w:p>
    <w:p>
      <w:pPr>
        <w:adjustRightInd w:val="0"/>
        <w:snapToGrid w:val="0"/>
        <w:spacing w:line="360" w:lineRule="auto"/>
        <w:rPr>
          <w:sz w:val="24"/>
        </w:rPr>
      </w:pPr>
    </w:p>
    <w:bookmarkEnd w:id="5"/>
    <w:p>
      <w:pPr>
        <w:adjustRightInd w:val="0"/>
        <w:snapToGrid w:val="0"/>
        <w:spacing w:line="360" w:lineRule="auto"/>
        <w:jc w:val="center"/>
        <w:rPr>
          <w:rFonts w:eastAsia="楷体_GB2312"/>
          <w:sz w:val="36"/>
          <w:szCs w:val="36"/>
        </w:rPr>
        <w:sectPr>
          <w:pgSz w:w="11906" w:h="16838"/>
          <w:pgMar w:top="1247" w:right="1247" w:bottom="1247" w:left="1247" w:header="851" w:footer="992" w:gutter="0"/>
          <w:cols w:space="425" w:num="1"/>
          <w:docGrid w:type="linesAndChars" w:linePitch="312" w:charSpace="0"/>
        </w:sectPr>
      </w:pPr>
      <w:r>
        <w:rPr>
          <w:rFonts w:eastAsia="楷体_GB2312"/>
          <w:sz w:val="36"/>
          <w:szCs w:val="36"/>
        </w:rPr>
        <w:t>中华人民共和国生态环境部制</w:t>
      </w:r>
    </w:p>
    <w:sdt>
      <w:sdtPr>
        <w:rPr>
          <w:rFonts w:ascii="宋体" w:hAnsi="宋体"/>
          <w:sz w:val="28"/>
          <w:szCs w:val="36"/>
        </w:rPr>
        <w:id w:val="147468712"/>
        <w15:color w:val="DBDBDB"/>
        <w:docPartObj>
          <w:docPartGallery w:val="Table of Contents"/>
          <w:docPartUnique/>
        </w:docPartObj>
      </w:sdtPr>
      <w:sdtEndPr>
        <w:rPr>
          <w:rFonts w:ascii="宋体" w:hAnsi="宋体"/>
          <w:sz w:val="21"/>
          <w:szCs w:val="24"/>
        </w:rPr>
      </w:sdtEndPr>
      <w:sdtContent>
        <w:p>
          <w:pPr>
            <w:jc w:val="center"/>
            <w:rPr>
              <w:b/>
              <w:bCs/>
              <w:sz w:val="28"/>
              <w:szCs w:val="36"/>
            </w:rPr>
          </w:pPr>
          <w:r>
            <w:rPr>
              <w:rFonts w:ascii="宋体" w:hAnsi="宋体"/>
              <w:b/>
              <w:bCs/>
              <w:sz w:val="28"/>
              <w:szCs w:val="36"/>
            </w:rPr>
            <w:t>目录</w:t>
          </w:r>
        </w:p>
        <w:p>
          <w:pPr>
            <w:pStyle w:val="18"/>
            <w:tabs>
              <w:tab w:val="right" w:leader="dot" w:pos="9402"/>
            </w:tabs>
            <w:rPr>
              <w:rFonts w:asciiTheme="minorHAnsi" w:hAnsiTheme="minorHAnsi" w:eastAsiaTheme="minorEastAsia" w:cstheme="minorBidi"/>
              <w:szCs w:val="22"/>
              <w14:ligatures w14:val="standardContextual"/>
            </w:rPr>
          </w:pPr>
          <w:r>
            <w:fldChar w:fldCharType="begin"/>
          </w:r>
          <w:r>
            <w:instrText xml:space="preserve">TOC \o "1-3" \h \u </w:instrText>
          </w:r>
          <w:r>
            <w:fldChar w:fldCharType="separate"/>
          </w:r>
        </w:p>
        <w:p>
          <w:pPr>
            <w:pStyle w:val="18"/>
            <w:tabs>
              <w:tab w:val="right" w:leader="dot" w:pos="9402"/>
            </w:tabs>
            <w:spacing w:line="360" w:lineRule="auto"/>
            <w:rPr>
              <w:sz w:val="24"/>
              <w14:ligatures w14:val="standardContextual"/>
            </w:rPr>
          </w:pPr>
          <w:r>
            <w:fldChar w:fldCharType="begin"/>
          </w:r>
          <w:r>
            <w:instrText xml:space="preserve"> HYPERLINK \l "_Toc144147940" </w:instrText>
          </w:r>
          <w:r>
            <w:fldChar w:fldCharType="separate"/>
          </w:r>
          <w:r>
            <w:rPr>
              <w:rStyle w:val="30"/>
              <w:snapToGrid w:val="0"/>
              <w:color w:val="auto"/>
              <w:sz w:val="24"/>
            </w:rPr>
            <w:t>一、建设项目基本情况</w:t>
          </w:r>
          <w:r>
            <w:rPr>
              <w:sz w:val="24"/>
            </w:rPr>
            <w:tab/>
          </w:r>
          <w:r>
            <w:rPr>
              <w:sz w:val="24"/>
            </w:rPr>
            <w:fldChar w:fldCharType="begin"/>
          </w:r>
          <w:r>
            <w:rPr>
              <w:sz w:val="24"/>
            </w:rPr>
            <w:instrText xml:space="preserve"> PAGEREF _Toc144147940 \h </w:instrText>
          </w:r>
          <w:r>
            <w:rPr>
              <w:sz w:val="24"/>
            </w:rPr>
            <w:fldChar w:fldCharType="separate"/>
          </w:r>
          <w:r>
            <w:rPr>
              <w:sz w:val="24"/>
            </w:rPr>
            <w:t>1</w:t>
          </w:r>
          <w:r>
            <w:rPr>
              <w:sz w:val="24"/>
            </w:rPr>
            <w:fldChar w:fldCharType="end"/>
          </w:r>
          <w:r>
            <w:rPr>
              <w:sz w:val="24"/>
            </w:rPr>
            <w:fldChar w:fldCharType="end"/>
          </w:r>
        </w:p>
        <w:p>
          <w:pPr>
            <w:pStyle w:val="18"/>
            <w:tabs>
              <w:tab w:val="right" w:leader="dot" w:pos="9402"/>
            </w:tabs>
            <w:spacing w:line="360" w:lineRule="auto"/>
            <w:rPr>
              <w:sz w:val="24"/>
              <w14:ligatures w14:val="standardContextual"/>
            </w:rPr>
          </w:pPr>
          <w:r>
            <w:fldChar w:fldCharType="begin"/>
          </w:r>
          <w:r>
            <w:instrText xml:space="preserve"> HYPERLINK \l "_Toc144147941" </w:instrText>
          </w:r>
          <w:r>
            <w:fldChar w:fldCharType="separate"/>
          </w:r>
          <w:r>
            <w:rPr>
              <w:rStyle w:val="30"/>
              <w:snapToGrid w:val="0"/>
              <w:color w:val="auto"/>
              <w:sz w:val="24"/>
            </w:rPr>
            <w:t>二、建设项目工程分析</w:t>
          </w:r>
          <w:r>
            <w:rPr>
              <w:sz w:val="24"/>
            </w:rPr>
            <w:tab/>
          </w:r>
          <w:r>
            <w:rPr>
              <w:sz w:val="24"/>
            </w:rPr>
            <w:fldChar w:fldCharType="begin"/>
          </w:r>
          <w:r>
            <w:rPr>
              <w:sz w:val="24"/>
            </w:rPr>
            <w:instrText xml:space="preserve"> PAGEREF _Toc144147941 \h </w:instrText>
          </w:r>
          <w:r>
            <w:rPr>
              <w:sz w:val="24"/>
            </w:rPr>
            <w:fldChar w:fldCharType="separate"/>
          </w:r>
          <w:r>
            <w:rPr>
              <w:sz w:val="24"/>
            </w:rPr>
            <w:t>18</w:t>
          </w:r>
          <w:r>
            <w:rPr>
              <w:sz w:val="24"/>
            </w:rPr>
            <w:fldChar w:fldCharType="end"/>
          </w:r>
          <w:r>
            <w:rPr>
              <w:sz w:val="24"/>
            </w:rPr>
            <w:fldChar w:fldCharType="end"/>
          </w:r>
        </w:p>
        <w:p>
          <w:pPr>
            <w:pStyle w:val="18"/>
            <w:tabs>
              <w:tab w:val="right" w:leader="dot" w:pos="9402"/>
            </w:tabs>
            <w:spacing w:line="360" w:lineRule="auto"/>
            <w:rPr>
              <w:sz w:val="24"/>
              <w14:ligatures w14:val="standardContextual"/>
            </w:rPr>
          </w:pPr>
          <w:r>
            <w:fldChar w:fldCharType="begin"/>
          </w:r>
          <w:r>
            <w:instrText xml:space="preserve"> HYPERLINK \l "_Toc144148028" </w:instrText>
          </w:r>
          <w:r>
            <w:fldChar w:fldCharType="separate"/>
          </w:r>
          <w:r>
            <w:rPr>
              <w:rStyle w:val="30"/>
              <w:snapToGrid w:val="0"/>
              <w:color w:val="auto"/>
              <w:sz w:val="24"/>
            </w:rPr>
            <w:t>三、区域环境质量现状、环境保护目标及评价标准</w:t>
          </w:r>
          <w:r>
            <w:rPr>
              <w:sz w:val="24"/>
            </w:rPr>
            <w:tab/>
          </w:r>
          <w:r>
            <w:rPr>
              <w:sz w:val="24"/>
            </w:rPr>
            <w:fldChar w:fldCharType="begin"/>
          </w:r>
          <w:r>
            <w:rPr>
              <w:sz w:val="24"/>
            </w:rPr>
            <w:instrText xml:space="preserve"> PAGEREF _Toc144148028 \h </w:instrText>
          </w:r>
          <w:r>
            <w:rPr>
              <w:sz w:val="24"/>
            </w:rPr>
            <w:fldChar w:fldCharType="separate"/>
          </w:r>
          <w:r>
            <w:rPr>
              <w:sz w:val="24"/>
            </w:rPr>
            <w:t>43</w:t>
          </w:r>
          <w:r>
            <w:rPr>
              <w:sz w:val="24"/>
            </w:rPr>
            <w:fldChar w:fldCharType="end"/>
          </w:r>
          <w:r>
            <w:rPr>
              <w:sz w:val="24"/>
            </w:rPr>
            <w:fldChar w:fldCharType="end"/>
          </w:r>
        </w:p>
        <w:p>
          <w:pPr>
            <w:pStyle w:val="18"/>
            <w:tabs>
              <w:tab w:val="right" w:leader="dot" w:pos="9402"/>
            </w:tabs>
            <w:spacing w:line="360" w:lineRule="auto"/>
            <w:rPr>
              <w:sz w:val="24"/>
              <w14:ligatures w14:val="standardContextual"/>
            </w:rPr>
          </w:pPr>
          <w:r>
            <w:fldChar w:fldCharType="begin"/>
          </w:r>
          <w:r>
            <w:instrText xml:space="preserve"> HYPERLINK \l "_Toc144148030" </w:instrText>
          </w:r>
          <w:r>
            <w:fldChar w:fldCharType="separate"/>
          </w:r>
          <w:r>
            <w:rPr>
              <w:rStyle w:val="30"/>
              <w:snapToGrid w:val="0"/>
              <w:color w:val="auto"/>
              <w:sz w:val="24"/>
            </w:rPr>
            <w:t>四、主要环境影响和保护措施</w:t>
          </w:r>
          <w:r>
            <w:rPr>
              <w:sz w:val="24"/>
            </w:rPr>
            <w:tab/>
          </w:r>
          <w:r>
            <w:rPr>
              <w:sz w:val="24"/>
            </w:rPr>
            <w:fldChar w:fldCharType="begin"/>
          </w:r>
          <w:r>
            <w:rPr>
              <w:sz w:val="24"/>
            </w:rPr>
            <w:instrText xml:space="preserve"> PAGEREF _Toc144148030 \h </w:instrText>
          </w:r>
          <w:r>
            <w:rPr>
              <w:sz w:val="24"/>
            </w:rPr>
            <w:fldChar w:fldCharType="separate"/>
          </w:r>
          <w:r>
            <w:rPr>
              <w:sz w:val="24"/>
            </w:rPr>
            <w:t>50</w:t>
          </w:r>
          <w:r>
            <w:rPr>
              <w:sz w:val="24"/>
            </w:rPr>
            <w:fldChar w:fldCharType="end"/>
          </w:r>
          <w:r>
            <w:rPr>
              <w:sz w:val="24"/>
            </w:rPr>
            <w:fldChar w:fldCharType="end"/>
          </w:r>
        </w:p>
        <w:p>
          <w:pPr>
            <w:pStyle w:val="18"/>
            <w:tabs>
              <w:tab w:val="right" w:leader="dot" w:pos="9402"/>
            </w:tabs>
            <w:spacing w:line="360" w:lineRule="auto"/>
            <w:rPr>
              <w:sz w:val="24"/>
              <w14:ligatures w14:val="standardContextual"/>
            </w:rPr>
          </w:pPr>
          <w:r>
            <w:fldChar w:fldCharType="begin"/>
          </w:r>
          <w:r>
            <w:instrText xml:space="preserve"> HYPERLINK \l "_Toc144148031" </w:instrText>
          </w:r>
          <w:r>
            <w:fldChar w:fldCharType="separate"/>
          </w:r>
          <w:r>
            <w:rPr>
              <w:rStyle w:val="30"/>
              <w:snapToGrid w:val="0"/>
              <w:color w:val="auto"/>
              <w:sz w:val="24"/>
            </w:rPr>
            <w:t>五、环境保护措施监督检查清单</w:t>
          </w:r>
          <w:r>
            <w:rPr>
              <w:sz w:val="24"/>
            </w:rPr>
            <w:tab/>
          </w:r>
          <w:r>
            <w:rPr>
              <w:sz w:val="24"/>
            </w:rPr>
            <w:fldChar w:fldCharType="begin"/>
          </w:r>
          <w:r>
            <w:rPr>
              <w:sz w:val="24"/>
            </w:rPr>
            <w:instrText xml:space="preserve"> PAGEREF _Toc144148031 \h </w:instrText>
          </w:r>
          <w:r>
            <w:rPr>
              <w:sz w:val="24"/>
            </w:rPr>
            <w:fldChar w:fldCharType="separate"/>
          </w:r>
          <w:r>
            <w:rPr>
              <w:sz w:val="24"/>
            </w:rPr>
            <w:t>74</w:t>
          </w:r>
          <w:r>
            <w:rPr>
              <w:sz w:val="24"/>
            </w:rPr>
            <w:fldChar w:fldCharType="end"/>
          </w:r>
          <w:r>
            <w:rPr>
              <w:sz w:val="24"/>
            </w:rPr>
            <w:fldChar w:fldCharType="end"/>
          </w:r>
        </w:p>
        <w:p>
          <w:pPr>
            <w:pStyle w:val="18"/>
            <w:tabs>
              <w:tab w:val="right" w:leader="dot" w:pos="9402"/>
            </w:tabs>
            <w:spacing w:line="360" w:lineRule="auto"/>
            <w:rPr>
              <w:sz w:val="24"/>
              <w14:ligatures w14:val="standardContextual"/>
            </w:rPr>
          </w:pPr>
          <w:r>
            <w:fldChar w:fldCharType="begin"/>
          </w:r>
          <w:r>
            <w:instrText xml:space="preserve"> HYPERLINK \l "_Toc144148035" </w:instrText>
          </w:r>
          <w:r>
            <w:fldChar w:fldCharType="separate"/>
          </w:r>
          <w:r>
            <w:rPr>
              <w:rStyle w:val="30"/>
              <w:snapToGrid w:val="0"/>
              <w:color w:val="auto"/>
              <w:sz w:val="24"/>
            </w:rPr>
            <w:t>六、结论</w:t>
          </w:r>
          <w:r>
            <w:rPr>
              <w:sz w:val="24"/>
            </w:rPr>
            <w:tab/>
          </w:r>
          <w:r>
            <w:rPr>
              <w:sz w:val="24"/>
            </w:rPr>
            <w:fldChar w:fldCharType="begin"/>
          </w:r>
          <w:r>
            <w:rPr>
              <w:sz w:val="24"/>
            </w:rPr>
            <w:instrText xml:space="preserve"> PAGEREF _Toc144148035 \h </w:instrText>
          </w:r>
          <w:r>
            <w:rPr>
              <w:sz w:val="24"/>
            </w:rPr>
            <w:fldChar w:fldCharType="separate"/>
          </w:r>
          <w:r>
            <w:rPr>
              <w:sz w:val="24"/>
            </w:rPr>
            <w:t>77</w:t>
          </w:r>
          <w:r>
            <w:rPr>
              <w:sz w:val="24"/>
            </w:rPr>
            <w:fldChar w:fldCharType="end"/>
          </w:r>
          <w:r>
            <w:rPr>
              <w:sz w:val="24"/>
            </w:rPr>
            <w:fldChar w:fldCharType="end"/>
          </w:r>
        </w:p>
        <w:p>
          <w:pPr>
            <w:pStyle w:val="18"/>
            <w:tabs>
              <w:tab w:val="right" w:leader="dot" w:pos="9402"/>
            </w:tabs>
            <w:spacing w:line="360" w:lineRule="auto"/>
            <w:rPr>
              <w:sz w:val="24"/>
              <w14:ligatures w14:val="standardContextual"/>
            </w:rPr>
          </w:pPr>
          <w:r>
            <w:fldChar w:fldCharType="begin"/>
          </w:r>
          <w:r>
            <w:instrText xml:space="preserve"> HYPERLINK \l "_Toc144148036" </w:instrText>
          </w:r>
          <w:r>
            <w:fldChar w:fldCharType="separate"/>
          </w:r>
          <w:r>
            <w:rPr>
              <w:rStyle w:val="30"/>
              <w:snapToGrid w:val="0"/>
              <w:color w:val="auto"/>
              <w:sz w:val="24"/>
            </w:rPr>
            <w:t>附表</w:t>
          </w:r>
          <w:r>
            <w:rPr>
              <w:sz w:val="24"/>
            </w:rPr>
            <w:tab/>
          </w:r>
          <w:r>
            <w:rPr>
              <w:sz w:val="24"/>
            </w:rPr>
            <w:fldChar w:fldCharType="begin"/>
          </w:r>
          <w:r>
            <w:rPr>
              <w:sz w:val="24"/>
            </w:rPr>
            <w:instrText xml:space="preserve"> PAGEREF _Toc144148036 \h </w:instrText>
          </w:r>
          <w:r>
            <w:rPr>
              <w:sz w:val="24"/>
            </w:rPr>
            <w:fldChar w:fldCharType="separate"/>
          </w:r>
          <w:r>
            <w:rPr>
              <w:sz w:val="24"/>
            </w:rPr>
            <w:t>78</w:t>
          </w:r>
          <w:r>
            <w:rPr>
              <w:sz w:val="24"/>
            </w:rPr>
            <w:fldChar w:fldCharType="end"/>
          </w:r>
          <w:r>
            <w:rPr>
              <w:sz w:val="24"/>
            </w:rPr>
            <w:fldChar w:fldCharType="end"/>
          </w:r>
        </w:p>
        <w:p>
          <w:pPr>
            <w:pStyle w:val="18"/>
            <w:tabs>
              <w:tab w:val="right" w:leader="dot" w:pos="9402"/>
            </w:tabs>
            <w:spacing w:line="360" w:lineRule="auto"/>
            <w:rPr>
              <w:szCs w:val="22"/>
              <w14:ligatures w14:val="standardContextual"/>
            </w:rPr>
          </w:pPr>
          <w:r>
            <w:fldChar w:fldCharType="begin"/>
          </w:r>
          <w:r>
            <w:instrText xml:space="preserve"> HYPERLINK \l "_Toc144148037" </w:instrText>
          </w:r>
          <w:r>
            <w:fldChar w:fldCharType="separate"/>
          </w:r>
          <w:r>
            <w:rPr>
              <w:rStyle w:val="30"/>
              <w:snapToGrid w:val="0"/>
              <w:color w:val="auto"/>
              <w:sz w:val="24"/>
            </w:rPr>
            <w:t>建设项目污染物排放量汇总表</w:t>
          </w:r>
          <w:r>
            <w:rPr>
              <w:sz w:val="24"/>
            </w:rPr>
            <w:tab/>
          </w:r>
          <w:r>
            <w:rPr>
              <w:sz w:val="24"/>
            </w:rPr>
            <w:fldChar w:fldCharType="begin"/>
          </w:r>
          <w:r>
            <w:rPr>
              <w:sz w:val="24"/>
            </w:rPr>
            <w:instrText xml:space="preserve"> PAGEREF _Toc144148037 \h </w:instrText>
          </w:r>
          <w:r>
            <w:rPr>
              <w:sz w:val="24"/>
            </w:rPr>
            <w:fldChar w:fldCharType="separate"/>
          </w:r>
          <w:r>
            <w:rPr>
              <w:sz w:val="24"/>
            </w:rPr>
            <w:t>78</w:t>
          </w:r>
          <w:r>
            <w:rPr>
              <w:sz w:val="24"/>
            </w:rPr>
            <w:fldChar w:fldCharType="end"/>
          </w:r>
          <w:r>
            <w:rPr>
              <w:sz w:val="24"/>
            </w:rPr>
            <w:fldChar w:fldCharType="end"/>
          </w:r>
        </w:p>
        <w:p>
          <w:r>
            <w:fldChar w:fldCharType="end"/>
          </w:r>
        </w:p>
      </w:sdtContent>
    </w:sdt>
    <w:p>
      <w:pPr>
        <w:spacing w:line="360" w:lineRule="auto"/>
        <w:jc w:val="left"/>
        <w:rPr>
          <w:b/>
          <w:bCs/>
          <w:sz w:val="24"/>
        </w:rPr>
      </w:pPr>
      <w:r>
        <w:rPr>
          <w:b/>
          <w:bCs/>
          <w:sz w:val="24"/>
        </w:rPr>
        <w:t>附件：</w:t>
      </w:r>
    </w:p>
    <w:p>
      <w:pPr>
        <w:pStyle w:val="13"/>
        <w:spacing w:line="360" w:lineRule="auto"/>
        <w:rPr>
          <w:rFonts w:ascii="Times New Roman" w:hAnsi="Times New Roman"/>
          <w:sz w:val="24"/>
        </w:rPr>
      </w:pPr>
      <w:r>
        <w:rPr>
          <w:rFonts w:ascii="Times New Roman" w:hAnsi="Times New Roman"/>
          <w:sz w:val="24"/>
        </w:rPr>
        <w:t>附件1 委托书</w:t>
      </w:r>
    </w:p>
    <w:p>
      <w:pPr>
        <w:pStyle w:val="13"/>
        <w:spacing w:line="360" w:lineRule="auto"/>
        <w:rPr>
          <w:rFonts w:ascii="Times New Roman" w:hAnsi="Times New Roman"/>
          <w:sz w:val="24"/>
        </w:rPr>
      </w:pPr>
      <w:r>
        <w:rPr>
          <w:rFonts w:ascii="Times New Roman" w:hAnsi="Times New Roman"/>
          <w:sz w:val="24"/>
        </w:rPr>
        <w:t>附件2 投资备案证</w:t>
      </w:r>
    </w:p>
    <w:p>
      <w:pPr>
        <w:pStyle w:val="13"/>
        <w:spacing w:line="360" w:lineRule="auto"/>
        <w:rPr>
          <w:rFonts w:ascii="Times New Roman" w:hAnsi="Times New Roman"/>
          <w:sz w:val="24"/>
        </w:rPr>
      </w:pPr>
      <w:r>
        <w:rPr>
          <w:rFonts w:ascii="Times New Roman" w:hAnsi="Times New Roman"/>
          <w:sz w:val="24"/>
        </w:rPr>
        <w:t>附件3 土地租赁合同</w:t>
      </w:r>
    </w:p>
    <w:p>
      <w:pPr>
        <w:pStyle w:val="13"/>
        <w:spacing w:line="360" w:lineRule="auto"/>
        <w:rPr>
          <w:rFonts w:ascii="Times New Roman" w:hAnsi="Times New Roman"/>
          <w:sz w:val="24"/>
        </w:rPr>
      </w:pPr>
      <w:r>
        <w:rPr>
          <w:rFonts w:ascii="Times New Roman" w:hAnsi="Times New Roman"/>
          <w:sz w:val="24"/>
        </w:rPr>
        <w:t>附件4 营业执照</w:t>
      </w:r>
    </w:p>
    <w:p>
      <w:pPr>
        <w:pStyle w:val="13"/>
        <w:spacing w:line="360" w:lineRule="auto"/>
        <w:rPr>
          <w:rFonts w:ascii="Times New Roman" w:hAnsi="Times New Roman"/>
          <w:sz w:val="24"/>
        </w:rPr>
      </w:pPr>
      <w:r>
        <w:rPr>
          <w:rFonts w:ascii="Times New Roman" w:hAnsi="Times New Roman"/>
          <w:sz w:val="24"/>
        </w:rPr>
        <w:t>附件5 法人身份证复印件</w:t>
      </w:r>
    </w:p>
    <w:p>
      <w:pPr>
        <w:pStyle w:val="13"/>
        <w:spacing w:line="360" w:lineRule="auto"/>
        <w:rPr>
          <w:rFonts w:ascii="Times New Roman" w:hAnsi="Times New Roman"/>
          <w:sz w:val="24"/>
        </w:rPr>
      </w:pPr>
      <w:r>
        <w:rPr>
          <w:rFonts w:ascii="Times New Roman" w:hAnsi="Times New Roman"/>
          <w:sz w:val="24"/>
        </w:rPr>
        <w:t>附件6 环境现状检测报告</w:t>
      </w:r>
    </w:p>
    <w:p>
      <w:pPr>
        <w:pStyle w:val="13"/>
        <w:spacing w:line="360" w:lineRule="auto"/>
        <w:rPr>
          <w:rFonts w:ascii="Times New Roman" w:hAnsi="Times New Roman"/>
          <w:sz w:val="24"/>
        </w:rPr>
      </w:pPr>
      <w:r>
        <w:rPr>
          <w:rFonts w:ascii="Times New Roman" w:hAnsi="Times New Roman"/>
          <w:sz w:val="24"/>
        </w:rPr>
        <w:t>附件7 三级审核表</w:t>
      </w:r>
    </w:p>
    <w:p>
      <w:pPr>
        <w:pStyle w:val="13"/>
        <w:spacing w:line="360" w:lineRule="auto"/>
        <w:rPr>
          <w:rFonts w:ascii="Times New Roman" w:hAnsi="Times New Roman"/>
          <w:b/>
          <w:bCs/>
          <w:sz w:val="24"/>
        </w:rPr>
      </w:pPr>
      <w:r>
        <w:rPr>
          <w:rFonts w:ascii="Times New Roman" w:hAnsi="Times New Roman"/>
          <w:sz w:val="24"/>
        </w:rPr>
        <w:t>附件8</w:t>
      </w:r>
      <w:r>
        <w:rPr>
          <w:rFonts w:ascii="Times New Roman" w:hAnsi="Times New Roman"/>
          <w:b/>
          <w:bCs/>
          <w:sz w:val="24"/>
        </w:rPr>
        <w:t xml:space="preserve"> </w:t>
      </w:r>
      <w:r>
        <w:rPr>
          <w:rFonts w:ascii="Times New Roman" w:hAnsi="Times New Roman"/>
          <w:sz w:val="24"/>
        </w:rPr>
        <w:t>天然气检测报告</w:t>
      </w:r>
    </w:p>
    <w:p>
      <w:pPr>
        <w:pStyle w:val="13"/>
        <w:spacing w:line="360" w:lineRule="auto"/>
        <w:rPr>
          <w:rFonts w:ascii="Times New Roman" w:hAnsi="Times New Roman"/>
          <w:sz w:val="24"/>
        </w:rPr>
      </w:pPr>
      <w:r>
        <w:rPr>
          <w:rFonts w:ascii="Times New Roman" w:hAnsi="Times New Roman"/>
          <w:sz w:val="24"/>
        </w:rPr>
        <w:t>附件9</w:t>
      </w:r>
      <w:r>
        <w:rPr>
          <w:rFonts w:ascii="Times New Roman" w:hAnsi="Times New Roman"/>
          <w:b/>
          <w:bCs/>
          <w:sz w:val="24"/>
        </w:rPr>
        <w:t xml:space="preserve"> </w:t>
      </w:r>
      <w:r>
        <w:rPr>
          <w:rFonts w:ascii="Times New Roman" w:hAnsi="Times New Roman"/>
          <w:sz w:val="24"/>
        </w:rPr>
        <w:t>固体生物质燃料检验检测报告</w:t>
      </w:r>
    </w:p>
    <w:p>
      <w:pPr>
        <w:pStyle w:val="14"/>
        <w:spacing w:line="360" w:lineRule="auto"/>
        <w:rPr>
          <w:rFonts w:ascii="Times New Roman"/>
          <w:color w:val="auto"/>
        </w:rPr>
      </w:pPr>
      <w:r>
        <w:rPr>
          <w:rFonts w:ascii="Times New Roman"/>
          <w:color w:val="auto"/>
        </w:rPr>
        <w:t>附件10 云南花当家园艺有限公司项目范围三区三线划定情况查询说明</w:t>
      </w:r>
    </w:p>
    <w:p>
      <w:pPr>
        <w:pStyle w:val="14"/>
        <w:spacing w:line="360" w:lineRule="auto"/>
        <w:rPr>
          <w:rFonts w:ascii="Times New Roman"/>
          <w:color w:val="auto"/>
        </w:rPr>
      </w:pPr>
      <w:r>
        <w:rPr>
          <w:rFonts w:ascii="Times New Roman"/>
          <w:color w:val="auto"/>
        </w:rPr>
        <w:t>附件11  专家签到表</w:t>
      </w:r>
    </w:p>
    <w:p>
      <w:pPr>
        <w:pStyle w:val="13"/>
        <w:spacing w:line="360" w:lineRule="auto"/>
        <w:rPr>
          <w:rFonts w:ascii="Times New Roman" w:hAnsi="Times New Roman"/>
          <w:sz w:val="24"/>
        </w:rPr>
      </w:pPr>
      <w:r>
        <w:rPr>
          <w:rFonts w:ascii="Times New Roman" w:hAnsi="Times New Roman"/>
          <w:sz w:val="24"/>
        </w:rPr>
        <w:t>附件12  专家审查意见表</w:t>
      </w:r>
    </w:p>
    <w:p>
      <w:pPr>
        <w:pStyle w:val="13"/>
        <w:spacing w:line="360" w:lineRule="auto"/>
        <w:rPr>
          <w:rFonts w:ascii="Times New Roman" w:hAnsi="Times New Roman"/>
          <w:b/>
          <w:bCs/>
          <w:sz w:val="24"/>
        </w:rPr>
      </w:pPr>
      <w:r>
        <w:rPr>
          <w:rFonts w:ascii="Times New Roman" w:hAnsi="Times New Roman"/>
          <w:sz w:val="24"/>
        </w:rPr>
        <w:t>附件13  专家意见修改清单</w:t>
      </w:r>
    </w:p>
    <w:p>
      <w:pPr>
        <w:pStyle w:val="13"/>
        <w:spacing w:line="360" w:lineRule="auto"/>
        <w:rPr>
          <w:rFonts w:ascii="Times New Roman" w:hAnsi="Times New Roman"/>
          <w:b/>
          <w:bCs/>
          <w:sz w:val="24"/>
        </w:rPr>
      </w:pPr>
      <w:r>
        <w:rPr>
          <w:rFonts w:ascii="Times New Roman" w:hAnsi="Times New Roman"/>
          <w:b/>
          <w:bCs/>
          <w:sz w:val="24"/>
        </w:rPr>
        <w:t>附图：</w:t>
      </w:r>
    </w:p>
    <w:p>
      <w:pPr>
        <w:pStyle w:val="13"/>
        <w:spacing w:line="360" w:lineRule="auto"/>
        <w:rPr>
          <w:rFonts w:ascii="Times New Roman" w:hAnsi="Times New Roman"/>
          <w:sz w:val="24"/>
        </w:rPr>
      </w:pPr>
      <w:r>
        <w:rPr>
          <w:rFonts w:ascii="Times New Roman" w:hAnsi="Times New Roman"/>
          <w:sz w:val="24"/>
        </w:rPr>
        <w:t>附图1   平面布置图</w:t>
      </w:r>
    </w:p>
    <w:p>
      <w:pPr>
        <w:pStyle w:val="13"/>
        <w:spacing w:line="360" w:lineRule="auto"/>
        <w:rPr>
          <w:rFonts w:ascii="Times New Roman" w:hAnsi="Times New Roman"/>
          <w:sz w:val="24"/>
        </w:rPr>
      </w:pPr>
      <w:r>
        <w:rPr>
          <w:rFonts w:ascii="Times New Roman" w:hAnsi="Times New Roman"/>
          <w:sz w:val="24"/>
        </w:rPr>
        <w:t>附图2   地理位置图</w:t>
      </w:r>
    </w:p>
    <w:p>
      <w:pPr>
        <w:pStyle w:val="13"/>
        <w:spacing w:line="360" w:lineRule="auto"/>
        <w:rPr>
          <w:rFonts w:ascii="Times New Roman" w:hAnsi="Times New Roman"/>
          <w:sz w:val="24"/>
        </w:rPr>
      </w:pPr>
      <w:r>
        <w:rPr>
          <w:rFonts w:ascii="Times New Roman" w:hAnsi="Times New Roman"/>
          <w:sz w:val="24"/>
        </w:rPr>
        <w:t>附图3   水系图</w:t>
      </w:r>
    </w:p>
    <w:p>
      <w:pPr>
        <w:pStyle w:val="13"/>
        <w:spacing w:line="360" w:lineRule="auto"/>
        <w:rPr>
          <w:rFonts w:ascii="Times New Roman" w:hAnsi="Times New Roman"/>
          <w:sz w:val="24"/>
        </w:rPr>
      </w:pPr>
      <w:r>
        <w:rPr>
          <w:rFonts w:ascii="Times New Roman" w:hAnsi="Times New Roman"/>
          <w:sz w:val="24"/>
        </w:rPr>
        <w:t>附图4   监测点位布置图</w:t>
      </w:r>
    </w:p>
    <w:p>
      <w:pPr>
        <w:pStyle w:val="13"/>
        <w:spacing w:line="360" w:lineRule="auto"/>
        <w:rPr>
          <w:rFonts w:ascii="Times New Roman" w:hAnsi="Times New Roman"/>
          <w:sz w:val="24"/>
        </w:rPr>
        <w:sectPr>
          <w:pgSz w:w="11906" w:h="16838"/>
          <w:pgMar w:top="1247" w:right="1247" w:bottom="1247" w:left="1247" w:header="851" w:footer="992" w:gutter="0"/>
          <w:cols w:space="425" w:num="1"/>
          <w:docGrid w:type="linesAndChars" w:linePitch="312" w:charSpace="0"/>
        </w:sectPr>
      </w:pPr>
      <w:r>
        <w:rPr>
          <w:rFonts w:ascii="Times New Roman" w:hAnsi="Times New Roman"/>
          <w:sz w:val="24"/>
        </w:rPr>
        <w:t>附图5   评价范围内环境保护目标分图</w:t>
      </w:r>
    </w:p>
    <w:p>
      <w:pPr>
        <w:pStyle w:val="23"/>
        <w:spacing w:line="360" w:lineRule="auto"/>
        <w:jc w:val="center"/>
        <w:outlineLvl w:val="0"/>
        <w:rPr>
          <w:rFonts w:ascii="Times New Roman" w:hAnsi="Times New Roman" w:eastAsiaTheme="majorEastAsia"/>
          <w:b/>
          <w:bCs/>
          <w:snapToGrid w:val="0"/>
          <w:sz w:val="30"/>
          <w:szCs w:val="30"/>
        </w:rPr>
      </w:pPr>
      <w:bookmarkStart w:id="6" w:name="_Toc144147940"/>
      <w:bookmarkStart w:id="7" w:name="_Toc3831"/>
      <w:bookmarkStart w:id="8" w:name="_Toc24533"/>
      <w:r>
        <w:rPr>
          <w:rFonts w:ascii="Times New Roman" w:hAnsi="Times New Roman" w:eastAsiaTheme="majorEastAsia"/>
          <w:b/>
          <w:bCs/>
          <w:snapToGrid w:val="0"/>
          <w:sz w:val="30"/>
          <w:szCs w:val="30"/>
        </w:rPr>
        <w:t>一、建设项目基本情况</w:t>
      </w:r>
      <w:bookmarkEnd w:id="6"/>
      <w:bookmarkEnd w:id="7"/>
      <w:bookmarkEnd w:id="8"/>
    </w:p>
    <w:tbl>
      <w:tblPr>
        <w:tblStyle w:val="26"/>
        <w:tblW w:w="498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7"/>
        <w:gridCol w:w="2044"/>
        <w:gridCol w:w="2151"/>
        <w:gridCol w:w="3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4" w:type="pct"/>
            <w:tcMar>
              <w:top w:w="16" w:type="dxa"/>
              <w:left w:w="16" w:type="dxa"/>
              <w:right w:w="16" w:type="dxa"/>
            </w:tcMar>
            <w:vAlign w:val="center"/>
          </w:tcPr>
          <w:p>
            <w:pPr>
              <w:adjustRightInd w:val="0"/>
              <w:snapToGrid w:val="0"/>
              <w:jc w:val="center"/>
              <w:rPr>
                <w:sz w:val="24"/>
              </w:rPr>
            </w:pPr>
            <w:r>
              <w:rPr>
                <w:sz w:val="24"/>
              </w:rPr>
              <w:t>建设项目名称</w:t>
            </w:r>
          </w:p>
        </w:tc>
        <w:tc>
          <w:tcPr>
            <w:tcW w:w="3925" w:type="pct"/>
            <w:gridSpan w:val="3"/>
            <w:vAlign w:val="center"/>
          </w:tcPr>
          <w:p>
            <w:pPr>
              <w:adjustRightInd w:val="0"/>
              <w:snapToGrid w:val="0"/>
              <w:jc w:val="center"/>
              <w:rPr>
                <w:sz w:val="24"/>
              </w:rPr>
            </w:pPr>
            <w:r>
              <w:rPr>
                <w:sz w:val="24"/>
              </w:rPr>
              <w:t>云南花当家天然气锅炉及生物质锅炉建设项目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4" w:type="pct"/>
            <w:tcMar>
              <w:top w:w="16" w:type="dxa"/>
              <w:left w:w="16" w:type="dxa"/>
              <w:right w:w="16" w:type="dxa"/>
            </w:tcMar>
            <w:vAlign w:val="center"/>
          </w:tcPr>
          <w:p>
            <w:pPr>
              <w:adjustRightInd w:val="0"/>
              <w:snapToGrid w:val="0"/>
              <w:jc w:val="center"/>
              <w:rPr>
                <w:sz w:val="24"/>
              </w:rPr>
            </w:pPr>
            <w:r>
              <w:rPr>
                <w:sz w:val="24"/>
              </w:rPr>
              <w:t>项目代码</w:t>
            </w:r>
          </w:p>
        </w:tc>
        <w:tc>
          <w:tcPr>
            <w:tcW w:w="3925" w:type="pct"/>
            <w:gridSpan w:val="3"/>
            <w:vAlign w:val="center"/>
          </w:tcPr>
          <w:p>
            <w:pPr>
              <w:adjustRightInd w:val="0"/>
              <w:snapToGrid w:val="0"/>
              <w:jc w:val="center"/>
              <w:rPr>
                <w:sz w:val="24"/>
              </w:rPr>
            </w:pPr>
            <w:r>
              <w:rPr>
                <w:sz w:val="24"/>
              </w:rPr>
              <w:t>2303-532325-04-01-565736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4" w:type="pct"/>
            <w:tcMar>
              <w:top w:w="16" w:type="dxa"/>
              <w:left w:w="16" w:type="dxa"/>
              <w:right w:w="16" w:type="dxa"/>
            </w:tcMar>
            <w:vAlign w:val="center"/>
          </w:tcPr>
          <w:p>
            <w:pPr>
              <w:adjustRightInd w:val="0"/>
              <w:snapToGrid w:val="0"/>
              <w:jc w:val="center"/>
              <w:rPr>
                <w:sz w:val="24"/>
              </w:rPr>
            </w:pPr>
            <w:r>
              <w:rPr>
                <w:sz w:val="24"/>
              </w:rPr>
              <w:t>建设单位联系人</w:t>
            </w:r>
          </w:p>
        </w:tc>
        <w:tc>
          <w:tcPr>
            <w:tcW w:w="1064" w:type="pct"/>
            <w:vAlign w:val="center"/>
          </w:tcPr>
          <w:p>
            <w:pPr>
              <w:adjustRightInd w:val="0"/>
              <w:snapToGrid w:val="0"/>
              <w:jc w:val="center"/>
              <w:rPr>
                <w:sz w:val="24"/>
              </w:rPr>
            </w:pPr>
            <w:r>
              <w:rPr>
                <w:rFonts w:hint="eastAsia"/>
                <w:sz w:val="24"/>
              </w:rPr>
              <w:t>/</w:t>
            </w:r>
          </w:p>
        </w:tc>
        <w:tc>
          <w:tcPr>
            <w:tcW w:w="1120" w:type="pct"/>
            <w:vAlign w:val="center"/>
          </w:tcPr>
          <w:p>
            <w:pPr>
              <w:adjustRightInd w:val="0"/>
              <w:snapToGrid w:val="0"/>
              <w:jc w:val="center"/>
              <w:rPr>
                <w:sz w:val="24"/>
              </w:rPr>
            </w:pPr>
            <w:r>
              <w:rPr>
                <w:sz w:val="24"/>
              </w:rPr>
              <w:t>联系方式</w:t>
            </w:r>
          </w:p>
        </w:tc>
        <w:tc>
          <w:tcPr>
            <w:tcW w:w="1740" w:type="pct"/>
            <w:vAlign w:val="center"/>
          </w:tcPr>
          <w:p>
            <w:pPr>
              <w:adjustRightInd w:val="0"/>
              <w:snapToGrid w:val="0"/>
              <w:jc w:val="center"/>
              <w:rPr>
                <w:sz w:val="24"/>
              </w:rPr>
            </w:pP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4" w:type="pct"/>
            <w:tcMar>
              <w:top w:w="16" w:type="dxa"/>
              <w:left w:w="16" w:type="dxa"/>
              <w:right w:w="16" w:type="dxa"/>
            </w:tcMar>
            <w:vAlign w:val="center"/>
          </w:tcPr>
          <w:p>
            <w:pPr>
              <w:adjustRightInd w:val="0"/>
              <w:snapToGrid w:val="0"/>
              <w:jc w:val="center"/>
              <w:rPr>
                <w:sz w:val="24"/>
              </w:rPr>
            </w:pPr>
            <w:r>
              <w:rPr>
                <w:sz w:val="24"/>
              </w:rPr>
              <w:t>建设地点</w:t>
            </w:r>
          </w:p>
        </w:tc>
        <w:tc>
          <w:tcPr>
            <w:tcW w:w="3925" w:type="pct"/>
            <w:gridSpan w:val="3"/>
            <w:vAlign w:val="center"/>
          </w:tcPr>
          <w:p>
            <w:pPr>
              <w:adjustRightInd w:val="0"/>
              <w:snapToGrid w:val="0"/>
              <w:jc w:val="center"/>
              <w:rPr>
                <w:sz w:val="24"/>
              </w:rPr>
            </w:pPr>
            <w:r>
              <w:rPr>
                <w:sz w:val="24"/>
                <w:u w:val="single"/>
              </w:rPr>
              <w:t xml:space="preserve">云南 </w:t>
            </w:r>
            <w:r>
              <w:rPr>
                <w:sz w:val="24"/>
              </w:rPr>
              <w:t>省（自治区）</w:t>
            </w:r>
            <w:r>
              <w:rPr>
                <w:sz w:val="24"/>
                <w:u w:val="single"/>
              </w:rPr>
              <w:t xml:space="preserve"> 楚雄 </w:t>
            </w:r>
            <w:r>
              <w:rPr>
                <w:sz w:val="24"/>
              </w:rPr>
              <w:t>州</w:t>
            </w:r>
            <w:r>
              <w:rPr>
                <w:sz w:val="24"/>
                <w:u w:val="single"/>
              </w:rPr>
              <w:t xml:space="preserve">  姚安 </w:t>
            </w:r>
            <w:r>
              <w:rPr>
                <w:sz w:val="24"/>
              </w:rPr>
              <w:t>县（区）</w:t>
            </w:r>
            <w:r>
              <w:rPr>
                <w:sz w:val="24"/>
                <w:u w:val="single"/>
              </w:rPr>
              <w:t>光禄镇旧城村委会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4" w:type="pct"/>
            <w:tcMar>
              <w:top w:w="16" w:type="dxa"/>
              <w:left w:w="16" w:type="dxa"/>
              <w:right w:w="16" w:type="dxa"/>
            </w:tcMar>
            <w:vAlign w:val="center"/>
          </w:tcPr>
          <w:p>
            <w:pPr>
              <w:adjustRightInd w:val="0"/>
              <w:snapToGrid w:val="0"/>
              <w:jc w:val="center"/>
              <w:rPr>
                <w:sz w:val="24"/>
              </w:rPr>
            </w:pPr>
            <w:r>
              <w:rPr>
                <w:sz w:val="24"/>
              </w:rPr>
              <w:t>地理坐标</w:t>
            </w:r>
          </w:p>
        </w:tc>
        <w:tc>
          <w:tcPr>
            <w:tcW w:w="3925" w:type="pct"/>
            <w:gridSpan w:val="3"/>
            <w:vAlign w:val="center"/>
          </w:tcPr>
          <w:p>
            <w:pPr>
              <w:jc w:val="center"/>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74" w:type="pct"/>
            <w:tcMar>
              <w:top w:w="16" w:type="dxa"/>
              <w:left w:w="16" w:type="dxa"/>
              <w:right w:w="16" w:type="dxa"/>
            </w:tcMar>
            <w:vAlign w:val="center"/>
          </w:tcPr>
          <w:p>
            <w:pPr>
              <w:adjustRightInd w:val="0"/>
              <w:snapToGrid w:val="0"/>
              <w:jc w:val="center"/>
              <w:rPr>
                <w:sz w:val="24"/>
              </w:rPr>
            </w:pPr>
            <w:r>
              <w:rPr>
                <w:sz w:val="24"/>
              </w:rPr>
              <w:t>国民经济</w:t>
            </w:r>
          </w:p>
          <w:p>
            <w:pPr>
              <w:adjustRightInd w:val="0"/>
              <w:snapToGrid w:val="0"/>
              <w:jc w:val="center"/>
              <w:rPr>
                <w:sz w:val="24"/>
              </w:rPr>
            </w:pPr>
            <w:r>
              <w:rPr>
                <w:sz w:val="24"/>
              </w:rPr>
              <w:t>行业类别</w:t>
            </w:r>
          </w:p>
        </w:tc>
        <w:tc>
          <w:tcPr>
            <w:tcW w:w="1064" w:type="pct"/>
            <w:vAlign w:val="center"/>
          </w:tcPr>
          <w:p>
            <w:pPr>
              <w:adjustRightInd w:val="0"/>
              <w:snapToGrid w:val="0"/>
              <w:jc w:val="center"/>
              <w:rPr>
                <w:sz w:val="24"/>
              </w:rPr>
            </w:pPr>
            <w:r>
              <w:rPr>
                <w:sz w:val="24"/>
              </w:rPr>
              <w:t>D4430热力生产和供应</w:t>
            </w:r>
          </w:p>
        </w:tc>
        <w:tc>
          <w:tcPr>
            <w:tcW w:w="1120" w:type="pct"/>
            <w:vAlign w:val="center"/>
          </w:tcPr>
          <w:p>
            <w:pPr>
              <w:adjustRightInd w:val="0"/>
              <w:snapToGrid w:val="0"/>
              <w:jc w:val="center"/>
              <w:rPr>
                <w:sz w:val="24"/>
              </w:rPr>
            </w:pPr>
            <w:bookmarkStart w:id="9" w:name="_Hlk49843745"/>
            <w:r>
              <w:rPr>
                <w:sz w:val="24"/>
              </w:rPr>
              <w:t>建设项目</w:t>
            </w:r>
          </w:p>
          <w:p>
            <w:pPr>
              <w:adjustRightInd w:val="0"/>
              <w:snapToGrid w:val="0"/>
              <w:jc w:val="center"/>
              <w:rPr>
                <w:sz w:val="24"/>
              </w:rPr>
            </w:pPr>
            <w:r>
              <w:rPr>
                <w:sz w:val="24"/>
              </w:rPr>
              <w:t>行业类别</w:t>
            </w:r>
            <w:bookmarkEnd w:id="9"/>
          </w:p>
        </w:tc>
        <w:tc>
          <w:tcPr>
            <w:tcW w:w="1740" w:type="pct"/>
            <w:vAlign w:val="center"/>
          </w:tcPr>
          <w:p>
            <w:pPr>
              <w:adjustRightInd w:val="0"/>
              <w:snapToGrid w:val="0"/>
              <w:jc w:val="center"/>
              <w:rPr>
                <w:sz w:val="24"/>
              </w:rPr>
            </w:pPr>
            <w:r>
              <w:rPr>
                <w:sz w:val="24"/>
              </w:rPr>
              <w:t>四十一、91热力生产和供应工程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74" w:type="pct"/>
            <w:tcMar>
              <w:top w:w="16" w:type="dxa"/>
              <w:left w:w="16" w:type="dxa"/>
              <w:right w:w="16" w:type="dxa"/>
            </w:tcMar>
            <w:vAlign w:val="center"/>
          </w:tcPr>
          <w:p>
            <w:pPr>
              <w:adjustRightInd w:val="0"/>
              <w:snapToGrid w:val="0"/>
              <w:jc w:val="center"/>
              <w:rPr>
                <w:sz w:val="24"/>
              </w:rPr>
            </w:pPr>
            <w:r>
              <w:rPr>
                <w:sz w:val="24"/>
              </w:rPr>
              <w:t>建设性质</w:t>
            </w:r>
          </w:p>
        </w:tc>
        <w:tc>
          <w:tcPr>
            <w:tcW w:w="1064" w:type="pct"/>
            <w:vAlign w:val="center"/>
          </w:tcPr>
          <w:p>
            <w:pPr>
              <w:jc w:val="left"/>
              <w:rPr>
                <w:sz w:val="24"/>
              </w:rPr>
            </w:pPr>
            <w:r>
              <w:rPr>
                <w:sz w:val="24"/>
              </w:rPr>
              <w:t>☑新建（迁建）</w:t>
            </w:r>
          </w:p>
          <w:p>
            <w:pPr>
              <w:jc w:val="left"/>
              <w:rPr>
                <w:sz w:val="24"/>
              </w:rPr>
            </w:pPr>
            <w:r>
              <w:rPr>
                <w:sz w:val="24"/>
              </w:rPr>
              <w:t>□改建</w:t>
            </w:r>
          </w:p>
          <w:p>
            <w:pPr>
              <w:jc w:val="left"/>
              <w:rPr>
                <w:sz w:val="24"/>
              </w:rPr>
            </w:pPr>
            <w:r>
              <w:rPr>
                <w:sz w:val="24"/>
              </w:rPr>
              <w:t>□扩建</w:t>
            </w:r>
          </w:p>
          <w:p>
            <w:pPr>
              <w:jc w:val="left"/>
              <w:rPr>
                <w:sz w:val="24"/>
              </w:rPr>
            </w:pPr>
            <w:r>
              <w:rPr>
                <w:sz w:val="24"/>
              </w:rPr>
              <w:t>□技术改造</w:t>
            </w:r>
          </w:p>
        </w:tc>
        <w:tc>
          <w:tcPr>
            <w:tcW w:w="1120" w:type="pct"/>
            <w:vAlign w:val="center"/>
          </w:tcPr>
          <w:p>
            <w:pPr>
              <w:adjustRightInd w:val="0"/>
              <w:snapToGrid w:val="0"/>
              <w:jc w:val="center"/>
              <w:rPr>
                <w:sz w:val="24"/>
              </w:rPr>
            </w:pPr>
            <w:r>
              <w:rPr>
                <w:sz w:val="24"/>
              </w:rPr>
              <w:t>建设项目</w:t>
            </w:r>
          </w:p>
          <w:p>
            <w:pPr>
              <w:adjustRightInd w:val="0"/>
              <w:snapToGrid w:val="0"/>
              <w:jc w:val="center"/>
              <w:rPr>
                <w:sz w:val="24"/>
              </w:rPr>
            </w:pPr>
            <w:r>
              <w:rPr>
                <w:sz w:val="24"/>
              </w:rPr>
              <w:t>申报情形</w:t>
            </w:r>
          </w:p>
        </w:tc>
        <w:tc>
          <w:tcPr>
            <w:tcW w:w="1740" w:type="pct"/>
            <w:vAlign w:val="center"/>
          </w:tcPr>
          <w:p>
            <w:pPr>
              <w:jc w:val="left"/>
              <w:rPr>
                <w:sz w:val="24"/>
              </w:rPr>
            </w:pPr>
            <w:r>
              <w:rPr>
                <w:sz w:val="24"/>
              </w:rPr>
              <w:t xml:space="preserve">☑首次申报项目             </w:t>
            </w:r>
          </w:p>
          <w:p>
            <w:pPr>
              <w:jc w:val="left"/>
              <w:rPr>
                <w:sz w:val="24"/>
              </w:rPr>
            </w:pPr>
            <w:r>
              <w:rPr>
                <w:sz w:val="24"/>
              </w:rPr>
              <w:t>□不予批准后再次申报项目</w:t>
            </w:r>
          </w:p>
          <w:p>
            <w:pPr>
              <w:jc w:val="left"/>
              <w:rPr>
                <w:sz w:val="24"/>
              </w:rPr>
            </w:pPr>
            <w:r>
              <w:rPr>
                <w:sz w:val="24"/>
              </w:rPr>
              <w:t xml:space="preserve">□超五年重新审核项目     </w:t>
            </w:r>
          </w:p>
          <w:p>
            <w:pPr>
              <w:jc w:val="left"/>
              <w:rPr>
                <w:sz w:val="24"/>
              </w:rPr>
            </w:pP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74" w:type="pct"/>
            <w:tcMar>
              <w:top w:w="16" w:type="dxa"/>
              <w:left w:w="16" w:type="dxa"/>
              <w:right w:w="16" w:type="dxa"/>
            </w:tcMar>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备案）部门（选填）</w:t>
            </w:r>
          </w:p>
        </w:tc>
        <w:tc>
          <w:tcPr>
            <w:tcW w:w="1064" w:type="pct"/>
            <w:vAlign w:val="center"/>
          </w:tcPr>
          <w:p>
            <w:pPr>
              <w:adjustRightInd w:val="0"/>
              <w:snapToGrid w:val="0"/>
              <w:jc w:val="center"/>
              <w:rPr>
                <w:sz w:val="24"/>
              </w:rPr>
            </w:pPr>
            <w:r>
              <w:rPr>
                <w:sz w:val="24"/>
              </w:rPr>
              <w:t>姚安县发展和改革局</w:t>
            </w:r>
          </w:p>
        </w:tc>
        <w:tc>
          <w:tcPr>
            <w:tcW w:w="1120" w:type="pct"/>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备案）文号  （选填）</w:t>
            </w:r>
          </w:p>
        </w:tc>
        <w:tc>
          <w:tcPr>
            <w:tcW w:w="1740" w:type="pct"/>
            <w:vAlign w:val="center"/>
          </w:tcPr>
          <w:p>
            <w:pPr>
              <w:adjustRightInd w:val="0"/>
              <w:snapToGrid w:val="0"/>
              <w:jc w:val="center"/>
              <w:rPr>
                <w:sz w:val="24"/>
              </w:rPr>
            </w:pPr>
            <w:r>
              <w:rPr>
                <w:sz w:val="24"/>
              </w:rPr>
              <w:t>2303-532325-04-01-565736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4" w:type="pct"/>
            <w:tcMar>
              <w:top w:w="16" w:type="dxa"/>
              <w:left w:w="16" w:type="dxa"/>
              <w:right w:w="16" w:type="dxa"/>
            </w:tcMar>
            <w:vAlign w:val="center"/>
          </w:tcPr>
          <w:p>
            <w:pPr>
              <w:adjustRightInd w:val="0"/>
              <w:snapToGrid w:val="0"/>
              <w:jc w:val="center"/>
              <w:rPr>
                <w:sz w:val="24"/>
              </w:rPr>
            </w:pPr>
            <w:r>
              <w:rPr>
                <w:sz w:val="24"/>
              </w:rPr>
              <w:t>总投资（万元）</w:t>
            </w:r>
          </w:p>
        </w:tc>
        <w:tc>
          <w:tcPr>
            <w:tcW w:w="1064" w:type="pct"/>
            <w:vAlign w:val="center"/>
          </w:tcPr>
          <w:p>
            <w:pPr>
              <w:adjustRightInd w:val="0"/>
              <w:snapToGrid w:val="0"/>
              <w:jc w:val="center"/>
              <w:rPr>
                <w:sz w:val="24"/>
              </w:rPr>
            </w:pPr>
            <w:r>
              <w:rPr>
                <w:rFonts w:eastAsiaTheme="minorEastAsia"/>
                <w:sz w:val="24"/>
              </w:rPr>
              <w:t>2500万元（锅炉房投资130万元）</w:t>
            </w:r>
          </w:p>
        </w:tc>
        <w:tc>
          <w:tcPr>
            <w:tcW w:w="1120" w:type="pct"/>
            <w:tcMar>
              <w:top w:w="16" w:type="dxa"/>
              <w:left w:w="16" w:type="dxa"/>
              <w:right w:w="16" w:type="dxa"/>
            </w:tcMar>
            <w:vAlign w:val="center"/>
          </w:tcPr>
          <w:p>
            <w:pPr>
              <w:adjustRightInd w:val="0"/>
              <w:snapToGrid w:val="0"/>
              <w:jc w:val="center"/>
              <w:rPr>
                <w:sz w:val="24"/>
              </w:rPr>
            </w:pPr>
            <w:r>
              <w:rPr>
                <w:sz w:val="24"/>
              </w:rPr>
              <w:t>环保投资（万元）</w:t>
            </w:r>
          </w:p>
        </w:tc>
        <w:tc>
          <w:tcPr>
            <w:tcW w:w="1740" w:type="pct"/>
            <w:vAlign w:val="center"/>
          </w:tcPr>
          <w:p>
            <w:pPr>
              <w:adjustRightInd w:val="0"/>
              <w:snapToGrid w:val="0"/>
              <w:jc w:val="center"/>
              <w:rPr>
                <w:sz w:val="24"/>
              </w:rPr>
            </w:pPr>
            <w:r>
              <w:rPr>
                <w:sz w:val="24"/>
              </w:rPr>
              <w:t>60.60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4" w:type="pct"/>
            <w:tcMar>
              <w:top w:w="16" w:type="dxa"/>
              <w:left w:w="16" w:type="dxa"/>
              <w:right w:w="16" w:type="dxa"/>
            </w:tcMar>
            <w:vAlign w:val="center"/>
          </w:tcPr>
          <w:p>
            <w:pPr>
              <w:adjustRightInd w:val="0"/>
              <w:snapToGrid w:val="0"/>
              <w:jc w:val="center"/>
              <w:rPr>
                <w:sz w:val="24"/>
              </w:rPr>
            </w:pPr>
            <w:r>
              <w:rPr>
                <w:sz w:val="24"/>
              </w:rPr>
              <w:t>环保投资占比（%）</w:t>
            </w:r>
          </w:p>
        </w:tc>
        <w:tc>
          <w:tcPr>
            <w:tcW w:w="1064" w:type="pct"/>
            <w:vAlign w:val="center"/>
          </w:tcPr>
          <w:p>
            <w:pPr>
              <w:adjustRightInd w:val="0"/>
              <w:snapToGrid w:val="0"/>
              <w:jc w:val="center"/>
              <w:rPr>
                <w:sz w:val="24"/>
              </w:rPr>
            </w:pPr>
            <w:r>
              <w:rPr>
                <w:sz w:val="24"/>
              </w:rPr>
              <w:t>2.42</w:t>
            </w:r>
          </w:p>
        </w:tc>
        <w:tc>
          <w:tcPr>
            <w:tcW w:w="1120" w:type="pct"/>
            <w:tcMar>
              <w:top w:w="16" w:type="dxa"/>
              <w:left w:w="16" w:type="dxa"/>
              <w:right w:w="16" w:type="dxa"/>
            </w:tcMar>
            <w:vAlign w:val="center"/>
          </w:tcPr>
          <w:p>
            <w:pPr>
              <w:adjustRightInd w:val="0"/>
              <w:snapToGrid w:val="0"/>
              <w:jc w:val="center"/>
              <w:rPr>
                <w:sz w:val="24"/>
              </w:rPr>
            </w:pPr>
            <w:r>
              <w:rPr>
                <w:sz w:val="24"/>
              </w:rPr>
              <w:t>施工工期</w:t>
            </w:r>
          </w:p>
        </w:tc>
        <w:tc>
          <w:tcPr>
            <w:tcW w:w="1740" w:type="pct"/>
            <w:vAlign w:val="center"/>
          </w:tcPr>
          <w:p>
            <w:pPr>
              <w:adjustRightInd w:val="0"/>
              <w:snapToGrid w:val="0"/>
              <w:jc w:val="center"/>
              <w:rPr>
                <w:sz w:val="24"/>
              </w:rPr>
            </w:pPr>
            <w:r>
              <w:rPr>
                <w:sz w:val="24"/>
              </w:rPr>
              <w:t>四个月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74" w:type="pct"/>
            <w:tcMar>
              <w:top w:w="16" w:type="dxa"/>
              <w:left w:w="16" w:type="dxa"/>
              <w:right w:w="16" w:type="dxa"/>
            </w:tcMar>
            <w:vAlign w:val="center"/>
          </w:tcPr>
          <w:p>
            <w:pPr>
              <w:adjustRightInd w:val="0"/>
              <w:snapToGrid w:val="0"/>
              <w:jc w:val="center"/>
              <w:rPr>
                <w:sz w:val="24"/>
              </w:rPr>
            </w:pPr>
            <w:r>
              <w:rPr>
                <w:sz w:val="24"/>
              </w:rPr>
              <w:t>是否开工建设</w:t>
            </w:r>
          </w:p>
        </w:tc>
        <w:tc>
          <w:tcPr>
            <w:tcW w:w="1064" w:type="pct"/>
            <w:vAlign w:val="center"/>
          </w:tcPr>
          <w:p>
            <w:pPr>
              <w:adjustRightInd w:val="0"/>
              <w:snapToGrid w:val="0"/>
              <w:rPr>
                <w:sz w:val="24"/>
              </w:rPr>
            </w:pPr>
            <w:r>
              <w:rPr>
                <w:sz w:val="24"/>
              </w:rPr>
              <w:t>☑否</w:t>
            </w:r>
          </w:p>
          <w:p>
            <w:pPr>
              <w:adjustRightInd w:val="0"/>
              <w:snapToGrid w:val="0"/>
              <w:rPr>
                <w:sz w:val="24"/>
              </w:rPr>
            </w:pPr>
            <w:r>
              <w:rPr>
                <w:sz w:val="24"/>
              </w:rPr>
              <w:t>□是：</w:t>
            </w:r>
            <w:r>
              <w:rPr>
                <w:sz w:val="24"/>
                <w:u w:val="single"/>
              </w:rPr>
              <w:t xml:space="preserve">             </w:t>
            </w:r>
          </w:p>
        </w:tc>
        <w:tc>
          <w:tcPr>
            <w:tcW w:w="1120" w:type="pct"/>
            <w:tcMar>
              <w:top w:w="16" w:type="dxa"/>
              <w:left w:w="16" w:type="dxa"/>
              <w:right w:w="16" w:type="dxa"/>
            </w:tcMar>
            <w:vAlign w:val="center"/>
          </w:tcPr>
          <w:p>
            <w:pPr>
              <w:adjustRightInd w:val="0"/>
              <w:snapToGrid w:val="0"/>
              <w:jc w:val="center"/>
              <w:rPr>
                <w:spacing w:val="-6"/>
                <w:sz w:val="24"/>
              </w:rPr>
            </w:pPr>
            <w:r>
              <w:rPr>
                <w:spacing w:val="-6"/>
                <w:sz w:val="24"/>
              </w:rPr>
              <w:t>用地（用海）</w:t>
            </w:r>
          </w:p>
          <w:p>
            <w:pPr>
              <w:adjustRightInd w:val="0"/>
              <w:snapToGrid w:val="0"/>
              <w:jc w:val="center"/>
              <w:rPr>
                <w:sz w:val="24"/>
              </w:rPr>
            </w:pPr>
            <w:r>
              <w:rPr>
                <w:spacing w:val="-6"/>
                <w:sz w:val="24"/>
              </w:rPr>
              <w:t>面积（m</w:t>
            </w:r>
            <w:r>
              <w:rPr>
                <w:spacing w:val="-6"/>
                <w:sz w:val="24"/>
                <w:vertAlign w:val="superscript"/>
              </w:rPr>
              <w:t>2</w:t>
            </w:r>
            <w:r>
              <w:rPr>
                <w:spacing w:val="-6"/>
                <w:sz w:val="24"/>
              </w:rPr>
              <w:t>）</w:t>
            </w:r>
          </w:p>
        </w:tc>
        <w:tc>
          <w:tcPr>
            <w:tcW w:w="1740" w:type="pct"/>
            <w:vAlign w:val="center"/>
          </w:tcPr>
          <w:p>
            <w:pPr>
              <w:adjustRightInd w:val="0"/>
              <w:snapToGrid w:val="0"/>
              <w:jc w:val="center"/>
              <w:rPr>
                <w:sz w:val="24"/>
              </w:rPr>
            </w:pPr>
            <w:r>
              <w:rPr>
                <w:sz w:val="24"/>
              </w:rPr>
              <w:t>69100</w:t>
            </w:r>
            <w:r>
              <w:rPr>
                <w:spacing w:val="-6"/>
                <w:sz w:val="24"/>
              </w:rPr>
              <w:t>m</w:t>
            </w:r>
            <w:r>
              <w:rPr>
                <w:spacing w:val="-6"/>
                <w:sz w:val="24"/>
                <w:vertAlign w:val="superscript"/>
              </w:rPr>
              <w:t>2</w:t>
            </w:r>
            <w:r>
              <w:rPr>
                <w:sz w:val="24"/>
              </w:rPr>
              <w:t>（锅炉房300</w:t>
            </w:r>
            <w:r>
              <w:rPr>
                <w:spacing w:val="-6"/>
                <w:sz w:val="24"/>
              </w:rPr>
              <w:t>m</w:t>
            </w:r>
            <w:r>
              <w:rPr>
                <w:spacing w:val="-6"/>
                <w:sz w:val="24"/>
                <w:vertAlign w:val="superscript"/>
              </w:rPr>
              <w:t>2</w:t>
            </w: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4" w:type="pct"/>
            <w:vAlign w:val="center"/>
          </w:tcPr>
          <w:p>
            <w:pPr>
              <w:autoSpaceDE w:val="0"/>
              <w:autoSpaceDN w:val="0"/>
              <w:adjustRightInd w:val="0"/>
              <w:snapToGrid w:val="0"/>
              <w:spacing w:line="360" w:lineRule="auto"/>
              <w:jc w:val="center"/>
              <w:rPr>
                <w:kern w:val="0"/>
                <w:sz w:val="24"/>
              </w:rPr>
            </w:pPr>
            <w:r>
              <w:rPr>
                <w:kern w:val="0"/>
                <w:sz w:val="24"/>
              </w:rPr>
              <w:t>专项评价设置情况</w:t>
            </w:r>
          </w:p>
        </w:tc>
        <w:tc>
          <w:tcPr>
            <w:tcW w:w="3925" w:type="pct"/>
            <w:gridSpan w:val="3"/>
            <w:vAlign w:val="center"/>
          </w:tcPr>
          <w:p>
            <w:pPr>
              <w:autoSpaceDE w:val="0"/>
              <w:autoSpaceDN w:val="0"/>
              <w:adjustRightInd w:val="0"/>
              <w:snapToGrid w:val="0"/>
              <w:spacing w:line="360" w:lineRule="auto"/>
              <w:ind w:firstLine="480" w:firstLineChars="200"/>
              <w:jc w:val="left"/>
              <w:rPr>
                <w:b/>
                <w:bCs/>
                <w:sz w:val="24"/>
              </w:rPr>
            </w:pPr>
            <w:r>
              <w:rPr>
                <w:sz w:val="24"/>
              </w:rPr>
              <w:t>根据建设项目排污情况及所涉环境敏感程度，确定专项评价的类别。大气、地表水、环境风险</w:t>
            </w:r>
            <w:r>
              <w:rPr>
                <w:b/>
                <w:bCs/>
                <w:sz w:val="24"/>
              </w:rPr>
              <w:t>、</w:t>
            </w:r>
            <w:r>
              <w:rPr>
                <w:sz w:val="24"/>
              </w:rPr>
              <w:t>生态和海洋专项评价具体设置原则见表1-1。</w:t>
            </w:r>
          </w:p>
          <w:p>
            <w:pPr>
              <w:pStyle w:val="13"/>
              <w:spacing w:line="360" w:lineRule="auto"/>
              <w:jc w:val="center"/>
              <w:rPr>
                <w:rFonts w:ascii="Times New Roman" w:hAnsi="Times New Roman"/>
                <w:b/>
                <w:bCs/>
                <w:sz w:val="24"/>
              </w:rPr>
            </w:pPr>
            <w:r>
              <w:rPr>
                <w:rFonts w:ascii="Times New Roman" w:hAnsi="Times New Roman"/>
                <w:b/>
                <w:bCs/>
                <w:sz w:val="24"/>
              </w:rPr>
              <w:t>表1-1 专项评价设置原则表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2619"/>
              <w:gridCol w:w="2769"/>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pPr>
                    <w:pStyle w:val="14"/>
                    <w:jc w:val="center"/>
                    <w:rPr>
                      <w:rFonts w:ascii="Times New Roman"/>
                      <w:b/>
                      <w:bCs/>
                      <w:color w:val="auto"/>
                      <w:sz w:val="21"/>
                      <w:szCs w:val="21"/>
                    </w:rPr>
                  </w:pPr>
                  <w:r>
                    <w:rPr>
                      <w:rFonts w:ascii="Times New Roman"/>
                      <w:b/>
                      <w:bCs/>
                      <w:color w:val="auto"/>
                      <w:sz w:val="21"/>
                      <w:szCs w:val="21"/>
                    </w:rPr>
                    <w:t>专项评价的类别</w:t>
                  </w:r>
                </w:p>
              </w:tc>
              <w:tc>
                <w:tcPr>
                  <w:tcW w:w="1791" w:type="pct"/>
                  <w:vAlign w:val="center"/>
                </w:tcPr>
                <w:p>
                  <w:pPr>
                    <w:pStyle w:val="14"/>
                    <w:jc w:val="center"/>
                    <w:rPr>
                      <w:rFonts w:ascii="Times New Roman"/>
                      <w:b/>
                      <w:bCs/>
                      <w:color w:val="auto"/>
                      <w:sz w:val="21"/>
                      <w:szCs w:val="21"/>
                    </w:rPr>
                  </w:pPr>
                  <w:r>
                    <w:rPr>
                      <w:rFonts w:ascii="Times New Roman"/>
                      <w:b/>
                      <w:bCs/>
                      <w:color w:val="auto"/>
                      <w:sz w:val="21"/>
                      <w:szCs w:val="21"/>
                    </w:rPr>
                    <w:t>设置原则</w:t>
                  </w:r>
                </w:p>
              </w:tc>
              <w:tc>
                <w:tcPr>
                  <w:tcW w:w="1894" w:type="pct"/>
                  <w:vAlign w:val="center"/>
                </w:tcPr>
                <w:p>
                  <w:pPr>
                    <w:pStyle w:val="14"/>
                    <w:jc w:val="center"/>
                    <w:rPr>
                      <w:rFonts w:ascii="Times New Roman"/>
                      <w:b/>
                      <w:bCs/>
                      <w:color w:val="auto"/>
                      <w:sz w:val="21"/>
                      <w:szCs w:val="21"/>
                    </w:rPr>
                  </w:pPr>
                  <w:r>
                    <w:rPr>
                      <w:rFonts w:ascii="Times New Roman"/>
                      <w:b/>
                      <w:bCs/>
                      <w:color w:val="auto"/>
                      <w:sz w:val="21"/>
                      <w:szCs w:val="21"/>
                    </w:rPr>
                    <w:t>本项目情况</w:t>
                  </w:r>
                </w:p>
              </w:tc>
              <w:tc>
                <w:tcPr>
                  <w:tcW w:w="591" w:type="pct"/>
                  <w:vAlign w:val="center"/>
                </w:tcPr>
                <w:p>
                  <w:pPr>
                    <w:pStyle w:val="14"/>
                    <w:jc w:val="center"/>
                    <w:rPr>
                      <w:rFonts w:ascii="Times New Roman"/>
                      <w:b/>
                      <w:bCs/>
                      <w:color w:val="auto"/>
                      <w:sz w:val="21"/>
                      <w:szCs w:val="21"/>
                    </w:rPr>
                  </w:pPr>
                  <w:r>
                    <w:rPr>
                      <w:rFonts w:ascii="Times New Roman"/>
                      <w:b/>
                      <w:bCs/>
                      <w:color w:val="auto"/>
                      <w:sz w:val="21"/>
                      <w:szCs w:val="21"/>
                    </w:rPr>
                    <w:t>是否设置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pPr>
                    <w:pStyle w:val="14"/>
                    <w:jc w:val="center"/>
                    <w:rPr>
                      <w:rFonts w:ascii="Times New Roman"/>
                      <w:color w:val="auto"/>
                      <w:sz w:val="21"/>
                      <w:szCs w:val="21"/>
                    </w:rPr>
                  </w:pPr>
                  <w:r>
                    <w:rPr>
                      <w:rFonts w:ascii="Times New Roman"/>
                      <w:color w:val="auto"/>
                      <w:sz w:val="21"/>
                      <w:szCs w:val="21"/>
                    </w:rPr>
                    <w:t>大气</w:t>
                  </w:r>
                </w:p>
              </w:tc>
              <w:tc>
                <w:tcPr>
                  <w:tcW w:w="1791" w:type="pct"/>
                  <w:vAlign w:val="center"/>
                </w:tcPr>
                <w:p>
                  <w:pPr>
                    <w:pStyle w:val="14"/>
                    <w:jc w:val="center"/>
                    <w:rPr>
                      <w:rFonts w:ascii="Times New Roman"/>
                      <w:color w:val="auto"/>
                      <w:sz w:val="21"/>
                      <w:szCs w:val="21"/>
                    </w:rPr>
                  </w:pPr>
                  <w:r>
                    <w:rPr>
                      <w:rFonts w:ascii="Times New Roman"/>
                      <w:color w:val="auto"/>
                      <w:sz w:val="21"/>
                      <w:szCs w:val="21"/>
                    </w:rPr>
                    <w:t>排放废气含有有毒有害污染物二噁英、苯并芘、氰化物、氯气且厂界外500m范围内有环境空气保护目标的建设项目。</w:t>
                  </w:r>
                </w:p>
              </w:tc>
              <w:tc>
                <w:tcPr>
                  <w:tcW w:w="1894" w:type="pct"/>
                  <w:vAlign w:val="center"/>
                </w:tcPr>
                <w:p>
                  <w:pPr>
                    <w:pStyle w:val="14"/>
                    <w:jc w:val="center"/>
                    <w:rPr>
                      <w:rFonts w:ascii="Times New Roman"/>
                      <w:color w:val="auto"/>
                      <w:sz w:val="21"/>
                      <w:szCs w:val="21"/>
                    </w:rPr>
                  </w:pPr>
                  <w:r>
                    <w:rPr>
                      <w:rFonts w:ascii="Times New Roman"/>
                      <w:color w:val="auto"/>
                      <w:sz w:val="21"/>
                      <w:szCs w:val="21"/>
                    </w:rPr>
                    <w:t>本项目使用天然气锅炉、生物质锅炉供暖，不产生有毒有害废气。</w:t>
                  </w:r>
                </w:p>
              </w:tc>
              <w:tc>
                <w:tcPr>
                  <w:tcW w:w="591" w:type="pct"/>
                  <w:vAlign w:val="center"/>
                </w:tcPr>
                <w:p>
                  <w:pPr>
                    <w:pStyle w:val="14"/>
                    <w:jc w:val="center"/>
                    <w:rPr>
                      <w:rFonts w:ascii="Times New Roman"/>
                      <w:color w:val="auto"/>
                      <w:sz w:val="21"/>
                      <w:szCs w:val="21"/>
                    </w:rPr>
                  </w:pPr>
                  <w:r>
                    <w:rPr>
                      <w:rFonts w:ascii="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pPr>
                    <w:pStyle w:val="14"/>
                    <w:jc w:val="center"/>
                    <w:rPr>
                      <w:rFonts w:ascii="Times New Roman"/>
                      <w:color w:val="auto"/>
                      <w:sz w:val="21"/>
                      <w:szCs w:val="21"/>
                    </w:rPr>
                  </w:pPr>
                  <w:r>
                    <w:rPr>
                      <w:rFonts w:ascii="Times New Roman"/>
                      <w:color w:val="auto"/>
                      <w:sz w:val="21"/>
                      <w:szCs w:val="21"/>
                    </w:rPr>
                    <w:t>地表水</w:t>
                  </w:r>
                </w:p>
              </w:tc>
              <w:tc>
                <w:tcPr>
                  <w:tcW w:w="1791" w:type="pct"/>
                  <w:vAlign w:val="center"/>
                </w:tcPr>
                <w:p>
                  <w:pPr>
                    <w:pStyle w:val="14"/>
                    <w:jc w:val="center"/>
                    <w:rPr>
                      <w:rFonts w:ascii="Times New Roman"/>
                      <w:color w:val="auto"/>
                      <w:sz w:val="21"/>
                      <w:szCs w:val="21"/>
                    </w:rPr>
                  </w:pPr>
                  <w:r>
                    <w:rPr>
                      <w:rFonts w:ascii="Times New Roman"/>
                      <w:color w:val="auto"/>
                      <w:sz w:val="21"/>
                      <w:szCs w:val="21"/>
                    </w:rPr>
                    <w:t>新增工业废水直排建设项目（槽罐车外送污水处理厂的除外）。</w:t>
                  </w:r>
                </w:p>
                <w:p>
                  <w:pPr>
                    <w:pStyle w:val="14"/>
                    <w:jc w:val="center"/>
                    <w:rPr>
                      <w:rFonts w:ascii="Times New Roman"/>
                      <w:color w:val="auto"/>
                      <w:sz w:val="21"/>
                      <w:szCs w:val="21"/>
                    </w:rPr>
                  </w:pPr>
                  <w:r>
                    <w:rPr>
                      <w:rFonts w:ascii="Times New Roman"/>
                      <w:color w:val="auto"/>
                      <w:sz w:val="21"/>
                      <w:szCs w:val="21"/>
                    </w:rPr>
                    <w:t>新增废水直排的污染集中处理厂 。</w:t>
                  </w:r>
                </w:p>
              </w:tc>
              <w:tc>
                <w:tcPr>
                  <w:tcW w:w="1894" w:type="pct"/>
                  <w:vAlign w:val="center"/>
                </w:tcPr>
                <w:p>
                  <w:pPr>
                    <w:pStyle w:val="14"/>
                    <w:jc w:val="center"/>
                    <w:rPr>
                      <w:rFonts w:ascii="Times New Roman"/>
                      <w:color w:val="auto"/>
                      <w:sz w:val="21"/>
                      <w:szCs w:val="21"/>
                    </w:rPr>
                  </w:pPr>
                  <w:r>
                    <w:rPr>
                      <w:rFonts w:ascii="Times New Roman"/>
                      <w:color w:val="auto"/>
                      <w:sz w:val="21"/>
                      <w:szCs w:val="21"/>
                    </w:rPr>
                    <w:t>本项目产生废水在未接入姚安县第二污水处理厂前由厂区自建污水处理站处理回用，后续接入污水处理厂由污水处理厂处理。</w:t>
                  </w:r>
                </w:p>
              </w:tc>
              <w:tc>
                <w:tcPr>
                  <w:tcW w:w="591" w:type="pct"/>
                  <w:vAlign w:val="center"/>
                </w:tcPr>
                <w:p>
                  <w:pPr>
                    <w:pStyle w:val="14"/>
                    <w:jc w:val="center"/>
                    <w:rPr>
                      <w:rFonts w:ascii="Times New Roman"/>
                      <w:color w:val="auto"/>
                      <w:sz w:val="21"/>
                      <w:szCs w:val="21"/>
                    </w:rPr>
                  </w:pPr>
                  <w:r>
                    <w:rPr>
                      <w:rFonts w:ascii="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pPr>
                    <w:pStyle w:val="14"/>
                    <w:jc w:val="center"/>
                    <w:rPr>
                      <w:rFonts w:ascii="Times New Roman"/>
                      <w:color w:val="auto"/>
                      <w:sz w:val="21"/>
                      <w:szCs w:val="21"/>
                    </w:rPr>
                  </w:pPr>
                  <w:r>
                    <w:rPr>
                      <w:rFonts w:ascii="Times New Roman"/>
                      <w:color w:val="auto"/>
                      <w:sz w:val="21"/>
                      <w:szCs w:val="21"/>
                    </w:rPr>
                    <w:t>环境风险</w:t>
                  </w:r>
                </w:p>
              </w:tc>
              <w:tc>
                <w:tcPr>
                  <w:tcW w:w="1791" w:type="pct"/>
                  <w:vAlign w:val="center"/>
                </w:tcPr>
                <w:p>
                  <w:pPr>
                    <w:pStyle w:val="14"/>
                    <w:jc w:val="center"/>
                    <w:rPr>
                      <w:rFonts w:ascii="Times New Roman"/>
                      <w:color w:val="auto"/>
                      <w:sz w:val="21"/>
                      <w:szCs w:val="21"/>
                    </w:rPr>
                  </w:pPr>
                  <w:r>
                    <w:rPr>
                      <w:rFonts w:ascii="Times New Roman"/>
                      <w:color w:val="auto"/>
                      <w:sz w:val="21"/>
                      <w:szCs w:val="21"/>
                    </w:rPr>
                    <w:t>有毒有害和易燃易爆危险物质储存量超过临界量的建设项目。</w:t>
                  </w:r>
                </w:p>
              </w:tc>
              <w:tc>
                <w:tcPr>
                  <w:tcW w:w="1894" w:type="pct"/>
                  <w:vAlign w:val="center"/>
                </w:tcPr>
                <w:p>
                  <w:pPr>
                    <w:pStyle w:val="14"/>
                    <w:jc w:val="center"/>
                    <w:rPr>
                      <w:rFonts w:ascii="Times New Roman"/>
                      <w:color w:val="auto"/>
                      <w:sz w:val="21"/>
                      <w:szCs w:val="21"/>
                    </w:rPr>
                  </w:pPr>
                  <w:r>
                    <w:rPr>
                      <w:rFonts w:ascii="Times New Roman"/>
                      <w:color w:val="auto"/>
                      <w:sz w:val="21"/>
                      <w:szCs w:val="21"/>
                    </w:rPr>
                    <w:t>本项目储存的有毒有害和易燃易爆危险物质远小于临界量；并且危险废物都妥善保存在</w:t>
                  </w:r>
                  <w:r>
                    <w:rPr>
                      <w:rFonts w:hint="eastAsia" w:ascii="Times New Roman"/>
                      <w:color w:val="auto"/>
                      <w:sz w:val="21"/>
                      <w:szCs w:val="21"/>
                    </w:rPr>
                    <w:t>危险废物贮存库</w:t>
                  </w:r>
                  <w:r>
                    <w:rPr>
                      <w:rFonts w:ascii="Times New Roman"/>
                      <w:color w:val="auto"/>
                      <w:sz w:val="21"/>
                      <w:szCs w:val="21"/>
                    </w:rPr>
                    <w:t>，定期委托有资质的部门清运处置。</w:t>
                  </w:r>
                </w:p>
              </w:tc>
              <w:tc>
                <w:tcPr>
                  <w:tcW w:w="591" w:type="pct"/>
                  <w:vAlign w:val="center"/>
                </w:tcPr>
                <w:p>
                  <w:pPr>
                    <w:pStyle w:val="14"/>
                    <w:jc w:val="center"/>
                    <w:rPr>
                      <w:rFonts w:ascii="Times New Roman"/>
                      <w:color w:val="auto"/>
                      <w:sz w:val="21"/>
                      <w:szCs w:val="21"/>
                    </w:rPr>
                  </w:pPr>
                  <w:r>
                    <w:rPr>
                      <w:rFonts w:ascii="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pPr>
                    <w:pStyle w:val="14"/>
                    <w:jc w:val="center"/>
                    <w:rPr>
                      <w:rFonts w:ascii="Times New Roman"/>
                      <w:color w:val="auto"/>
                      <w:sz w:val="21"/>
                      <w:szCs w:val="21"/>
                    </w:rPr>
                  </w:pPr>
                  <w:r>
                    <w:rPr>
                      <w:rFonts w:ascii="Times New Roman"/>
                      <w:color w:val="auto"/>
                      <w:sz w:val="21"/>
                      <w:szCs w:val="21"/>
                    </w:rPr>
                    <w:t>生态</w:t>
                  </w:r>
                </w:p>
              </w:tc>
              <w:tc>
                <w:tcPr>
                  <w:tcW w:w="1791" w:type="pct"/>
                  <w:vAlign w:val="center"/>
                </w:tcPr>
                <w:p>
                  <w:pPr>
                    <w:pStyle w:val="14"/>
                    <w:jc w:val="center"/>
                    <w:rPr>
                      <w:rFonts w:ascii="Times New Roman"/>
                      <w:color w:val="auto"/>
                      <w:sz w:val="21"/>
                      <w:szCs w:val="21"/>
                    </w:rPr>
                  </w:pPr>
                  <w:r>
                    <w:rPr>
                      <w:rFonts w:ascii="Times New Roman"/>
                      <w:color w:val="auto"/>
                      <w:sz w:val="21"/>
                      <w:szCs w:val="21"/>
                    </w:rPr>
                    <w:t>取水口下游500m范围内有重要水生生物的自然产卵场、索饵场、越冬场和洄游通道的新增河道取水的污染类建设项目。</w:t>
                  </w:r>
                </w:p>
              </w:tc>
              <w:tc>
                <w:tcPr>
                  <w:tcW w:w="1894" w:type="pct"/>
                  <w:vAlign w:val="center"/>
                </w:tcPr>
                <w:p>
                  <w:pPr>
                    <w:pStyle w:val="14"/>
                    <w:jc w:val="center"/>
                    <w:rPr>
                      <w:rFonts w:ascii="Times New Roman"/>
                      <w:color w:val="auto"/>
                      <w:sz w:val="21"/>
                      <w:szCs w:val="21"/>
                    </w:rPr>
                  </w:pPr>
                  <w:r>
                    <w:rPr>
                      <w:rFonts w:ascii="Times New Roman"/>
                      <w:color w:val="auto"/>
                      <w:sz w:val="21"/>
                      <w:szCs w:val="21"/>
                    </w:rPr>
                    <w:t>本项目下游无重要水生生物的自然产卵场、索饵场、越冬场和洄游通道的新增河道取水的污染类建设项目。</w:t>
                  </w:r>
                </w:p>
              </w:tc>
              <w:tc>
                <w:tcPr>
                  <w:tcW w:w="591" w:type="pct"/>
                  <w:vAlign w:val="center"/>
                </w:tcPr>
                <w:p>
                  <w:pPr>
                    <w:pStyle w:val="14"/>
                    <w:jc w:val="center"/>
                    <w:rPr>
                      <w:rFonts w:ascii="Times New Roman"/>
                      <w:color w:val="auto"/>
                      <w:sz w:val="21"/>
                      <w:szCs w:val="21"/>
                    </w:rPr>
                  </w:pPr>
                  <w:r>
                    <w:rPr>
                      <w:rFonts w:ascii="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pPr>
                    <w:pStyle w:val="14"/>
                    <w:jc w:val="center"/>
                    <w:rPr>
                      <w:rFonts w:ascii="Times New Roman"/>
                      <w:color w:val="auto"/>
                      <w:sz w:val="21"/>
                      <w:szCs w:val="21"/>
                    </w:rPr>
                  </w:pPr>
                  <w:r>
                    <w:rPr>
                      <w:rFonts w:ascii="Times New Roman"/>
                      <w:color w:val="auto"/>
                      <w:sz w:val="21"/>
                      <w:szCs w:val="21"/>
                    </w:rPr>
                    <w:t>海洋</w:t>
                  </w:r>
                </w:p>
              </w:tc>
              <w:tc>
                <w:tcPr>
                  <w:tcW w:w="1791" w:type="pct"/>
                  <w:vAlign w:val="center"/>
                </w:tcPr>
                <w:p>
                  <w:pPr>
                    <w:pStyle w:val="14"/>
                    <w:jc w:val="center"/>
                    <w:rPr>
                      <w:rFonts w:ascii="Times New Roman"/>
                      <w:color w:val="auto"/>
                      <w:sz w:val="21"/>
                      <w:szCs w:val="21"/>
                    </w:rPr>
                  </w:pPr>
                  <w:r>
                    <w:rPr>
                      <w:rFonts w:ascii="Times New Roman"/>
                      <w:color w:val="auto"/>
                      <w:sz w:val="21"/>
                      <w:szCs w:val="21"/>
                    </w:rPr>
                    <w:t>直接向海排放污染物的海洋工程建设项目。</w:t>
                  </w:r>
                </w:p>
              </w:tc>
              <w:tc>
                <w:tcPr>
                  <w:tcW w:w="1894" w:type="pct"/>
                  <w:vAlign w:val="center"/>
                </w:tcPr>
                <w:p>
                  <w:pPr>
                    <w:pStyle w:val="14"/>
                    <w:jc w:val="center"/>
                    <w:rPr>
                      <w:rFonts w:ascii="Times New Roman"/>
                      <w:color w:val="auto"/>
                      <w:sz w:val="21"/>
                      <w:szCs w:val="21"/>
                    </w:rPr>
                  </w:pPr>
                  <w:r>
                    <w:rPr>
                      <w:rFonts w:ascii="Times New Roman"/>
                      <w:color w:val="auto"/>
                      <w:sz w:val="21"/>
                      <w:szCs w:val="21"/>
                    </w:rPr>
                    <w:t>本项目距离海洋较远且不属于海洋工程建设项目。</w:t>
                  </w:r>
                </w:p>
              </w:tc>
              <w:tc>
                <w:tcPr>
                  <w:tcW w:w="591" w:type="pct"/>
                  <w:vAlign w:val="center"/>
                </w:tcPr>
                <w:p>
                  <w:pPr>
                    <w:pStyle w:val="14"/>
                    <w:jc w:val="center"/>
                    <w:rPr>
                      <w:rFonts w:ascii="Times New Roman"/>
                      <w:color w:val="auto"/>
                      <w:sz w:val="21"/>
                      <w:szCs w:val="21"/>
                    </w:rPr>
                  </w:pPr>
                  <w:r>
                    <w:rPr>
                      <w:rFonts w:ascii="Times New Roman"/>
                      <w:color w:val="auto"/>
                      <w:sz w:val="21"/>
                      <w:szCs w:val="21"/>
                    </w:rPr>
                    <w:t>否</w:t>
                  </w:r>
                </w:p>
              </w:tc>
            </w:tr>
          </w:tbl>
          <w:p>
            <w:pPr>
              <w:autoSpaceDE w:val="0"/>
              <w:autoSpaceDN w:val="0"/>
              <w:adjustRightInd w:val="0"/>
              <w:snapToGrid w:val="0"/>
              <w:spacing w:line="360" w:lineRule="auto"/>
              <w:rPr>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74" w:type="pct"/>
            <w:vAlign w:val="center"/>
          </w:tcPr>
          <w:p>
            <w:pPr>
              <w:autoSpaceDE w:val="0"/>
              <w:autoSpaceDN w:val="0"/>
              <w:adjustRightInd w:val="0"/>
              <w:snapToGrid w:val="0"/>
              <w:jc w:val="center"/>
              <w:rPr>
                <w:kern w:val="0"/>
                <w:sz w:val="24"/>
              </w:rPr>
            </w:pPr>
            <w:r>
              <w:rPr>
                <w:sz w:val="24"/>
              </w:rPr>
              <w:t>规划情况</w:t>
            </w:r>
          </w:p>
        </w:tc>
        <w:tc>
          <w:tcPr>
            <w:tcW w:w="3925" w:type="pct"/>
            <w:gridSpan w:val="3"/>
            <w:vAlign w:val="center"/>
          </w:tcPr>
          <w:p>
            <w:pPr>
              <w:autoSpaceDE w:val="0"/>
              <w:autoSpaceDN w:val="0"/>
              <w:adjustRightInd w:val="0"/>
              <w:snapToGrid w:val="0"/>
              <w:jc w:val="center"/>
              <w:rPr>
                <w:kern w:val="0"/>
                <w:sz w:val="24"/>
              </w:rPr>
            </w:pPr>
            <w:r>
              <w:rPr>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74" w:type="pct"/>
            <w:vAlign w:val="center"/>
          </w:tcPr>
          <w:p>
            <w:pPr>
              <w:adjustRightInd w:val="0"/>
              <w:snapToGrid w:val="0"/>
              <w:jc w:val="center"/>
              <w:rPr>
                <w:sz w:val="24"/>
              </w:rPr>
            </w:pPr>
            <w:r>
              <w:rPr>
                <w:sz w:val="24"/>
              </w:rPr>
              <w:t>规划环境影响</w:t>
            </w:r>
          </w:p>
          <w:p>
            <w:pPr>
              <w:adjustRightInd w:val="0"/>
              <w:snapToGrid w:val="0"/>
              <w:jc w:val="center"/>
              <w:rPr>
                <w:kern w:val="0"/>
                <w:sz w:val="24"/>
              </w:rPr>
            </w:pPr>
            <w:r>
              <w:rPr>
                <w:sz w:val="24"/>
              </w:rPr>
              <w:t>评价情况</w:t>
            </w:r>
          </w:p>
        </w:tc>
        <w:tc>
          <w:tcPr>
            <w:tcW w:w="3925" w:type="pct"/>
            <w:gridSpan w:val="3"/>
            <w:vAlign w:val="center"/>
          </w:tcPr>
          <w:p>
            <w:pPr>
              <w:autoSpaceDE w:val="0"/>
              <w:autoSpaceDN w:val="0"/>
              <w:adjustRightInd w:val="0"/>
              <w:snapToGrid w:val="0"/>
              <w:jc w:val="center"/>
              <w:rPr>
                <w:kern w:val="0"/>
                <w:sz w:val="24"/>
              </w:rPr>
            </w:pPr>
            <w:r>
              <w:rPr>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74" w:type="pct"/>
            <w:vAlign w:val="center"/>
          </w:tcPr>
          <w:p>
            <w:pPr>
              <w:autoSpaceDE w:val="0"/>
              <w:autoSpaceDN w:val="0"/>
              <w:adjustRightInd w:val="0"/>
              <w:snapToGrid w:val="0"/>
              <w:jc w:val="center"/>
              <w:rPr>
                <w:kern w:val="0"/>
                <w:sz w:val="24"/>
              </w:rPr>
            </w:pPr>
            <w:r>
              <w:rPr>
                <w:kern w:val="0"/>
                <w:sz w:val="24"/>
              </w:rPr>
              <w:t>规划及规划环境影响评价符合性分析</w:t>
            </w:r>
          </w:p>
        </w:tc>
        <w:tc>
          <w:tcPr>
            <w:tcW w:w="3925" w:type="pct"/>
            <w:gridSpan w:val="3"/>
            <w:vAlign w:val="center"/>
          </w:tcPr>
          <w:p>
            <w:pPr>
              <w:autoSpaceDE w:val="0"/>
              <w:autoSpaceDN w:val="0"/>
              <w:adjustRightInd w:val="0"/>
              <w:snapToGrid w:val="0"/>
              <w:jc w:val="center"/>
              <w:rPr>
                <w:b/>
                <w:bCs/>
                <w:sz w:val="24"/>
              </w:rPr>
            </w:pPr>
            <w:r>
              <w:rPr>
                <w:b/>
                <w:bCs/>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4" w:type="pct"/>
            <w:vAlign w:val="center"/>
          </w:tcPr>
          <w:p>
            <w:pPr>
              <w:autoSpaceDE w:val="0"/>
              <w:autoSpaceDN w:val="0"/>
              <w:adjustRightInd w:val="0"/>
              <w:snapToGrid w:val="0"/>
              <w:spacing w:line="360" w:lineRule="auto"/>
              <w:jc w:val="center"/>
              <w:rPr>
                <w:kern w:val="0"/>
                <w:sz w:val="24"/>
              </w:rPr>
            </w:pPr>
            <w:r>
              <w:rPr>
                <w:kern w:val="0"/>
                <w:sz w:val="24"/>
              </w:rPr>
              <w:t>其他符合性分析</w:t>
            </w:r>
          </w:p>
        </w:tc>
        <w:tc>
          <w:tcPr>
            <w:tcW w:w="3925" w:type="pct"/>
            <w:gridSpan w:val="3"/>
            <w:vAlign w:val="center"/>
          </w:tcPr>
          <w:p>
            <w:pPr>
              <w:autoSpaceDE w:val="0"/>
              <w:autoSpaceDN w:val="0"/>
              <w:adjustRightInd w:val="0"/>
              <w:snapToGrid w:val="0"/>
              <w:spacing w:line="360" w:lineRule="auto"/>
              <w:jc w:val="left"/>
              <w:rPr>
                <w:sz w:val="24"/>
              </w:rPr>
            </w:pPr>
            <w:r>
              <w:rPr>
                <w:sz w:val="24"/>
              </w:rPr>
              <w:t xml:space="preserve">（1）产业政策符合性分析 </w:t>
            </w:r>
          </w:p>
          <w:p>
            <w:pPr>
              <w:autoSpaceDE w:val="0"/>
              <w:autoSpaceDN w:val="0"/>
              <w:adjustRightInd w:val="0"/>
              <w:snapToGrid w:val="0"/>
              <w:spacing w:line="360" w:lineRule="auto"/>
              <w:ind w:firstLine="480" w:firstLineChars="200"/>
              <w:jc w:val="left"/>
              <w:rPr>
                <w:sz w:val="24"/>
              </w:rPr>
            </w:pPr>
            <w:r>
              <w:rPr>
                <w:sz w:val="24"/>
              </w:rPr>
              <w:t>根据《产业结构调整指导目录（2019年本）》可知，本项目属于其中规定的“鼓励类”中“一、农林业”中的“3、蔬菜、瓜果、花卉设施栽培（含无土栽培）先进技术开发与应用，优质、高产、高效标准化栽培技术开发与应用”中的“花卉设施栽培（含无土栽培）先进技术开发与应用”，项目所用锅炉不属于目录中的鼓励类、限制类和淘汰类锅炉，属于允许类锅炉，符合产业结构调整指导目录的要求。项目的建设符合国家相关法律和政策，属于允许类建设项目。综上所述，本项目的建设符合现行国家产业政策。</w:t>
            </w:r>
          </w:p>
          <w:p>
            <w:pPr>
              <w:autoSpaceDE w:val="0"/>
              <w:autoSpaceDN w:val="0"/>
              <w:adjustRightInd w:val="0"/>
              <w:snapToGrid w:val="0"/>
              <w:spacing w:line="360" w:lineRule="auto"/>
              <w:jc w:val="left"/>
              <w:rPr>
                <w:sz w:val="24"/>
              </w:rPr>
            </w:pPr>
            <w:r>
              <w:rPr>
                <w:sz w:val="24"/>
              </w:rPr>
              <w:t>（2）选址合理性分析</w:t>
            </w:r>
          </w:p>
          <w:p>
            <w:pPr>
              <w:autoSpaceDE w:val="0"/>
              <w:autoSpaceDN w:val="0"/>
              <w:adjustRightInd w:val="0"/>
              <w:snapToGrid w:val="0"/>
              <w:spacing w:line="360" w:lineRule="auto"/>
              <w:ind w:firstLine="480" w:firstLineChars="200"/>
              <w:jc w:val="left"/>
              <w:rPr>
                <w:sz w:val="24"/>
              </w:rPr>
            </w:pPr>
            <w:r>
              <w:rPr>
                <w:sz w:val="24"/>
              </w:rPr>
              <w:t>项目选址区及周围没有需要特殊保护的文物、名胜、古迹和文化、自然遗产，不涉及自然保护区、水源保护区、风景名胜区保护范围；项目运营期废水、废气、噪声、固废均采取了有效的污染防治措施妥善处理，不会对环境造成大的影响，不会改变项目选址区域环境功能属性；项目选址在云南省楚雄州姚安县光禄镇旧城村，土地属性</w:t>
            </w:r>
            <w:r>
              <w:rPr>
                <w:rFonts w:hint="eastAsia"/>
                <w:sz w:val="24"/>
              </w:rPr>
              <w:t>为</w:t>
            </w:r>
            <w:r>
              <w:rPr>
                <w:sz w:val="24"/>
              </w:rPr>
              <w:t>园地，不涉及占用姚安县“三区三线”中生态环境保护红线、永久基本农田、城镇开发边界（附件10）</w:t>
            </w:r>
            <w:r>
              <w:rPr>
                <w:rFonts w:hint="eastAsia"/>
                <w:sz w:val="24"/>
              </w:rPr>
              <w:t>，</w:t>
            </w:r>
            <w:r>
              <w:rPr>
                <w:sz w:val="24"/>
              </w:rPr>
              <w:t>本项目为农业建设项目，因此项目选址环境可行。</w:t>
            </w:r>
          </w:p>
          <w:p>
            <w:pPr>
              <w:autoSpaceDE w:val="0"/>
              <w:autoSpaceDN w:val="0"/>
              <w:adjustRightInd w:val="0"/>
              <w:snapToGrid w:val="0"/>
              <w:spacing w:line="360" w:lineRule="auto"/>
              <w:jc w:val="left"/>
              <w:rPr>
                <w:sz w:val="24"/>
              </w:rPr>
            </w:pPr>
            <w:r>
              <w:rPr>
                <w:sz w:val="24"/>
              </w:rPr>
              <w:t>（3）与周围环境相容性分析</w:t>
            </w:r>
          </w:p>
          <w:p>
            <w:pPr>
              <w:autoSpaceDE w:val="0"/>
              <w:autoSpaceDN w:val="0"/>
              <w:adjustRightInd w:val="0"/>
              <w:snapToGrid w:val="0"/>
              <w:spacing w:line="360" w:lineRule="auto"/>
              <w:ind w:firstLine="480" w:firstLineChars="200"/>
              <w:jc w:val="left"/>
              <w:rPr>
                <w:sz w:val="24"/>
              </w:rPr>
            </w:pPr>
            <w:r>
              <w:rPr>
                <w:sz w:val="24"/>
              </w:rPr>
              <w:t>项目位于云南省楚雄彝族自治州姚安县光禄镇旧城村，项目属农产品基地项目（含药材基地），项目周边为花卉种植基地、农田等，周边企业都未产生对本项目有影响物质，本项目产生污染物对周边企业无影响，项目具有与周边环境相容的条件，项目各污染物经过环保措施处理后都能达标排放。因此项目在此入驻与周边环境相容。</w:t>
            </w:r>
          </w:p>
          <w:p>
            <w:pPr>
              <w:pStyle w:val="13"/>
              <w:spacing w:line="360" w:lineRule="auto"/>
              <w:rPr>
                <w:rFonts w:ascii="Times New Roman" w:hAnsi="Times New Roman"/>
                <w:sz w:val="24"/>
              </w:rPr>
            </w:pPr>
            <w:r>
              <w:rPr>
                <w:rFonts w:ascii="Times New Roman" w:hAnsi="Times New Roman"/>
                <w:sz w:val="24"/>
              </w:rPr>
              <w:t>（4）与《长江经济带发展负面清单指南（试行）2022版</w:t>
            </w:r>
            <w:r>
              <w:rPr>
                <w:rFonts w:hint="eastAsia" w:ascii="Times New Roman" w:hAnsi="Times New Roman"/>
                <w:sz w:val="24"/>
              </w:rPr>
              <w:t>》《</w:t>
            </w:r>
            <w:r>
              <w:rPr>
                <w:rFonts w:ascii="Times New Roman" w:hAnsi="Times New Roman"/>
                <w:sz w:val="24"/>
              </w:rPr>
              <w:t>云南省长江经济带负面清单指南实施细则</w:t>
            </w:r>
            <w:r>
              <w:rPr>
                <w:rFonts w:hint="eastAsia" w:ascii="Times New Roman" w:hAnsi="Times New Roman"/>
                <w:sz w:val="24"/>
              </w:rPr>
              <w:t>（</w:t>
            </w:r>
            <w:r>
              <w:rPr>
                <w:rFonts w:ascii="Times New Roman" w:hAnsi="Times New Roman"/>
                <w:sz w:val="24"/>
              </w:rPr>
              <w:t>试行，2022版）》符合性分析</w:t>
            </w:r>
          </w:p>
          <w:p>
            <w:pPr>
              <w:pStyle w:val="13"/>
              <w:spacing w:line="360" w:lineRule="auto"/>
              <w:jc w:val="center"/>
              <w:rPr>
                <w:rFonts w:ascii="Times New Roman" w:hAnsi="Times New Roman"/>
                <w:b/>
                <w:bCs/>
                <w:sz w:val="24"/>
              </w:rPr>
            </w:pPr>
            <w:r>
              <w:rPr>
                <w:rFonts w:ascii="Times New Roman" w:hAnsi="Times New Roman"/>
                <w:b/>
                <w:bCs/>
                <w:sz w:val="24"/>
              </w:rPr>
              <w:t>表1-2“长江经济带负面清单指南（试行）2022版”符合性分析</w:t>
            </w:r>
          </w:p>
          <w:tbl>
            <w:tblPr>
              <w:tblStyle w:val="27"/>
              <w:tblpPr w:leftFromText="180" w:rightFromText="180" w:vertAnchor="text" w:horzAnchor="page" w:tblpX="130" w:tblpY="154"/>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3154"/>
              <w:gridCol w:w="229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djustRightInd w:val="0"/>
                    <w:snapToGrid w:val="0"/>
                    <w:jc w:val="center"/>
                    <w:rPr>
                      <w:b/>
                      <w:bCs/>
                    </w:rPr>
                  </w:pPr>
                  <w:r>
                    <w:rPr>
                      <w:b/>
                      <w:bCs/>
                    </w:rPr>
                    <w:t>序号</w:t>
                  </w:r>
                </w:p>
              </w:tc>
              <w:tc>
                <w:tcPr>
                  <w:tcW w:w="2156" w:type="pct"/>
                  <w:vAlign w:val="center"/>
                </w:tcPr>
                <w:p>
                  <w:pPr>
                    <w:adjustRightInd w:val="0"/>
                    <w:snapToGrid w:val="0"/>
                    <w:jc w:val="center"/>
                    <w:rPr>
                      <w:b/>
                      <w:bCs/>
                    </w:rPr>
                  </w:pPr>
                  <w:r>
                    <w:rPr>
                      <w:b/>
                      <w:bCs/>
                    </w:rPr>
                    <w:t>负面清单指南内容</w:t>
                  </w:r>
                </w:p>
              </w:tc>
              <w:tc>
                <w:tcPr>
                  <w:tcW w:w="1570" w:type="pct"/>
                  <w:vAlign w:val="center"/>
                </w:tcPr>
                <w:p>
                  <w:pPr>
                    <w:adjustRightInd w:val="0"/>
                    <w:snapToGrid w:val="0"/>
                    <w:jc w:val="center"/>
                    <w:rPr>
                      <w:b/>
                      <w:bCs/>
                    </w:rPr>
                  </w:pPr>
                  <w:r>
                    <w:rPr>
                      <w:b/>
                      <w:bCs/>
                    </w:rPr>
                    <w:t>项目情况</w:t>
                  </w:r>
                </w:p>
              </w:tc>
              <w:tc>
                <w:tcPr>
                  <w:tcW w:w="715" w:type="pct"/>
                  <w:vAlign w:val="center"/>
                </w:tcPr>
                <w:p>
                  <w:pPr>
                    <w:adjustRightInd w:val="0"/>
                    <w:snapToGrid w:val="0"/>
                    <w:jc w:val="center"/>
                    <w:rPr>
                      <w:b/>
                      <w:bCs/>
                    </w:rPr>
                  </w:pPr>
                  <w:r>
                    <w:rPr>
                      <w:b/>
                      <w:bCs/>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pPr>
                  <w:r>
                    <w:t>1</w:t>
                  </w:r>
                </w:p>
              </w:tc>
              <w:tc>
                <w:tcPr>
                  <w:tcW w:w="2156" w:type="pct"/>
                  <w:vAlign w:val="center"/>
                </w:tcPr>
                <w:p>
                  <w:pPr>
                    <w:pStyle w:val="13"/>
                    <w:jc w:val="center"/>
                    <w:rPr>
                      <w:rFonts w:ascii="Times New Roman" w:hAnsi="Times New Roman"/>
                    </w:rPr>
                  </w:pPr>
                  <w:r>
                    <w:rPr>
                      <w:rFonts w:ascii="Times New Roman" w:hAnsi="Times New Roman"/>
                    </w:rPr>
                    <w:t>禁止建设不符合全国和省级港口布局规划以及港口总体规划的码头项目，禁止建设不符合《长江干线过江通道布局规划》的过长江通道项目。</w:t>
                  </w:r>
                </w:p>
              </w:tc>
              <w:tc>
                <w:tcPr>
                  <w:tcW w:w="1570" w:type="pct"/>
                  <w:vAlign w:val="center"/>
                </w:tcPr>
                <w:p>
                  <w:pPr>
                    <w:autoSpaceDE w:val="0"/>
                    <w:autoSpaceDN w:val="0"/>
                    <w:adjustRightInd w:val="0"/>
                    <w:snapToGrid w:val="0"/>
                    <w:jc w:val="center"/>
                  </w:pPr>
                  <w:r>
                    <w:t>本项目为花卉栽培及热力供应企业，不涉及码头项目和过长江通道项目。</w:t>
                  </w:r>
                </w:p>
              </w:tc>
              <w:tc>
                <w:tcPr>
                  <w:tcW w:w="715" w:type="pct"/>
                  <w:vAlign w:val="center"/>
                </w:tcPr>
                <w:p>
                  <w:pPr>
                    <w:autoSpaceDE w:val="0"/>
                    <w:autoSpaceDN w:val="0"/>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pPr>
                  <w:r>
                    <w:t>2</w:t>
                  </w:r>
                </w:p>
              </w:tc>
              <w:tc>
                <w:tcPr>
                  <w:tcW w:w="2156" w:type="pct"/>
                  <w:vAlign w:val="center"/>
                </w:tcPr>
                <w:p>
                  <w:pPr>
                    <w:pStyle w:val="13"/>
                    <w:jc w:val="center"/>
                    <w:rPr>
                      <w:rFonts w:ascii="Times New Roman" w:hAnsi="Times New Roman"/>
                    </w:rPr>
                  </w:pPr>
                  <w:r>
                    <w:rPr>
                      <w:rFonts w:ascii="Times New Roman" w:hAnsi="Times New Roman"/>
                    </w:rPr>
                    <w:t>禁止在自然保护区核心区、缓冲区的岸线和河段范围内投资建设旅游和生产经营项目。禁止在风景名胜区核心景区的岸线和河段范围内投资建设与风景名胜资源保护无关的项目。</w:t>
                  </w:r>
                </w:p>
              </w:tc>
              <w:tc>
                <w:tcPr>
                  <w:tcW w:w="1570" w:type="pct"/>
                  <w:vAlign w:val="center"/>
                </w:tcPr>
                <w:p>
                  <w:pPr>
                    <w:pStyle w:val="13"/>
                    <w:jc w:val="center"/>
                    <w:rPr>
                      <w:rFonts w:ascii="Times New Roman" w:hAnsi="Times New Roman"/>
                    </w:rPr>
                  </w:pPr>
                  <w:r>
                    <w:rPr>
                      <w:rFonts w:ascii="Times New Roman" w:hAnsi="Times New Roman"/>
                    </w:rPr>
                    <w:t>根据项目生态保护红线查询意见，项</w:t>
                  </w:r>
                </w:p>
                <w:p>
                  <w:pPr>
                    <w:pStyle w:val="13"/>
                    <w:jc w:val="center"/>
                    <w:rPr>
                      <w:rFonts w:ascii="Times New Roman" w:hAnsi="Times New Roman"/>
                    </w:rPr>
                  </w:pPr>
                  <w:r>
                    <w:rPr>
                      <w:rFonts w:ascii="Times New Roman" w:hAnsi="Times New Roman"/>
                    </w:rPr>
                    <w:t>目位于姚安县光禄镇旧城村，不涉及自然保护区、风景名胜区。</w:t>
                  </w:r>
                </w:p>
              </w:tc>
              <w:tc>
                <w:tcPr>
                  <w:tcW w:w="715" w:type="pct"/>
                  <w:vAlign w:val="center"/>
                </w:tcPr>
                <w:p>
                  <w:pPr>
                    <w:autoSpaceDE w:val="0"/>
                    <w:autoSpaceDN w:val="0"/>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pPr>
                  <w:r>
                    <w:t>3</w:t>
                  </w:r>
                </w:p>
              </w:tc>
              <w:tc>
                <w:tcPr>
                  <w:tcW w:w="2156" w:type="pct"/>
                  <w:vAlign w:val="center"/>
                </w:tcPr>
                <w:p>
                  <w:pPr>
                    <w:pStyle w:val="13"/>
                    <w:jc w:val="center"/>
                    <w:rPr>
                      <w:rFonts w:ascii="Times New Roman" w:hAnsi="Times New Roman"/>
                    </w:rPr>
                  </w:pPr>
                  <w:r>
                    <w:rPr>
                      <w:rFonts w:ascii="Times New Roman" w:hAnsi="Times New Roman"/>
                    </w:rPr>
                    <w:t>禁止在饮用水水源一级保护区的岸线和河段范围内新建、改建、扩建与供水</w:t>
                  </w:r>
                </w:p>
                <w:p>
                  <w:pPr>
                    <w:pStyle w:val="13"/>
                    <w:jc w:val="center"/>
                    <w:rPr>
                      <w:rFonts w:ascii="Times New Roman" w:hAnsi="Times New Roman"/>
                    </w:rPr>
                  </w:pPr>
                  <w:r>
                    <w:rPr>
                      <w:rFonts w:ascii="Times New Roman" w:hAnsi="Times New Roman"/>
                    </w:rPr>
                    <w:t>设施和保护水源无关口项目，以及网箱养殖、旅游等可能污染饮口水水体的投资建设项目。禁止在饮用水水源二级保护区的岸线和河段范围内新建、改建、扩建排放污染物的投资建设项目。</w:t>
                  </w:r>
                </w:p>
              </w:tc>
              <w:tc>
                <w:tcPr>
                  <w:tcW w:w="1570" w:type="pct"/>
                  <w:vAlign w:val="center"/>
                </w:tcPr>
                <w:p>
                  <w:pPr>
                    <w:pStyle w:val="13"/>
                    <w:jc w:val="center"/>
                    <w:rPr>
                      <w:rFonts w:ascii="Times New Roman" w:hAnsi="Times New Roman"/>
                    </w:rPr>
                  </w:pPr>
                  <w:r>
                    <w:rPr>
                      <w:rFonts w:ascii="Times New Roman" w:hAnsi="Times New Roman"/>
                    </w:rPr>
                    <w:t>项目位于姚安县光禄镇旧城村，不涉及饮用水源保护区。</w:t>
                  </w:r>
                </w:p>
              </w:tc>
              <w:tc>
                <w:tcPr>
                  <w:tcW w:w="715" w:type="pct"/>
                  <w:vAlign w:val="center"/>
                </w:tcPr>
                <w:p>
                  <w:pPr>
                    <w:autoSpaceDE w:val="0"/>
                    <w:autoSpaceDN w:val="0"/>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pPr>
                  <w:r>
                    <w:t>4</w:t>
                  </w:r>
                </w:p>
              </w:tc>
              <w:tc>
                <w:tcPr>
                  <w:tcW w:w="2156" w:type="pct"/>
                  <w:vAlign w:val="center"/>
                </w:tcPr>
                <w:p>
                  <w:pPr>
                    <w:pStyle w:val="13"/>
                    <w:jc w:val="center"/>
                    <w:rPr>
                      <w:rFonts w:ascii="Times New Roman" w:hAnsi="Times New Roman"/>
                    </w:rPr>
                  </w:pPr>
                  <w:r>
                    <w:rPr>
                      <w:rFonts w:ascii="Times New Roman" w:hAnsi="Times New Roman"/>
                    </w:rPr>
                    <w:t>禁止在水产种质资源保护区的岸线和河段范围内新建排污口，以及围湖造田、围海造地或围填海等投资建设项目。禁止在国家湿地公园的岸线和河段范围内挖沙、采矿，以及任何不符</w:t>
                  </w:r>
                </w:p>
                <w:p>
                  <w:pPr>
                    <w:pStyle w:val="13"/>
                    <w:jc w:val="center"/>
                    <w:rPr>
                      <w:rFonts w:ascii="Times New Roman" w:hAnsi="Times New Roman"/>
                    </w:rPr>
                  </w:pPr>
                  <w:r>
                    <w:rPr>
                      <w:rFonts w:ascii="Times New Roman" w:hAnsi="Times New Roman"/>
                    </w:rPr>
                    <w:t>合主体功能定位的投资建设项目。</w:t>
                  </w:r>
                </w:p>
              </w:tc>
              <w:tc>
                <w:tcPr>
                  <w:tcW w:w="1570" w:type="pct"/>
                  <w:vAlign w:val="center"/>
                </w:tcPr>
                <w:p>
                  <w:pPr>
                    <w:pStyle w:val="13"/>
                    <w:jc w:val="center"/>
                    <w:rPr>
                      <w:rFonts w:ascii="Times New Roman" w:hAnsi="Times New Roman"/>
                    </w:rPr>
                  </w:pPr>
                  <w:r>
                    <w:rPr>
                      <w:rFonts w:ascii="Times New Roman" w:hAnsi="Times New Roman"/>
                    </w:rPr>
                    <w:t>本项目为花卉栽培及热力供应企业，废水在未接通污水管网前进入自建污水处理站处理，接通污水管网后进入姚安县第二污水处理厂进行处理。不涉及水产种质资源保护区新建排口，不涉及围湖造田等项目，不涉及挖沙，采矿活动。</w:t>
                  </w:r>
                </w:p>
              </w:tc>
              <w:tc>
                <w:tcPr>
                  <w:tcW w:w="715" w:type="pct"/>
                  <w:vAlign w:val="center"/>
                </w:tcPr>
                <w:p>
                  <w:pPr>
                    <w:autoSpaceDE w:val="0"/>
                    <w:autoSpaceDN w:val="0"/>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pPr>
                  <w:r>
                    <w:t>5</w:t>
                  </w:r>
                </w:p>
              </w:tc>
              <w:tc>
                <w:tcPr>
                  <w:tcW w:w="2156" w:type="pct"/>
                  <w:vAlign w:val="center"/>
                </w:tcPr>
                <w:p>
                  <w:pPr>
                    <w:pStyle w:val="13"/>
                    <w:jc w:val="center"/>
                    <w:rPr>
                      <w:rFonts w:ascii="Times New Roman" w:hAnsi="Times New Roman"/>
                    </w:rPr>
                  </w:pPr>
                  <w:r>
                    <w:rPr>
                      <w:rFonts w:ascii="Times New Roman" w:hAnsi="Times New Roman"/>
                    </w:rPr>
                    <w:t>禁止违法利用，占用长江流域河湖岸线。禁止在《长江岸线保护和开发利用总体规划》划定的岸口保护区内投资建设除保障防洪安全、河势稳定、供水安全以及保护生态环境、已建重要枢</w:t>
                  </w:r>
                </w:p>
                <w:p>
                  <w:pPr>
                    <w:pStyle w:val="13"/>
                    <w:jc w:val="center"/>
                    <w:rPr>
                      <w:rFonts w:ascii="Times New Roman" w:hAnsi="Times New Roman"/>
                    </w:rPr>
                  </w:pPr>
                  <w:r>
                    <w:rPr>
                      <w:rFonts w:ascii="Times New Roman" w:hAnsi="Times New Roman"/>
                    </w:rPr>
                    <w:t>纽工程以外的项目，禁止在岸线保留区内投资建设除保障防洪安全河势稳定、供水安全、航道稳定以及保护</w:t>
                  </w:r>
                </w:p>
                <w:p>
                  <w:pPr>
                    <w:pStyle w:val="13"/>
                    <w:jc w:val="center"/>
                    <w:rPr>
                      <w:rFonts w:ascii="Times New Roman" w:hAnsi="Times New Roman"/>
                    </w:rPr>
                  </w:pPr>
                  <w:r>
                    <w:rPr>
                      <w:rFonts w:ascii="Times New Roman" w:hAnsi="Times New Roman"/>
                    </w:rPr>
                    <w:t>生态环境以外的项目。禁止在《全国重要江河湖泊水功能区划》划定的河段保护区、保留区内投资建设不利于水资源及自然生态保护的项目。</w:t>
                  </w:r>
                </w:p>
              </w:tc>
              <w:tc>
                <w:tcPr>
                  <w:tcW w:w="1570" w:type="pct"/>
                  <w:vAlign w:val="center"/>
                </w:tcPr>
                <w:p>
                  <w:pPr>
                    <w:pStyle w:val="13"/>
                    <w:jc w:val="center"/>
                    <w:rPr>
                      <w:rFonts w:ascii="Times New Roman" w:hAnsi="Times New Roman"/>
                    </w:rPr>
                  </w:pPr>
                  <w:r>
                    <w:rPr>
                      <w:rFonts w:ascii="Times New Roman" w:hAnsi="Times New Roman"/>
                    </w:rPr>
                    <w:t>本项目均不涉及</w:t>
                  </w:r>
                </w:p>
              </w:tc>
              <w:tc>
                <w:tcPr>
                  <w:tcW w:w="715" w:type="pct"/>
                  <w:vAlign w:val="center"/>
                </w:tcPr>
                <w:p>
                  <w:pPr>
                    <w:autoSpaceDE w:val="0"/>
                    <w:autoSpaceDN w:val="0"/>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pPr>
                  <w:r>
                    <w:t>6</w:t>
                  </w:r>
                </w:p>
              </w:tc>
              <w:tc>
                <w:tcPr>
                  <w:tcW w:w="2156" w:type="pct"/>
                  <w:vAlign w:val="center"/>
                </w:tcPr>
                <w:p>
                  <w:pPr>
                    <w:pStyle w:val="13"/>
                    <w:jc w:val="center"/>
                    <w:rPr>
                      <w:rFonts w:ascii="Times New Roman" w:hAnsi="Times New Roman"/>
                    </w:rPr>
                  </w:pPr>
                  <w:r>
                    <w:rPr>
                      <w:rFonts w:ascii="Times New Roman" w:hAnsi="Times New Roman"/>
                    </w:rPr>
                    <w:t>禁止未经许可在长江干支流及湖泊新设、改设或扩大排污口。</w:t>
                  </w:r>
                </w:p>
              </w:tc>
              <w:tc>
                <w:tcPr>
                  <w:tcW w:w="1570" w:type="pct"/>
                  <w:vAlign w:val="center"/>
                </w:tcPr>
                <w:p>
                  <w:pPr>
                    <w:pStyle w:val="13"/>
                    <w:jc w:val="center"/>
                    <w:rPr>
                      <w:rFonts w:ascii="Times New Roman" w:hAnsi="Times New Roman"/>
                    </w:rPr>
                  </w:pPr>
                  <w:r>
                    <w:rPr>
                      <w:rFonts w:ascii="Times New Roman" w:hAnsi="Times New Roman"/>
                    </w:rPr>
                    <w:t>本项目均不涉及</w:t>
                  </w:r>
                </w:p>
              </w:tc>
              <w:tc>
                <w:tcPr>
                  <w:tcW w:w="715" w:type="pct"/>
                  <w:vAlign w:val="center"/>
                </w:tcPr>
                <w:p>
                  <w:pPr>
                    <w:autoSpaceDE w:val="0"/>
                    <w:autoSpaceDN w:val="0"/>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pPr>
                  <w:r>
                    <w:t>7</w:t>
                  </w:r>
                </w:p>
              </w:tc>
              <w:tc>
                <w:tcPr>
                  <w:tcW w:w="2156" w:type="pct"/>
                  <w:vAlign w:val="center"/>
                </w:tcPr>
                <w:p>
                  <w:pPr>
                    <w:pStyle w:val="13"/>
                    <w:jc w:val="center"/>
                    <w:rPr>
                      <w:rFonts w:ascii="Times New Roman" w:hAnsi="Times New Roman"/>
                    </w:rPr>
                  </w:pPr>
                  <w:r>
                    <w:rPr>
                      <w:rFonts w:ascii="Times New Roman" w:hAnsi="Times New Roman"/>
                    </w:rPr>
                    <w:t>禁止在“一江一口两湖七河”和332个水生生物保护区开展生产性捕捞。</w:t>
                  </w:r>
                </w:p>
              </w:tc>
              <w:tc>
                <w:tcPr>
                  <w:tcW w:w="1570" w:type="pct"/>
                  <w:vAlign w:val="center"/>
                </w:tcPr>
                <w:p>
                  <w:pPr>
                    <w:pStyle w:val="13"/>
                    <w:jc w:val="center"/>
                    <w:rPr>
                      <w:rFonts w:ascii="Times New Roman" w:hAnsi="Times New Roman"/>
                    </w:rPr>
                  </w:pPr>
                  <w:r>
                    <w:rPr>
                      <w:rFonts w:ascii="Times New Roman" w:hAnsi="Times New Roman"/>
                    </w:rPr>
                    <w:t>本项目均不涉及</w:t>
                  </w:r>
                </w:p>
              </w:tc>
              <w:tc>
                <w:tcPr>
                  <w:tcW w:w="715" w:type="pct"/>
                  <w:vAlign w:val="center"/>
                </w:tcPr>
                <w:p>
                  <w:pPr>
                    <w:autoSpaceDE w:val="0"/>
                    <w:autoSpaceDN w:val="0"/>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pPr>
                  <w:r>
                    <w:t>8</w:t>
                  </w:r>
                </w:p>
              </w:tc>
              <w:tc>
                <w:tcPr>
                  <w:tcW w:w="2156" w:type="pct"/>
                  <w:vAlign w:val="center"/>
                </w:tcPr>
                <w:p>
                  <w:pPr>
                    <w:pStyle w:val="13"/>
                    <w:jc w:val="center"/>
                    <w:rPr>
                      <w:rFonts w:ascii="Times New Roman" w:hAnsi="Times New Roman"/>
                    </w:rPr>
                  </w:pPr>
                  <w:r>
                    <w:rPr>
                      <w:rFonts w:ascii="Times New Roman" w:hAnsi="Times New Roman"/>
                    </w:rPr>
                    <w:t>禁止在长江干支流、重要湖泊岸线一公里范围内新建、扩建化工园区和化工项目。禁止在长江干流岸线三公里范围内和重要支流岸线一公里范围内新建、改建、扩建尾矿库、冶炼渣库和</w:t>
                  </w:r>
                </w:p>
                <w:p>
                  <w:pPr>
                    <w:pStyle w:val="13"/>
                    <w:jc w:val="center"/>
                    <w:rPr>
                      <w:rFonts w:ascii="Times New Roman" w:hAnsi="Times New Roman"/>
                    </w:rPr>
                  </w:pPr>
                  <w:r>
                    <w:rPr>
                      <w:rFonts w:ascii="Times New Roman" w:hAnsi="Times New Roman"/>
                    </w:rPr>
                    <w:t>磷石膏库，以提升安全、生态环境保护水平为目的的改建除外。</w:t>
                  </w:r>
                </w:p>
              </w:tc>
              <w:tc>
                <w:tcPr>
                  <w:tcW w:w="1570" w:type="pct"/>
                  <w:vAlign w:val="center"/>
                </w:tcPr>
                <w:p>
                  <w:pPr>
                    <w:pStyle w:val="13"/>
                    <w:jc w:val="center"/>
                    <w:rPr>
                      <w:rFonts w:ascii="Times New Roman" w:hAnsi="Times New Roman"/>
                    </w:rPr>
                  </w:pPr>
                  <w:r>
                    <w:rPr>
                      <w:rFonts w:ascii="Times New Roman" w:hAnsi="Times New Roman"/>
                    </w:rPr>
                    <w:t>本项目属于花卉栽培及热力供应项目，位于西运河西面1866m，西运河属于金沙江水系龙川江支流，不属于长江干支流流域。</w:t>
                  </w:r>
                </w:p>
              </w:tc>
              <w:tc>
                <w:tcPr>
                  <w:tcW w:w="715" w:type="pct"/>
                  <w:vAlign w:val="center"/>
                </w:tcPr>
                <w:p>
                  <w:pPr>
                    <w:autoSpaceDE w:val="0"/>
                    <w:autoSpaceDN w:val="0"/>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pPr>
                  <w:r>
                    <w:t>9</w:t>
                  </w:r>
                </w:p>
              </w:tc>
              <w:tc>
                <w:tcPr>
                  <w:tcW w:w="2156" w:type="pct"/>
                  <w:vAlign w:val="center"/>
                </w:tcPr>
                <w:p>
                  <w:pPr>
                    <w:pStyle w:val="13"/>
                    <w:jc w:val="center"/>
                    <w:rPr>
                      <w:rFonts w:ascii="Times New Roman" w:hAnsi="Times New Roman"/>
                    </w:rPr>
                  </w:pPr>
                  <w:r>
                    <w:rPr>
                      <w:rFonts w:ascii="Times New Roman" w:hAnsi="Times New Roman"/>
                    </w:rPr>
                    <w:t>禁止在合规园区外新建、扩建钢铁、石化、化工、焦化、建材、有色、制浆造纸</w:t>
                  </w:r>
                </w:p>
                <w:p>
                  <w:pPr>
                    <w:pStyle w:val="13"/>
                    <w:jc w:val="center"/>
                    <w:rPr>
                      <w:rFonts w:ascii="Times New Roman" w:hAnsi="Times New Roman"/>
                    </w:rPr>
                  </w:pPr>
                  <w:r>
                    <w:rPr>
                      <w:rFonts w:ascii="Times New Roman" w:hAnsi="Times New Roman"/>
                    </w:rPr>
                    <w:t>等高污染项目。</w:t>
                  </w:r>
                </w:p>
              </w:tc>
              <w:tc>
                <w:tcPr>
                  <w:tcW w:w="1570" w:type="pct"/>
                  <w:vAlign w:val="center"/>
                </w:tcPr>
                <w:p>
                  <w:pPr>
                    <w:pStyle w:val="13"/>
                    <w:jc w:val="center"/>
                    <w:rPr>
                      <w:rFonts w:ascii="Times New Roman" w:hAnsi="Times New Roman"/>
                    </w:rPr>
                  </w:pPr>
                  <w:r>
                    <w:rPr>
                      <w:rFonts w:ascii="Times New Roman" w:hAnsi="Times New Roman"/>
                    </w:rPr>
                    <w:t>项目位于姚安县光禄镇旧城村，属于花卉栽培及热力供应项目，不属于钢铁、石化等高污染项目</w:t>
                  </w:r>
                </w:p>
              </w:tc>
              <w:tc>
                <w:tcPr>
                  <w:tcW w:w="715" w:type="pct"/>
                  <w:vAlign w:val="center"/>
                </w:tcPr>
                <w:p>
                  <w:pPr>
                    <w:autoSpaceDE w:val="0"/>
                    <w:autoSpaceDN w:val="0"/>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pPr>
                  <w:r>
                    <w:t>10</w:t>
                  </w:r>
                </w:p>
              </w:tc>
              <w:tc>
                <w:tcPr>
                  <w:tcW w:w="2156" w:type="pct"/>
                  <w:vAlign w:val="center"/>
                </w:tcPr>
                <w:p>
                  <w:pPr>
                    <w:pStyle w:val="13"/>
                    <w:jc w:val="center"/>
                    <w:rPr>
                      <w:rFonts w:ascii="Times New Roman" w:hAnsi="Times New Roman"/>
                    </w:rPr>
                  </w:pPr>
                  <w:r>
                    <w:rPr>
                      <w:rFonts w:ascii="Times New Roman" w:hAnsi="Times New Roman"/>
                    </w:rPr>
                    <w:t>禁止新建、扩建不符合国家石化、现代煤化工等产业布局规划的项目。</w:t>
                  </w:r>
                </w:p>
              </w:tc>
              <w:tc>
                <w:tcPr>
                  <w:tcW w:w="1570" w:type="pct"/>
                  <w:vAlign w:val="center"/>
                </w:tcPr>
                <w:p>
                  <w:pPr>
                    <w:pStyle w:val="13"/>
                    <w:jc w:val="center"/>
                    <w:rPr>
                      <w:rFonts w:ascii="Times New Roman" w:hAnsi="Times New Roman"/>
                    </w:rPr>
                  </w:pPr>
                  <w:r>
                    <w:rPr>
                      <w:rFonts w:ascii="Times New Roman" w:hAnsi="Times New Roman"/>
                    </w:rPr>
                    <w:t>本项目不属于石化、现代煤化工项目。</w:t>
                  </w:r>
                </w:p>
              </w:tc>
              <w:tc>
                <w:tcPr>
                  <w:tcW w:w="715" w:type="pct"/>
                  <w:vAlign w:val="center"/>
                </w:tcPr>
                <w:p>
                  <w:pPr>
                    <w:autoSpaceDE w:val="0"/>
                    <w:autoSpaceDN w:val="0"/>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557" w:type="pct"/>
                  <w:vAlign w:val="center"/>
                </w:tcPr>
                <w:p>
                  <w:pPr>
                    <w:autoSpaceDE w:val="0"/>
                    <w:autoSpaceDN w:val="0"/>
                    <w:adjustRightInd w:val="0"/>
                    <w:snapToGrid w:val="0"/>
                    <w:jc w:val="center"/>
                  </w:pPr>
                  <w:r>
                    <w:t>11</w:t>
                  </w:r>
                </w:p>
              </w:tc>
              <w:tc>
                <w:tcPr>
                  <w:tcW w:w="2156" w:type="pct"/>
                  <w:vAlign w:val="center"/>
                </w:tcPr>
                <w:p>
                  <w:pPr>
                    <w:pStyle w:val="13"/>
                    <w:jc w:val="center"/>
                    <w:rPr>
                      <w:rFonts w:ascii="Times New Roman" w:hAnsi="Times New Roman"/>
                    </w:rPr>
                  </w:pPr>
                  <w:r>
                    <w:rPr>
                      <w:rFonts w:ascii="Times New Roman" w:hAnsi="Times New Roman"/>
                    </w:rPr>
                    <w:t>禁止新建、扩建法律法规和相关政策明令禁止的落后产能项目。禁止新建、扩</w:t>
                  </w:r>
                </w:p>
                <w:p>
                  <w:pPr>
                    <w:pStyle w:val="13"/>
                    <w:jc w:val="center"/>
                    <w:rPr>
                      <w:rFonts w:ascii="Times New Roman" w:hAnsi="Times New Roman"/>
                    </w:rPr>
                  </w:pPr>
                  <w:r>
                    <w:rPr>
                      <w:rFonts w:ascii="Times New Roman" w:hAnsi="Times New Roman"/>
                    </w:rPr>
                    <w:t>建不符合国家产能置换要求的严重过剩产能行业的项目。禁止新建、扩建不符合要求的高耗能高排放项目。</w:t>
                  </w:r>
                </w:p>
              </w:tc>
              <w:tc>
                <w:tcPr>
                  <w:tcW w:w="1570" w:type="pct"/>
                  <w:vAlign w:val="center"/>
                </w:tcPr>
                <w:p>
                  <w:pPr>
                    <w:pStyle w:val="13"/>
                    <w:jc w:val="center"/>
                    <w:rPr>
                      <w:rFonts w:ascii="Times New Roman" w:hAnsi="Times New Roman"/>
                    </w:rPr>
                  </w:pPr>
                  <w:r>
                    <w:rPr>
                      <w:rFonts w:ascii="Times New Roman" w:hAnsi="Times New Roman"/>
                    </w:rPr>
                    <w:t>根据前文产业政策符合性判定，本项目属于目录中的“</w:t>
                  </w:r>
                  <w:r>
                    <w:rPr>
                      <w:rFonts w:hint="eastAsia" w:ascii="Times New Roman" w:hAnsi="Times New Roman"/>
                    </w:rPr>
                    <w:t>允许类</w:t>
                  </w:r>
                  <w:r>
                    <w:rPr>
                      <w:rFonts w:ascii="Times New Roman" w:hAnsi="Times New Roman"/>
                    </w:rPr>
                    <w:t>”，项目符合国</w:t>
                  </w:r>
                </w:p>
                <w:p>
                  <w:pPr>
                    <w:pStyle w:val="13"/>
                    <w:rPr>
                      <w:rFonts w:ascii="Times New Roman" w:hAnsi="Times New Roman"/>
                    </w:rPr>
                  </w:pPr>
                  <w:r>
                    <w:rPr>
                      <w:rFonts w:ascii="Times New Roman" w:hAnsi="Times New Roman"/>
                    </w:rPr>
                    <w:t>家和地方产业政策，不属于禁止落后产能项目，不属于过剩产能行业项目，不属于高耗能高排放项目。</w:t>
                  </w:r>
                </w:p>
              </w:tc>
              <w:tc>
                <w:tcPr>
                  <w:tcW w:w="715" w:type="pct"/>
                  <w:vAlign w:val="center"/>
                </w:tcPr>
                <w:p>
                  <w:pPr>
                    <w:autoSpaceDE w:val="0"/>
                    <w:autoSpaceDN w:val="0"/>
                    <w:adjustRightInd w:val="0"/>
                    <w:snapToGrid w:val="0"/>
                    <w:jc w:val="center"/>
                  </w:pPr>
                  <w:r>
                    <w:t>符合</w:t>
                  </w:r>
                </w:p>
              </w:tc>
            </w:tr>
          </w:tbl>
          <w:p>
            <w:pPr>
              <w:autoSpaceDE w:val="0"/>
              <w:autoSpaceDN w:val="0"/>
              <w:adjustRightInd w:val="0"/>
              <w:snapToGrid w:val="0"/>
              <w:spacing w:line="360" w:lineRule="auto"/>
              <w:jc w:val="center"/>
              <w:rPr>
                <w:b/>
                <w:bCs/>
                <w:sz w:val="24"/>
              </w:rPr>
            </w:pPr>
            <w:r>
              <w:rPr>
                <w:b/>
                <w:bCs/>
                <w:sz w:val="24"/>
              </w:rPr>
              <w:t>表1-3项目与“云南省长江经济带负面清单指南实施细则（试行，2022版）”相符性</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28" w:type="dxa"/>
                <w:bottom w:w="11" w:type="dxa"/>
                <w:right w:w="28" w:type="dxa"/>
              </w:tblCellMar>
            </w:tblPr>
            <w:tblGrid>
              <w:gridCol w:w="582"/>
              <w:gridCol w:w="3066"/>
              <w:gridCol w:w="2807"/>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398" w:type="pct"/>
                  <w:vAlign w:val="center"/>
                </w:tcPr>
                <w:p>
                  <w:pPr>
                    <w:adjustRightInd w:val="0"/>
                    <w:snapToGrid w:val="0"/>
                    <w:jc w:val="center"/>
                    <w:rPr>
                      <w:b/>
                      <w:bCs/>
                    </w:rPr>
                  </w:pPr>
                  <w:r>
                    <w:rPr>
                      <w:b/>
                      <w:bCs/>
                    </w:rPr>
                    <w:t>序号</w:t>
                  </w:r>
                </w:p>
              </w:tc>
              <w:tc>
                <w:tcPr>
                  <w:tcW w:w="2097" w:type="pct"/>
                  <w:vAlign w:val="center"/>
                </w:tcPr>
                <w:p>
                  <w:pPr>
                    <w:adjustRightInd w:val="0"/>
                    <w:snapToGrid w:val="0"/>
                    <w:jc w:val="center"/>
                    <w:rPr>
                      <w:b/>
                      <w:bCs/>
                    </w:rPr>
                  </w:pPr>
                  <w:r>
                    <w:rPr>
                      <w:b/>
                      <w:bCs/>
                    </w:rPr>
                    <w:t>实施细则相关要求</w:t>
                  </w:r>
                </w:p>
              </w:tc>
              <w:tc>
                <w:tcPr>
                  <w:tcW w:w="1920" w:type="pct"/>
                  <w:vAlign w:val="center"/>
                </w:tcPr>
                <w:p>
                  <w:pPr>
                    <w:adjustRightInd w:val="0"/>
                    <w:snapToGrid w:val="0"/>
                    <w:jc w:val="center"/>
                    <w:rPr>
                      <w:b/>
                      <w:bCs/>
                    </w:rPr>
                  </w:pPr>
                  <w:r>
                    <w:rPr>
                      <w:b/>
                      <w:bCs/>
                    </w:rPr>
                    <w:t>项目情况</w:t>
                  </w:r>
                </w:p>
              </w:tc>
              <w:tc>
                <w:tcPr>
                  <w:tcW w:w="584" w:type="pct"/>
                  <w:vAlign w:val="center"/>
                </w:tcPr>
                <w:p>
                  <w:pPr>
                    <w:adjustRightInd w:val="0"/>
                    <w:snapToGrid w:val="0"/>
                    <w:jc w:val="center"/>
                    <w:rPr>
                      <w:b/>
                      <w:bCs/>
                    </w:rPr>
                  </w:pPr>
                  <w:r>
                    <w:rPr>
                      <w:b/>
                      <w:bCs/>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398" w:type="pct"/>
                  <w:vAlign w:val="center"/>
                </w:tcPr>
                <w:p>
                  <w:pPr>
                    <w:adjustRightInd w:val="0"/>
                    <w:snapToGrid w:val="0"/>
                    <w:jc w:val="center"/>
                  </w:pPr>
                  <w:r>
                    <w:t>1</w:t>
                  </w:r>
                </w:p>
              </w:tc>
              <w:tc>
                <w:tcPr>
                  <w:tcW w:w="2097" w:type="pct"/>
                  <w:vAlign w:val="center"/>
                </w:tcPr>
                <w:p>
                  <w:pPr>
                    <w:adjustRightInd w:val="0"/>
                    <w:snapToGrid w:val="0"/>
                  </w:pPr>
                  <w:r>
                    <w:t>禁止新建、改建和扩建不符合《全国内河航道与港口布局规划》等全国港口规划和《昭通市港口码头岸线规划（金沙江段2019年</w:t>
                  </w:r>
                  <w:r>
                    <w:rPr>
                      <w:rFonts w:hint="eastAsia"/>
                    </w:rPr>
                    <w:t>—</w:t>
                  </w:r>
                  <w:r>
                    <w:t>2035年）</w:t>
                  </w:r>
                  <w:r>
                    <w:rPr>
                      <w:rFonts w:hint="eastAsia"/>
                    </w:rPr>
                    <w:t>》《</w:t>
                  </w:r>
                  <w:r>
                    <w:t>景洪港总体规划（2019</w:t>
                  </w:r>
                  <w:r>
                    <w:rPr>
                      <w:rFonts w:hint="eastAsia"/>
                    </w:rPr>
                    <w:t>—</w:t>
                  </w:r>
                  <w:r>
                    <w:t>2035年）》等州（市）级以上港口布局规划以及港口总体规划的码头项目。</w:t>
                  </w:r>
                </w:p>
              </w:tc>
              <w:tc>
                <w:tcPr>
                  <w:tcW w:w="1920" w:type="pct"/>
                  <w:vAlign w:val="center"/>
                </w:tcPr>
                <w:p>
                  <w:pPr>
                    <w:adjustRightInd w:val="0"/>
                    <w:snapToGrid w:val="0"/>
                  </w:pPr>
                  <w:r>
                    <w:t>本项目属于花卉栽培及热力供应项目，不属于码头项目，不涉及全国内河航道与港口布局规划等全国港口规划和《昭通市港口码头岸线规划（金沙江段2019年</w:t>
                  </w:r>
                  <w:r>
                    <w:rPr>
                      <w:rFonts w:hint="eastAsia"/>
                    </w:rPr>
                    <w:t>—</w:t>
                  </w:r>
                  <w:r>
                    <w:t>2035年）</w:t>
                  </w:r>
                  <w:r>
                    <w:rPr>
                      <w:rFonts w:hint="eastAsia"/>
                    </w:rPr>
                    <w:t>》《</w:t>
                  </w:r>
                  <w:r>
                    <w:t>景洪港总体规划（2019</w:t>
                  </w:r>
                  <w:r>
                    <w:rPr>
                      <w:rFonts w:hint="eastAsia"/>
                    </w:rPr>
                    <w:t>—</w:t>
                  </w:r>
                  <w:r>
                    <w:t>2035年）》等州（市）级以上港口布局规划以及港口总体规划的码头项目。</w:t>
                  </w:r>
                </w:p>
              </w:tc>
              <w:tc>
                <w:tcPr>
                  <w:tcW w:w="584" w:type="pct"/>
                  <w:vAlign w:val="center"/>
                </w:tcPr>
                <w:p>
                  <w:pPr>
                    <w:adjustRightInd w:val="0"/>
                    <w:snapToGrid w:val="0"/>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398" w:type="pct"/>
                  <w:vAlign w:val="center"/>
                </w:tcPr>
                <w:p>
                  <w:pPr>
                    <w:adjustRightInd w:val="0"/>
                    <w:snapToGrid w:val="0"/>
                    <w:jc w:val="center"/>
                  </w:pPr>
                  <w:r>
                    <w:t>2</w:t>
                  </w:r>
                </w:p>
              </w:tc>
              <w:tc>
                <w:tcPr>
                  <w:tcW w:w="2097" w:type="pct"/>
                  <w:vAlign w:val="center"/>
                </w:tcPr>
                <w:p>
                  <w:pPr>
                    <w:adjustRightInd w:val="0"/>
                    <w:snapToGrid w:val="0"/>
                  </w:pPr>
                  <w: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1920" w:type="pct"/>
                  <w:vAlign w:val="center"/>
                </w:tcPr>
                <w:p>
                  <w:pPr>
                    <w:adjustRightInd w:val="0"/>
                    <w:snapToGrid w:val="0"/>
                  </w:pPr>
                  <w:r>
                    <w:t>项目位于姚安县光禄镇旧城村，距离项目区最近的自然保护区为三峰山自然保护区，距离项目区约19km，不位于其核心区、缓冲区、试验区，本项目属于花卉栽培及热力供应项目，不涉及旅游项目，不涉及开矿、采石、挖沙等活动。</w:t>
                  </w:r>
                </w:p>
              </w:tc>
              <w:tc>
                <w:tcPr>
                  <w:tcW w:w="584" w:type="pct"/>
                  <w:vAlign w:val="center"/>
                </w:tcPr>
                <w:p>
                  <w:pPr>
                    <w:adjustRightInd w:val="0"/>
                    <w:snapToGrid w:val="0"/>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398" w:type="pct"/>
                  <w:vAlign w:val="center"/>
                </w:tcPr>
                <w:p>
                  <w:pPr>
                    <w:adjustRightInd w:val="0"/>
                    <w:snapToGrid w:val="0"/>
                    <w:jc w:val="center"/>
                  </w:pPr>
                  <w:r>
                    <w:t>3</w:t>
                  </w:r>
                </w:p>
              </w:tc>
              <w:tc>
                <w:tcPr>
                  <w:tcW w:w="2097" w:type="pct"/>
                  <w:vAlign w:val="center"/>
                </w:tcPr>
                <w:p>
                  <w:pPr>
                    <w:adjustRightInd w:val="0"/>
                    <w:snapToGrid w:val="0"/>
                  </w:pPr>
                  <w: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1920" w:type="pct"/>
                  <w:vAlign w:val="center"/>
                </w:tcPr>
                <w:p>
                  <w:pPr>
                    <w:adjustRightInd w:val="0"/>
                    <w:snapToGrid w:val="0"/>
                    <w:jc w:val="left"/>
                  </w:pPr>
                  <w:r>
                    <w:t>项目位于姚安县光禄镇旧城村，不涉及风景名胜区。</w:t>
                  </w:r>
                </w:p>
              </w:tc>
              <w:tc>
                <w:tcPr>
                  <w:tcW w:w="584" w:type="pct"/>
                  <w:vAlign w:val="center"/>
                </w:tcPr>
                <w:p>
                  <w:pPr>
                    <w:adjustRightInd w:val="0"/>
                    <w:snapToGrid w:val="0"/>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398" w:type="pct"/>
                  <w:vAlign w:val="center"/>
                </w:tcPr>
                <w:p>
                  <w:pPr>
                    <w:adjustRightInd w:val="0"/>
                    <w:snapToGrid w:val="0"/>
                    <w:jc w:val="center"/>
                  </w:pPr>
                  <w:r>
                    <w:t>4</w:t>
                  </w:r>
                </w:p>
              </w:tc>
              <w:tc>
                <w:tcPr>
                  <w:tcW w:w="2097" w:type="pct"/>
                  <w:vAlign w:val="center"/>
                </w:tcPr>
                <w:p>
                  <w:pPr>
                    <w:adjustRightInd w:val="0"/>
                    <w:snapToGrid w:val="0"/>
                  </w:pPr>
                  <w: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1920" w:type="pct"/>
                  <w:vAlign w:val="center"/>
                </w:tcPr>
                <w:p>
                  <w:pPr>
                    <w:adjustRightInd w:val="0"/>
                    <w:snapToGrid w:val="0"/>
                  </w:pPr>
                  <w:r>
                    <w:t>最近的饮用水源地为洋派水库，位于项目区西南侧，距离项目区约3.2km，项目不</w:t>
                  </w:r>
                  <w:r>
                    <w:rPr>
                      <w:rFonts w:hint="eastAsia"/>
                    </w:rPr>
                    <w:t>在</w:t>
                  </w:r>
                  <w:r>
                    <w:t>其一级保护区、二级保护区</w:t>
                  </w:r>
                  <w:r>
                    <w:rPr>
                      <w:rFonts w:hint="eastAsia"/>
                    </w:rPr>
                    <w:t>范围</w:t>
                  </w:r>
                  <w:r>
                    <w:t>内。</w:t>
                  </w:r>
                </w:p>
              </w:tc>
              <w:tc>
                <w:tcPr>
                  <w:tcW w:w="584" w:type="pct"/>
                  <w:vAlign w:val="center"/>
                </w:tcPr>
                <w:p>
                  <w:pPr>
                    <w:adjustRightInd w:val="0"/>
                    <w:snapToGrid w:val="0"/>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398" w:type="pct"/>
                  <w:vAlign w:val="center"/>
                </w:tcPr>
                <w:p>
                  <w:pPr>
                    <w:adjustRightInd w:val="0"/>
                    <w:snapToGrid w:val="0"/>
                    <w:jc w:val="center"/>
                  </w:pPr>
                  <w:r>
                    <w:t>5</w:t>
                  </w:r>
                </w:p>
              </w:tc>
              <w:tc>
                <w:tcPr>
                  <w:tcW w:w="2097" w:type="pct"/>
                  <w:vAlign w:val="center"/>
                </w:tcPr>
                <w:p>
                  <w:pPr>
                    <w:adjustRightInd w:val="0"/>
                    <w:snapToGrid w:val="0"/>
                  </w:pPr>
                  <w:r>
                    <w:t>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1920" w:type="pct"/>
                  <w:vAlign w:val="center"/>
                </w:tcPr>
                <w:p>
                  <w:pPr>
                    <w:adjustRightInd w:val="0"/>
                    <w:snapToGrid w:val="0"/>
                  </w:pPr>
                  <w:r>
                    <w:t>项目位于姚安县光禄镇旧城村，项目最近地表水体为1866m的西运河，不属于水产种质资源保护区：项目不涉及国家湿地公园。</w:t>
                  </w:r>
                </w:p>
              </w:tc>
              <w:tc>
                <w:tcPr>
                  <w:tcW w:w="584" w:type="pct"/>
                  <w:vAlign w:val="center"/>
                </w:tcPr>
                <w:p>
                  <w:pPr>
                    <w:adjustRightInd w:val="0"/>
                    <w:snapToGrid w:val="0"/>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398" w:type="pct"/>
                  <w:vAlign w:val="center"/>
                </w:tcPr>
                <w:p>
                  <w:pPr>
                    <w:adjustRightInd w:val="0"/>
                    <w:snapToGrid w:val="0"/>
                    <w:jc w:val="center"/>
                  </w:pPr>
                  <w:r>
                    <w:t>6</w:t>
                  </w:r>
                </w:p>
              </w:tc>
              <w:tc>
                <w:tcPr>
                  <w:tcW w:w="2097" w:type="pct"/>
                  <w:vAlign w:val="center"/>
                </w:tcPr>
                <w:p>
                  <w:pPr>
                    <w:adjustRightInd w:val="0"/>
                    <w:snapToGrid w:val="0"/>
                  </w:pPr>
                  <w: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1920" w:type="pct"/>
                  <w:vAlign w:val="center"/>
                </w:tcPr>
                <w:p>
                  <w:pPr>
                    <w:adjustRightInd w:val="0"/>
                    <w:snapToGrid w:val="0"/>
                  </w:pPr>
                  <w:r>
                    <w:t>项目位于姚安县光禄镇旧城村，不涉及占用利用、占用长江流域河湖岸线：不</w:t>
                  </w:r>
                  <w:r>
                    <w:rPr>
                      <w:rFonts w:hint="eastAsia"/>
                    </w:rPr>
                    <w:t>涉及</w:t>
                  </w:r>
                  <w:r>
                    <w:t>金沙江岸线保护区和保留区内：项目最近地表水体为1866m的西运河，不属于金沙江干流、九大高原湖泊保护区、保留区。</w:t>
                  </w:r>
                </w:p>
              </w:tc>
              <w:tc>
                <w:tcPr>
                  <w:tcW w:w="584" w:type="pct"/>
                  <w:vAlign w:val="center"/>
                </w:tcPr>
                <w:p>
                  <w:pPr>
                    <w:adjustRightInd w:val="0"/>
                    <w:snapToGrid w:val="0"/>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398" w:type="pct"/>
                  <w:vAlign w:val="center"/>
                </w:tcPr>
                <w:p>
                  <w:pPr>
                    <w:adjustRightInd w:val="0"/>
                    <w:snapToGrid w:val="0"/>
                    <w:jc w:val="center"/>
                  </w:pPr>
                  <w:r>
                    <w:t>7</w:t>
                  </w:r>
                </w:p>
              </w:tc>
              <w:tc>
                <w:tcPr>
                  <w:tcW w:w="2097" w:type="pct"/>
                  <w:vAlign w:val="center"/>
                </w:tcPr>
                <w:p>
                  <w:pPr>
                    <w:adjustRightInd w:val="0"/>
                    <w:snapToGrid w:val="0"/>
                  </w:pPr>
                  <w: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1920" w:type="pct"/>
                  <w:vAlign w:val="center"/>
                </w:tcPr>
                <w:p>
                  <w:pPr>
                    <w:adjustRightInd w:val="0"/>
                    <w:snapToGrid w:val="0"/>
                  </w:pPr>
                  <w:r>
                    <w:t>项目最近地表水体为1866m的西运河，不属于金沙江干流、长江一级支流：项目不涉及在金沙江干流、长江一级支流、九大高原湖泊流域新设、改设或扩大排污口。</w:t>
                  </w:r>
                </w:p>
              </w:tc>
              <w:tc>
                <w:tcPr>
                  <w:tcW w:w="584" w:type="pct"/>
                  <w:vAlign w:val="center"/>
                </w:tcPr>
                <w:p>
                  <w:pPr>
                    <w:adjustRightInd w:val="0"/>
                    <w:snapToGrid w:val="0"/>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398" w:type="pct"/>
                  <w:vAlign w:val="center"/>
                </w:tcPr>
                <w:p>
                  <w:pPr>
                    <w:adjustRightInd w:val="0"/>
                    <w:snapToGrid w:val="0"/>
                    <w:jc w:val="center"/>
                  </w:pPr>
                  <w:r>
                    <w:t>8</w:t>
                  </w:r>
                </w:p>
              </w:tc>
              <w:tc>
                <w:tcPr>
                  <w:tcW w:w="2097" w:type="pct"/>
                  <w:vAlign w:val="center"/>
                </w:tcPr>
                <w:p>
                  <w:pPr>
                    <w:adjustRightInd w:val="0"/>
                    <w:snapToGrid w:val="0"/>
                  </w:pPr>
                  <w:r>
                    <w:t>禁止在金沙江干流、长江一级支流、水生生物保护区和长江流域禁捕水域开展天然渔业资源生产性捕捞。</w:t>
                  </w:r>
                </w:p>
              </w:tc>
              <w:tc>
                <w:tcPr>
                  <w:tcW w:w="1920" w:type="pct"/>
                  <w:vAlign w:val="center"/>
                </w:tcPr>
                <w:p>
                  <w:pPr>
                    <w:adjustRightInd w:val="0"/>
                    <w:snapToGrid w:val="0"/>
                  </w:pPr>
                  <w:r>
                    <w:t>项目位于姚安县光禄镇旧城村，属于花卉栽培及热力供应项目，项目不涉及在金沙江干流、长江一级支流，不涉及天然渔业资源生产性捕捞活动。</w:t>
                  </w:r>
                </w:p>
              </w:tc>
              <w:tc>
                <w:tcPr>
                  <w:tcW w:w="584" w:type="pct"/>
                  <w:vAlign w:val="center"/>
                </w:tcPr>
                <w:p>
                  <w:pPr>
                    <w:adjustRightInd w:val="0"/>
                    <w:snapToGrid w:val="0"/>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398" w:type="pct"/>
                  <w:vAlign w:val="center"/>
                </w:tcPr>
                <w:p>
                  <w:pPr>
                    <w:adjustRightInd w:val="0"/>
                    <w:snapToGrid w:val="0"/>
                    <w:jc w:val="center"/>
                  </w:pPr>
                  <w:r>
                    <w:t>9</w:t>
                  </w:r>
                </w:p>
              </w:tc>
              <w:tc>
                <w:tcPr>
                  <w:tcW w:w="2097" w:type="pct"/>
                  <w:vAlign w:val="center"/>
                </w:tcPr>
                <w:p>
                  <w:pPr>
                    <w:adjustRightInd w:val="0"/>
                    <w:snapToGrid w:val="0"/>
                  </w:pPr>
                  <w: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w:t>
                  </w:r>
                </w:p>
                <w:p>
                  <w:pPr>
                    <w:adjustRightInd w:val="0"/>
                    <w:snapToGrid w:val="0"/>
                  </w:pPr>
                  <w:r>
                    <w:t>除外。</w:t>
                  </w:r>
                </w:p>
                <w:p>
                  <w:pPr>
                    <w:adjustRightInd w:val="0"/>
                    <w:snapToGrid w:val="0"/>
                  </w:pPr>
                </w:p>
              </w:tc>
              <w:tc>
                <w:tcPr>
                  <w:tcW w:w="1920" w:type="pct"/>
                  <w:vAlign w:val="center"/>
                </w:tcPr>
                <w:p>
                  <w:pPr>
                    <w:adjustRightInd w:val="0"/>
                    <w:snapToGrid w:val="0"/>
                  </w:pPr>
                  <w:r>
                    <w:t>本项目位于西运河西面1866m，西运河属于金沙江水系龙川江支流，不属于金沙江干流，长江一级支流和九大高原湖泊岸线一公里范围内：项目属于花卉栽培及热力供应项目，不涉及新建、改建、扩建尾矿库、冶炼渣库和磷石膏库。</w:t>
                  </w:r>
                </w:p>
              </w:tc>
              <w:tc>
                <w:tcPr>
                  <w:tcW w:w="584" w:type="pct"/>
                  <w:vAlign w:val="center"/>
                </w:tcPr>
                <w:p>
                  <w:pPr>
                    <w:adjustRightInd w:val="0"/>
                    <w:snapToGrid w:val="0"/>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398" w:type="pct"/>
                  <w:vAlign w:val="center"/>
                </w:tcPr>
                <w:p>
                  <w:pPr>
                    <w:adjustRightInd w:val="0"/>
                    <w:snapToGrid w:val="0"/>
                    <w:jc w:val="center"/>
                  </w:pPr>
                  <w:r>
                    <w:t>10</w:t>
                  </w:r>
                </w:p>
              </w:tc>
              <w:tc>
                <w:tcPr>
                  <w:tcW w:w="2097" w:type="pct"/>
                  <w:vAlign w:val="center"/>
                </w:tcPr>
                <w:p>
                  <w:pPr>
                    <w:adjustRightInd w:val="0"/>
                    <w:snapToGrid w:val="0"/>
                  </w:pPr>
                  <w:r>
                    <w:t>禁止在合规园区外新建、扩建钢铁、石化、化工、焦化、建材、有色、制浆造纸行业中的高污染项目。</w:t>
                  </w:r>
                </w:p>
              </w:tc>
              <w:tc>
                <w:tcPr>
                  <w:tcW w:w="1920" w:type="pct"/>
                  <w:vAlign w:val="center"/>
                </w:tcPr>
                <w:p>
                  <w:pPr>
                    <w:adjustRightInd w:val="0"/>
                    <w:snapToGrid w:val="0"/>
                  </w:pPr>
                  <w:r>
                    <w:t>本项目属于花卉栽培及热力供应项目，在租赁地块新建厂房，租赁地块为其他用地。</w:t>
                  </w:r>
                </w:p>
              </w:tc>
              <w:tc>
                <w:tcPr>
                  <w:tcW w:w="584" w:type="pct"/>
                  <w:vAlign w:val="center"/>
                </w:tcPr>
                <w:p>
                  <w:pPr>
                    <w:adjustRightInd w:val="0"/>
                    <w:snapToGrid w:val="0"/>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398" w:type="pct"/>
                  <w:vAlign w:val="center"/>
                </w:tcPr>
                <w:p>
                  <w:pPr>
                    <w:adjustRightInd w:val="0"/>
                    <w:snapToGrid w:val="0"/>
                    <w:jc w:val="center"/>
                  </w:pPr>
                  <w:r>
                    <w:t>11</w:t>
                  </w:r>
                </w:p>
              </w:tc>
              <w:tc>
                <w:tcPr>
                  <w:tcW w:w="2097" w:type="pct"/>
                  <w:vAlign w:val="center"/>
                </w:tcPr>
                <w:p>
                  <w:pPr>
                    <w:adjustRightInd w:val="0"/>
                    <w:snapToGrid w:val="0"/>
                  </w:pPr>
                  <w:r>
                    <w:t>禁止新建、扩建不符合国家石化、现代煤化工等产业布局规划的项目。禁止列入《云南省城镇人口密集区危险化学品生产企业搬迁改造名单》的搬迁改造企业在原址新建、扩建危险化学品生产项目。</w:t>
                  </w:r>
                </w:p>
              </w:tc>
              <w:tc>
                <w:tcPr>
                  <w:tcW w:w="1920" w:type="pct"/>
                  <w:vAlign w:val="center"/>
                </w:tcPr>
                <w:p>
                  <w:pPr>
                    <w:adjustRightInd w:val="0"/>
                    <w:snapToGrid w:val="0"/>
                  </w:pPr>
                  <w:r>
                    <w:t>项目属于花卉栽培及热力供应项目，不涉及新建、扩建不符合国家石化、现代煤化工等产业布局规划的项目：项目不属于《云南省城镇人口密集区危险化学品生产企业搬迁改造名单》的搬迁改造企业。</w:t>
                  </w:r>
                </w:p>
              </w:tc>
              <w:tc>
                <w:tcPr>
                  <w:tcW w:w="584" w:type="pct"/>
                  <w:vAlign w:val="center"/>
                </w:tcPr>
                <w:p>
                  <w:pPr>
                    <w:adjustRightInd w:val="0"/>
                    <w:snapToGrid w:val="0"/>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398" w:type="pct"/>
                  <w:vAlign w:val="center"/>
                </w:tcPr>
                <w:p>
                  <w:pPr>
                    <w:adjustRightInd w:val="0"/>
                    <w:snapToGrid w:val="0"/>
                    <w:jc w:val="center"/>
                  </w:pPr>
                  <w:r>
                    <w:t>12</w:t>
                  </w:r>
                </w:p>
              </w:tc>
              <w:tc>
                <w:tcPr>
                  <w:tcW w:w="2097" w:type="pct"/>
                  <w:vAlign w:val="center"/>
                </w:tcPr>
                <w:p>
                  <w:pPr>
                    <w:adjustRightInd w:val="0"/>
                    <w:snapToGrid w:val="0"/>
                  </w:pPr>
                  <w: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1920" w:type="pct"/>
                  <w:vAlign w:val="center"/>
                </w:tcPr>
                <w:p>
                  <w:pPr>
                    <w:adjustRightInd w:val="0"/>
                    <w:snapToGrid w:val="0"/>
                  </w:pPr>
                  <w:r>
                    <w:t>根据前文产业政策符合性判定，本项目属于目录中的“允许类”，所以项目符合国家现行产业政策要求。不属于依法依规关停退出能耗、环保、质量、安全不达标产能和技术落后产能：项目符合《产业结构调整指导目录（2021年修订）》，不属于国家产能置换要求的严重过剩产能行业的项目：不属于高耗能高排放项目。项目不涉及建设高毒高残留以及对环境影响大的农药原药生产装置：不涉及尿素、磷铵、电石、焦炭、黄磷、烧碱、纯碱、聚氯乙烯等行业新增产能。</w:t>
                  </w:r>
                </w:p>
              </w:tc>
              <w:tc>
                <w:tcPr>
                  <w:tcW w:w="584" w:type="pct"/>
                  <w:vAlign w:val="center"/>
                </w:tcPr>
                <w:p>
                  <w:pPr>
                    <w:adjustRightInd w:val="0"/>
                    <w:snapToGrid w:val="0"/>
                    <w:jc w:val="center"/>
                  </w:pPr>
                  <w:r>
                    <w:t>相符</w:t>
                  </w:r>
                </w:p>
              </w:tc>
            </w:tr>
          </w:tbl>
          <w:p>
            <w:pPr>
              <w:numPr>
                <w:ilvl w:val="0"/>
                <w:numId w:val="1"/>
              </w:numPr>
              <w:autoSpaceDE w:val="0"/>
              <w:autoSpaceDN w:val="0"/>
              <w:adjustRightInd w:val="0"/>
              <w:snapToGrid w:val="0"/>
              <w:spacing w:line="360" w:lineRule="auto"/>
              <w:jc w:val="left"/>
              <w:rPr>
                <w:sz w:val="24"/>
              </w:rPr>
            </w:pPr>
            <w:r>
              <w:rPr>
                <w:sz w:val="24"/>
              </w:rPr>
              <w:t>“三线一单”相符性</w:t>
            </w:r>
          </w:p>
          <w:p>
            <w:pPr>
              <w:autoSpaceDE w:val="0"/>
              <w:autoSpaceDN w:val="0"/>
              <w:adjustRightInd w:val="0"/>
              <w:snapToGrid w:val="0"/>
              <w:spacing w:line="360" w:lineRule="auto"/>
              <w:ind w:firstLine="480" w:firstLineChars="200"/>
              <w:jc w:val="left"/>
              <w:rPr>
                <w:sz w:val="24"/>
              </w:rPr>
            </w:pPr>
            <w:r>
              <w:rPr>
                <w:sz w:val="24"/>
              </w:rPr>
              <w:t>根据《云南省人民政府关于实施“三线一单”生态环境分区管控的意见》（云政发</w:t>
            </w:r>
            <w:r>
              <w:rPr>
                <w:rFonts w:hint="eastAsia"/>
                <w:sz w:val="24"/>
              </w:rPr>
              <w:t>〔</w:t>
            </w:r>
            <w:r>
              <w:rPr>
                <w:sz w:val="24"/>
              </w:rPr>
              <w:t>2020</w:t>
            </w:r>
            <w:r>
              <w:rPr>
                <w:rFonts w:hint="eastAsia"/>
                <w:sz w:val="24"/>
              </w:rPr>
              <w:t>〕</w:t>
            </w:r>
            <w:r>
              <w:rPr>
                <w:sz w:val="24"/>
              </w:rPr>
              <w:t>29号）要求，切实加强环境影响评价管理，落实“生态保护红线、环境质量底线、资源利用上线和环境准入负面清单”约束，建立项目环评审批与规划、现有项目环境管理、区域环境质量联动机制，更好地发挥环评制度从源头防范环境污染和生态破坏的作用，加强推进改善环境质量。判定本项目与“三线一单”相符性如下表。</w:t>
            </w:r>
          </w:p>
          <w:p>
            <w:pPr>
              <w:autoSpaceDE w:val="0"/>
              <w:autoSpaceDN w:val="0"/>
              <w:adjustRightInd w:val="0"/>
              <w:snapToGrid w:val="0"/>
              <w:spacing w:line="360" w:lineRule="auto"/>
              <w:ind w:firstLine="480" w:firstLineChars="200"/>
              <w:jc w:val="center"/>
              <w:rPr>
                <w:sz w:val="24"/>
              </w:rPr>
            </w:pPr>
            <w:r>
              <w:rPr>
                <w:b/>
                <w:bCs/>
                <w:sz w:val="24"/>
              </w:rPr>
              <w:t>表1-4项目与“三线一单”相符性</w:t>
            </w:r>
          </w:p>
          <w:tbl>
            <w:tblPr>
              <w:tblStyle w:val="26"/>
              <w:tblW w:w="7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28" w:type="dxa"/>
                <w:bottom w:w="11" w:type="dxa"/>
                <w:right w:w="28" w:type="dxa"/>
              </w:tblCellMar>
            </w:tblPr>
            <w:tblGrid>
              <w:gridCol w:w="736"/>
              <w:gridCol w:w="921"/>
              <w:gridCol w:w="2682"/>
              <w:gridCol w:w="1984"/>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736" w:type="dxa"/>
                  <w:noWrap/>
                  <w:vAlign w:val="center"/>
                </w:tcPr>
                <w:p>
                  <w:pPr>
                    <w:adjustRightInd w:val="0"/>
                    <w:snapToGrid w:val="0"/>
                    <w:jc w:val="center"/>
                    <w:rPr>
                      <w:b/>
                      <w:bCs/>
                      <w:szCs w:val="21"/>
                    </w:rPr>
                  </w:pPr>
                  <w:r>
                    <w:rPr>
                      <w:b/>
                      <w:bCs/>
                      <w:szCs w:val="21"/>
                    </w:rPr>
                    <w:t>序号</w:t>
                  </w:r>
                </w:p>
              </w:tc>
              <w:tc>
                <w:tcPr>
                  <w:tcW w:w="921" w:type="dxa"/>
                  <w:noWrap/>
                  <w:vAlign w:val="center"/>
                </w:tcPr>
                <w:p>
                  <w:pPr>
                    <w:adjustRightInd w:val="0"/>
                    <w:snapToGrid w:val="0"/>
                    <w:jc w:val="center"/>
                    <w:rPr>
                      <w:b/>
                      <w:bCs/>
                      <w:szCs w:val="21"/>
                    </w:rPr>
                  </w:pPr>
                  <w:r>
                    <w:rPr>
                      <w:b/>
                      <w:bCs/>
                      <w:szCs w:val="21"/>
                    </w:rPr>
                    <w:t>内容</w:t>
                  </w:r>
                </w:p>
              </w:tc>
              <w:tc>
                <w:tcPr>
                  <w:tcW w:w="2682" w:type="dxa"/>
                  <w:noWrap/>
                  <w:vAlign w:val="center"/>
                </w:tcPr>
                <w:p>
                  <w:pPr>
                    <w:adjustRightInd w:val="0"/>
                    <w:snapToGrid w:val="0"/>
                    <w:jc w:val="center"/>
                    <w:rPr>
                      <w:b/>
                      <w:bCs/>
                      <w:szCs w:val="21"/>
                    </w:rPr>
                  </w:pPr>
                  <w:r>
                    <w:rPr>
                      <w:b/>
                      <w:bCs/>
                      <w:szCs w:val="21"/>
                    </w:rPr>
                    <w:t>要求</w:t>
                  </w:r>
                </w:p>
              </w:tc>
              <w:tc>
                <w:tcPr>
                  <w:tcW w:w="1984" w:type="dxa"/>
                  <w:noWrap/>
                  <w:vAlign w:val="center"/>
                </w:tcPr>
                <w:p>
                  <w:pPr>
                    <w:adjustRightInd w:val="0"/>
                    <w:snapToGrid w:val="0"/>
                    <w:jc w:val="center"/>
                    <w:rPr>
                      <w:b/>
                      <w:bCs/>
                      <w:szCs w:val="21"/>
                    </w:rPr>
                  </w:pPr>
                  <w:r>
                    <w:rPr>
                      <w:b/>
                      <w:bCs/>
                      <w:szCs w:val="21"/>
                    </w:rPr>
                    <w:t>项目情况</w:t>
                  </w:r>
                </w:p>
              </w:tc>
              <w:tc>
                <w:tcPr>
                  <w:tcW w:w="869" w:type="dxa"/>
                  <w:noWrap/>
                  <w:vAlign w:val="center"/>
                </w:tcPr>
                <w:p>
                  <w:pPr>
                    <w:adjustRightInd w:val="0"/>
                    <w:snapToGrid w:val="0"/>
                    <w:jc w:val="center"/>
                    <w:rPr>
                      <w:b/>
                      <w:bCs/>
                      <w:szCs w:val="21"/>
                    </w:rPr>
                  </w:pPr>
                  <w:r>
                    <w:rPr>
                      <w:b/>
                      <w:bCs/>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736" w:type="dxa"/>
                  <w:noWrap/>
                  <w:vAlign w:val="center"/>
                </w:tcPr>
                <w:p>
                  <w:pPr>
                    <w:adjustRightInd w:val="0"/>
                    <w:snapToGrid w:val="0"/>
                    <w:jc w:val="center"/>
                    <w:rPr>
                      <w:szCs w:val="21"/>
                    </w:rPr>
                  </w:pPr>
                  <w:r>
                    <w:rPr>
                      <w:szCs w:val="21"/>
                    </w:rPr>
                    <w:t>1</w:t>
                  </w:r>
                </w:p>
              </w:tc>
              <w:tc>
                <w:tcPr>
                  <w:tcW w:w="921" w:type="dxa"/>
                  <w:noWrap/>
                  <w:vAlign w:val="center"/>
                </w:tcPr>
                <w:p>
                  <w:pPr>
                    <w:adjustRightInd w:val="0"/>
                    <w:snapToGrid w:val="0"/>
                    <w:jc w:val="center"/>
                    <w:rPr>
                      <w:szCs w:val="21"/>
                    </w:rPr>
                  </w:pPr>
                  <w:r>
                    <w:rPr>
                      <w:szCs w:val="21"/>
                    </w:rPr>
                    <w:t>生态保护红线</w:t>
                  </w:r>
                </w:p>
              </w:tc>
              <w:tc>
                <w:tcPr>
                  <w:tcW w:w="2682" w:type="dxa"/>
                  <w:noWrap/>
                  <w:vAlign w:val="center"/>
                </w:tcPr>
                <w:p>
                  <w:pPr>
                    <w:adjustRightInd w:val="0"/>
                    <w:snapToGrid w:val="0"/>
                    <w:rPr>
                      <w:szCs w:val="21"/>
                    </w:rPr>
                  </w:pPr>
                  <w:r>
                    <w:rPr>
                      <w:szCs w:val="21"/>
                    </w:rPr>
                    <w:t>生态保护红线和一般生态空间。执行省人民政府发布的《云南省生态保护红线》，将未划入生态保护红线的自然保护地、饮用水水源保护区、重要湿地、基本草原、生态公益林、天然林等生态功能重要、生态环境敏感区域划为一般生态空间。</w:t>
                  </w:r>
                </w:p>
              </w:tc>
              <w:tc>
                <w:tcPr>
                  <w:tcW w:w="1984" w:type="dxa"/>
                  <w:noWrap/>
                  <w:vAlign w:val="center"/>
                </w:tcPr>
                <w:p>
                  <w:pPr>
                    <w:adjustRightInd w:val="0"/>
                    <w:snapToGrid w:val="0"/>
                    <w:rPr>
                      <w:szCs w:val="21"/>
                    </w:rPr>
                  </w:pPr>
                  <w:r>
                    <w:rPr>
                      <w:szCs w:val="21"/>
                    </w:rPr>
                    <w:t>本项目位于云南省楚雄彝族自治州姚安县光禄镇旧城村，用地为</w:t>
                  </w:r>
                  <w:r>
                    <w:rPr>
                      <w:rFonts w:hint="eastAsia"/>
                      <w:szCs w:val="21"/>
                    </w:rPr>
                    <w:t>园地</w:t>
                  </w:r>
                  <w:r>
                    <w:rPr>
                      <w:szCs w:val="21"/>
                    </w:rPr>
                    <w:t>，不在生态红线范围内。不属于自然保护地、饮用水水源保护区、重要湿地、基本草原、生态公益林、天然林等生态功能重要、生态环境敏感区域。</w:t>
                  </w:r>
                </w:p>
              </w:tc>
              <w:tc>
                <w:tcPr>
                  <w:tcW w:w="869" w:type="dxa"/>
                  <w:noWrap/>
                  <w:vAlign w:val="center"/>
                </w:tcPr>
                <w:p>
                  <w:pPr>
                    <w:adjustRightInd w:val="0"/>
                    <w:snapToGrid w:val="0"/>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736" w:type="dxa"/>
                  <w:vMerge w:val="restart"/>
                  <w:noWrap/>
                  <w:vAlign w:val="center"/>
                </w:tcPr>
                <w:p>
                  <w:pPr>
                    <w:adjustRightInd w:val="0"/>
                    <w:snapToGrid w:val="0"/>
                    <w:jc w:val="center"/>
                    <w:rPr>
                      <w:szCs w:val="21"/>
                    </w:rPr>
                  </w:pPr>
                  <w:r>
                    <w:rPr>
                      <w:szCs w:val="21"/>
                    </w:rPr>
                    <w:t>环境质量底线</w:t>
                  </w:r>
                </w:p>
              </w:tc>
              <w:tc>
                <w:tcPr>
                  <w:tcW w:w="921" w:type="dxa"/>
                  <w:noWrap/>
                  <w:vAlign w:val="center"/>
                </w:tcPr>
                <w:p>
                  <w:pPr>
                    <w:adjustRightInd w:val="0"/>
                    <w:snapToGrid w:val="0"/>
                    <w:rPr>
                      <w:szCs w:val="21"/>
                    </w:rPr>
                  </w:pPr>
                  <w:r>
                    <w:rPr>
                      <w:szCs w:val="21"/>
                    </w:rPr>
                    <w:t>水环境质量底线</w:t>
                  </w:r>
                </w:p>
              </w:tc>
              <w:tc>
                <w:tcPr>
                  <w:tcW w:w="2682" w:type="dxa"/>
                  <w:noWrap/>
                  <w:vAlign w:val="center"/>
                </w:tcPr>
                <w:p>
                  <w:pPr>
                    <w:adjustRightInd w:val="0"/>
                    <w:snapToGrid w:val="0"/>
                    <w:rPr>
                      <w:szCs w:val="21"/>
                    </w:rPr>
                  </w:pPr>
                  <w:r>
                    <w:rPr>
                      <w:szCs w:val="21"/>
                    </w:rPr>
                    <w:t>到2020年底，全省水环境质量总体良好，纳入国家考核的100个地表水监测断面水质优良（达到或优于Ⅲ类）的比例达到73%以上、劣于Ⅴ类的比例控制在6%以内，省级考核的50个地表水监测断面水质达到水环境功能要求；九大高原湖泊水质稳定改善，达到考核目标；珠江、长江和西南诸河流域优良水体比例分别达到68.7%、50%和91.7%以上；州市级、县级集中式饮用水水源水质达到或优于Ⅲ类的比例分别达到97.2%、95%以上；地级城市建成区黑臭水体消除比例达到95%以上。到2025年，纳入国家和省级考核的地表水监测断面水质优良率稳步提升，重点区域、流域水环境质量进一步改善，基本消除劣Ⅴ类水体，集中式饮用水水源水质巩固改善。到2035年，地表水体水质优良率全面提升，各监测断面水质达到水环境功能要求，消除劣Ⅴ类水体，集中式饮用水水源水质稳定达标。</w:t>
                  </w:r>
                </w:p>
              </w:tc>
              <w:tc>
                <w:tcPr>
                  <w:tcW w:w="1984" w:type="dxa"/>
                  <w:noWrap/>
                  <w:vAlign w:val="center"/>
                </w:tcPr>
                <w:p>
                  <w:pPr>
                    <w:adjustRightInd w:val="0"/>
                    <w:snapToGrid w:val="0"/>
                    <w:rPr>
                      <w:szCs w:val="21"/>
                    </w:rPr>
                  </w:pPr>
                  <w:r>
                    <w:rPr>
                      <w:szCs w:val="21"/>
                    </w:rPr>
                    <w:t>项目区环境质量为达标区，</w:t>
                  </w:r>
                  <w:r>
                    <w:rPr>
                      <w:rFonts w:hint="eastAsia"/>
                      <w:szCs w:val="21"/>
                    </w:rPr>
                    <w:t>本项目</w:t>
                  </w:r>
                  <w:r>
                    <w:rPr>
                      <w:szCs w:val="21"/>
                    </w:rPr>
                    <w:t>采取合理可行的污染防治措施，各污染物达标排放，在做好废气、废水、噪声污染防治措施的情况下，对评价区域环境影响较小，不会降低区域环境质量。</w:t>
                  </w:r>
                </w:p>
              </w:tc>
              <w:tc>
                <w:tcPr>
                  <w:tcW w:w="869" w:type="dxa"/>
                  <w:noWrap/>
                  <w:vAlign w:val="center"/>
                </w:tcPr>
                <w:p>
                  <w:pPr>
                    <w:adjustRightInd w:val="0"/>
                    <w:snapToGrid w:val="0"/>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736" w:type="dxa"/>
                  <w:vMerge w:val="continue"/>
                  <w:noWrap/>
                  <w:vAlign w:val="center"/>
                </w:tcPr>
                <w:p>
                  <w:pPr>
                    <w:adjustRightInd w:val="0"/>
                    <w:snapToGrid w:val="0"/>
                    <w:jc w:val="center"/>
                    <w:rPr>
                      <w:szCs w:val="21"/>
                    </w:rPr>
                  </w:pPr>
                </w:p>
              </w:tc>
              <w:tc>
                <w:tcPr>
                  <w:tcW w:w="921" w:type="dxa"/>
                  <w:noWrap/>
                  <w:vAlign w:val="center"/>
                </w:tcPr>
                <w:p>
                  <w:pPr>
                    <w:adjustRightInd w:val="0"/>
                    <w:snapToGrid w:val="0"/>
                    <w:rPr>
                      <w:szCs w:val="21"/>
                    </w:rPr>
                  </w:pPr>
                  <w:r>
                    <w:rPr>
                      <w:szCs w:val="21"/>
                    </w:rPr>
                    <w:t>大气环境质量底线</w:t>
                  </w:r>
                </w:p>
              </w:tc>
              <w:tc>
                <w:tcPr>
                  <w:tcW w:w="2682" w:type="dxa"/>
                  <w:noWrap/>
                  <w:vAlign w:val="center"/>
                </w:tcPr>
                <w:p>
                  <w:pPr>
                    <w:adjustRightInd w:val="0"/>
                    <w:snapToGrid w:val="0"/>
                    <w:rPr>
                      <w:szCs w:val="21"/>
                    </w:rPr>
                  </w:pPr>
                  <w:r>
                    <w:rPr>
                      <w:szCs w:val="21"/>
                    </w:rPr>
                    <w:t>到2020年底，全省环境空气质量总体保持优良，二氧化硫、氮氧化物排放总量较2015年下降1%；细颗粒物（PM2.5）和可吸入颗粒物（PM10）等主要污染指标得到有效控制；州市级城市环境空气质量达到国家二级标准，优良天数比率达到97.2%以上。到2025年，环境空气质量稳中向好，州市级城市环境空气质量稳定达到国家二级标准。到2035年，环境空气质量全面改善，州市级、县级城市环境空气质量稳定达到国家二级标准。</w:t>
                  </w:r>
                </w:p>
              </w:tc>
              <w:tc>
                <w:tcPr>
                  <w:tcW w:w="1984" w:type="dxa"/>
                  <w:noWrap/>
                  <w:vAlign w:val="center"/>
                </w:tcPr>
                <w:p>
                  <w:pPr>
                    <w:adjustRightInd w:val="0"/>
                    <w:snapToGrid w:val="0"/>
                    <w:rPr>
                      <w:szCs w:val="21"/>
                    </w:rPr>
                  </w:pPr>
                  <w:r>
                    <w:rPr>
                      <w:szCs w:val="21"/>
                    </w:rPr>
                    <w:t>项目区环境质量为达标区，</w:t>
                  </w:r>
                  <w:r>
                    <w:rPr>
                      <w:rFonts w:hint="eastAsia"/>
                      <w:szCs w:val="21"/>
                    </w:rPr>
                    <w:t>本项目</w:t>
                  </w:r>
                  <w:r>
                    <w:rPr>
                      <w:szCs w:val="21"/>
                    </w:rPr>
                    <w:t>采取合理可行的污染防治措施，各污染物达标排放，在做好废气、废水、噪声污染防治措施的情况下，对评价区域环境影响较小，不会降低区域环境质量。</w:t>
                  </w:r>
                </w:p>
              </w:tc>
              <w:tc>
                <w:tcPr>
                  <w:tcW w:w="869" w:type="dxa"/>
                  <w:noWrap/>
                  <w:vAlign w:val="center"/>
                </w:tcPr>
                <w:p>
                  <w:pPr>
                    <w:adjustRightInd w:val="0"/>
                    <w:snapToGrid w:val="0"/>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736" w:type="dxa"/>
                  <w:vMerge w:val="continue"/>
                  <w:noWrap/>
                  <w:vAlign w:val="center"/>
                </w:tcPr>
                <w:p>
                  <w:pPr>
                    <w:adjustRightInd w:val="0"/>
                    <w:snapToGrid w:val="0"/>
                    <w:jc w:val="center"/>
                    <w:rPr>
                      <w:szCs w:val="21"/>
                    </w:rPr>
                  </w:pPr>
                </w:p>
              </w:tc>
              <w:tc>
                <w:tcPr>
                  <w:tcW w:w="921" w:type="dxa"/>
                  <w:noWrap/>
                  <w:vAlign w:val="center"/>
                </w:tcPr>
                <w:p>
                  <w:pPr>
                    <w:adjustRightInd w:val="0"/>
                    <w:snapToGrid w:val="0"/>
                    <w:rPr>
                      <w:szCs w:val="21"/>
                    </w:rPr>
                  </w:pPr>
                  <w:r>
                    <w:rPr>
                      <w:szCs w:val="21"/>
                    </w:rPr>
                    <w:t>土壤环境风险防控底线</w:t>
                  </w:r>
                </w:p>
              </w:tc>
              <w:tc>
                <w:tcPr>
                  <w:tcW w:w="2682" w:type="dxa"/>
                  <w:noWrap/>
                  <w:vAlign w:val="center"/>
                </w:tcPr>
                <w:p>
                  <w:pPr>
                    <w:adjustRightInd w:val="0"/>
                    <w:snapToGrid w:val="0"/>
                    <w:rPr>
                      <w:szCs w:val="21"/>
                    </w:rPr>
                  </w:pPr>
                  <w:r>
                    <w:rPr>
                      <w:szCs w:val="21"/>
                    </w:rPr>
                    <w:t>到2020年底，全省土壤环境质量总体保持稳定，农用地和建设用地土壤环境安全得到基本保障，土壤环境风险得到基本管控；受污染耕地安全利用率达到80%左右，污染地块安全利用率不低于90%。到2025年，土壤环境风险防范体系进一步完善，受污染耕地安全利用率和污染地块安全利用率进一步提高。到2035年，土壤环境质量稳中向好，农用地和建设用地土壤环境安全得到有效保障，土壤环境风险得到全面管控。</w:t>
                  </w:r>
                </w:p>
              </w:tc>
              <w:tc>
                <w:tcPr>
                  <w:tcW w:w="1984" w:type="dxa"/>
                  <w:noWrap/>
                  <w:vAlign w:val="center"/>
                </w:tcPr>
                <w:p>
                  <w:pPr>
                    <w:adjustRightInd w:val="0"/>
                    <w:snapToGrid w:val="0"/>
                    <w:rPr>
                      <w:szCs w:val="21"/>
                    </w:rPr>
                  </w:pPr>
                  <w:r>
                    <w:rPr>
                      <w:szCs w:val="21"/>
                    </w:rPr>
                    <w:t>项目区环境质量为达标区，</w:t>
                  </w:r>
                  <w:r>
                    <w:rPr>
                      <w:rFonts w:hint="eastAsia"/>
                      <w:szCs w:val="21"/>
                    </w:rPr>
                    <w:t>本项目</w:t>
                  </w:r>
                  <w:r>
                    <w:rPr>
                      <w:szCs w:val="21"/>
                    </w:rPr>
                    <w:t>采取合理可行的污染防治措施，各污染物达标排放，在做好废气、废水、噪声污染防治措施的情况下，对评价区域环境影响较小，不会降低区域环境质量。</w:t>
                  </w:r>
                </w:p>
              </w:tc>
              <w:tc>
                <w:tcPr>
                  <w:tcW w:w="869" w:type="dxa"/>
                  <w:noWrap/>
                  <w:vAlign w:val="center"/>
                </w:tcPr>
                <w:p>
                  <w:pPr>
                    <w:adjustRightInd w:val="0"/>
                    <w:snapToGrid w:val="0"/>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736" w:type="dxa"/>
                  <w:vMerge w:val="restart"/>
                  <w:noWrap/>
                  <w:vAlign w:val="center"/>
                </w:tcPr>
                <w:p>
                  <w:pPr>
                    <w:adjustRightInd w:val="0"/>
                    <w:snapToGrid w:val="0"/>
                    <w:jc w:val="center"/>
                    <w:rPr>
                      <w:szCs w:val="21"/>
                    </w:rPr>
                  </w:pPr>
                  <w:r>
                    <w:rPr>
                      <w:szCs w:val="21"/>
                    </w:rPr>
                    <w:t>资源利用上线</w:t>
                  </w:r>
                </w:p>
              </w:tc>
              <w:tc>
                <w:tcPr>
                  <w:tcW w:w="921" w:type="dxa"/>
                  <w:noWrap/>
                  <w:vAlign w:val="center"/>
                </w:tcPr>
                <w:p>
                  <w:pPr>
                    <w:adjustRightInd w:val="0"/>
                    <w:snapToGrid w:val="0"/>
                    <w:rPr>
                      <w:szCs w:val="21"/>
                    </w:rPr>
                  </w:pPr>
                  <w:r>
                    <w:rPr>
                      <w:szCs w:val="21"/>
                    </w:rPr>
                    <w:t>水资源利用上线</w:t>
                  </w:r>
                </w:p>
              </w:tc>
              <w:tc>
                <w:tcPr>
                  <w:tcW w:w="2682" w:type="dxa"/>
                  <w:noWrap/>
                  <w:vAlign w:val="center"/>
                </w:tcPr>
                <w:p>
                  <w:pPr>
                    <w:adjustRightInd w:val="0"/>
                    <w:snapToGrid w:val="0"/>
                    <w:rPr>
                      <w:szCs w:val="21"/>
                    </w:rPr>
                  </w:pPr>
                  <w:r>
                    <w:rPr>
                      <w:szCs w:val="21"/>
                    </w:rPr>
                    <w:t>到2020年底，全省年用水总量控制在214.6亿立方米以内。</w:t>
                  </w:r>
                </w:p>
              </w:tc>
              <w:tc>
                <w:tcPr>
                  <w:tcW w:w="1984" w:type="dxa"/>
                  <w:noWrap/>
                  <w:vAlign w:val="center"/>
                </w:tcPr>
                <w:p>
                  <w:pPr>
                    <w:adjustRightInd w:val="0"/>
                    <w:snapToGrid w:val="0"/>
                    <w:jc w:val="left"/>
                    <w:rPr>
                      <w:szCs w:val="21"/>
                    </w:rPr>
                  </w:pPr>
                  <w:r>
                    <w:rPr>
                      <w:szCs w:val="21"/>
                    </w:rPr>
                    <w:t>本项目用水、用电及土地资源利用情况均未突破资源利用上线要求。</w:t>
                  </w:r>
                </w:p>
              </w:tc>
              <w:tc>
                <w:tcPr>
                  <w:tcW w:w="869" w:type="dxa"/>
                  <w:noWrap/>
                  <w:vAlign w:val="center"/>
                </w:tcPr>
                <w:p>
                  <w:pPr>
                    <w:adjustRightInd w:val="0"/>
                    <w:snapToGrid w:val="0"/>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736" w:type="dxa"/>
                  <w:vMerge w:val="continue"/>
                  <w:noWrap/>
                  <w:vAlign w:val="center"/>
                </w:tcPr>
                <w:p>
                  <w:pPr>
                    <w:adjustRightInd w:val="0"/>
                    <w:snapToGrid w:val="0"/>
                    <w:jc w:val="center"/>
                    <w:rPr>
                      <w:szCs w:val="21"/>
                    </w:rPr>
                  </w:pPr>
                </w:p>
              </w:tc>
              <w:tc>
                <w:tcPr>
                  <w:tcW w:w="921" w:type="dxa"/>
                  <w:noWrap/>
                  <w:vAlign w:val="center"/>
                </w:tcPr>
                <w:p>
                  <w:pPr>
                    <w:adjustRightInd w:val="0"/>
                    <w:snapToGrid w:val="0"/>
                    <w:rPr>
                      <w:szCs w:val="21"/>
                    </w:rPr>
                  </w:pPr>
                  <w:r>
                    <w:rPr>
                      <w:szCs w:val="21"/>
                    </w:rPr>
                    <w:t>土地资源利用上线</w:t>
                  </w:r>
                </w:p>
              </w:tc>
              <w:tc>
                <w:tcPr>
                  <w:tcW w:w="2682" w:type="dxa"/>
                  <w:noWrap/>
                  <w:vAlign w:val="center"/>
                </w:tcPr>
                <w:p>
                  <w:pPr>
                    <w:adjustRightInd w:val="0"/>
                    <w:snapToGrid w:val="0"/>
                    <w:rPr>
                      <w:szCs w:val="21"/>
                    </w:rPr>
                  </w:pPr>
                  <w:r>
                    <w:rPr>
                      <w:szCs w:val="21"/>
                    </w:rPr>
                    <w:t>到2020年底，全省耕地保有量不低于584.53万公顷，基本农田保护面积不低于489.4万公顷，建设用地总规模控制在115.4万公顷以内。</w:t>
                  </w:r>
                </w:p>
              </w:tc>
              <w:tc>
                <w:tcPr>
                  <w:tcW w:w="1984" w:type="dxa"/>
                  <w:noWrap/>
                  <w:vAlign w:val="center"/>
                </w:tcPr>
                <w:p>
                  <w:pPr>
                    <w:adjustRightInd w:val="0"/>
                    <w:snapToGrid w:val="0"/>
                    <w:jc w:val="left"/>
                    <w:rPr>
                      <w:szCs w:val="21"/>
                    </w:rPr>
                  </w:pPr>
                  <w:r>
                    <w:rPr>
                      <w:szCs w:val="21"/>
                    </w:rPr>
                    <w:t>本项目用水、用电及土地资源利用情况均未突破资源利用上线要求。</w:t>
                  </w:r>
                </w:p>
              </w:tc>
              <w:tc>
                <w:tcPr>
                  <w:tcW w:w="869" w:type="dxa"/>
                  <w:noWrap/>
                  <w:vAlign w:val="center"/>
                </w:tcPr>
                <w:p>
                  <w:pPr>
                    <w:adjustRightInd w:val="0"/>
                    <w:snapToGrid w:val="0"/>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736" w:type="dxa"/>
                  <w:vMerge w:val="continue"/>
                  <w:noWrap/>
                  <w:vAlign w:val="center"/>
                </w:tcPr>
                <w:p>
                  <w:pPr>
                    <w:adjustRightInd w:val="0"/>
                    <w:snapToGrid w:val="0"/>
                    <w:jc w:val="center"/>
                    <w:rPr>
                      <w:szCs w:val="21"/>
                    </w:rPr>
                  </w:pPr>
                </w:p>
              </w:tc>
              <w:tc>
                <w:tcPr>
                  <w:tcW w:w="921" w:type="dxa"/>
                  <w:noWrap/>
                  <w:vAlign w:val="center"/>
                </w:tcPr>
                <w:p>
                  <w:pPr>
                    <w:adjustRightInd w:val="0"/>
                    <w:snapToGrid w:val="0"/>
                    <w:rPr>
                      <w:szCs w:val="21"/>
                    </w:rPr>
                  </w:pPr>
                  <w:r>
                    <w:rPr>
                      <w:szCs w:val="21"/>
                    </w:rPr>
                    <w:t>能源利用上线</w:t>
                  </w:r>
                </w:p>
              </w:tc>
              <w:tc>
                <w:tcPr>
                  <w:tcW w:w="2682" w:type="dxa"/>
                  <w:noWrap/>
                  <w:vAlign w:val="center"/>
                </w:tcPr>
                <w:p>
                  <w:pPr>
                    <w:adjustRightInd w:val="0"/>
                    <w:snapToGrid w:val="0"/>
                    <w:rPr>
                      <w:szCs w:val="21"/>
                    </w:rPr>
                  </w:pPr>
                  <w:r>
                    <w:rPr>
                      <w:szCs w:val="21"/>
                    </w:rPr>
                    <w:t>到2020年底，全省万元地区生产总值能耗较2015年下降14%，能源消费总量控制在国家下达目标以内，非化石能源消费量占能源消费总量比重达到42%。</w:t>
                  </w:r>
                </w:p>
              </w:tc>
              <w:tc>
                <w:tcPr>
                  <w:tcW w:w="1984" w:type="dxa"/>
                  <w:noWrap/>
                  <w:vAlign w:val="center"/>
                </w:tcPr>
                <w:p>
                  <w:pPr>
                    <w:adjustRightInd w:val="0"/>
                    <w:snapToGrid w:val="0"/>
                    <w:jc w:val="left"/>
                    <w:rPr>
                      <w:szCs w:val="21"/>
                    </w:rPr>
                  </w:pPr>
                  <w:r>
                    <w:rPr>
                      <w:szCs w:val="21"/>
                    </w:rPr>
                    <w:t>本项目用水、用电及土地资源利用情况均未突破资源利用上线要求。</w:t>
                  </w:r>
                </w:p>
              </w:tc>
              <w:tc>
                <w:tcPr>
                  <w:tcW w:w="869" w:type="dxa"/>
                  <w:noWrap/>
                  <w:vAlign w:val="center"/>
                </w:tcPr>
                <w:p>
                  <w:pPr>
                    <w:adjustRightInd w:val="0"/>
                    <w:snapToGrid w:val="0"/>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736" w:type="dxa"/>
                  <w:noWrap/>
                  <w:vAlign w:val="center"/>
                </w:tcPr>
                <w:p>
                  <w:pPr>
                    <w:adjustRightInd w:val="0"/>
                    <w:snapToGrid w:val="0"/>
                    <w:jc w:val="center"/>
                    <w:rPr>
                      <w:szCs w:val="21"/>
                    </w:rPr>
                  </w:pPr>
                  <w:r>
                    <w:rPr>
                      <w:szCs w:val="21"/>
                    </w:rPr>
                    <w:t>4</w:t>
                  </w:r>
                </w:p>
              </w:tc>
              <w:tc>
                <w:tcPr>
                  <w:tcW w:w="921" w:type="dxa"/>
                  <w:noWrap/>
                  <w:vAlign w:val="center"/>
                </w:tcPr>
                <w:p>
                  <w:pPr>
                    <w:adjustRightInd w:val="0"/>
                    <w:snapToGrid w:val="0"/>
                    <w:jc w:val="center"/>
                    <w:rPr>
                      <w:szCs w:val="21"/>
                    </w:rPr>
                  </w:pPr>
                  <w:r>
                    <w:rPr>
                      <w:szCs w:val="21"/>
                    </w:rPr>
                    <w:t>环境准入清单</w:t>
                  </w:r>
                </w:p>
              </w:tc>
              <w:tc>
                <w:tcPr>
                  <w:tcW w:w="2682" w:type="dxa"/>
                  <w:noWrap/>
                  <w:vAlign w:val="center"/>
                </w:tcPr>
                <w:p>
                  <w:pPr>
                    <w:adjustRightInd w:val="0"/>
                    <w:snapToGrid w:val="0"/>
                    <w:rPr>
                      <w:szCs w:val="21"/>
                    </w:rPr>
                  </w:pPr>
                  <w:r>
                    <w:rPr>
                      <w:szCs w:val="21"/>
                    </w:rPr>
                    <w:t>根据区域生态环境特征，结合生态、水、大气、土壤等环境要素保护需要，划分不同类型生态环境管控单元，明确总体管控和分类管控要求，制定各类管控单元生态环境准入清单，实施差别化生态环境管控措施，构建全省生态环境分区管控体系。</w:t>
                  </w:r>
                </w:p>
              </w:tc>
              <w:tc>
                <w:tcPr>
                  <w:tcW w:w="1984" w:type="dxa"/>
                  <w:noWrap/>
                  <w:vAlign w:val="center"/>
                </w:tcPr>
                <w:p>
                  <w:pPr>
                    <w:adjustRightInd w:val="0"/>
                    <w:snapToGrid w:val="0"/>
                    <w:rPr>
                      <w:szCs w:val="21"/>
                    </w:rPr>
                  </w:pPr>
                  <w:r>
                    <w:rPr>
                      <w:szCs w:val="21"/>
                    </w:rPr>
                    <w:t>本项目位于云南省楚雄彝族自治州姚安县光禄镇旧城村，为城镇生活污染重点管控单元。不属于重污染企业，不属于高污染燃料禁燃区，不属于高耗水企业。</w:t>
                  </w:r>
                </w:p>
              </w:tc>
              <w:tc>
                <w:tcPr>
                  <w:tcW w:w="869" w:type="dxa"/>
                  <w:noWrap/>
                  <w:vAlign w:val="center"/>
                </w:tcPr>
                <w:p>
                  <w:pPr>
                    <w:adjustRightInd w:val="0"/>
                    <w:snapToGrid w:val="0"/>
                    <w:jc w:val="center"/>
                    <w:rPr>
                      <w:szCs w:val="21"/>
                    </w:rPr>
                  </w:pPr>
                  <w:r>
                    <w:rPr>
                      <w:szCs w:val="21"/>
                    </w:rPr>
                    <w:t>相符</w:t>
                  </w:r>
                </w:p>
              </w:tc>
            </w:tr>
          </w:tbl>
          <w:p>
            <w:pPr>
              <w:spacing w:before="156" w:beforeLines="50" w:line="360" w:lineRule="auto"/>
              <w:ind w:firstLine="480" w:firstLineChars="200"/>
              <w:rPr>
                <w:sz w:val="24"/>
              </w:rPr>
            </w:pPr>
            <w:r>
              <w:rPr>
                <w:sz w:val="24"/>
              </w:rPr>
              <w:t>根据“《楚雄州人民政府关于印发楚雄州“三线一单”生态环境分区管控实施方案的通知》楚政通（2021）22号”，项目在楚雄州重点管控单元生态环境准入清单中姚安县光禄镇城镇生活污染重点管控单元。因此，项目与“楚雄州生态环境管控总体要求”和“楚雄州重点管控单元生态环境准入清单</w:t>
            </w:r>
            <w:r>
              <w:rPr>
                <w:rFonts w:hint="eastAsia"/>
                <w:sz w:val="24"/>
              </w:rPr>
              <w:t>－</w:t>
            </w:r>
            <w:r>
              <w:rPr>
                <w:sz w:val="24"/>
              </w:rPr>
              <w:t>姚安县”符合性分析详见下表。</w:t>
            </w:r>
          </w:p>
          <w:p>
            <w:pPr>
              <w:spacing w:before="156" w:beforeLines="50" w:line="360" w:lineRule="auto"/>
              <w:jc w:val="center"/>
              <w:rPr>
                <w:sz w:val="24"/>
              </w:rPr>
            </w:pPr>
            <w:r>
              <w:rPr>
                <w:b/>
                <w:bCs/>
                <w:sz w:val="24"/>
              </w:rPr>
              <w:t>表1-5与楚雄州生态环境管控总体要求符合性分析</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28" w:type="dxa"/>
                <w:bottom w:w="11" w:type="dxa"/>
                <w:right w:w="28" w:type="dxa"/>
              </w:tblCellMar>
            </w:tblPr>
            <w:tblGrid>
              <w:gridCol w:w="936"/>
              <w:gridCol w:w="3685"/>
              <w:gridCol w:w="197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672" w:type="pct"/>
                  <w:vAlign w:val="center"/>
                </w:tcPr>
                <w:p>
                  <w:pPr>
                    <w:adjustRightInd w:val="0"/>
                    <w:snapToGrid w:val="0"/>
                    <w:jc w:val="center"/>
                    <w:rPr>
                      <w:b/>
                      <w:bCs/>
                    </w:rPr>
                  </w:pPr>
                  <w:r>
                    <w:rPr>
                      <w:b/>
                      <w:bCs/>
                    </w:rPr>
                    <w:t>管控领域</w:t>
                  </w:r>
                </w:p>
              </w:tc>
              <w:tc>
                <w:tcPr>
                  <w:tcW w:w="2551" w:type="pct"/>
                  <w:vAlign w:val="center"/>
                </w:tcPr>
                <w:p>
                  <w:pPr>
                    <w:adjustRightInd w:val="0"/>
                    <w:snapToGrid w:val="0"/>
                    <w:jc w:val="center"/>
                    <w:rPr>
                      <w:b/>
                      <w:bCs/>
                    </w:rPr>
                  </w:pPr>
                  <w:r>
                    <w:rPr>
                      <w:b/>
                      <w:bCs/>
                    </w:rPr>
                    <w:t>准入要求</w:t>
                  </w:r>
                </w:p>
              </w:tc>
              <w:tc>
                <w:tcPr>
                  <w:tcW w:w="1251" w:type="pct"/>
                  <w:vAlign w:val="center"/>
                </w:tcPr>
                <w:p>
                  <w:pPr>
                    <w:adjustRightInd w:val="0"/>
                    <w:snapToGrid w:val="0"/>
                    <w:jc w:val="center"/>
                    <w:rPr>
                      <w:b/>
                      <w:bCs/>
                    </w:rPr>
                  </w:pPr>
                  <w:r>
                    <w:rPr>
                      <w:b/>
                      <w:bCs/>
                    </w:rPr>
                    <w:t>项目建设情况</w:t>
                  </w:r>
                </w:p>
              </w:tc>
              <w:tc>
                <w:tcPr>
                  <w:tcW w:w="525" w:type="pct"/>
                  <w:vAlign w:val="center"/>
                </w:tcPr>
                <w:p>
                  <w:pPr>
                    <w:adjustRightInd w:val="0"/>
                    <w:snapToGrid w:val="0"/>
                    <w:jc w:val="center"/>
                    <w:rPr>
                      <w:b/>
                      <w:bCs/>
                    </w:rPr>
                  </w:pPr>
                  <w:r>
                    <w:rPr>
                      <w:b/>
                      <w:bCs/>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672" w:type="pct"/>
                  <w:vAlign w:val="center"/>
                </w:tcPr>
                <w:p>
                  <w:pPr>
                    <w:adjustRightInd w:val="0"/>
                    <w:snapToGrid w:val="0"/>
                    <w:jc w:val="center"/>
                  </w:pPr>
                  <w:r>
                    <w:t>空间布局约束</w:t>
                  </w:r>
                </w:p>
              </w:tc>
              <w:tc>
                <w:tcPr>
                  <w:tcW w:w="2551" w:type="pct"/>
                  <w:vAlign w:val="center"/>
                </w:tcPr>
                <w:p>
                  <w:pPr>
                    <w:adjustRightInd w:val="0"/>
                    <w:snapToGrid w:val="0"/>
                  </w:pPr>
                  <w:r>
                    <w:t>（l）严格落实国家产业政策。将资源承载能力、生态环境容量作为承接产业转移的基础和前提，合理确定承接产业转移重点，禁止引进环境污染大、资源消耗高、技术落后的生产能力。严禁以任何名义、任何方式核准或备案产能严重过剩行业的增加产能项目。</w:t>
                  </w:r>
                </w:p>
                <w:p>
                  <w:pPr>
                    <w:adjustRightInd w:val="0"/>
                    <w:snapToGrid w:val="0"/>
                  </w:pPr>
                  <w:r>
                    <w:t>（2</w:t>
                  </w:r>
                  <w:r>
                    <w:rPr>
                      <w:rFonts w:hint="eastAsia"/>
                    </w:rPr>
                    <w:t>）</w:t>
                  </w:r>
                  <w:r>
                    <w:t>严格按照《云南省长江经济带发展负面清单指南实施细则（试行</w:t>
                  </w:r>
                  <w:r>
                    <w:rPr>
                      <w:rFonts w:hint="eastAsia"/>
                    </w:rPr>
                    <w:t>）</w:t>
                  </w:r>
                  <w:r>
                    <w:t>》要求，禁止在金沙江、长江一级支流（南广河、赤水河）岸线边界1公里范围内新建、扩建化工园区和化工项目。禁止在合规园区外新建、扩建钢铁、石化、化工、焦化、建材、有色等高污染项目。</w:t>
                  </w:r>
                </w:p>
                <w:p>
                  <w:pPr>
                    <w:adjustRightInd w:val="0"/>
                    <w:snapToGrid w:val="0"/>
                  </w:pPr>
                  <w:r>
                    <w:t>（3）禁止在金沙江、长江一级支流（南广河、赤水河）建设除党中央、国务院、国家投资主管部门、省级有关部门批复同意以外的过江基础设施项目。禁止在金沙江岸线3公里、长江一级支流岸线（南广河、赤水河）1公里范围内新建、改建、扩建尾矿库。</w:t>
                  </w:r>
                </w:p>
                <w:p>
                  <w:pPr>
                    <w:adjustRightInd w:val="0"/>
                    <w:snapToGrid w:val="0"/>
                  </w:pPr>
                  <w:r>
                    <w:t>（4）在永久基本农田集中区域，不得新建可能造成土壤污染的建设项目：已建成的应当限期关闭拆除。拟开发为农用地的未利用地，要</w:t>
                  </w:r>
                </w:p>
                <w:p>
                  <w:pPr>
                    <w:adjustRightInd w:val="0"/>
                    <w:snapToGrid w:val="0"/>
                  </w:pPr>
                  <w:r>
                    <w:t>开展土壤环境质量状况评估，不符合相应标准的，不得种植食用农产品。</w:t>
                  </w:r>
                </w:p>
                <w:p>
                  <w:pPr>
                    <w:adjustRightInd w:val="0"/>
                    <w:snapToGrid w:val="0"/>
                  </w:pPr>
                  <w:r>
                    <w:t>（5）在天然气干、支线可以覆盖的地区原则上不再新建、改建、扩建以煤（油）为燃料的项目。全州产业聚集区集中建设热电联产机组</w:t>
                  </w:r>
                </w:p>
                <w:p>
                  <w:pPr>
                    <w:adjustRightInd w:val="0"/>
                    <w:snapToGrid w:val="0"/>
                  </w:pPr>
                  <w:r>
                    <w:t>或大型集中供热设施，逐步淘汰分散燃煤锅炉。在不具备热电联产集中供热条件的地区，现有多台燃煤小锅炉的，可按照等容量替代原</w:t>
                  </w:r>
                </w:p>
                <w:p>
                  <w:pPr>
                    <w:adjustRightInd w:val="0"/>
                    <w:snapToGrid w:val="0"/>
                  </w:pPr>
                  <w:r>
                    <w:t>则建设大容量燃煤锅炉。</w:t>
                  </w:r>
                </w:p>
              </w:tc>
              <w:tc>
                <w:tcPr>
                  <w:tcW w:w="1251" w:type="pct"/>
                  <w:vAlign w:val="center"/>
                </w:tcPr>
                <w:p>
                  <w:pPr>
                    <w:adjustRightInd w:val="0"/>
                    <w:snapToGrid w:val="0"/>
                  </w:pPr>
                  <w:r>
                    <w:t>项目属于花卉栽培及热力供应项目，项目符合国家产业政策，采用工艺及生产设备环保先进：项目不属于钢铁、石化、化工、焦化、建材、有色等高污染项目。项目不涉及建设尾矿库：项目属于新建项目，对项目周边土壤影响较小：使用蒸汽由天然气锅炉、生物质锅炉供给热能。</w:t>
                  </w:r>
                </w:p>
              </w:tc>
              <w:tc>
                <w:tcPr>
                  <w:tcW w:w="525" w:type="pct"/>
                  <w:vAlign w:val="center"/>
                </w:tcPr>
                <w:p>
                  <w:pPr>
                    <w:adjustRightInd w:val="0"/>
                    <w:snapToGrid w:val="0"/>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672" w:type="pct"/>
                  <w:vAlign w:val="center"/>
                </w:tcPr>
                <w:p>
                  <w:pPr>
                    <w:adjustRightInd w:val="0"/>
                    <w:snapToGrid w:val="0"/>
                    <w:jc w:val="center"/>
                  </w:pPr>
                  <w:r>
                    <w:t>污染物排放管控</w:t>
                  </w:r>
                </w:p>
              </w:tc>
              <w:tc>
                <w:tcPr>
                  <w:tcW w:w="2551" w:type="pct"/>
                  <w:vAlign w:val="center"/>
                </w:tcPr>
                <w:p>
                  <w:pPr>
                    <w:adjustRightInd w:val="0"/>
                    <w:snapToGrid w:val="0"/>
                  </w:pPr>
                  <w:r>
                    <w:t>（1）严格控制缺水地区、水污染严重地区和敏感区域高耗水、高污染行业发展，新建、改建、扩建重点行业建设项目实行主要水污染物排放减量置换。</w:t>
                  </w:r>
                </w:p>
                <w:p>
                  <w:pPr>
                    <w:adjustRightInd w:val="0"/>
                    <w:snapToGrid w:val="0"/>
                  </w:pPr>
                  <w:r>
                    <w:rPr>
                      <w:rFonts w:hint="eastAsia"/>
                    </w:rPr>
                    <w:t>（</w:t>
                  </w:r>
                  <w:r>
                    <w:t>2</w:t>
                  </w:r>
                  <w:r>
                    <w:rPr>
                      <w:rFonts w:hint="eastAsia"/>
                    </w:rPr>
                    <w:t>）</w:t>
                  </w:r>
                  <w:r>
                    <w:t>严格保护城乡饮用水水源地，整治饮用水源保护区内的污染源，确保饮水安全。实现城镇生活污水、生活垃圾处理设施全覆盖和稳定运行。推进农村面源污染治理。对入驻企业较少，主要产生生活污水，工业污水中不含有毒有害物质的工业集中区，其污水可就近依托城镇污水处理厂进行处理：对工业污水排放量较小的工业集中区，可依托工业企业治污设施处理后达标排放。新建冶金、电镀、有色金属、</w:t>
                  </w:r>
                </w:p>
                <w:p>
                  <w:pPr>
                    <w:adjustRightInd w:val="0"/>
                    <w:snapToGrid w:val="0"/>
                  </w:pPr>
                  <w:r>
                    <w:t>化工、印染、制革、原料药制造等企业，原则上布局在符合产业定位的园区，其排放的污水由姚安县第二污水处理厂集中处理。</w:t>
                  </w:r>
                </w:p>
                <w:p>
                  <w:pPr>
                    <w:adjustRightInd w:val="0"/>
                    <w:snapToGrid w:val="0"/>
                  </w:pPr>
                  <w:r>
                    <w:t>（3）加大VOCs减排力度，扎实推动PM2.5和臭氧协同控制，有效巩固环境空气质量优良天数比例。在持续推进氮氧化物减排的基础上，</w:t>
                  </w:r>
                </w:p>
                <w:p>
                  <w:pPr>
                    <w:adjustRightInd w:val="0"/>
                    <w:snapToGrid w:val="0"/>
                  </w:pPr>
                  <w:r>
                    <w:t>重点加大石化、化工及含挥发性有机化合物产品制造企业和喷漆、制鞋、印刷、电子、服装干洗等行业清洁生产和污染治理力度，逐步淘</w:t>
                  </w:r>
                </w:p>
                <w:p>
                  <w:pPr>
                    <w:adjustRightInd w:val="0"/>
                    <w:snapToGrid w:val="0"/>
                  </w:pPr>
                  <w:r>
                    <w:t>汰挥发性有机化合物含量高的产品生产和使用，严控生产过程中逃逸性有机气体的排放。</w:t>
                  </w:r>
                </w:p>
                <w:p>
                  <w:pPr>
                    <w:adjustRightInd w:val="0"/>
                    <w:snapToGrid w:val="0"/>
                  </w:pPr>
                  <w:r>
                    <w:rPr>
                      <w:rFonts w:hint="eastAsia"/>
                    </w:rPr>
                    <w:t>（</w:t>
                  </w:r>
                  <w:r>
                    <w:t>4）加强土壤污染防治，对农用地实施分类管理，对重点行业企业建设用地实行环境准入管理，进入各使用环节（储备、转让、收回以及改变用途</w:t>
                  </w:r>
                  <w:r>
                    <w:rPr>
                      <w:rFonts w:hint="eastAsia"/>
                    </w:rPr>
                    <w:t>）</w:t>
                  </w:r>
                  <w:r>
                    <w:t>之前应按照规定进行土壤污染状况调查，动态更新土壤环境污染重点监管企业名单，实施土壤污染环境风险管控和修复名录制度，对污染地块开发利用实行联动监管。</w:t>
                  </w:r>
                </w:p>
                <w:p>
                  <w:pPr>
                    <w:adjustRightInd w:val="0"/>
                    <w:snapToGrid w:val="0"/>
                  </w:pPr>
                  <w:r>
                    <w:t>（5）提高钢铁、水泥等高耗能产业减量置换比例，把高能效和低碳排放纳入产能减量置换门槛，明确重点行业二氧化碳排放达峰目标，控制工业、交通、建筑等行业温室气体排放。</w:t>
                  </w:r>
                </w:p>
                <w:p>
                  <w:pPr>
                    <w:adjustRightInd w:val="0"/>
                    <w:snapToGrid w:val="0"/>
                  </w:pPr>
                  <w:r>
                    <w:t>（6）全州主要污染物总量控制目标达到省级考核要求。</w:t>
                  </w:r>
                </w:p>
              </w:tc>
              <w:tc>
                <w:tcPr>
                  <w:tcW w:w="1251" w:type="pct"/>
                  <w:vAlign w:val="center"/>
                </w:tcPr>
                <w:p>
                  <w:pPr>
                    <w:adjustRightInd w:val="0"/>
                    <w:snapToGrid w:val="0"/>
                  </w:pPr>
                  <w:r>
                    <w:t>初期雨水经项目自建初期雨水沉淀池处理后达到</w:t>
                  </w:r>
                  <w:r>
                    <w:rPr>
                      <w:rFonts w:hint="eastAsia"/>
                    </w:rPr>
                    <w:t>《城市污水再生利用-农田灌溉用水水质》（GB/T20922-2007）</w:t>
                  </w:r>
                  <w:r>
                    <w:t>后回用于项目生产区灌溉。生活废水经化粪池收集</w:t>
                  </w:r>
                  <w:r>
                    <w:rPr>
                      <w:rFonts w:hint="eastAsia"/>
                    </w:rPr>
                    <w:t>处理后，再由自建污水处理站</w:t>
                  </w:r>
                  <w:r>
                    <w:t>处理达到</w:t>
                  </w:r>
                  <w:r>
                    <w:rPr>
                      <w:rFonts w:hint="eastAsia"/>
                    </w:rPr>
                    <w:t>《城市污水再生利用-农田灌溉用水水质》（GB/T20922-2007）</w:t>
                  </w:r>
                  <w:r>
                    <w:t>后与生产废水回用于项目生产过程。项目生产过程生物质锅炉废气经</w:t>
                  </w:r>
                  <w:r>
                    <w:rPr>
                      <w:rFonts w:hint="eastAsia"/>
                    </w:rPr>
                    <w:t>脱硫+布袋除尘</w:t>
                  </w:r>
                  <w:r>
                    <w:t>处理后</w:t>
                  </w:r>
                  <w:r>
                    <w:rPr>
                      <w:rFonts w:hint="eastAsia"/>
                    </w:rPr>
                    <w:t>通过排气筒</w:t>
                  </w:r>
                  <w:r>
                    <w:t>排放，</w:t>
                  </w:r>
                  <w:r>
                    <w:rPr>
                      <w:rFonts w:hint="eastAsia"/>
                    </w:rPr>
                    <w:t>天然气锅炉废气通过1</w:t>
                  </w:r>
                  <w:r>
                    <w:t>5</w:t>
                  </w:r>
                  <w:r>
                    <w:rPr>
                      <w:rFonts w:hint="eastAsia"/>
                    </w:rPr>
                    <w:t>m高排气筒排放。</w:t>
                  </w:r>
                  <w:r>
                    <w:t>项目废水、废气处理后达标排放，固体废物合理、妥善处置。项目位于姚安县光禄镇旧城村，将项目生产周边土地硬化，对周边土壤影响较小：项目不涉及钢铁、水泥等高耗能产业。</w:t>
                  </w:r>
                </w:p>
              </w:tc>
              <w:tc>
                <w:tcPr>
                  <w:tcW w:w="525" w:type="pct"/>
                  <w:vAlign w:val="center"/>
                </w:tcPr>
                <w:p>
                  <w:pPr>
                    <w:adjustRightInd w:val="0"/>
                    <w:snapToGrid w:val="0"/>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672" w:type="pct"/>
                  <w:vAlign w:val="center"/>
                </w:tcPr>
                <w:p>
                  <w:pPr>
                    <w:adjustRightInd w:val="0"/>
                    <w:snapToGrid w:val="0"/>
                    <w:jc w:val="center"/>
                  </w:pPr>
                  <w:r>
                    <w:t>环境风险防控</w:t>
                  </w:r>
                </w:p>
              </w:tc>
              <w:tc>
                <w:tcPr>
                  <w:tcW w:w="2551" w:type="pct"/>
                  <w:vAlign w:val="center"/>
                </w:tcPr>
                <w:p>
                  <w:pPr>
                    <w:adjustRightInd w:val="0"/>
                    <w:snapToGrid w:val="0"/>
                  </w:pPr>
                  <w:r>
                    <w:t>（1）以金沙江楚雄段为重点，研究建立环境风险评估体系，定期评估沿江河湖库工业企业、工业集中区环境风险，落实防控措施。重点开展长江流域金沙江楚雄段生态隐患和环境风险调查评估，划定高风险区域。</w:t>
                  </w:r>
                </w:p>
                <w:p>
                  <w:pPr>
                    <w:adjustRightInd w:val="0"/>
                    <w:snapToGrid w:val="0"/>
                  </w:pPr>
                  <w:r>
                    <w:t>（2</w:t>
                  </w:r>
                  <w:r>
                    <w:rPr>
                      <w:rFonts w:hint="eastAsia"/>
                    </w:rPr>
                    <w:t>）</w:t>
                  </w:r>
                  <w:r>
                    <w:t>强化全州与其他滇中城市的大气污染防治联防联控协作机制，加强区域内重污染天气应急联动。</w:t>
                  </w:r>
                </w:p>
                <w:p>
                  <w:pPr>
                    <w:adjustRightInd w:val="0"/>
                    <w:snapToGrid w:val="0"/>
                  </w:pPr>
                  <w:r>
                    <w:rPr>
                      <w:rFonts w:hint="eastAsia"/>
                    </w:rPr>
                    <w:t>（</w:t>
                  </w:r>
                  <w:r>
                    <w:t>3</w:t>
                  </w:r>
                  <w:r>
                    <w:rPr>
                      <w:rFonts w:hint="eastAsia"/>
                    </w:rPr>
                    <w:t>）</w:t>
                  </w:r>
                  <w:r>
                    <w:t>禁止在环境风险防控重点区域如城乡建设规划区、居民集中区、医院和学校附近、重要水源涵养生态功能区等，以及因环境污染导致环境质量不能稳定达标的区域内新建或扩建可能引发环境风险的项目，如冶金、化工、造纸、危险品生产和储运等。</w:t>
                  </w:r>
                </w:p>
                <w:p>
                  <w:pPr>
                    <w:adjustRightInd w:val="0"/>
                    <w:snapToGrid w:val="0"/>
                  </w:pPr>
                  <w:r>
                    <w:t>（4）</w:t>
                  </w:r>
                  <w:r>
                    <w:rPr>
                      <w:rFonts w:hint="eastAsia"/>
                    </w:rPr>
                    <w:t>垃圾处理厂</w:t>
                  </w:r>
                  <w:r>
                    <w:t>、垃圾中转站、污水处理厂、生物发酵、规模化畜禽养殖、屠宰等产生恶臭气体的单位应当科学选址，与机关、学校、医院、居民住宅区等人口集中地区和其他依法需要特殊保护的区域保持符合规定的防护距离。</w:t>
                  </w:r>
                </w:p>
              </w:tc>
              <w:tc>
                <w:tcPr>
                  <w:tcW w:w="1251" w:type="pct"/>
                  <w:vAlign w:val="center"/>
                </w:tcPr>
                <w:p>
                  <w:pPr>
                    <w:adjustRightInd w:val="0"/>
                    <w:snapToGrid w:val="0"/>
                    <w:jc w:val="left"/>
                  </w:pPr>
                  <w:r>
                    <w:t>项目不属于</w:t>
                  </w:r>
                  <w:r>
                    <w:rPr>
                      <w:rFonts w:hint="eastAsia"/>
                    </w:rPr>
                    <w:t>垃圾处理厂</w:t>
                  </w:r>
                  <w:r>
                    <w:t>、垃圾中转站、污水处理厂、生物发酵、规模化畜禽养殖、屠宰等产生恶臭气体的单位。</w:t>
                  </w:r>
                </w:p>
              </w:tc>
              <w:tc>
                <w:tcPr>
                  <w:tcW w:w="525" w:type="pct"/>
                  <w:vAlign w:val="center"/>
                </w:tcPr>
                <w:p>
                  <w:pPr>
                    <w:adjustRightInd w:val="0"/>
                    <w:snapToGrid w:val="0"/>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672" w:type="pct"/>
                  <w:vAlign w:val="center"/>
                </w:tcPr>
                <w:p>
                  <w:pPr>
                    <w:adjustRightInd w:val="0"/>
                    <w:snapToGrid w:val="0"/>
                    <w:jc w:val="center"/>
                  </w:pPr>
                  <w:r>
                    <w:t>资源利用效率</w:t>
                  </w:r>
                </w:p>
              </w:tc>
              <w:tc>
                <w:tcPr>
                  <w:tcW w:w="2551" w:type="pct"/>
                  <w:vAlign w:val="center"/>
                </w:tcPr>
                <w:p>
                  <w:pPr>
                    <w:adjustRightInd w:val="0"/>
                    <w:snapToGrid w:val="0"/>
                  </w:pPr>
                  <w:r>
                    <w:t>（l）降低水、土地、矿产资源消耗强度，强化约束性指标管理。</w:t>
                  </w:r>
                </w:p>
                <w:p>
                  <w:pPr>
                    <w:adjustRightInd w:val="0"/>
                    <w:snapToGrid w:val="0"/>
                  </w:pPr>
                  <w:r>
                    <w:rPr>
                      <w:rFonts w:hint="eastAsia"/>
                    </w:rPr>
                    <w:t>（</w:t>
                  </w:r>
                  <w:r>
                    <w:t>2</w:t>
                  </w:r>
                  <w:r>
                    <w:rPr>
                      <w:rFonts w:hint="eastAsia"/>
                    </w:rPr>
                    <w:t>）</w:t>
                  </w:r>
                  <w:r>
                    <w:t>实行最严格的水资源管理制度，严格用水总量、强度指标管理，严格取水管控，建立重点监控取水单位名录，强化重点监控取水单位管理。全州年用水总量、万元工业增加值用水量降幅等指标达到省考核要求。</w:t>
                  </w:r>
                </w:p>
                <w:p>
                  <w:pPr>
                    <w:adjustRightInd w:val="0"/>
                    <w:snapToGrid w:val="0"/>
                  </w:pPr>
                  <w:r>
                    <w:rPr>
                      <w:rFonts w:hint="eastAsia"/>
                    </w:rPr>
                    <w:t>（</w:t>
                  </w:r>
                  <w:r>
                    <w:t>3）坚持最严格的耕地保护制度，守住耕地保护红线。坚持节约用地，严格执行耕地占补平衡等制度，提高土地投资强度和单位面积产出水平。</w:t>
                  </w:r>
                </w:p>
                <w:p>
                  <w:pPr>
                    <w:adjustRightInd w:val="0"/>
                    <w:snapToGrid w:val="0"/>
                  </w:pPr>
                  <w:r>
                    <w:t>（4</w:t>
                  </w:r>
                  <w:r>
                    <w:rPr>
                      <w:rFonts w:hint="eastAsia"/>
                    </w:rPr>
                    <w:t>）</w:t>
                  </w:r>
                  <w:r>
                    <w:t>全州单位GDP能耗持续下降，能耗增量控制目标达到省考核要求。</w:t>
                  </w:r>
                </w:p>
                <w:p>
                  <w:pPr>
                    <w:adjustRightInd w:val="0"/>
                    <w:snapToGrid w:val="0"/>
                  </w:pPr>
                  <w:r>
                    <w:t>（5）鼓励全州石化、化工、有色金属冶炼等行业运用工业节水、技术和装备，促进企业废水深度处理回用。</w:t>
                  </w:r>
                </w:p>
                <w:p>
                  <w:pPr>
                    <w:adjustRightInd w:val="0"/>
                    <w:snapToGrid w:val="0"/>
                  </w:pPr>
                  <w:r>
                    <w:t>（6）实施金沙江龙川江等重点流域水库群联合调度，增加枯水期下泄流量，确保生态用水比例只增不降。</w:t>
                  </w:r>
                </w:p>
              </w:tc>
              <w:tc>
                <w:tcPr>
                  <w:tcW w:w="1251" w:type="pct"/>
                  <w:vAlign w:val="center"/>
                </w:tcPr>
                <w:p>
                  <w:pPr>
                    <w:adjustRightInd w:val="0"/>
                    <w:snapToGrid w:val="0"/>
                  </w:pPr>
                  <w:r>
                    <w:t>项目属于新建项目：项目不占用耕地，项目运用工业节水、技术和装备，促进企业污水处理达标后回用于项目生产过程。</w:t>
                  </w:r>
                </w:p>
              </w:tc>
              <w:tc>
                <w:tcPr>
                  <w:tcW w:w="525" w:type="pct"/>
                  <w:vAlign w:val="center"/>
                </w:tcPr>
                <w:p>
                  <w:pPr>
                    <w:adjustRightInd w:val="0"/>
                    <w:snapToGrid w:val="0"/>
                    <w:jc w:val="center"/>
                  </w:pPr>
                  <w:r>
                    <w:t>相符</w:t>
                  </w:r>
                </w:p>
              </w:tc>
            </w:tr>
          </w:tbl>
          <w:p>
            <w:pPr>
              <w:autoSpaceDE w:val="0"/>
              <w:autoSpaceDN w:val="0"/>
              <w:adjustRightInd w:val="0"/>
              <w:snapToGrid w:val="0"/>
              <w:spacing w:line="360" w:lineRule="auto"/>
              <w:ind w:firstLine="480" w:firstLineChars="200"/>
              <w:jc w:val="center"/>
            </w:pPr>
            <w:r>
              <w:rPr>
                <w:b/>
                <w:bCs/>
                <w:sz w:val="24"/>
              </w:rPr>
              <w:t>1-6 楚雄州重点管控单元生态环境准入清单</w:t>
            </w:r>
            <w:r>
              <w:rPr>
                <w:rFonts w:hint="eastAsia"/>
                <w:b/>
                <w:bCs/>
                <w:sz w:val="24"/>
              </w:rPr>
              <w:t>－</w:t>
            </w:r>
            <w:r>
              <w:rPr>
                <w:b/>
                <w:bCs/>
                <w:sz w:val="24"/>
              </w:rPr>
              <w:t>姚安县</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07"/>
              <w:gridCol w:w="307"/>
              <w:gridCol w:w="307"/>
              <w:gridCol w:w="3190"/>
              <w:gridCol w:w="2297"/>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 w:hRule="atLeast"/>
                <w:tblHeader/>
                <w:jc w:val="center"/>
              </w:trPr>
              <w:tc>
                <w:tcPr>
                  <w:tcW w:w="210" w:type="pct"/>
                  <w:vAlign w:val="center"/>
                </w:tcPr>
                <w:p>
                  <w:pPr>
                    <w:widowControl/>
                    <w:jc w:val="center"/>
                    <w:rPr>
                      <w:b/>
                      <w:bCs/>
                      <w:szCs w:val="21"/>
                    </w:rPr>
                  </w:pPr>
                  <w:r>
                    <w:rPr>
                      <w:b/>
                      <w:bCs/>
                      <w:szCs w:val="21"/>
                    </w:rPr>
                    <w:t>市县</w:t>
                  </w:r>
                </w:p>
              </w:tc>
              <w:tc>
                <w:tcPr>
                  <w:tcW w:w="210" w:type="pct"/>
                  <w:vAlign w:val="center"/>
                </w:tcPr>
                <w:p>
                  <w:pPr>
                    <w:widowControl/>
                    <w:jc w:val="center"/>
                    <w:rPr>
                      <w:b/>
                      <w:bCs/>
                      <w:szCs w:val="21"/>
                    </w:rPr>
                  </w:pPr>
                  <w:r>
                    <w:rPr>
                      <w:b/>
                      <w:bCs/>
                      <w:szCs w:val="21"/>
                    </w:rPr>
                    <w:t>单元</w:t>
                  </w:r>
                </w:p>
                <w:p>
                  <w:pPr>
                    <w:widowControl/>
                    <w:jc w:val="center"/>
                    <w:rPr>
                      <w:b/>
                      <w:bCs/>
                      <w:szCs w:val="21"/>
                    </w:rPr>
                  </w:pPr>
                  <w:r>
                    <w:rPr>
                      <w:b/>
                      <w:bCs/>
                      <w:szCs w:val="21"/>
                    </w:rPr>
                    <w:t>名称</w:t>
                  </w:r>
                </w:p>
              </w:tc>
              <w:tc>
                <w:tcPr>
                  <w:tcW w:w="2392" w:type="pct"/>
                  <w:gridSpan w:val="2"/>
                  <w:noWrap/>
                  <w:vAlign w:val="center"/>
                </w:tcPr>
                <w:p>
                  <w:pPr>
                    <w:widowControl/>
                    <w:jc w:val="center"/>
                    <w:rPr>
                      <w:b/>
                      <w:bCs/>
                      <w:szCs w:val="21"/>
                    </w:rPr>
                  </w:pPr>
                  <w:r>
                    <w:rPr>
                      <w:b/>
                      <w:bCs/>
                      <w:szCs w:val="21"/>
                    </w:rPr>
                    <w:t>管控要求</w:t>
                  </w:r>
                </w:p>
              </w:tc>
              <w:tc>
                <w:tcPr>
                  <w:tcW w:w="1571" w:type="pct"/>
                  <w:noWrap/>
                  <w:vAlign w:val="center"/>
                </w:tcPr>
                <w:p>
                  <w:pPr>
                    <w:widowControl/>
                    <w:jc w:val="center"/>
                    <w:rPr>
                      <w:b/>
                      <w:bCs/>
                      <w:szCs w:val="21"/>
                    </w:rPr>
                  </w:pPr>
                  <w:r>
                    <w:rPr>
                      <w:b/>
                      <w:bCs/>
                      <w:szCs w:val="21"/>
                    </w:rPr>
                    <w:t>项目建设情况</w:t>
                  </w:r>
                </w:p>
              </w:tc>
              <w:tc>
                <w:tcPr>
                  <w:tcW w:w="615" w:type="pct"/>
                  <w:noWrap/>
                  <w:vAlign w:val="center"/>
                </w:tcPr>
                <w:p>
                  <w:pPr>
                    <w:widowControl/>
                    <w:jc w:val="center"/>
                    <w:rPr>
                      <w:b/>
                      <w:bCs/>
                      <w:szCs w:val="21"/>
                    </w:rPr>
                  </w:pPr>
                  <w:r>
                    <w:rPr>
                      <w:b/>
                      <w:bCs/>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10" w:type="pct"/>
                  <w:vMerge w:val="restart"/>
                  <w:vAlign w:val="center"/>
                </w:tcPr>
                <w:p>
                  <w:pPr>
                    <w:widowControl/>
                    <w:jc w:val="left"/>
                    <w:rPr>
                      <w:szCs w:val="21"/>
                    </w:rPr>
                  </w:pPr>
                  <w:r>
                    <w:rPr>
                      <w:szCs w:val="21"/>
                    </w:rPr>
                    <w:t>姚安县</w:t>
                  </w:r>
                </w:p>
              </w:tc>
              <w:tc>
                <w:tcPr>
                  <w:tcW w:w="210" w:type="pct"/>
                  <w:vMerge w:val="restart"/>
                  <w:vAlign w:val="center"/>
                </w:tcPr>
                <w:p>
                  <w:pPr>
                    <w:widowControl/>
                    <w:jc w:val="left"/>
                    <w:rPr>
                      <w:szCs w:val="21"/>
                    </w:rPr>
                  </w:pPr>
                  <w:r>
                    <w:rPr>
                      <w:rFonts w:eastAsia="Helvetica"/>
                      <w:szCs w:val="21"/>
                      <w:shd w:val="clear" w:color="auto" w:fill="FFFFFF"/>
                    </w:rPr>
                    <w:t>姚安县光禄镇城镇生活污染重点管控单元</w:t>
                  </w:r>
                </w:p>
              </w:tc>
              <w:tc>
                <w:tcPr>
                  <w:tcW w:w="210" w:type="pct"/>
                  <w:vAlign w:val="center"/>
                </w:tcPr>
                <w:p>
                  <w:pPr>
                    <w:widowControl/>
                    <w:jc w:val="left"/>
                    <w:rPr>
                      <w:szCs w:val="21"/>
                    </w:rPr>
                  </w:pPr>
                  <w:r>
                    <w:rPr>
                      <w:szCs w:val="21"/>
                    </w:rPr>
                    <w:t>空间布局约束</w:t>
                  </w:r>
                </w:p>
              </w:tc>
              <w:tc>
                <w:tcPr>
                  <w:tcW w:w="2182" w:type="pct"/>
                  <w:vAlign w:val="center"/>
                </w:tcPr>
                <w:p>
                  <w:pPr>
                    <w:widowControl/>
                    <w:jc w:val="left"/>
                    <w:rPr>
                      <w:szCs w:val="21"/>
                    </w:rPr>
                  </w:pPr>
                  <w:r>
                    <w:rPr>
                      <w:szCs w:val="21"/>
                    </w:rPr>
                    <w:t>1.禁止在人口集中地区、交通干线附近和其他依法需要特殊保护的区域内焚烧沥青、油毡、橡胶、塑料、皮革、秸秆、落叶、垃圾以及其他产生有毒有害烟尘和恶臭气体的物质。</w:t>
                  </w:r>
                </w:p>
                <w:p>
                  <w:pPr>
                    <w:widowControl/>
                    <w:jc w:val="left"/>
                    <w:rPr>
                      <w:rFonts w:eastAsiaTheme="minorEastAsia"/>
                      <w:szCs w:val="21"/>
                    </w:rPr>
                  </w:pPr>
                  <w:r>
                    <w:rPr>
                      <w:szCs w:val="21"/>
                    </w:rPr>
                    <w:t>2.高度重视光禄历史文化名镇保护工作。正确处理好保护与建设、保护与发展的关系，对保护范围内的建设项目要严格审查，不得进行与名镇环境</w:t>
                  </w:r>
                  <w:r>
                    <w:rPr>
                      <w:rFonts w:eastAsia="Helvetica"/>
                      <w:szCs w:val="21"/>
                      <w:shd w:val="clear" w:color="auto" w:fill="FFFFFF"/>
                    </w:rPr>
                    <w:t>和风貌不相协调的建设活动。注重名镇环境整治和历史建筑修缮维护，保持名镇的传统风貌和格局，实现历史文化资源的有效保护和传承发展。</w:t>
                  </w:r>
                </w:p>
              </w:tc>
              <w:tc>
                <w:tcPr>
                  <w:tcW w:w="1571" w:type="pct"/>
                  <w:vAlign w:val="center"/>
                </w:tcPr>
                <w:p>
                  <w:pPr>
                    <w:widowControl/>
                    <w:jc w:val="left"/>
                    <w:rPr>
                      <w:szCs w:val="21"/>
                    </w:rPr>
                  </w:pPr>
                  <w:r>
                    <w:rPr>
                      <w:szCs w:val="21"/>
                    </w:rPr>
                    <w:t>本项目无焚烧工艺且周边无历史文化名镇</w:t>
                  </w:r>
                </w:p>
              </w:tc>
              <w:tc>
                <w:tcPr>
                  <w:tcW w:w="615" w:type="pct"/>
                  <w:vAlign w:val="center"/>
                </w:tcPr>
                <w:p>
                  <w:pPr>
                    <w:widowControl/>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10" w:type="pct"/>
                  <w:vMerge w:val="continue"/>
                  <w:vAlign w:val="center"/>
                </w:tcPr>
                <w:p>
                  <w:pPr>
                    <w:widowControl/>
                    <w:jc w:val="left"/>
                    <w:rPr>
                      <w:szCs w:val="21"/>
                    </w:rPr>
                  </w:pPr>
                </w:p>
              </w:tc>
              <w:tc>
                <w:tcPr>
                  <w:tcW w:w="210" w:type="pct"/>
                  <w:vMerge w:val="continue"/>
                  <w:vAlign w:val="center"/>
                </w:tcPr>
                <w:p>
                  <w:pPr>
                    <w:widowControl/>
                    <w:jc w:val="left"/>
                    <w:rPr>
                      <w:szCs w:val="21"/>
                    </w:rPr>
                  </w:pPr>
                </w:p>
              </w:tc>
              <w:tc>
                <w:tcPr>
                  <w:tcW w:w="210" w:type="pct"/>
                  <w:vAlign w:val="center"/>
                </w:tcPr>
                <w:p>
                  <w:pPr>
                    <w:widowControl/>
                    <w:jc w:val="left"/>
                    <w:rPr>
                      <w:szCs w:val="21"/>
                    </w:rPr>
                  </w:pPr>
                  <w:r>
                    <w:rPr>
                      <w:szCs w:val="21"/>
                    </w:rPr>
                    <w:t>污染物排放管控</w:t>
                  </w:r>
                </w:p>
              </w:tc>
              <w:tc>
                <w:tcPr>
                  <w:tcW w:w="2182" w:type="pct"/>
                  <w:vAlign w:val="center"/>
                </w:tcPr>
                <w:p>
                  <w:pPr>
                    <w:widowControl/>
                    <w:jc w:val="left"/>
                    <w:rPr>
                      <w:szCs w:val="21"/>
                    </w:rPr>
                  </w:pPr>
                  <w:r>
                    <w:rPr>
                      <w:szCs w:val="21"/>
                    </w:rPr>
                    <w:t>1.大力推进生活垃圾分类回收利用，建立分类投放、收集、运输、处理的生活垃圾收运处理系统。</w:t>
                  </w:r>
                </w:p>
                <w:p>
                  <w:pPr>
                    <w:widowControl/>
                    <w:jc w:val="left"/>
                    <w:rPr>
                      <w:szCs w:val="21"/>
                    </w:rPr>
                  </w:pPr>
                  <w:r>
                    <w:rPr>
                      <w:szCs w:val="21"/>
                    </w:rPr>
                    <w:t>2.光禄集镇生活污水经姚安县第二污水处理厂处理达标后排放，加强光禄集镇污水管网建设，提升污水管网覆盖范围，减少生活污水直排入河量，确保蜻蛉河王家桥断面水质稳定达到</w:t>
                  </w:r>
                  <w:r>
                    <w:rPr>
                      <w:rFonts w:hint="eastAsia"/>
                      <w:szCs w:val="21"/>
                    </w:rPr>
                    <w:t>Ⅳ类</w:t>
                  </w:r>
                  <w:r>
                    <w:rPr>
                      <w:szCs w:val="21"/>
                    </w:rPr>
                    <w:t>标准。</w:t>
                  </w:r>
                </w:p>
                <w:p>
                  <w:pPr>
                    <w:widowControl/>
                    <w:jc w:val="left"/>
                    <w:rPr>
                      <w:szCs w:val="21"/>
                    </w:rPr>
                  </w:pPr>
                </w:p>
              </w:tc>
              <w:tc>
                <w:tcPr>
                  <w:tcW w:w="1571" w:type="pct"/>
                  <w:vAlign w:val="center"/>
                </w:tcPr>
                <w:p>
                  <w:pPr>
                    <w:widowControl/>
                    <w:jc w:val="left"/>
                    <w:rPr>
                      <w:szCs w:val="21"/>
                    </w:rPr>
                  </w:pPr>
                  <w:r>
                    <w:rPr>
                      <w:szCs w:val="21"/>
                    </w:rPr>
                    <w:t>本项目生活垃圾统一收集后由有资质的单位清运处置。生活污水由隔油池、化粪池处理，处理后污水，在前期未接入污水管网时进入自建污水处理厂处理</w:t>
                  </w:r>
                  <w:r>
                    <w:rPr>
                      <w:rFonts w:hint="eastAsia"/>
                      <w:szCs w:val="21"/>
                    </w:rPr>
                    <w:t>达标</w:t>
                  </w:r>
                  <w:r>
                    <w:rPr>
                      <w:szCs w:val="21"/>
                    </w:rPr>
                    <w:t>后回用，不外排；后期接入污水管网后进入姚安县第二污水处理厂进行处理。</w:t>
                  </w:r>
                </w:p>
              </w:tc>
              <w:tc>
                <w:tcPr>
                  <w:tcW w:w="615" w:type="pct"/>
                  <w:vAlign w:val="center"/>
                </w:tcPr>
                <w:p>
                  <w:pPr>
                    <w:widowControl/>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10" w:type="pct"/>
                  <w:vMerge w:val="continue"/>
                  <w:vAlign w:val="center"/>
                </w:tcPr>
                <w:p>
                  <w:pPr>
                    <w:widowControl/>
                    <w:jc w:val="left"/>
                    <w:rPr>
                      <w:szCs w:val="21"/>
                    </w:rPr>
                  </w:pPr>
                </w:p>
              </w:tc>
              <w:tc>
                <w:tcPr>
                  <w:tcW w:w="210" w:type="pct"/>
                  <w:vMerge w:val="continue"/>
                  <w:vAlign w:val="center"/>
                </w:tcPr>
                <w:p>
                  <w:pPr>
                    <w:widowControl/>
                    <w:jc w:val="left"/>
                    <w:rPr>
                      <w:szCs w:val="21"/>
                    </w:rPr>
                  </w:pPr>
                </w:p>
              </w:tc>
              <w:tc>
                <w:tcPr>
                  <w:tcW w:w="210" w:type="pct"/>
                  <w:vAlign w:val="center"/>
                </w:tcPr>
                <w:p>
                  <w:pPr>
                    <w:widowControl/>
                    <w:jc w:val="left"/>
                    <w:rPr>
                      <w:szCs w:val="21"/>
                    </w:rPr>
                  </w:pPr>
                  <w:r>
                    <w:rPr>
                      <w:szCs w:val="21"/>
                    </w:rPr>
                    <w:t>资源开发效率要求</w:t>
                  </w:r>
                </w:p>
              </w:tc>
              <w:tc>
                <w:tcPr>
                  <w:tcW w:w="2182" w:type="pct"/>
                  <w:vAlign w:val="center"/>
                </w:tcPr>
                <w:p>
                  <w:pPr>
                    <w:widowControl/>
                    <w:jc w:val="left"/>
                    <w:rPr>
                      <w:szCs w:val="21"/>
                    </w:rPr>
                  </w:pPr>
                  <w:r>
                    <w:rPr>
                      <w:szCs w:val="21"/>
                    </w:rPr>
                    <w:t>1.鼓励居民家庭选用节水器具。</w:t>
                  </w:r>
                </w:p>
                <w:p>
                  <w:pPr>
                    <w:widowControl/>
                    <w:jc w:val="left"/>
                    <w:rPr>
                      <w:szCs w:val="21"/>
                    </w:rPr>
                  </w:pPr>
                  <w:r>
                    <w:rPr>
                      <w:szCs w:val="21"/>
                    </w:rPr>
                    <w:t>2.鼓励将分散污水处理设施尾水以及经收集和处理后的雨水用于河道生态补水、集镇绿化等。</w:t>
                  </w:r>
                </w:p>
                <w:p>
                  <w:pPr>
                    <w:widowControl/>
                    <w:jc w:val="left"/>
                    <w:rPr>
                      <w:szCs w:val="21"/>
                    </w:rPr>
                  </w:pPr>
                </w:p>
              </w:tc>
              <w:tc>
                <w:tcPr>
                  <w:tcW w:w="1571" w:type="pct"/>
                  <w:vAlign w:val="center"/>
                </w:tcPr>
                <w:p>
                  <w:pPr>
                    <w:widowControl/>
                    <w:jc w:val="left"/>
                    <w:rPr>
                      <w:szCs w:val="21"/>
                    </w:rPr>
                  </w:pPr>
                  <w:r>
                    <w:rPr>
                      <w:szCs w:val="21"/>
                    </w:rPr>
                    <w:t>项目不属于高耗水项目，自建初期雨水沉淀池处理后达到</w:t>
                  </w:r>
                  <w:r>
                    <w:rPr>
                      <w:rFonts w:hint="eastAsia"/>
                      <w:szCs w:val="21"/>
                    </w:rPr>
                    <w:t>《城市污水再生利用-农田灌溉用水水质》（GB/T20922-2007）</w:t>
                  </w:r>
                  <w:r>
                    <w:rPr>
                      <w:szCs w:val="21"/>
                    </w:rPr>
                    <w:t>后回用于项目区</w:t>
                  </w:r>
                  <w:r>
                    <w:rPr>
                      <w:rFonts w:hint="eastAsia"/>
                      <w:szCs w:val="21"/>
                    </w:rPr>
                    <w:t>花卉种植用水</w:t>
                  </w:r>
                  <w:r>
                    <w:rPr>
                      <w:szCs w:val="21"/>
                    </w:rPr>
                    <w:t>。食堂废水经隔油池处理后与生活污水一起进入化粪池处理，化粪池处理后污水，在前期未接入污水管网时进入自建污水处理厂处理</w:t>
                  </w:r>
                  <w:r>
                    <w:rPr>
                      <w:rFonts w:hint="eastAsia"/>
                      <w:szCs w:val="21"/>
                    </w:rPr>
                    <w:t>达标</w:t>
                  </w:r>
                  <w:r>
                    <w:rPr>
                      <w:szCs w:val="21"/>
                    </w:rPr>
                    <w:t>后回用，不外排；后期接入污水管网后进入姚安县第二污水处理厂进行处理。</w:t>
                  </w:r>
                </w:p>
              </w:tc>
              <w:tc>
                <w:tcPr>
                  <w:tcW w:w="615" w:type="pct"/>
                  <w:vAlign w:val="center"/>
                </w:tcPr>
                <w:p>
                  <w:pPr>
                    <w:widowControl/>
                    <w:jc w:val="center"/>
                    <w:rPr>
                      <w:szCs w:val="21"/>
                    </w:rPr>
                  </w:pPr>
                  <w:r>
                    <w:rPr>
                      <w:szCs w:val="21"/>
                    </w:rPr>
                    <w:t>相符</w:t>
                  </w:r>
                </w:p>
              </w:tc>
            </w:tr>
          </w:tbl>
          <w:p>
            <w:pPr>
              <w:pStyle w:val="13"/>
              <w:spacing w:line="360" w:lineRule="auto"/>
              <w:ind w:firstLine="480" w:firstLineChars="200"/>
              <w:rPr>
                <w:rFonts w:ascii="Times New Roman" w:hAnsi="Times New Roman"/>
                <w:kern w:val="0"/>
                <w:sz w:val="24"/>
              </w:rPr>
            </w:pPr>
            <w:r>
              <w:rPr>
                <w:rFonts w:ascii="Times New Roman" w:hAnsi="Times New Roman"/>
                <w:sz w:val="24"/>
              </w:rPr>
              <w:t>综上，本项目总体上能够符合《云南省人民政府关于实施“三线一单”生态环境分区管控的意见》（云政发</w:t>
            </w:r>
            <w:r>
              <w:rPr>
                <w:rFonts w:hint="eastAsia" w:ascii="Times New Roman" w:hAnsi="Times New Roman"/>
                <w:sz w:val="24"/>
              </w:rPr>
              <w:t>〔</w:t>
            </w:r>
            <w:r>
              <w:rPr>
                <w:rFonts w:ascii="Times New Roman" w:hAnsi="Times New Roman"/>
                <w:sz w:val="24"/>
              </w:rPr>
              <w:t>2020</w:t>
            </w:r>
            <w:r>
              <w:rPr>
                <w:rFonts w:hint="eastAsia" w:ascii="Times New Roman" w:hAnsi="Times New Roman"/>
                <w:sz w:val="24"/>
              </w:rPr>
              <w:t>〕</w:t>
            </w:r>
            <w:r>
              <w:rPr>
                <w:rFonts w:ascii="Times New Roman" w:hAnsi="Times New Roman"/>
                <w:sz w:val="24"/>
              </w:rPr>
              <w:t>29号）《楚雄州人民政府关于印发楚雄州“三线一单”生态环境分区管控实施方案》（楚政通（2021）22号）的管理要求。</w:t>
            </w:r>
          </w:p>
          <w:p>
            <w:pPr>
              <w:numPr>
                <w:ilvl w:val="0"/>
                <w:numId w:val="1"/>
              </w:numPr>
              <w:autoSpaceDE w:val="0"/>
              <w:autoSpaceDN w:val="0"/>
              <w:adjustRightInd w:val="0"/>
              <w:spacing w:line="360" w:lineRule="auto"/>
              <w:jc w:val="left"/>
              <w:rPr>
                <w:sz w:val="24"/>
              </w:rPr>
            </w:pPr>
            <w:r>
              <w:rPr>
                <w:kern w:val="0"/>
                <w:sz w:val="24"/>
              </w:rPr>
              <w:t>与</w:t>
            </w:r>
            <w:r>
              <w:rPr>
                <w:sz w:val="24"/>
              </w:rPr>
              <w:t>楚雄州人民政府办公室关于印发《楚雄州重点流域水生态环境保护“十四五”规划》（楚政通【2022】77号）的通知符合性分析如下。</w:t>
            </w:r>
          </w:p>
          <w:p>
            <w:pPr>
              <w:autoSpaceDE w:val="0"/>
              <w:autoSpaceDN w:val="0"/>
              <w:adjustRightInd w:val="0"/>
              <w:spacing w:line="360" w:lineRule="auto"/>
              <w:jc w:val="center"/>
              <w:rPr>
                <w:b/>
                <w:bCs/>
                <w:sz w:val="24"/>
              </w:rPr>
            </w:pPr>
            <w:r>
              <w:rPr>
                <w:rFonts w:hint="eastAsia"/>
                <w:b/>
                <w:bCs/>
                <w:sz w:val="24"/>
              </w:rPr>
              <w:t>表1-7 与</w:t>
            </w:r>
            <w:r>
              <w:rPr>
                <w:b/>
                <w:bCs/>
                <w:sz w:val="24"/>
              </w:rPr>
              <w:t>楚雄州重点流域水生态环境保护“十四五”规划</w:t>
            </w:r>
            <w:r>
              <w:rPr>
                <w:rFonts w:hint="eastAsia"/>
                <w:b/>
                <w:bCs/>
                <w:sz w:val="24"/>
              </w:rPr>
              <w:t>相符性</w:t>
            </w:r>
          </w:p>
          <w:tbl>
            <w:tblPr>
              <w:tblStyle w:val="27"/>
              <w:tblW w:w="7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3799"/>
              <w:gridCol w:w="185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autoSpaceDE w:val="0"/>
                    <w:autoSpaceDN w:val="0"/>
                    <w:adjustRightInd w:val="0"/>
                    <w:jc w:val="center"/>
                    <w:rPr>
                      <w:b/>
                      <w:bCs/>
                      <w:szCs w:val="21"/>
                    </w:rPr>
                  </w:pPr>
                  <w:r>
                    <w:rPr>
                      <w:rFonts w:hint="eastAsia"/>
                      <w:b/>
                      <w:bCs/>
                      <w:szCs w:val="21"/>
                    </w:rPr>
                    <w:t>序号</w:t>
                  </w:r>
                </w:p>
              </w:tc>
              <w:tc>
                <w:tcPr>
                  <w:tcW w:w="3799" w:type="dxa"/>
                  <w:vAlign w:val="center"/>
                </w:tcPr>
                <w:p>
                  <w:pPr>
                    <w:autoSpaceDE w:val="0"/>
                    <w:autoSpaceDN w:val="0"/>
                    <w:adjustRightInd w:val="0"/>
                    <w:jc w:val="center"/>
                    <w:rPr>
                      <w:b/>
                      <w:bCs/>
                      <w:szCs w:val="21"/>
                    </w:rPr>
                  </w:pPr>
                  <w:r>
                    <w:rPr>
                      <w:rFonts w:hint="eastAsia"/>
                      <w:b/>
                      <w:bCs/>
                      <w:szCs w:val="21"/>
                    </w:rPr>
                    <w:t>要求</w:t>
                  </w:r>
                </w:p>
              </w:tc>
              <w:tc>
                <w:tcPr>
                  <w:tcW w:w="1851" w:type="dxa"/>
                  <w:vAlign w:val="center"/>
                </w:tcPr>
                <w:p>
                  <w:pPr>
                    <w:autoSpaceDE w:val="0"/>
                    <w:autoSpaceDN w:val="0"/>
                    <w:adjustRightInd w:val="0"/>
                    <w:jc w:val="center"/>
                    <w:rPr>
                      <w:b/>
                      <w:bCs/>
                      <w:szCs w:val="21"/>
                    </w:rPr>
                  </w:pPr>
                  <w:r>
                    <w:rPr>
                      <w:rFonts w:hint="eastAsia"/>
                      <w:b/>
                      <w:bCs/>
                      <w:szCs w:val="21"/>
                    </w:rPr>
                    <w:t>项目情况</w:t>
                  </w:r>
                </w:p>
              </w:tc>
              <w:tc>
                <w:tcPr>
                  <w:tcW w:w="960" w:type="dxa"/>
                  <w:vAlign w:val="center"/>
                </w:tcPr>
                <w:p>
                  <w:pPr>
                    <w:autoSpaceDE w:val="0"/>
                    <w:autoSpaceDN w:val="0"/>
                    <w:adjustRightInd w:val="0"/>
                    <w:jc w:val="center"/>
                    <w:rPr>
                      <w:b/>
                      <w:bCs/>
                      <w:szCs w:val="21"/>
                    </w:rPr>
                  </w:pPr>
                  <w:r>
                    <w:rPr>
                      <w:rFonts w:hint="eastAsia"/>
                      <w:b/>
                      <w:bCs/>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autoSpaceDE w:val="0"/>
                    <w:autoSpaceDN w:val="0"/>
                    <w:adjustRightInd w:val="0"/>
                    <w:jc w:val="left"/>
                    <w:rPr>
                      <w:szCs w:val="21"/>
                    </w:rPr>
                  </w:pPr>
                  <w:r>
                    <w:rPr>
                      <w:rFonts w:hint="eastAsia"/>
                      <w:szCs w:val="21"/>
                    </w:rPr>
                    <w:t>1</w:t>
                  </w:r>
                </w:p>
              </w:tc>
              <w:tc>
                <w:tcPr>
                  <w:tcW w:w="3799" w:type="dxa"/>
                  <w:vAlign w:val="center"/>
                </w:tcPr>
                <w:p>
                  <w:pPr>
                    <w:autoSpaceDE w:val="0"/>
                    <w:autoSpaceDN w:val="0"/>
                    <w:adjustRightInd w:val="0"/>
                    <w:jc w:val="left"/>
                    <w:rPr>
                      <w:szCs w:val="21"/>
                    </w:rPr>
                  </w:pPr>
                  <w:r>
                    <w:rPr>
                      <w:szCs w:val="21"/>
                    </w:rPr>
                    <w:t>补齐姚安县、大姚县污水收集处理短板。一是实施姚安县、大姚县污水收集管网提升改造工程，姚安县实现城市建成区及城郊结合部的污水管网全覆盖，做到污水应收尽收；二是实施雨污分流改造工程。开展姚安县、大姚县城区雨污混流排污口排查改造，杜绝雨季雨污混流直接入河；三是提升污水处理能力。实施姚安县第二污水处理厂建设、大姚县污水处理厂扩容工程；四是提升污水处理效能。实施大姚县、姚安县污水处理厂提标改造工程；五是建设完善乡镇污水处理设施。因地制宜，建设大姚县赵家店镇、姚安县光禄镇等集镇的乡镇污水收集处理设施。</w:t>
                  </w:r>
                </w:p>
              </w:tc>
              <w:tc>
                <w:tcPr>
                  <w:tcW w:w="1851" w:type="dxa"/>
                  <w:vAlign w:val="center"/>
                </w:tcPr>
                <w:p>
                  <w:pPr>
                    <w:autoSpaceDE w:val="0"/>
                    <w:autoSpaceDN w:val="0"/>
                    <w:adjustRightInd w:val="0"/>
                    <w:jc w:val="left"/>
                    <w:rPr>
                      <w:szCs w:val="21"/>
                    </w:rPr>
                  </w:pPr>
                  <w:r>
                    <w:rPr>
                      <w:rFonts w:hint="eastAsia"/>
                      <w:szCs w:val="21"/>
                    </w:rPr>
                    <w:t>本项目厂区进行雨污分流，雨水由厂区新建雨水管排入姚安县市政雨水管网；生活污水经处理达标后由厂区新建污水管排入姚安县市政污水管网，然后进入姚安县第二污水处理厂处理。在未接通市政管网前，污水由厂区自建污水处理厂进行处理。</w:t>
                  </w:r>
                </w:p>
              </w:tc>
              <w:tc>
                <w:tcPr>
                  <w:tcW w:w="960" w:type="dxa"/>
                  <w:vAlign w:val="center"/>
                </w:tcPr>
                <w:p>
                  <w:pPr>
                    <w:autoSpaceDE w:val="0"/>
                    <w:autoSpaceDN w:val="0"/>
                    <w:adjustRightInd w:val="0"/>
                    <w:jc w:val="left"/>
                    <w:rPr>
                      <w:szCs w:val="21"/>
                    </w:rPr>
                  </w:pPr>
                  <w:r>
                    <w:rPr>
                      <w:rFonts w:hint="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autoSpaceDE w:val="0"/>
                    <w:autoSpaceDN w:val="0"/>
                    <w:adjustRightInd w:val="0"/>
                    <w:jc w:val="left"/>
                    <w:rPr>
                      <w:szCs w:val="21"/>
                    </w:rPr>
                  </w:pPr>
                  <w:r>
                    <w:rPr>
                      <w:rFonts w:hint="eastAsia"/>
                      <w:szCs w:val="21"/>
                    </w:rPr>
                    <w:t>2</w:t>
                  </w:r>
                </w:p>
              </w:tc>
              <w:tc>
                <w:tcPr>
                  <w:tcW w:w="3799" w:type="dxa"/>
                  <w:vAlign w:val="center"/>
                </w:tcPr>
                <w:p>
                  <w:pPr>
                    <w:autoSpaceDE w:val="0"/>
                    <w:autoSpaceDN w:val="0"/>
                    <w:adjustRightInd w:val="0"/>
                    <w:jc w:val="left"/>
                    <w:rPr>
                      <w:szCs w:val="21"/>
                    </w:rPr>
                  </w:pPr>
                  <w:r>
                    <w:rPr>
                      <w:szCs w:val="21"/>
                    </w:rPr>
                    <w:t>加强农业农村面源污染防治。加强规模化畜禽养殖污染防治，督促建设完善相应的污染治理设施；推进农业面源污染防治，发展节水农业项目，加强节水灌溉工程建设和节水改造，在蜻蛉河沿线一定范围内，大力推进种植业结构调整，引导农户种植水稻等水生农作物；实施化肥、农药“零增长”行动，实现主要农作物化肥使用量零增长，提高测土配方施肥技术覆盖率。</w:t>
                  </w:r>
                </w:p>
              </w:tc>
              <w:tc>
                <w:tcPr>
                  <w:tcW w:w="1851" w:type="dxa"/>
                  <w:vAlign w:val="center"/>
                </w:tcPr>
                <w:p>
                  <w:pPr>
                    <w:adjustRightInd w:val="0"/>
                    <w:snapToGrid w:val="0"/>
                    <w:rPr>
                      <w:szCs w:val="21"/>
                    </w:rPr>
                  </w:pPr>
                  <w:r>
                    <w:rPr>
                      <w:rFonts w:hint="eastAsia"/>
                      <w:szCs w:val="21"/>
                    </w:rPr>
                    <w:t>本项目</w:t>
                  </w:r>
                  <w:r>
                    <w:rPr>
                      <w:szCs w:val="21"/>
                    </w:rPr>
                    <w:t>采用高效低毒的农药，且厂房全为密闭式，本项目农药废气量小，</w:t>
                  </w:r>
                  <w:r>
                    <w:rPr>
                      <w:rFonts w:hint="eastAsia"/>
                      <w:szCs w:val="21"/>
                    </w:rPr>
                    <w:t>对周边影响小。项目运用工业节水、技术和装备，促进企业污水处理达标后回用于项目生产过程。</w:t>
                  </w:r>
                </w:p>
              </w:tc>
              <w:tc>
                <w:tcPr>
                  <w:tcW w:w="960" w:type="dxa"/>
                  <w:vAlign w:val="center"/>
                </w:tcPr>
                <w:p>
                  <w:pPr>
                    <w:autoSpaceDE w:val="0"/>
                    <w:autoSpaceDN w:val="0"/>
                    <w:adjustRightInd w:val="0"/>
                    <w:jc w:val="left"/>
                    <w:rPr>
                      <w:szCs w:val="21"/>
                    </w:rPr>
                  </w:pPr>
                  <w:r>
                    <w:rPr>
                      <w:rFonts w:hint="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autoSpaceDE w:val="0"/>
                    <w:autoSpaceDN w:val="0"/>
                    <w:adjustRightInd w:val="0"/>
                    <w:jc w:val="left"/>
                    <w:rPr>
                      <w:szCs w:val="21"/>
                    </w:rPr>
                  </w:pPr>
                  <w:r>
                    <w:rPr>
                      <w:rFonts w:hint="eastAsia"/>
                      <w:szCs w:val="21"/>
                    </w:rPr>
                    <w:t>3</w:t>
                  </w:r>
                </w:p>
              </w:tc>
              <w:tc>
                <w:tcPr>
                  <w:tcW w:w="3799" w:type="dxa"/>
                  <w:vAlign w:val="center"/>
                </w:tcPr>
                <w:p>
                  <w:pPr>
                    <w:autoSpaceDE w:val="0"/>
                    <w:autoSpaceDN w:val="0"/>
                    <w:adjustRightInd w:val="0"/>
                    <w:jc w:val="left"/>
                    <w:rPr>
                      <w:szCs w:val="21"/>
                    </w:rPr>
                  </w:pPr>
                  <w:r>
                    <w:rPr>
                      <w:szCs w:val="21"/>
                    </w:rPr>
                    <w:t>保障河流生态流量。一是实施蓄水及水系连通工程。实施姚安县渔泡江跨流域引水工程，并对洋派水库进行清淤扩容；二是加强水库及闸坝生态流量下泄管理。重点加强上游洋派水库、下口坝水库管理，确保蜻蛉河生态流量，增强河流水体自净能力。力争2025年底前蜻蛉河姚安断流河段恢复有水。</w:t>
                  </w:r>
                </w:p>
              </w:tc>
              <w:tc>
                <w:tcPr>
                  <w:tcW w:w="1851" w:type="dxa"/>
                  <w:vAlign w:val="center"/>
                </w:tcPr>
                <w:p>
                  <w:pPr>
                    <w:autoSpaceDE w:val="0"/>
                    <w:autoSpaceDN w:val="0"/>
                    <w:adjustRightInd w:val="0"/>
                    <w:jc w:val="left"/>
                    <w:rPr>
                      <w:szCs w:val="21"/>
                    </w:rPr>
                  </w:pPr>
                  <w:r>
                    <w:rPr>
                      <w:rFonts w:hint="eastAsia"/>
                      <w:szCs w:val="21"/>
                    </w:rPr>
                    <w:t>本项目不涉及</w:t>
                  </w:r>
                </w:p>
              </w:tc>
              <w:tc>
                <w:tcPr>
                  <w:tcW w:w="960" w:type="dxa"/>
                  <w:vAlign w:val="center"/>
                </w:tcPr>
                <w:p>
                  <w:pPr>
                    <w:autoSpaceDE w:val="0"/>
                    <w:autoSpaceDN w:val="0"/>
                    <w:adjustRightInd w:val="0"/>
                    <w:jc w:val="left"/>
                    <w:rPr>
                      <w:szCs w:val="21"/>
                    </w:rPr>
                  </w:pPr>
                  <w:r>
                    <w:rPr>
                      <w:rFonts w:hint="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autoSpaceDE w:val="0"/>
                    <w:autoSpaceDN w:val="0"/>
                    <w:adjustRightInd w:val="0"/>
                    <w:jc w:val="left"/>
                    <w:rPr>
                      <w:szCs w:val="21"/>
                    </w:rPr>
                  </w:pPr>
                  <w:r>
                    <w:rPr>
                      <w:rFonts w:hint="eastAsia"/>
                      <w:szCs w:val="21"/>
                    </w:rPr>
                    <w:t>4</w:t>
                  </w:r>
                </w:p>
              </w:tc>
              <w:tc>
                <w:tcPr>
                  <w:tcW w:w="3799" w:type="dxa"/>
                  <w:vAlign w:val="center"/>
                </w:tcPr>
                <w:p>
                  <w:pPr>
                    <w:autoSpaceDE w:val="0"/>
                    <w:autoSpaceDN w:val="0"/>
                    <w:adjustRightInd w:val="0"/>
                    <w:jc w:val="left"/>
                    <w:rPr>
                      <w:szCs w:val="21"/>
                    </w:rPr>
                  </w:pPr>
                  <w:r>
                    <w:rPr>
                      <w:szCs w:val="21"/>
                    </w:rPr>
                    <w:t>加强流域生态环境修复。在姚安县、大姚县出境断面上游500米划定缓冲带，开展缓冲带绿化工程，减少人类活动对河流的影响。实施河道治理工程时从严审批把关，充分考虑河道原生环境保护，尽量保留自然河道，或者实施对河道生态系统影响较小的生态石笼、生态布袋等方式，对河道“三面光”工程进行生态化改造。</w:t>
                  </w:r>
                </w:p>
              </w:tc>
              <w:tc>
                <w:tcPr>
                  <w:tcW w:w="1851" w:type="dxa"/>
                  <w:vAlign w:val="center"/>
                </w:tcPr>
                <w:p>
                  <w:pPr>
                    <w:autoSpaceDE w:val="0"/>
                    <w:autoSpaceDN w:val="0"/>
                    <w:adjustRightInd w:val="0"/>
                    <w:jc w:val="left"/>
                    <w:rPr>
                      <w:szCs w:val="21"/>
                    </w:rPr>
                  </w:pPr>
                  <w:r>
                    <w:rPr>
                      <w:rFonts w:hint="eastAsia"/>
                      <w:szCs w:val="21"/>
                    </w:rPr>
                    <w:t>本项目不涉及</w:t>
                  </w:r>
                </w:p>
              </w:tc>
              <w:tc>
                <w:tcPr>
                  <w:tcW w:w="960" w:type="dxa"/>
                  <w:vAlign w:val="center"/>
                </w:tcPr>
                <w:p>
                  <w:pPr>
                    <w:autoSpaceDE w:val="0"/>
                    <w:autoSpaceDN w:val="0"/>
                    <w:adjustRightInd w:val="0"/>
                    <w:jc w:val="left"/>
                    <w:rPr>
                      <w:szCs w:val="21"/>
                    </w:rPr>
                  </w:pPr>
                  <w:r>
                    <w:rPr>
                      <w:rFonts w:hint="eastAsia"/>
                      <w:szCs w:val="21"/>
                    </w:rPr>
                    <w:t>相符</w:t>
                  </w:r>
                </w:p>
              </w:tc>
            </w:tr>
          </w:tbl>
          <w:p>
            <w:pPr>
              <w:widowControl/>
              <w:ind w:firstLine="480" w:firstLineChars="200"/>
              <w:jc w:val="left"/>
              <w:rPr>
                <w:kern w:val="0"/>
                <w:sz w:val="24"/>
              </w:rPr>
            </w:pPr>
            <w:r>
              <w:rPr>
                <w:sz w:val="24"/>
              </w:rPr>
              <w:t>综上，本项目总体上能够符合“《楚雄州重点流域水生态环境保护“十四五”规划》（楚政通【2022】77号）”的管理要求。</w:t>
            </w:r>
          </w:p>
          <w:p>
            <w:pPr>
              <w:autoSpaceDE w:val="0"/>
              <w:autoSpaceDN w:val="0"/>
              <w:adjustRightInd w:val="0"/>
              <w:spacing w:line="360" w:lineRule="auto"/>
              <w:jc w:val="left"/>
              <w:rPr>
                <w:sz w:val="24"/>
              </w:rPr>
            </w:pPr>
            <w:r>
              <w:rPr>
                <w:rFonts w:hint="eastAsia"/>
                <w:sz w:val="24"/>
              </w:rPr>
              <w:t>（7）与楚雄州人民政府办公室关于印发《楚雄州龙川江流域综合整治提升三年行动实施方案（2022—2024年）》（楚政办函〔2022〕16号）的通知符合性分析</w:t>
            </w:r>
          </w:p>
          <w:p>
            <w:pPr>
              <w:pStyle w:val="13"/>
              <w:spacing w:line="360" w:lineRule="auto"/>
              <w:ind w:firstLine="480" w:firstLineChars="200"/>
              <w:rPr>
                <w:rFonts w:ascii="Times New Roman" w:hAnsi="Times New Roman"/>
                <w:sz w:val="24"/>
              </w:rPr>
            </w:pPr>
            <w:r>
              <w:rPr>
                <w:rFonts w:ascii="Times New Roman" w:hAnsi="Times New Roman"/>
                <w:sz w:val="24"/>
              </w:rPr>
              <w:t>关于加大对楚雄龙川江流域综合治理的问题，州委州政府高位推动龙川江流域综合整治提升工作，全州州级领导先后9次到龙川江进行现场调研，并多次召开会议专题研究流域综合治理工作，印发《楚雄州龙川江流域综合整治提升三年行动实施方案（2022—2024年）》</w:t>
            </w:r>
            <w:r>
              <w:rPr>
                <w:rFonts w:hint="eastAsia" w:ascii="Times New Roman" w:hAnsi="Times New Roman"/>
                <w:sz w:val="24"/>
              </w:rPr>
              <w:t>、</w:t>
            </w:r>
            <w:r>
              <w:rPr>
                <w:rFonts w:ascii="Times New Roman" w:hAnsi="Times New Roman"/>
                <w:sz w:val="24"/>
              </w:rPr>
              <w:t>《楚雄州龙川江流域综合整治提升三年行动工作方案》，制定龙川江流域综合整治提升</w:t>
            </w:r>
            <w:r>
              <w:rPr>
                <w:rFonts w:hint="eastAsia" w:ascii="Times New Roman" w:hAnsi="Times New Roman"/>
                <w:sz w:val="24"/>
              </w:rPr>
              <w:t>十大</w:t>
            </w:r>
            <w:r>
              <w:rPr>
                <w:rFonts w:ascii="Times New Roman" w:hAnsi="Times New Roman"/>
                <w:sz w:val="24"/>
              </w:rPr>
              <w:t>措施37条具体措施科学、精准、全面抓工作落实。主要抓好以下几方面的工作：</w:t>
            </w:r>
          </w:p>
          <w:p>
            <w:pPr>
              <w:pStyle w:val="14"/>
              <w:jc w:val="center"/>
              <w:rPr>
                <w:b/>
                <w:bCs/>
                <w:color w:val="auto"/>
              </w:rPr>
            </w:pPr>
            <w:r>
              <w:rPr>
                <w:rFonts w:hint="eastAsia"/>
                <w:b/>
                <w:bCs/>
                <w:color w:val="auto"/>
              </w:rPr>
              <w:t>表1</w:t>
            </w:r>
            <w:r>
              <w:rPr>
                <w:b/>
                <w:bCs/>
                <w:color w:val="auto"/>
              </w:rPr>
              <w:t xml:space="preserve">-8 </w:t>
            </w:r>
            <w:r>
              <w:rPr>
                <w:rFonts w:hint="eastAsia"/>
                <w:b/>
                <w:bCs/>
                <w:color w:val="auto"/>
              </w:rPr>
              <w:t>项目与</w:t>
            </w:r>
            <w:r>
              <w:rPr>
                <w:rFonts w:ascii="Times New Roman"/>
                <w:b/>
                <w:bCs/>
                <w:color w:val="auto"/>
              </w:rPr>
              <w:t>《楚雄州龙川江流域综合整治提升三年行动实施方案</w:t>
            </w:r>
            <w:r>
              <w:rPr>
                <w:rFonts w:hint="eastAsia" w:ascii="Times New Roman"/>
                <w:b/>
                <w:bCs/>
                <w:color w:val="auto"/>
              </w:rPr>
              <w:t>》符合性分析表</w:t>
            </w:r>
          </w:p>
          <w:tbl>
            <w:tblPr>
              <w:tblStyle w:val="27"/>
              <w:tblW w:w="7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921"/>
              <w:gridCol w:w="262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vAlign w:val="center"/>
                </w:tcPr>
                <w:p>
                  <w:pPr>
                    <w:pStyle w:val="14"/>
                    <w:jc w:val="center"/>
                    <w:rPr>
                      <w:rFonts w:ascii="Times New Roman"/>
                      <w:b/>
                      <w:bCs/>
                      <w:color w:val="auto"/>
                      <w:kern w:val="2"/>
                      <w:sz w:val="21"/>
                      <w:szCs w:val="21"/>
                    </w:rPr>
                  </w:pPr>
                  <w:r>
                    <w:rPr>
                      <w:rFonts w:hint="eastAsia" w:ascii="Times New Roman"/>
                      <w:b/>
                      <w:bCs/>
                      <w:color w:val="auto"/>
                      <w:kern w:val="2"/>
                      <w:sz w:val="21"/>
                      <w:szCs w:val="21"/>
                    </w:rPr>
                    <w:t>序号</w:t>
                  </w:r>
                </w:p>
              </w:tc>
              <w:tc>
                <w:tcPr>
                  <w:tcW w:w="2921" w:type="dxa"/>
                  <w:vAlign w:val="center"/>
                </w:tcPr>
                <w:p>
                  <w:pPr>
                    <w:pStyle w:val="14"/>
                    <w:jc w:val="center"/>
                    <w:rPr>
                      <w:rFonts w:ascii="Times New Roman"/>
                      <w:b/>
                      <w:bCs/>
                      <w:color w:val="auto"/>
                      <w:kern w:val="2"/>
                      <w:sz w:val="21"/>
                      <w:szCs w:val="21"/>
                    </w:rPr>
                  </w:pPr>
                  <w:r>
                    <w:rPr>
                      <w:rFonts w:hint="eastAsia" w:ascii="Times New Roman"/>
                      <w:b/>
                      <w:bCs/>
                      <w:color w:val="auto"/>
                      <w:kern w:val="2"/>
                      <w:sz w:val="21"/>
                      <w:szCs w:val="21"/>
                    </w:rPr>
                    <w:t>方案内容</w:t>
                  </w:r>
                </w:p>
              </w:tc>
              <w:tc>
                <w:tcPr>
                  <w:tcW w:w="2629" w:type="dxa"/>
                  <w:vAlign w:val="center"/>
                </w:tcPr>
                <w:p>
                  <w:pPr>
                    <w:pStyle w:val="14"/>
                    <w:jc w:val="center"/>
                    <w:rPr>
                      <w:rFonts w:ascii="Times New Roman"/>
                      <w:b/>
                      <w:bCs/>
                      <w:color w:val="auto"/>
                      <w:kern w:val="2"/>
                      <w:sz w:val="21"/>
                      <w:szCs w:val="21"/>
                    </w:rPr>
                  </w:pPr>
                  <w:r>
                    <w:rPr>
                      <w:rFonts w:hint="eastAsia" w:ascii="Times New Roman"/>
                      <w:b/>
                      <w:bCs/>
                      <w:color w:val="auto"/>
                      <w:kern w:val="2"/>
                      <w:sz w:val="21"/>
                      <w:szCs w:val="21"/>
                    </w:rPr>
                    <w:t>项目情况</w:t>
                  </w:r>
                </w:p>
              </w:tc>
              <w:tc>
                <w:tcPr>
                  <w:tcW w:w="1029" w:type="dxa"/>
                  <w:vAlign w:val="center"/>
                </w:tcPr>
                <w:p>
                  <w:pPr>
                    <w:pStyle w:val="14"/>
                    <w:jc w:val="center"/>
                    <w:rPr>
                      <w:rFonts w:ascii="Times New Roman"/>
                      <w:b/>
                      <w:bCs/>
                      <w:color w:val="auto"/>
                      <w:kern w:val="2"/>
                      <w:sz w:val="21"/>
                      <w:szCs w:val="21"/>
                    </w:rPr>
                  </w:pPr>
                  <w:r>
                    <w:rPr>
                      <w:rFonts w:hint="eastAsia" w:ascii="Times New Roman"/>
                      <w:b/>
                      <w:bCs/>
                      <w:color w:val="auto"/>
                      <w:kern w:val="2"/>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1</w:t>
                  </w:r>
                </w:p>
              </w:tc>
              <w:tc>
                <w:tcPr>
                  <w:tcW w:w="2921" w:type="dxa"/>
                  <w:vAlign w:val="center"/>
                </w:tcPr>
                <w:p>
                  <w:pPr>
                    <w:pStyle w:val="13"/>
                    <w:rPr>
                      <w:rFonts w:ascii="Times New Roman" w:hAnsi="Times New Roman"/>
                      <w:szCs w:val="21"/>
                    </w:rPr>
                  </w:pPr>
                  <w:r>
                    <w:rPr>
                      <w:rFonts w:ascii="Times New Roman" w:hAnsi="Times New Roman"/>
                      <w:szCs w:val="21"/>
                    </w:rPr>
                    <w:t>一</w:t>
                  </w:r>
                  <w:r>
                    <w:rPr>
                      <w:rFonts w:hint="eastAsia" w:ascii="Times New Roman" w:hAnsi="Times New Roman"/>
                      <w:szCs w:val="21"/>
                    </w:rPr>
                    <w:t>、</w:t>
                  </w:r>
                  <w:r>
                    <w:rPr>
                      <w:rFonts w:ascii="Times New Roman" w:hAnsi="Times New Roman"/>
                      <w:szCs w:val="21"/>
                    </w:rPr>
                    <w:t>加强水法治建设</w:t>
                  </w:r>
                </w:p>
                <w:p>
                  <w:pPr>
                    <w:pStyle w:val="13"/>
                    <w:ind w:firstLine="420" w:firstLineChars="200"/>
                    <w:jc w:val="center"/>
                    <w:rPr>
                      <w:rFonts w:ascii="Times New Roman" w:hAnsi="Times New Roman"/>
                      <w:szCs w:val="21"/>
                    </w:rPr>
                  </w:pPr>
                  <w:r>
                    <w:rPr>
                      <w:rFonts w:ascii="Times New Roman" w:hAnsi="Times New Roman"/>
                      <w:szCs w:val="21"/>
                    </w:rPr>
                    <w:t>加快《楚雄彝族自治州河湖岸线保护条例》立法工作并完成所有立法程序，启动《云南省楚雄彝族自治州龙川江保护管理条例》修订工作，确保两个《条例》于2023年公布施行，持续为龙川江流域综合整治提升提供坚实法治保障。</w:t>
                  </w:r>
                </w:p>
              </w:tc>
              <w:tc>
                <w:tcPr>
                  <w:tcW w:w="2629"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项目的污水前期在污水管网未建成前使用过自建污水站处理后回用灌溉，在污水管网接通后则是处理后排入污水管网，到姚安县第二污水处理厂处理。顺应了水法治的建设。</w:t>
                  </w:r>
                </w:p>
              </w:tc>
              <w:tc>
                <w:tcPr>
                  <w:tcW w:w="1029"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2</w:t>
                  </w:r>
                </w:p>
              </w:tc>
              <w:tc>
                <w:tcPr>
                  <w:tcW w:w="2921" w:type="dxa"/>
                  <w:vAlign w:val="center"/>
                </w:tcPr>
                <w:p>
                  <w:pPr>
                    <w:pStyle w:val="13"/>
                    <w:rPr>
                      <w:rFonts w:ascii="Times New Roman" w:hAnsi="Times New Roman"/>
                      <w:szCs w:val="21"/>
                    </w:rPr>
                  </w:pPr>
                  <w:r>
                    <w:rPr>
                      <w:rFonts w:ascii="Times New Roman" w:hAnsi="Times New Roman"/>
                      <w:szCs w:val="21"/>
                    </w:rPr>
                    <w:t>二</w:t>
                  </w:r>
                  <w:r>
                    <w:rPr>
                      <w:rFonts w:hint="eastAsia" w:ascii="Times New Roman" w:hAnsi="Times New Roman"/>
                      <w:szCs w:val="21"/>
                    </w:rPr>
                    <w:t>、</w:t>
                  </w:r>
                  <w:r>
                    <w:rPr>
                      <w:rFonts w:ascii="Times New Roman" w:hAnsi="Times New Roman"/>
                      <w:szCs w:val="21"/>
                    </w:rPr>
                    <w:t>全面打响“河湖革命”攻坚战</w:t>
                  </w:r>
                </w:p>
                <w:p>
                  <w:pPr>
                    <w:pStyle w:val="13"/>
                    <w:ind w:firstLine="420" w:firstLineChars="200"/>
                    <w:rPr>
                      <w:rFonts w:ascii="Times New Roman" w:hAnsi="Times New Roman"/>
                      <w:szCs w:val="21"/>
                    </w:rPr>
                  </w:pPr>
                  <w:r>
                    <w:rPr>
                      <w:rFonts w:ascii="Times New Roman" w:hAnsi="Times New Roman"/>
                      <w:szCs w:val="21"/>
                    </w:rPr>
                    <w:t>全面贯彻落实“退”“减”“调”“治”“管”5大措施，以打造河道景观带和水利风景区为抓手，督促县市扎实开展河长巡河、河湖“清四乱”</w:t>
                  </w:r>
                  <w:r>
                    <w:rPr>
                      <w:rFonts w:hint="eastAsia" w:ascii="Times New Roman" w:hAnsi="Times New Roman"/>
                      <w:szCs w:val="21"/>
                    </w:rPr>
                    <w:t xml:space="preserve"> </w:t>
                  </w:r>
                  <w:r>
                    <w:rPr>
                      <w:rFonts w:ascii="Times New Roman" w:hAnsi="Times New Roman"/>
                      <w:szCs w:val="21"/>
                    </w:rPr>
                    <w:t>“一河（库、渠）一策”滚动修编、河湖健康评价、美丽河湖生态廊道建设、基层河湖长培训等工作，强化问题交办督办，持续做好以龙川江流域为重点的水系修复保护，不断推动龙川江流域综合整治提升工作取得新的实效。</w:t>
                  </w:r>
                </w:p>
              </w:tc>
              <w:tc>
                <w:tcPr>
                  <w:tcW w:w="2629"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项目的污水前期在污水管网未建成前使用过自建污水站处理后回用灌溉，接通后则是处理后排入污水管网，到姚安县第二污水处理厂处理。不排入河流与湖泊。</w:t>
                  </w:r>
                </w:p>
              </w:tc>
              <w:tc>
                <w:tcPr>
                  <w:tcW w:w="1029"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3</w:t>
                  </w:r>
                </w:p>
              </w:tc>
              <w:tc>
                <w:tcPr>
                  <w:tcW w:w="2921" w:type="dxa"/>
                  <w:vAlign w:val="center"/>
                </w:tcPr>
                <w:p>
                  <w:pPr>
                    <w:pStyle w:val="13"/>
                    <w:rPr>
                      <w:rFonts w:ascii="Times New Roman" w:hAnsi="Times New Roman"/>
                      <w:szCs w:val="21"/>
                    </w:rPr>
                  </w:pPr>
                  <w:r>
                    <w:rPr>
                      <w:rFonts w:hint="eastAsia" w:ascii="Times New Roman" w:hAnsi="Times New Roman"/>
                      <w:szCs w:val="21"/>
                    </w:rPr>
                    <w:t>三、</w:t>
                  </w:r>
                  <w:r>
                    <w:rPr>
                      <w:rFonts w:ascii="Times New Roman" w:hAnsi="Times New Roman"/>
                      <w:szCs w:val="21"/>
                    </w:rPr>
                    <w:t>继续实施最严格水资源管理。</w:t>
                  </w:r>
                </w:p>
                <w:p>
                  <w:pPr>
                    <w:pStyle w:val="13"/>
                    <w:ind w:firstLine="420" w:firstLineChars="200"/>
                    <w:rPr>
                      <w:rFonts w:ascii="Times New Roman" w:hAnsi="Times New Roman"/>
                      <w:szCs w:val="21"/>
                    </w:rPr>
                  </w:pPr>
                  <w:r>
                    <w:rPr>
                      <w:rFonts w:ascii="Times New Roman" w:hAnsi="Times New Roman"/>
                      <w:szCs w:val="21"/>
                    </w:rPr>
                    <w:t>落实最严格水资源管理和双控制度，加快《龙川江流域水量分配方案及生态流量保障确定方案》编制报审，修改完善《楚雄州中小水电站生态流量管理办法（试行）》，压实属地监管责任、行业监管责任和电站业主主体责任“三个责任”，积极推动生态流量管理日常化、制度化、规范化。</w:t>
                  </w:r>
                </w:p>
              </w:tc>
              <w:tc>
                <w:tcPr>
                  <w:tcW w:w="2629"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该项目是属于</w:t>
                  </w:r>
                  <w:r>
                    <w:rPr>
                      <w:rFonts w:ascii="Times New Roman"/>
                      <w:color w:val="auto"/>
                      <w:kern w:val="2"/>
                      <w:sz w:val="21"/>
                      <w:szCs w:val="21"/>
                    </w:rPr>
                    <w:t>花卉栽培及热力供应项目</w:t>
                  </w:r>
                  <w:r>
                    <w:rPr>
                      <w:rFonts w:hint="eastAsia" w:ascii="Times New Roman"/>
                      <w:color w:val="auto"/>
                      <w:kern w:val="2"/>
                      <w:sz w:val="21"/>
                      <w:szCs w:val="21"/>
                    </w:rPr>
                    <w:t>，不涉及影响水资源管理。</w:t>
                  </w:r>
                </w:p>
              </w:tc>
              <w:tc>
                <w:tcPr>
                  <w:tcW w:w="1029"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4</w:t>
                  </w:r>
                </w:p>
              </w:tc>
              <w:tc>
                <w:tcPr>
                  <w:tcW w:w="2921" w:type="dxa"/>
                  <w:vAlign w:val="center"/>
                </w:tcPr>
                <w:p>
                  <w:pPr>
                    <w:pStyle w:val="13"/>
                    <w:rPr>
                      <w:rFonts w:ascii="Times New Roman" w:hAnsi="Times New Roman"/>
                      <w:szCs w:val="21"/>
                    </w:rPr>
                  </w:pPr>
                  <w:r>
                    <w:rPr>
                      <w:rFonts w:ascii="Times New Roman" w:hAnsi="Times New Roman"/>
                      <w:szCs w:val="21"/>
                    </w:rPr>
                    <w:t>四</w:t>
                  </w:r>
                  <w:r>
                    <w:rPr>
                      <w:rFonts w:hint="eastAsia" w:ascii="Times New Roman" w:hAnsi="Times New Roman"/>
                      <w:szCs w:val="21"/>
                    </w:rPr>
                    <w:t>、</w:t>
                  </w:r>
                  <w:r>
                    <w:rPr>
                      <w:rFonts w:ascii="Times New Roman" w:hAnsi="Times New Roman"/>
                      <w:szCs w:val="21"/>
                    </w:rPr>
                    <w:t>强化水土保持综合治理。</w:t>
                  </w:r>
                </w:p>
                <w:p>
                  <w:pPr>
                    <w:pStyle w:val="13"/>
                    <w:ind w:firstLine="420" w:firstLineChars="200"/>
                    <w:rPr>
                      <w:rFonts w:ascii="Times New Roman" w:hAnsi="Times New Roman"/>
                      <w:szCs w:val="21"/>
                    </w:rPr>
                  </w:pPr>
                  <w:r>
                    <w:rPr>
                      <w:rFonts w:ascii="Times New Roman" w:hAnsi="Times New Roman"/>
                      <w:szCs w:val="21"/>
                    </w:rPr>
                    <w:t>加强与建设部门的沟通交流，提前介入、提前服务抓好重大项目、重点工程水土保持方案编制、报批及实施监管等相关工作。</w:t>
                  </w:r>
                </w:p>
              </w:tc>
              <w:tc>
                <w:tcPr>
                  <w:tcW w:w="2629"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该项目是属于</w:t>
                  </w:r>
                  <w:r>
                    <w:rPr>
                      <w:rFonts w:ascii="Times New Roman"/>
                      <w:color w:val="auto"/>
                      <w:kern w:val="2"/>
                      <w:sz w:val="21"/>
                      <w:szCs w:val="21"/>
                    </w:rPr>
                    <w:t>花卉栽培及热力供应项目</w:t>
                  </w:r>
                  <w:r>
                    <w:rPr>
                      <w:rFonts w:hint="eastAsia" w:ascii="Times New Roman"/>
                      <w:color w:val="auto"/>
                      <w:kern w:val="2"/>
                      <w:sz w:val="21"/>
                      <w:szCs w:val="21"/>
                    </w:rPr>
                    <w:t>，大面积土地都是属于花卉种植用地且有大棚遮挡，所以水土保持较为良好。</w:t>
                  </w:r>
                </w:p>
              </w:tc>
              <w:tc>
                <w:tcPr>
                  <w:tcW w:w="1029"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5</w:t>
                  </w:r>
                </w:p>
              </w:tc>
              <w:tc>
                <w:tcPr>
                  <w:tcW w:w="2921" w:type="dxa"/>
                  <w:vAlign w:val="center"/>
                </w:tcPr>
                <w:p>
                  <w:pPr>
                    <w:pStyle w:val="13"/>
                    <w:rPr>
                      <w:rFonts w:ascii="Times New Roman" w:hAnsi="Times New Roman"/>
                      <w:szCs w:val="21"/>
                    </w:rPr>
                  </w:pPr>
                  <w:r>
                    <w:rPr>
                      <w:rFonts w:ascii="Times New Roman" w:hAnsi="Times New Roman"/>
                      <w:szCs w:val="21"/>
                    </w:rPr>
                    <w:t>五</w:t>
                  </w:r>
                  <w:r>
                    <w:rPr>
                      <w:rFonts w:hint="eastAsia" w:ascii="Times New Roman" w:hAnsi="Times New Roman"/>
                      <w:szCs w:val="21"/>
                    </w:rPr>
                    <w:t>、</w:t>
                  </w:r>
                  <w:r>
                    <w:rPr>
                      <w:rFonts w:ascii="Times New Roman" w:hAnsi="Times New Roman"/>
                      <w:szCs w:val="21"/>
                    </w:rPr>
                    <w:t>加强河道运行管理。</w:t>
                  </w:r>
                </w:p>
                <w:p>
                  <w:pPr>
                    <w:pStyle w:val="13"/>
                    <w:ind w:firstLine="420" w:firstLineChars="200"/>
                    <w:rPr>
                      <w:rFonts w:ascii="Times New Roman" w:hAnsi="Times New Roman"/>
                      <w:szCs w:val="21"/>
                    </w:rPr>
                  </w:pPr>
                  <w:r>
                    <w:rPr>
                      <w:rFonts w:ascii="Times New Roman" w:hAnsi="Times New Roman"/>
                      <w:szCs w:val="21"/>
                    </w:rPr>
                    <w:t>进一步加大开展河道采砂专项治理，加大巡查力度、及时发现非法采砂问题严厉打击非法采砂行为，着力规范河道采砂管理。同时，加快中小河流治理工程建设，持续修复河道生态功能和提升河道防洪能力。</w:t>
                  </w:r>
                </w:p>
              </w:tc>
              <w:tc>
                <w:tcPr>
                  <w:tcW w:w="2629" w:type="dxa"/>
                  <w:vAlign w:val="center"/>
                </w:tcPr>
                <w:p>
                  <w:pPr>
                    <w:pStyle w:val="13"/>
                    <w:rPr>
                      <w:rFonts w:ascii="Times New Roman" w:hAnsi="Times New Roman"/>
                      <w:szCs w:val="21"/>
                    </w:rPr>
                  </w:pPr>
                  <w:r>
                    <w:rPr>
                      <w:rFonts w:hint="eastAsia" w:ascii="Times New Roman" w:hAnsi="Times New Roman"/>
                      <w:szCs w:val="21"/>
                    </w:rPr>
                    <w:t>该项目是属于</w:t>
                  </w:r>
                  <w:r>
                    <w:rPr>
                      <w:rFonts w:ascii="Times New Roman" w:hAnsi="Times New Roman"/>
                      <w:szCs w:val="21"/>
                    </w:rPr>
                    <w:t>花卉栽培及热力供应项目</w:t>
                  </w:r>
                  <w:r>
                    <w:rPr>
                      <w:rFonts w:hint="eastAsia" w:ascii="Times New Roman" w:hAnsi="Times New Roman"/>
                      <w:szCs w:val="21"/>
                    </w:rPr>
                    <w:t>，</w:t>
                  </w:r>
                  <w:r>
                    <w:rPr>
                      <w:rFonts w:ascii="Times New Roman" w:hAnsi="Times New Roman"/>
                      <w:szCs w:val="21"/>
                    </w:rPr>
                    <w:t>加强河道运行管理。</w:t>
                  </w:r>
                </w:p>
                <w:p>
                  <w:pPr>
                    <w:pStyle w:val="14"/>
                    <w:jc w:val="center"/>
                    <w:rPr>
                      <w:rFonts w:ascii="Times New Roman"/>
                      <w:color w:val="auto"/>
                      <w:kern w:val="2"/>
                      <w:sz w:val="21"/>
                      <w:szCs w:val="21"/>
                    </w:rPr>
                  </w:pPr>
                </w:p>
              </w:tc>
              <w:tc>
                <w:tcPr>
                  <w:tcW w:w="1029"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6</w:t>
                  </w:r>
                </w:p>
              </w:tc>
              <w:tc>
                <w:tcPr>
                  <w:tcW w:w="2921" w:type="dxa"/>
                  <w:vAlign w:val="center"/>
                </w:tcPr>
                <w:p>
                  <w:pPr>
                    <w:pStyle w:val="13"/>
                    <w:ind w:firstLine="420" w:firstLineChars="200"/>
                    <w:jc w:val="center"/>
                    <w:rPr>
                      <w:rFonts w:ascii="Times New Roman" w:hAnsi="Times New Roman"/>
                      <w:szCs w:val="21"/>
                    </w:rPr>
                  </w:pPr>
                  <w:r>
                    <w:rPr>
                      <w:rFonts w:ascii="Times New Roman" w:hAnsi="Times New Roman"/>
                      <w:szCs w:val="21"/>
                    </w:rPr>
                    <w:t>六</w:t>
                  </w:r>
                  <w:r>
                    <w:rPr>
                      <w:rFonts w:hint="eastAsia" w:ascii="Times New Roman" w:hAnsi="Times New Roman"/>
                      <w:szCs w:val="21"/>
                    </w:rPr>
                    <w:t>、</w:t>
                  </w:r>
                  <w:r>
                    <w:rPr>
                      <w:rFonts w:ascii="Times New Roman" w:hAnsi="Times New Roman"/>
                      <w:szCs w:val="21"/>
                    </w:rPr>
                    <w:t>加大</w:t>
                  </w:r>
                  <w:r>
                    <w:rPr>
                      <w:rFonts w:hint="eastAsia" w:ascii="Times New Roman" w:hAnsi="Times New Roman"/>
                      <w:szCs w:val="21"/>
                      <w:lang w:eastAsia="zh-CN"/>
                    </w:rPr>
                    <w:t>污水处理厂</w:t>
                  </w:r>
                  <w:r>
                    <w:rPr>
                      <w:rFonts w:ascii="Times New Roman" w:hAnsi="Times New Roman"/>
                      <w:szCs w:val="21"/>
                    </w:rPr>
                    <w:t>提标改造和管网建设力度。</w:t>
                  </w:r>
                </w:p>
                <w:p>
                  <w:pPr>
                    <w:pStyle w:val="13"/>
                    <w:ind w:firstLine="420" w:firstLineChars="200"/>
                    <w:jc w:val="center"/>
                    <w:rPr>
                      <w:rFonts w:ascii="Times New Roman" w:hAnsi="Times New Roman"/>
                      <w:szCs w:val="21"/>
                    </w:rPr>
                  </w:pPr>
                  <w:r>
                    <w:rPr>
                      <w:rFonts w:ascii="Times New Roman" w:hAnsi="Times New Roman"/>
                      <w:szCs w:val="21"/>
                    </w:rPr>
                    <w:t>快推进牟定县、元谋县、大姚县、永仁县污水处理厂提标改造试运行工作，争取出厂水质早日稳定在一级A标。加大污水管网建设改造力度，全面完成2022年省下达楚雄州新建污水管网70公里、改造38公里的目标任务，其中：涉及龙川江流域新建、改造城市（县城）污水管网99.86公里（包含新建64.55公里、改造35.31公里）。</w:t>
                  </w:r>
                </w:p>
              </w:tc>
              <w:tc>
                <w:tcPr>
                  <w:tcW w:w="2629" w:type="dxa"/>
                  <w:vAlign w:val="center"/>
                </w:tcPr>
                <w:p>
                  <w:pPr>
                    <w:snapToGrid w:val="0"/>
                    <w:rPr>
                      <w:szCs w:val="21"/>
                    </w:rPr>
                  </w:pPr>
                  <w:r>
                    <w:rPr>
                      <w:szCs w:val="21"/>
                    </w:rPr>
                    <w:t>姚安县第二污水处理厂处理位于光禄镇与姚安工业园区间的最低位置，占地面积27818m</w:t>
                  </w:r>
                  <w:r>
                    <w:rPr>
                      <w:szCs w:val="21"/>
                      <w:vertAlign w:val="superscript"/>
                    </w:rPr>
                    <w:t>2</w:t>
                  </w:r>
                  <w:r>
                    <w:rPr>
                      <w:szCs w:val="21"/>
                    </w:rPr>
                    <w:t>，项目接纳光禄镇居民生活污水和姚安工业园区污水。污水处理厂设计规模近期为5000m</w:t>
                  </w:r>
                  <w:r>
                    <w:rPr>
                      <w:szCs w:val="21"/>
                      <w:vertAlign w:val="superscript"/>
                    </w:rPr>
                    <w:t>3</w:t>
                  </w:r>
                  <w:r>
                    <w:rPr>
                      <w:szCs w:val="21"/>
                    </w:rPr>
                    <w:t>/d（工艺A</w:t>
                  </w:r>
                  <w:r>
                    <w:rPr>
                      <w:szCs w:val="21"/>
                      <w:vertAlign w:val="superscript"/>
                    </w:rPr>
                    <w:t>2</w:t>
                  </w:r>
                  <w:r>
                    <w:rPr>
                      <w:szCs w:val="21"/>
                    </w:rPr>
                    <w:t>/O+MBBR），远期为10000m</w:t>
                  </w:r>
                  <w:r>
                    <w:rPr>
                      <w:szCs w:val="21"/>
                      <w:vertAlign w:val="superscript"/>
                    </w:rPr>
                    <w:t>3</w:t>
                  </w:r>
                  <w:r>
                    <w:rPr>
                      <w:szCs w:val="21"/>
                    </w:rPr>
                    <w:t>/d，</w:t>
                  </w:r>
                  <w:r>
                    <w:rPr>
                      <w:rFonts w:hint="eastAsia"/>
                      <w:szCs w:val="21"/>
                    </w:rPr>
                    <w:t>出水水质已达一级A标。</w:t>
                  </w:r>
                </w:p>
              </w:tc>
              <w:tc>
                <w:tcPr>
                  <w:tcW w:w="1029"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7</w:t>
                  </w:r>
                </w:p>
              </w:tc>
              <w:tc>
                <w:tcPr>
                  <w:tcW w:w="2921" w:type="dxa"/>
                  <w:vAlign w:val="center"/>
                </w:tcPr>
                <w:p>
                  <w:pPr>
                    <w:pStyle w:val="13"/>
                    <w:rPr>
                      <w:rFonts w:ascii="Times New Roman" w:hAnsi="Times New Roman"/>
                      <w:szCs w:val="21"/>
                    </w:rPr>
                  </w:pPr>
                  <w:r>
                    <w:rPr>
                      <w:rFonts w:ascii="Times New Roman" w:hAnsi="Times New Roman"/>
                      <w:szCs w:val="21"/>
                    </w:rPr>
                    <w:t>七</w:t>
                  </w:r>
                  <w:r>
                    <w:rPr>
                      <w:rFonts w:hint="eastAsia" w:ascii="Times New Roman" w:hAnsi="Times New Roman"/>
                      <w:szCs w:val="21"/>
                    </w:rPr>
                    <w:t>、</w:t>
                  </w:r>
                  <w:r>
                    <w:rPr>
                      <w:rFonts w:ascii="Times New Roman" w:hAnsi="Times New Roman"/>
                      <w:szCs w:val="21"/>
                    </w:rPr>
                    <w:t>推进镇村污水垃圾收集处理。</w:t>
                  </w:r>
                </w:p>
                <w:p>
                  <w:pPr>
                    <w:pStyle w:val="13"/>
                    <w:ind w:firstLine="420" w:firstLineChars="200"/>
                    <w:jc w:val="center"/>
                    <w:rPr>
                      <w:rFonts w:ascii="Times New Roman" w:hAnsi="Times New Roman"/>
                      <w:szCs w:val="21"/>
                    </w:rPr>
                  </w:pPr>
                  <w:r>
                    <w:rPr>
                      <w:rFonts w:ascii="Times New Roman" w:hAnsi="Times New Roman"/>
                      <w:szCs w:val="21"/>
                    </w:rPr>
                    <w:t>加快推进城镇污水管网向周边村庄延伸覆盖，加大乡镇镇区生活污水处理设施建设力度，年底实现流域内镇区生活污水处理设施覆盖率达到50%以上。建立健全农村生活垃圾收运处置体系，支持农村垃圾分类和回收利用，开展农村垃圾分类减量试点示范，2022年底，流域内乡镇镇区、村庄生活垃圾处理设施覆盖率分别达到70%、50%以上。</w:t>
                  </w:r>
                </w:p>
              </w:tc>
              <w:tc>
                <w:tcPr>
                  <w:tcW w:w="2629"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该项目是属于</w:t>
                  </w:r>
                  <w:r>
                    <w:rPr>
                      <w:rFonts w:ascii="Times New Roman"/>
                      <w:color w:val="auto"/>
                      <w:kern w:val="2"/>
                      <w:sz w:val="21"/>
                      <w:szCs w:val="21"/>
                    </w:rPr>
                    <w:t>花卉栽培及热力供应项目</w:t>
                  </w:r>
                  <w:r>
                    <w:rPr>
                      <w:rFonts w:hint="eastAsia" w:ascii="Times New Roman"/>
                      <w:color w:val="auto"/>
                      <w:kern w:val="2"/>
                      <w:sz w:val="21"/>
                      <w:szCs w:val="21"/>
                    </w:rPr>
                    <w:t>，日常生产的产生的垃圾为废包材，</w:t>
                  </w:r>
                  <w:r>
                    <w:rPr>
                      <w:rFonts w:ascii="Times New Roman"/>
                      <w:color w:val="auto"/>
                      <w:kern w:val="2"/>
                      <w:sz w:val="21"/>
                      <w:szCs w:val="21"/>
                    </w:rPr>
                    <w:t>不合格玫瑰花和枯萎玫瑰花枝</w:t>
                  </w:r>
                  <w:r>
                    <w:rPr>
                      <w:rFonts w:hint="eastAsia" w:ascii="Times New Roman"/>
                      <w:color w:val="auto"/>
                      <w:kern w:val="2"/>
                      <w:sz w:val="21"/>
                      <w:szCs w:val="21"/>
                    </w:rPr>
                    <w:t>、废树脂、废渗透膜，</w:t>
                  </w:r>
                  <w:r>
                    <w:rPr>
                      <w:rFonts w:ascii="Times New Roman"/>
                      <w:color w:val="auto"/>
                      <w:kern w:val="2"/>
                      <w:sz w:val="21"/>
                      <w:szCs w:val="21"/>
                    </w:rPr>
                    <w:t>生活垃圾</w:t>
                  </w:r>
                  <w:r>
                    <w:rPr>
                      <w:rFonts w:hint="eastAsia" w:ascii="Times New Roman"/>
                      <w:color w:val="auto"/>
                      <w:kern w:val="2"/>
                      <w:sz w:val="21"/>
                      <w:szCs w:val="21"/>
                    </w:rPr>
                    <w:t>，其中一般固废能回收利用的都回收利用，不能回收利用的都委托环卫工人统一清运，危险固废则是由有资质的相关单位负责处理，因此该项目</w:t>
                  </w:r>
                  <w:r>
                    <w:rPr>
                      <w:rFonts w:ascii="Times New Roman"/>
                      <w:color w:val="auto"/>
                      <w:kern w:val="2"/>
                      <w:sz w:val="21"/>
                      <w:szCs w:val="21"/>
                    </w:rPr>
                    <w:t>垃圾收集处理</w:t>
                  </w:r>
                  <w:r>
                    <w:rPr>
                      <w:rFonts w:hint="eastAsia" w:ascii="Times New Roman"/>
                      <w:color w:val="auto"/>
                      <w:kern w:val="2"/>
                      <w:sz w:val="21"/>
                      <w:szCs w:val="21"/>
                    </w:rPr>
                    <w:t>率为100%。</w:t>
                  </w:r>
                </w:p>
              </w:tc>
              <w:tc>
                <w:tcPr>
                  <w:tcW w:w="1029"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8</w:t>
                  </w:r>
                </w:p>
              </w:tc>
              <w:tc>
                <w:tcPr>
                  <w:tcW w:w="2921" w:type="dxa"/>
                  <w:vAlign w:val="center"/>
                </w:tcPr>
                <w:p>
                  <w:pPr>
                    <w:pStyle w:val="13"/>
                    <w:rPr>
                      <w:rFonts w:ascii="Times New Roman" w:hAnsi="Times New Roman"/>
                      <w:szCs w:val="21"/>
                    </w:rPr>
                  </w:pPr>
                  <w:r>
                    <w:rPr>
                      <w:rFonts w:ascii="Times New Roman" w:hAnsi="Times New Roman"/>
                      <w:szCs w:val="21"/>
                    </w:rPr>
                    <w:t>八</w:t>
                  </w:r>
                  <w:r>
                    <w:rPr>
                      <w:rFonts w:hint="eastAsia" w:ascii="Times New Roman" w:hAnsi="Times New Roman"/>
                      <w:szCs w:val="21"/>
                    </w:rPr>
                    <w:t>、</w:t>
                  </w:r>
                  <w:r>
                    <w:rPr>
                      <w:rFonts w:ascii="Times New Roman" w:hAnsi="Times New Roman"/>
                      <w:szCs w:val="21"/>
                    </w:rPr>
                    <w:t>扎实开展农村人居环境整治提升行动。</w:t>
                  </w:r>
                </w:p>
                <w:p>
                  <w:pPr>
                    <w:pStyle w:val="13"/>
                    <w:rPr>
                      <w:rFonts w:ascii="Times New Roman" w:hAnsi="Times New Roman"/>
                      <w:szCs w:val="21"/>
                    </w:rPr>
                  </w:pPr>
                  <w:r>
                    <w:rPr>
                      <w:rFonts w:ascii="Times New Roman" w:hAnsi="Times New Roman"/>
                      <w:szCs w:val="21"/>
                    </w:rPr>
                    <w:t>接续推进农村人居环境整治提升五年行动，编制印发《楚雄州农村人居环境整治提升五年行动方案（2021—2025年）》《楚雄州2022年农村人居环境整治提升工作计划》。同时，高质量谋划实施好项目建设，强化项目包装，积极争取农业面源污染、农村人居环境整治、畜禽粪污利用、种养结合建设、秸秆示范县创建等项目，加大资金投入和科技投入，进一步提高秸秆、农膜、畜禽粪污综合</w:t>
                  </w:r>
                </w:p>
              </w:tc>
              <w:tc>
                <w:tcPr>
                  <w:tcW w:w="2629"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该项目是属于</w:t>
                  </w:r>
                  <w:r>
                    <w:rPr>
                      <w:rFonts w:ascii="Times New Roman"/>
                      <w:color w:val="auto"/>
                      <w:kern w:val="2"/>
                      <w:sz w:val="21"/>
                      <w:szCs w:val="21"/>
                    </w:rPr>
                    <w:t>花卉栽培及热力供应项目</w:t>
                  </w:r>
                  <w:r>
                    <w:rPr>
                      <w:rFonts w:hint="eastAsia" w:ascii="Times New Roman"/>
                      <w:color w:val="auto"/>
                      <w:kern w:val="2"/>
                      <w:sz w:val="21"/>
                      <w:szCs w:val="21"/>
                    </w:rPr>
                    <w:t>，不涉及</w:t>
                  </w:r>
                  <w:r>
                    <w:rPr>
                      <w:rFonts w:ascii="Times New Roman"/>
                      <w:color w:val="auto"/>
                      <w:kern w:val="2"/>
                      <w:sz w:val="21"/>
                      <w:szCs w:val="21"/>
                    </w:rPr>
                    <w:t>开展农村人居环境整治提升行动</w:t>
                  </w:r>
                  <w:r>
                    <w:rPr>
                      <w:rFonts w:hint="eastAsia" w:ascii="Times New Roman"/>
                      <w:color w:val="auto"/>
                      <w:kern w:val="2"/>
                      <w:sz w:val="21"/>
                      <w:szCs w:val="21"/>
                    </w:rPr>
                    <w:t>。</w:t>
                  </w:r>
                </w:p>
              </w:tc>
              <w:tc>
                <w:tcPr>
                  <w:tcW w:w="1029"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9</w:t>
                  </w:r>
                </w:p>
              </w:tc>
              <w:tc>
                <w:tcPr>
                  <w:tcW w:w="2921" w:type="dxa"/>
                  <w:vAlign w:val="center"/>
                </w:tcPr>
                <w:p>
                  <w:pPr>
                    <w:pStyle w:val="13"/>
                    <w:rPr>
                      <w:rFonts w:ascii="Times New Roman" w:hAnsi="Times New Roman"/>
                      <w:szCs w:val="21"/>
                    </w:rPr>
                  </w:pPr>
                  <w:r>
                    <w:rPr>
                      <w:rFonts w:ascii="Times New Roman" w:hAnsi="Times New Roman"/>
                      <w:szCs w:val="21"/>
                    </w:rPr>
                    <w:t>九</w:t>
                  </w:r>
                  <w:r>
                    <w:rPr>
                      <w:rFonts w:hint="eastAsia" w:ascii="Times New Roman" w:hAnsi="Times New Roman"/>
                      <w:szCs w:val="21"/>
                    </w:rPr>
                    <w:t>、</w:t>
                  </w:r>
                  <w:r>
                    <w:rPr>
                      <w:rFonts w:ascii="Times New Roman" w:hAnsi="Times New Roman"/>
                      <w:szCs w:val="21"/>
                    </w:rPr>
                    <w:t>加大宣传教育力度。</w:t>
                  </w:r>
                </w:p>
                <w:p>
                  <w:pPr>
                    <w:pStyle w:val="14"/>
                    <w:jc w:val="center"/>
                    <w:rPr>
                      <w:rFonts w:ascii="Times New Roman"/>
                      <w:color w:val="auto"/>
                      <w:kern w:val="2"/>
                      <w:sz w:val="21"/>
                      <w:szCs w:val="21"/>
                    </w:rPr>
                  </w:pPr>
                  <w:r>
                    <w:rPr>
                      <w:rFonts w:ascii="Times New Roman"/>
                      <w:color w:val="auto"/>
                      <w:kern w:val="2"/>
                      <w:sz w:val="21"/>
                      <w:szCs w:val="21"/>
                    </w:rPr>
                    <w:t>保护河湖、实现良好生态是每个公民应尽的义务，采取广播、电视、报纸等新闻媒介多种形式</w:t>
                  </w:r>
                  <w:r>
                    <w:rPr>
                      <w:rFonts w:hint="eastAsia" w:ascii="Times New Roman"/>
                      <w:color w:val="auto"/>
                      <w:kern w:val="2"/>
                      <w:sz w:val="21"/>
                      <w:szCs w:val="21"/>
                    </w:rPr>
                    <w:t>开展</w:t>
                  </w:r>
                  <w:r>
                    <w:rPr>
                      <w:rFonts w:ascii="Times New Roman"/>
                      <w:color w:val="auto"/>
                      <w:kern w:val="2"/>
                      <w:sz w:val="21"/>
                      <w:szCs w:val="21"/>
                    </w:rPr>
                    <w:t>龙川江流域综合治理工作宣传教育引导，通过经常开展活动、经常发动群众参与活动，推动整个社会层面动起来，不断提升社会公众对龙川江水生态、水环境的保护意识，让龙川江流域综合治理工作深入人心、家喻户晓、深得民心，营造全社会关心龙川江、关爱龙川江、保护龙川江的浓厚氛围。</w:t>
                  </w:r>
                </w:p>
              </w:tc>
              <w:tc>
                <w:tcPr>
                  <w:tcW w:w="2629"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项目属于</w:t>
                  </w:r>
                  <w:r>
                    <w:rPr>
                      <w:rFonts w:ascii="Times New Roman"/>
                      <w:color w:val="auto"/>
                      <w:kern w:val="2"/>
                      <w:sz w:val="21"/>
                      <w:szCs w:val="21"/>
                    </w:rPr>
                    <w:t>花卉栽培及热力供应项目</w:t>
                  </w:r>
                  <w:r>
                    <w:rPr>
                      <w:rFonts w:hint="eastAsia" w:ascii="Times New Roman"/>
                      <w:color w:val="auto"/>
                      <w:kern w:val="2"/>
                      <w:sz w:val="21"/>
                      <w:szCs w:val="21"/>
                    </w:rPr>
                    <w:t>，不涉及宣传教育方面。</w:t>
                  </w:r>
                </w:p>
              </w:tc>
              <w:tc>
                <w:tcPr>
                  <w:tcW w:w="1029" w:type="dxa"/>
                  <w:vAlign w:val="center"/>
                </w:tcPr>
                <w:p>
                  <w:pPr>
                    <w:pStyle w:val="14"/>
                    <w:jc w:val="center"/>
                    <w:rPr>
                      <w:rFonts w:ascii="Times New Roman"/>
                      <w:color w:val="auto"/>
                      <w:kern w:val="2"/>
                      <w:sz w:val="21"/>
                      <w:szCs w:val="21"/>
                    </w:rPr>
                  </w:pPr>
                  <w:r>
                    <w:rPr>
                      <w:rFonts w:hint="eastAsia" w:ascii="Times New Roman"/>
                      <w:color w:val="auto"/>
                      <w:kern w:val="2"/>
                      <w:sz w:val="21"/>
                      <w:szCs w:val="21"/>
                    </w:rPr>
                    <w:t>符合</w:t>
                  </w:r>
                </w:p>
              </w:tc>
            </w:tr>
          </w:tbl>
          <w:p>
            <w:pPr>
              <w:pStyle w:val="13"/>
              <w:spacing w:line="360" w:lineRule="auto"/>
              <w:ind w:firstLine="480" w:firstLineChars="200"/>
              <w:rPr>
                <w:rFonts w:ascii="Times New Roman" w:hAnsi="Times New Roman"/>
                <w:sz w:val="24"/>
              </w:rPr>
            </w:pPr>
            <w:r>
              <w:rPr>
                <w:rFonts w:hint="eastAsia" w:ascii="Times New Roman" w:hAnsi="Times New Roman"/>
                <w:sz w:val="24"/>
              </w:rPr>
              <w:t>综上，项目建设符合楚雄州人民政府办公室关于印发《楚雄州龙川江流域综合整治提升三年行动实施方案（2022—2024年）》（楚政办函〔2022〕16号）的通知。</w:t>
            </w: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p>
            <w:pPr>
              <w:pStyle w:val="14"/>
              <w:rPr>
                <w:rFonts w:ascii="Times New Roman"/>
                <w:color w:val="auto"/>
              </w:rPr>
            </w:pPr>
          </w:p>
        </w:tc>
      </w:tr>
    </w:tbl>
    <w:p>
      <w:pPr>
        <w:pStyle w:val="23"/>
        <w:spacing w:line="360" w:lineRule="auto"/>
        <w:jc w:val="both"/>
        <w:rPr>
          <w:rFonts w:ascii="Times New Roman" w:hAnsi="Times New Roman"/>
          <w:snapToGrid w:val="0"/>
          <w:szCs w:val="24"/>
        </w:rPr>
        <w:sectPr>
          <w:footerReference r:id="rId3" w:type="default"/>
          <w:pgSz w:w="11906" w:h="16838"/>
          <w:pgMar w:top="1247" w:right="1247" w:bottom="1247" w:left="1247" w:header="851" w:footer="992" w:gutter="0"/>
          <w:pgNumType w:start="1"/>
          <w:cols w:space="425" w:num="1"/>
          <w:docGrid w:type="linesAndChars" w:linePitch="312" w:charSpace="0"/>
        </w:sectPr>
      </w:pPr>
    </w:p>
    <w:p>
      <w:pPr>
        <w:pStyle w:val="23"/>
        <w:numPr>
          <w:ilvl w:val="0"/>
          <w:numId w:val="2"/>
        </w:numPr>
        <w:spacing w:line="360" w:lineRule="auto"/>
        <w:jc w:val="center"/>
        <w:outlineLvl w:val="0"/>
        <w:rPr>
          <w:rFonts w:ascii="Times New Roman" w:hAnsi="Times New Roman" w:eastAsiaTheme="majorEastAsia"/>
          <w:b/>
          <w:bCs/>
          <w:snapToGrid w:val="0"/>
          <w:sz w:val="30"/>
          <w:szCs w:val="30"/>
        </w:rPr>
      </w:pPr>
      <w:bookmarkStart w:id="10" w:name="_Toc6998"/>
      <w:bookmarkStart w:id="11" w:name="_Toc27011"/>
      <w:bookmarkStart w:id="12" w:name="_Toc144147941"/>
      <w:r>
        <w:rPr>
          <w:rFonts w:ascii="Times New Roman" w:hAnsi="Times New Roman" w:eastAsiaTheme="majorEastAsia"/>
          <w:b/>
          <w:bCs/>
          <w:snapToGrid w:val="0"/>
          <w:sz w:val="30"/>
          <w:szCs w:val="30"/>
        </w:rPr>
        <w:t>建设项目工程分析</w:t>
      </w:r>
      <w:bookmarkEnd w:id="10"/>
      <w:bookmarkEnd w:id="11"/>
      <w:bookmarkEnd w:id="12"/>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675" w:type="dxa"/>
            <w:vAlign w:val="center"/>
          </w:tcPr>
          <w:p>
            <w:pPr>
              <w:pStyle w:val="23"/>
              <w:spacing w:line="360" w:lineRule="auto"/>
              <w:jc w:val="center"/>
              <w:outlineLvl w:val="0"/>
              <w:rPr>
                <w:rFonts w:ascii="Times New Roman" w:hAnsi="Times New Roman" w:eastAsiaTheme="majorEastAsia"/>
                <w:snapToGrid w:val="0"/>
                <w:szCs w:val="24"/>
              </w:rPr>
            </w:pPr>
            <w:r>
              <w:rPr>
                <w:rFonts w:hint="eastAsia" w:ascii="Times New Roman" w:hAnsi="Times New Roman" w:eastAsiaTheme="majorEastAsia"/>
                <w:snapToGrid w:val="0"/>
                <w:szCs w:val="24"/>
              </w:rPr>
              <w:t>建设内容</w:t>
            </w:r>
          </w:p>
        </w:tc>
        <w:tc>
          <w:tcPr>
            <w:tcW w:w="8953" w:type="dxa"/>
          </w:tcPr>
          <w:p>
            <w:pPr>
              <w:widowControl/>
              <w:spacing w:line="360" w:lineRule="auto"/>
              <w:jc w:val="left"/>
              <w:rPr>
                <w:b/>
                <w:bCs/>
                <w:kern w:val="0"/>
                <w:sz w:val="24"/>
                <w:lang w:bidi="ar"/>
              </w:rPr>
            </w:pPr>
            <w:r>
              <w:rPr>
                <w:b/>
                <w:bCs/>
                <w:sz w:val="24"/>
              </w:rPr>
              <w:t>1、</w:t>
            </w:r>
            <w:r>
              <w:rPr>
                <w:b/>
                <w:bCs/>
                <w:kern w:val="0"/>
                <w:sz w:val="24"/>
                <w:lang w:bidi="ar"/>
              </w:rPr>
              <w:t>项目由来</w:t>
            </w:r>
          </w:p>
          <w:p>
            <w:pPr>
              <w:spacing w:line="360" w:lineRule="auto"/>
              <w:ind w:firstLine="480" w:firstLineChars="200"/>
              <w:rPr>
                <w:sz w:val="24"/>
              </w:rPr>
            </w:pPr>
            <w:r>
              <w:rPr>
                <w:sz w:val="24"/>
              </w:rPr>
              <w:t>我国花卉业与发达国家相比还存在较大差距，随着经济的发展，人民生活水平提高，市场玫瑰花需求量提高，而目前我国玫瑰栽培面积较少，多属于自发、分散种植，规模化、产业化程度很低。为此云南花当家园艺有限公司</w:t>
            </w:r>
            <w:r>
              <w:rPr>
                <w:rFonts w:hint="eastAsia"/>
                <w:sz w:val="24"/>
              </w:rPr>
              <w:t>决定</w:t>
            </w:r>
            <w:r>
              <w:rPr>
                <w:sz w:val="24"/>
              </w:rPr>
              <w:t>在姚安县光禄镇旧城村内建设玫瑰种植基地建设项目。由于温度是影响花卉生长发育的重要因素，花卉体内的同化、吸收、呼吸等生理活动，都必须在一定的温度条件下才能正常进行。如果没有适合其生长发育的温度，就会直接影响生长和开花。科学试验表明，一般花卉在其生长适温范围内，温度越高，光合作用越强，制造的有机物质越多，同时呼吸作用也越旺盛。在一定温度范围内温度升高，能促进花卉细胞分裂和细胞伸长，花卉的生长就更快。温度变化是引起花卉休眠的原因之一。因此本项目在温度较低的冬季将采用天然气锅炉、生物质锅炉进行供暖。备案证上登记主要建设内容及规模为：本项目位于云南省楚雄州姚安县光禄镇旧城村委会，为云南花当家天然气锅炉及生物质锅炉建设项目，本项目在原有基地备案面积内建设，不新增占地。土地属性是园地，整个基地面积已全部备案。云南花当家</w:t>
            </w:r>
            <w:r>
              <w:rPr>
                <w:rFonts w:hint="eastAsia"/>
                <w:sz w:val="24"/>
              </w:rPr>
              <w:t>园艺有限公司</w:t>
            </w:r>
            <w:r>
              <w:rPr>
                <w:sz w:val="24"/>
              </w:rPr>
              <w:t>计划于2023年9月投资新建一台4t的天然气锅炉和一台2t的生物质锅炉及其附属设施。范围包含：锅炉本体安装调试及水压试验，辅机安装调试，烟、风道制作安装，工艺管道系统，电气系统，热控系统，天然气系统，钢结构平台改造等。企业锅炉设施设备占地面积300m</w:t>
            </w:r>
            <w:r>
              <w:rPr>
                <w:sz w:val="24"/>
                <w:vertAlign w:val="superscript"/>
              </w:rPr>
              <w:t>2</w:t>
            </w:r>
            <w:r>
              <w:rPr>
                <w:sz w:val="24"/>
              </w:rPr>
              <w:t>。其中一台天然气锅炉占地面积100m</w:t>
            </w:r>
            <w:r>
              <w:rPr>
                <w:sz w:val="24"/>
                <w:vertAlign w:val="superscript"/>
              </w:rPr>
              <w:t>2</w:t>
            </w:r>
            <w:r>
              <w:rPr>
                <w:sz w:val="24"/>
              </w:rPr>
              <w:t>，一台生物质锅炉占地总面积35m</w:t>
            </w:r>
            <w:r>
              <w:rPr>
                <w:sz w:val="24"/>
                <w:vertAlign w:val="superscript"/>
              </w:rPr>
              <w:t>2</w:t>
            </w:r>
            <w:r>
              <w:rPr>
                <w:sz w:val="24"/>
              </w:rPr>
              <w:t>，燃料储存房占地面积165m</w:t>
            </w:r>
            <w:r>
              <w:rPr>
                <w:sz w:val="24"/>
                <w:vertAlign w:val="superscript"/>
              </w:rPr>
              <w:t>2</w:t>
            </w:r>
            <w:r>
              <w:rPr>
                <w:sz w:val="24"/>
              </w:rPr>
              <w:t>。本次评价</w:t>
            </w:r>
            <w:r>
              <w:rPr>
                <w:rFonts w:hint="eastAsia"/>
                <w:sz w:val="24"/>
              </w:rPr>
              <w:t>范围</w:t>
            </w:r>
            <w:r>
              <w:rPr>
                <w:sz w:val="24"/>
              </w:rPr>
              <w:t>包括温室大棚</w:t>
            </w:r>
            <w:r>
              <w:rPr>
                <w:rFonts w:hint="eastAsia"/>
                <w:sz w:val="24"/>
              </w:rPr>
              <w:t>及</w:t>
            </w:r>
            <w:r>
              <w:rPr>
                <w:sz w:val="24"/>
              </w:rPr>
              <w:t>企业锅炉设施。</w:t>
            </w:r>
          </w:p>
          <w:p>
            <w:pPr>
              <w:spacing w:line="360" w:lineRule="auto"/>
              <w:ind w:firstLine="480" w:firstLineChars="200"/>
              <w:rPr>
                <w:b/>
                <w:bCs/>
                <w:sz w:val="24"/>
              </w:rPr>
            </w:pPr>
            <w:r>
              <w:rPr>
                <w:sz w:val="24"/>
              </w:rPr>
              <w:t>该项目于2023年3月在姚安县发展和改革局备案（附件2 备案证、附件3 营业执照）。根据《中华人民共和国环境保护法</w:t>
            </w:r>
            <w:r>
              <w:rPr>
                <w:rFonts w:hint="eastAsia"/>
                <w:sz w:val="24"/>
              </w:rPr>
              <w:t>》《</w:t>
            </w:r>
            <w:r>
              <w:rPr>
                <w:sz w:val="24"/>
              </w:rPr>
              <w:t>中华</w:t>
            </w:r>
            <w:r>
              <w:rPr>
                <w:rFonts w:hint="eastAsia"/>
                <w:sz w:val="24"/>
              </w:rPr>
              <w:t>人民</w:t>
            </w:r>
            <w:r>
              <w:rPr>
                <w:sz w:val="24"/>
              </w:rPr>
              <w:t>共和国环境影响评价法</w:t>
            </w:r>
            <w:r>
              <w:rPr>
                <w:rFonts w:hint="eastAsia"/>
                <w:sz w:val="24"/>
              </w:rPr>
              <w:t>》《</w:t>
            </w:r>
            <w:r>
              <w:rPr>
                <w:sz w:val="24"/>
              </w:rPr>
              <w:t>建设项目环境保护管理条例》（国务院令第682号令）和《云南省建设项目环境保护管理规定》，建设项目应履行环境影响评价制度。依据《建设项目环境影响评价分类管理名录》（2021年版），本项目花卉种植属于名录中一、农业01、林业02中1农产品基地项目（含药材基地），不涉及环境敏感区，属于登记表范畴；同时“91热力生产和供应工程（包括建设单位自建自用的供热工程）”规定“使用其他高污染燃料的”编制环境影响报告表。综上所述，本项目应编制“环境影响报告表”。云南花当家园艺有限公司委托我司编制该项目的环评报告表（附件1 委托书）。</w:t>
            </w:r>
            <w:r>
              <w:rPr>
                <w:b/>
                <w:bCs/>
                <w:sz w:val="24"/>
              </w:rPr>
              <w:t xml:space="preserve"> </w:t>
            </w:r>
          </w:p>
          <w:p>
            <w:pPr>
              <w:spacing w:line="360" w:lineRule="auto"/>
              <w:ind w:firstLine="480" w:firstLineChars="200"/>
              <w:rPr>
                <w:sz w:val="24"/>
              </w:rPr>
            </w:pPr>
            <w:r>
              <w:rPr>
                <w:sz w:val="24"/>
              </w:rPr>
              <w:t>项目总体建设优质花卉基地69100</w:t>
            </w:r>
            <w:r>
              <w:rPr>
                <w:rFonts w:hint="eastAsia"/>
                <w:sz w:val="24"/>
              </w:rPr>
              <w:t>m</w:t>
            </w:r>
            <w:r>
              <w:rPr>
                <w:sz w:val="24"/>
                <w:vertAlign w:val="superscript"/>
              </w:rPr>
              <w:t>2</w:t>
            </w:r>
            <w:r>
              <w:rPr>
                <w:sz w:val="24"/>
              </w:rPr>
              <w:t>，总投资2500万元，</w:t>
            </w:r>
            <w:r>
              <w:rPr>
                <w:rFonts w:hint="eastAsia"/>
                <w:sz w:val="24"/>
              </w:rPr>
              <w:t>其中：</w:t>
            </w:r>
            <w:r>
              <w:rPr>
                <w:sz w:val="24"/>
              </w:rPr>
              <w:t>温室大棚占地面积43109.8m</w:t>
            </w:r>
            <w:r>
              <w:rPr>
                <w:sz w:val="24"/>
                <w:vertAlign w:val="superscript"/>
              </w:rPr>
              <w:t>2</w:t>
            </w:r>
            <w:r>
              <w:rPr>
                <w:rFonts w:hint="eastAsia"/>
                <w:sz w:val="24"/>
              </w:rPr>
              <w:t>；</w:t>
            </w:r>
            <w:r>
              <w:rPr>
                <w:sz w:val="24"/>
              </w:rPr>
              <w:t>锅炉设施占地面积300m</w:t>
            </w:r>
            <w:r>
              <w:rPr>
                <w:sz w:val="24"/>
                <w:vertAlign w:val="superscript"/>
              </w:rPr>
              <w:t>2</w:t>
            </w:r>
            <w:r>
              <w:rPr>
                <w:sz w:val="24"/>
              </w:rPr>
              <w:t>，建筑面积300m</w:t>
            </w:r>
            <w:r>
              <w:rPr>
                <w:sz w:val="24"/>
                <w:vertAlign w:val="superscript"/>
              </w:rPr>
              <w:t>2</w:t>
            </w:r>
            <w:r>
              <w:rPr>
                <w:sz w:val="24"/>
              </w:rPr>
              <w:t>。新建项目包括温室大棚、一台4t的天然气锅炉和一台2t的生物质锅炉及其附属设施、加工车间、食堂、宿舍等。</w:t>
            </w:r>
          </w:p>
          <w:p>
            <w:pPr>
              <w:spacing w:line="360" w:lineRule="auto"/>
              <w:ind w:firstLine="480" w:firstLineChars="200"/>
              <w:rPr>
                <w:b/>
                <w:bCs/>
                <w:sz w:val="24"/>
              </w:rPr>
            </w:pPr>
            <w:r>
              <w:rPr>
                <w:sz w:val="24"/>
              </w:rPr>
              <w:t>我方接受委托后，进行了现场踏勘、资料收集，在初步工程分析的基础上，编制了该项目的环境影响报告表。作为建设项目环境保护文件上报环境保护行政管理部门审批。</w:t>
            </w:r>
          </w:p>
          <w:p>
            <w:pPr>
              <w:adjustRightInd w:val="0"/>
              <w:snapToGrid w:val="0"/>
              <w:spacing w:line="360" w:lineRule="auto"/>
              <w:jc w:val="left"/>
              <w:rPr>
                <w:b/>
                <w:bCs/>
                <w:sz w:val="24"/>
              </w:rPr>
            </w:pPr>
            <w:r>
              <w:rPr>
                <w:b/>
                <w:bCs/>
                <w:sz w:val="24"/>
              </w:rPr>
              <w:t>2、基本概况</w:t>
            </w:r>
          </w:p>
          <w:p>
            <w:pPr>
              <w:adjustRightInd w:val="0"/>
              <w:snapToGrid w:val="0"/>
              <w:spacing w:line="360" w:lineRule="auto"/>
              <w:ind w:firstLine="480" w:firstLineChars="200"/>
              <w:jc w:val="left"/>
              <w:rPr>
                <w:sz w:val="24"/>
              </w:rPr>
            </w:pPr>
            <w:r>
              <w:rPr>
                <w:sz w:val="24"/>
              </w:rPr>
              <w:t>项目名称：云南花当家天然气锅炉及生物质锅炉建设项目</w:t>
            </w:r>
          </w:p>
          <w:p>
            <w:pPr>
              <w:adjustRightInd w:val="0"/>
              <w:snapToGrid w:val="0"/>
              <w:spacing w:line="360" w:lineRule="auto"/>
              <w:ind w:firstLine="480" w:firstLineChars="200"/>
              <w:jc w:val="left"/>
              <w:rPr>
                <w:sz w:val="24"/>
              </w:rPr>
            </w:pPr>
            <w:r>
              <w:rPr>
                <w:sz w:val="24"/>
              </w:rPr>
              <w:t>建设单位：云南花当家园艺有限公司</w:t>
            </w:r>
          </w:p>
          <w:p>
            <w:pPr>
              <w:widowControl/>
              <w:spacing w:line="360" w:lineRule="auto"/>
              <w:ind w:firstLine="480" w:firstLineChars="200"/>
              <w:jc w:val="left"/>
              <w:rPr>
                <w:sz w:val="24"/>
              </w:rPr>
            </w:pPr>
            <w:r>
              <w:rPr>
                <w:sz w:val="24"/>
              </w:rPr>
              <w:t>建设地点：云南省楚雄州姚安县光禄镇旧城村委会</w:t>
            </w:r>
          </w:p>
          <w:p>
            <w:pPr>
              <w:widowControl/>
              <w:spacing w:line="360" w:lineRule="auto"/>
              <w:ind w:firstLine="480" w:firstLineChars="200"/>
              <w:jc w:val="left"/>
              <w:rPr>
                <w:sz w:val="24"/>
              </w:rPr>
            </w:pPr>
            <w:r>
              <w:rPr>
                <w:sz w:val="24"/>
              </w:rPr>
              <w:t>建设性质：新建</w:t>
            </w:r>
          </w:p>
          <w:p>
            <w:pPr>
              <w:widowControl/>
              <w:spacing w:line="360" w:lineRule="auto"/>
              <w:ind w:firstLine="480" w:firstLineChars="200"/>
              <w:jc w:val="left"/>
              <w:rPr>
                <w:sz w:val="24"/>
              </w:rPr>
            </w:pPr>
            <w:r>
              <w:rPr>
                <w:sz w:val="24"/>
              </w:rPr>
              <w:t>项目总投资：2500万元（</w:t>
            </w:r>
            <w:r>
              <w:rPr>
                <w:rFonts w:hint="eastAsia"/>
                <w:sz w:val="24"/>
              </w:rPr>
              <w:t>其中：</w:t>
            </w:r>
            <w:r>
              <w:rPr>
                <w:sz w:val="24"/>
              </w:rPr>
              <w:t>锅炉房投资130万元）</w:t>
            </w:r>
          </w:p>
          <w:p>
            <w:pPr>
              <w:widowControl/>
              <w:spacing w:line="360" w:lineRule="auto"/>
              <w:ind w:firstLine="480" w:firstLineChars="200"/>
              <w:jc w:val="left"/>
              <w:rPr>
                <w:sz w:val="24"/>
              </w:rPr>
            </w:pPr>
            <w:r>
              <w:rPr>
                <w:sz w:val="24"/>
              </w:rPr>
              <w:t>占地面积：69100m</w:t>
            </w:r>
            <w:r>
              <w:rPr>
                <w:sz w:val="24"/>
                <w:vertAlign w:val="superscript"/>
              </w:rPr>
              <w:t>2</w:t>
            </w:r>
            <w:r>
              <w:rPr>
                <w:sz w:val="24"/>
              </w:rPr>
              <w:t>（</w:t>
            </w:r>
            <w:r>
              <w:rPr>
                <w:rFonts w:hint="eastAsia"/>
                <w:sz w:val="24"/>
              </w:rPr>
              <w:t>其中：</w:t>
            </w:r>
            <w:r>
              <w:rPr>
                <w:sz w:val="24"/>
              </w:rPr>
              <w:t>锅炉房300m</w:t>
            </w:r>
            <w:r>
              <w:rPr>
                <w:sz w:val="24"/>
                <w:vertAlign w:val="superscript"/>
              </w:rPr>
              <w:t>2</w:t>
            </w:r>
            <w:r>
              <w:rPr>
                <w:sz w:val="24"/>
              </w:rPr>
              <w:t>）</w:t>
            </w:r>
          </w:p>
          <w:p>
            <w:pPr>
              <w:adjustRightInd w:val="0"/>
              <w:snapToGrid w:val="0"/>
              <w:spacing w:line="360" w:lineRule="auto"/>
              <w:ind w:firstLine="480" w:firstLineChars="200"/>
              <w:jc w:val="left"/>
              <w:rPr>
                <w:sz w:val="24"/>
              </w:rPr>
            </w:pPr>
            <w:r>
              <w:rPr>
                <w:sz w:val="24"/>
              </w:rPr>
              <w:t>建设内容：</w:t>
            </w:r>
            <w:r>
              <w:rPr>
                <w:rFonts w:hint="eastAsia"/>
                <w:sz w:val="24"/>
              </w:rPr>
              <w:t>项目总占地面积为6</w:t>
            </w:r>
            <w:r>
              <w:rPr>
                <w:sz w:val="24"/>
              </w:rPr>
              <w:t>9100</w:t>
            </w:r>
            <w:r>
              <w:rPr>
                <w:rFonts w:hint="eastAsia"/>
                <w:sz w:val="24"/>
              </w:rPr>
              <w:t>m</w:t>
            </w:r>
            <w:r>
              <w:rPr>
                <w:sz w:val="24"/>
                <w:vertAlign w:val="superscript"/>
              </w:rPr>
              <w:t>2</w:t>
            </w:r>
            <w:r>
              <w:rPr>
                <w:rFonts w:hint="eastAsia"/>
                <w:sz w:val="24"/>
              </w:rPr>
              <w:t>，建设4</w:t>
            </w:r>
            <w:r>
              <w:rPr>
                <w:sz w:val="24"/>
              </w:rPr>
              <w:t>3019.8</w:t>
            </w:r>
            <w:r>
              <w:rPr>
                <w:rFonts w:hint="eastAsia"/>
                <w:sz w:val="24"/>
              </w:rPr>
              <w:t>m</w:t>
            </w:r>
            <w:r>
              <w:rPr>
                <w:sz w:val="24"/>
                <w:vertAlign w:val="superscript"/>
              </w:rPr>
              <w:t>2</w:t>
            </w:r>
            <w:r>
              <w:rPr>
                <w:rFonts w:hint="eastAsia"/>
                <w:sz w:val="24"/>
              </w:rPr>
              <w:t>的温室大棚，</w:t>
            </w:r>
            <w:r>
              <w:rPr>
                <w:sz w:val="24"/>
              </w:rPr>
              <w:t>锅炉设施占地总面积300m</w:t>
            </w:r>
            <w:r>
              <w:rPr>
                <w:sz w:val="24"/>
                <w:vertAlign w:val="superscript"/>
              </w:rPr>
              <w:t>2</w:t>
            </w:r>
            <w:r>
              <w:rPr>
                <w:sz w:val="24"/>
              </w:rPr>
              <w:t>，建筑总面积300m</w:t>
            </w:r>
            <w:r>
              <w:rPr>
                <w:sz w:val="24"/>
                <w:vertAlign w:val="superscript"/>
              </w:rPr>
              <w:t>2</w:t>
            </w:r>
            <w:r>
              <w:rPr>
                <w:sz w:val="24"/>
              </w:rPr>
              <w:t>。其中天然气锅炉占地面积100m</w:t>
            </w:r>
            <w:r>
              <w:rPr>
                <w:sz w:val="24"/>
                <w:vertAlign w:val="superscript"/>
              </w:rPr>
              <w:t>2</w:t>
            </w:r>
            <w:r>
              <w:rPr>
                <w:sz w:val="24"/>
              </w:rPr>
              <w:t>，生物质锅炉占地总面积35m</w:t>
            </w:r>
            <w:r>
              <w:rPr>
                <w:sz w:val="24"/>
                <w:vertAlign w:val="superscript"/>
              </w:rPr>
              <w:t>2</w:t>
            </w:r>
            <w:r>
              <w:rPr>
                <w:sz w:val="24"/>
              </w:rPr>
              <w:t>，燃料储存房占地面积165m</w:t>
            </w:r>
            <w:r>
              <w:rPr>
                <w:sz w:val="24"/>
                <w:vertAlign w:val="superscript"/>
              </w:rPr>
              <w:t>2</w:t>
            </w:r>
            <w:r>
              <w:rPr>
                <w:rFonts w:hint="eastAsia"/>
                <w:sz w:val="24"/>
              </w:rPr>
              <w:t>，及其附属设施。</w:t>
            </w:r>
          </w:p>
          <w:p>
            <w:pPr>
              <w:adjustRightInd w:val="0"/>
              <w:snapToGrid w:val="0"/>
              <w:spacing w:line="360" w:lineRule="auto"/>
              <w:ind w:firstLine="480" w:firstLineChars="200"/>
              <w:jc w:val="left"/>
              <w:rPr>
                <w:sz w:val="24"/>
              </w:rPr>
            </w:pPr>
            <w:r>
              <w:rPr>
                <w:sz w:val="24"/>
              </w:rPr>
              <w:t>建设规模：建设后年产840吨玫瑰花。</w:t>
            </w:r>
          </w:p>
          <w:p>
            <w:pPr>
              <w:adjustRightInd w:val="0"/>
              <w:snapToGrid w:val="0"/>
              <w:spacing w:line="360" w:lineRule="auto"/>
              <w:ind w:firstLine="480" w:firstLineChars="200"/>
              <w:jc w:val="left"/>
              <w:rPr>
                <w:sz w:val="24"/>
              </w:rPr>
            </w:pPr>
            <w:r>
              <w:rPr>
                <w:sz w:val="24"/>
              </w:rPr>
              <w:t>建设进度：项目拟于2023年9月开工建设，2024年1月竣工投产，目前尚未开工建设。</w:t>
            </w:r>
          </w:p>
          <w:p>
            <w:pPr>
              <w:adjustRightInd w:val="0"/>
              <w:snapToGrid w:val="0"/>
              <w:spacing w:line="360" w:lineRule="auto"/>
              <w:jc w:val="left"/>
              <w:rPr>
                <w:b/>
                <w:bCs/>
                <w:sz w:val="24"/>
              </w:rPr>
            </w:pPr>
            <w:r>
              <w:rPr>
                <w:b/>
                <w:bCs/>
                <w:sz w:val="24"/>
              </w:rPr>
              <w:t>3、建设内容</w:t>
            </w:r>
          </w:p>
          <w:p>
            <w:pPr>
              <w:adjustRightInd w:val="0"/>
              <w:snapToGrid w:val="0"/>
              <w:spacing w:line="360" w:lineRule="auto"/>
              <w:ind w:firstLine="480" w:firstLineChars="200"/>
              <w:jc w:val="left"/>
              <w:rPr>
                <w:sz w:val="24"/>
              </w:rPr>
            </w:pPr>
            <w:r>
              <w:rPr>
                <w:sz w:val="24"/>
              </w:rPr>
              <w:t>本项目为新建项目，温室大棚占地面积43109.8m</w:t>
            </w:r>
            <w:r>
              <w:rPr>
                <w:sz w:val="24"/>
                <w:vertAlign w:val="superscript"/>
              </w:rPr>
              <w:t>2</w:t>
            </w:r>
            <w:r>
              <w:rPr>
                <w:sz w:val="24"/>
              </w:rPr>
              <w:t>，企业锅炉设施占地总面积300m</w:t>
            </w:r>
            <w:r>
              <w:rPr>
                <w:sz w:val="24"/>
                <w:vertAlign w:val="superscript"/>
              </w:rPr>
              <w:t>2</w:t>
            </w:r>
            <w:r>
              <w:rPr>
                <w:sz w:val="24"/>
              </w:rPr>
              <w:t>，建筑总面积300m</w:t>
            </w:r>
            <w:r>
              <w:rPr>
                <w:sz w:val="24"/>
                <w:vertAlign w:val="superscript"/>
              </w:rPr>
              <w:t>2</w:t>
            </w:r>
            <w:r>
              <w:rPr>
                <w:sz w:val="24"/>
              </w:rPr>
              <w:t>。其中天然气锅炉占地面积100m</w:t>
            </w:r>
            <w:r>
              <w:rPr>
                <w:sz w:val="24"/>
                <w:vertAlign w:val="superscript"/>
              </w:rPr>
              <w:t>2</w:t>
            </w:r>
            <w:r>
              <w:rPr>
                <w:sz w:val="24"/>
              </w:rPr>
              <w:t>，生物质锅炉占地总面积35m</w:t>
            </w:r>
            <w:r>
              <w:rPr>
                <w:sz w:val="24"/>
                <w:vertAlign w:val="superscript"/>
              </w:rPr>
              <w:t>2</w:t>
            </w:r>
            <w:r>
              <w:rPr>
                <w:sz w:val="24"/>
              </w:rPr>
              <w:t>，燃料储存房占地面积165m</w:t>
            </w:r>
            <w:r>
              <w:rPr>
                <w:sz w:val="24"/>
                <w:vertAlign w:val="superscript"/>
              </w:rPr>
              <w:t>2</w:t>
            </w:r>
            <w:r>
              <w:rPr>
                <w:sz w:val="24"/>
              </w:rPr>
              <w:t>。新建项目包括温室大棚、一台4t的天然气锅炉和一台2t的生物质锅炉及其附属设施、加工车间、食堂、宿舍。由主体工程、储运工程、公用工程、环保工程等组成。</w:t>
            </w:r>
          </w:p>
          <w:p>
            <w:pPr>
              <w:autoSpaceDE w:val="0"/>
              <w:autoSpaceDN w:val="0"/>
              <w:adjustRightInd w:val="0"/>
              <w:snapToGrid w:val="0"/>
              <w:spacing w:line="360" w:lineRule="auto"/>
              <w:jc w:val="center"/>
              <w:rPr>
                <w:b/>
                <w:bCs/>
                <w:sz w:val="24"/>
              </w:rPr>
            </w:pPr>
          </w:p>
          <w:p>
            <w:pPr>
              <w:autoSpaceDE w:val="0"/>
              <w:autoSpaceDN w:val="0"/>
              <w:adjustRightInd w:val="0"/>
              <w:snapToGrid w:val="0"/>
              <w:spacing w:line="360" w:lineRule="auto"/>
              <w:jc w:val="center"/>
              <w:rPr>
                <w:b/>
                <w:bCs/>
                <w:sz w:val="24"/>
              </w:rPr>
            </w:pPr>
          </w:p>
          <w:p>
            <w:pPr>
              <w:autoSpaceDE w:val="0"/>
              <w:autoSpaceDN w:val="0"/>
              <w:adjustRightInd w:val="0"/>
              <w:snapToGrid w:val="0"/>
              <w:spacing w:line="360" w:lineRule="auto"/>
              <w:jc w:val="center"/>
              <w:rPr>
                <w:b/>
                <w:bCs/>
                <w:sz w:val="24"/>
              </w:rPr>
            </w:pPr>
          </w:p>
          <w:p>
            <w:pPr>
              <w:autoSpaceDE w:val="0"/>
              <w:autoSpaceDN w:val="0"/>
              <w:adjustRightInd w:val="0"/>
              <w:snapToGrid w:val="0"/>
              <w:spacing w:line="360" w:lineRule="auto"/>
              <w:jc w:val="center"/>
              <w:rPr>
                <w:b/>
                <w:bCs/>
                <w:sz w:val="24"/>
              </w:rPr>
            </w:pPr>
          </w:p>
          <w:p>
            <w:pPr>
              <w:autoSpaceDE w:val="0"/>
              <w:autoSpaceDN w:val="0"/>
              <w:adjustRightInd w:val="0"/>
              <w:snapToGrid w:val="0"/>
              <w:spacing w:line="360" w:lineRule="auto"/>
              <w:jc w:val="center"/>
              <w:rPr>
                <w:b/>
                <w:bCs/>
                <w:sz w:val="24"/>
              </w:rPr>
            </w:pPr>
          </w:p>
          <w:p>
            <w:pPr>
              <w:autoSpaceDE w:val="0"/>
              <w:autoSpaceDN w:val="0"/>
              <w:adjustRightInd w:val="0"/>
              <w:snapToGrid w:val="0"/>
              <w:spacing w:line="360" w:lineRule="auto"/>
              <w:jc w:val="center"/>
              <w:rPr>
                <w:b/>
                <w:bCs/>
                <w:sz w:val="24"/>
              </w:rPr>
            </w:pPr>
            <w:r>
              <w:rPr>
                <w:b/>
                <w:bCs/>
                <w:sz w:val="24"/>
              </w:rPr>
              <w:t>表2-1  项目组成一览表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346"/>
              <w:gridCol w:w="1293"/>
              <w:gridCol w:w="4563"/>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75" w:type="pct"/>
                  <w:vAlign w:val="center"/>
                </w:tcPr>
                <w:p>
                  <w:pPr>
                    <w:jc w:val="center"/>
                    <w:rPr>
                      <w:b/>
                      <w:bCs/>
                      <w:szCs w:val="21"/>
                    </w:rPr>
                  </w:pPr>
                  <w:r>
                    <w:rPr>
                      <w:b/>
                      <w:bCs/>
                      <w:szCs w:val="21"/>
                    </w:rPr>
                    <w:t>工程分类</w:t>
                  </w:r>
                </w:p>
              </w:tc>
              <w:tc>
                <w:tcPr>
                  <w:tcW w:w="762" w:type="pct"/>
                  <w:vAlign w:val="center"/>
                </w:tcPr>
                <w:p>
                  <w:pPr>
                    <w:jc w:val="center"/>
                    <w:rPr>
                      <w:b/>
                      <w:bCs/>
                      <w:szCs w:val="21"/>
                    </w:rPr>
                  </w:pPr>
                  <w:r>
                    <w:rPr>
                      <w:b/>
                      <w:bCs/>
                      <w:szCs w:val="21"/>
                    </w:rPr>
                    <w:t>工程名称</w:t>
                  </w:r>
                </w:p>
              </w:tc>
              <w:tc>
                <w:tcPr>
                  <w:tcW w:w="3314" w:type="pct"/>
                  <w:gridSpan w:val="2"/>
                  <w:vAlign w:val="center"/>
                </w:tcPr>
                <w:p>
                  <w:pPr>
                    <w:jc w:val="center"/>
                    <w:rPr>
                      <w:b/>
                      <w:bCs/>
                      <w:szCs w:val="21"/>
                    </w:rPr>
                  </w:pPr>
                  <w:r>
                    <w:rPr>
                      <w:b/>
                      <w:bCs/>
                      <w:szCs w:val="21"/>
                    </w:rPr>
                    <w:t>建设内容</w:t>
                  </w:r>
                </w:p>
              </w:tc>
              <w:tc>
                <w:tcPr>
                  <w:tcW w:w="449" w:type="pct"/>
                  <w:vAlign w:val="center"/>
                </w:tcPr>
                <w:p>
                  <w:pPr>
                    <w:jc w:val="center"/>
                    <w:rPr>
                      <w:b/>
                      <w:bCs/>
                      <w:szCs w:val="21"/>
                    </w:rPr>
                  </w:pPr>
                  <w:r>
                    <w:rPr>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vMerge w:val="restart"/>
                  <w:vAlign w:val="center"/>
                </w:tcPr>
                <w:p>
                  <w:pPr>
                    <w:jc w:val="center"/>
                    <w:rPr>
                      <w:szCs w:val="21"/>
                    </w:rPr>
                  </w:pPr>
                  <w:r>
                    <w:rPr>
                      <w:szCs w:val="21"/>
                    </w:rPr>
                    <w:t>主体工程</w:t>
                  </w:r>
                </w:p>
              </w:tc>
              <w:tc>
                <w:tcPr>
                  <w:tcW w:w="762" w:type="pct"/>
                  <w:vAlign w:val="center"/>
                </w:tcPr>
                <w:p>
                  <w:pPr>
                    <w:jc w:val="center"/>
                    <w:rPr>
                      <w:szCs w:val="21"/>
                    </w:rPr>
                  </w:pPr>
                  <w:r>
                    <w:rPr>
                      <w:szCs w:val="21"/>
                    </w:rPr>
                    <w:t>1#温室大棚</w:t>
                  </w:r>
                </w:p>
              </w:tc>
              <w:tc>
                <w:tcPr>
                  <w:tcW w:w="3314" w:type="pct"/>
                  <w:gridSpan w:val="2"/>
                  <w:vAlign w:val="center"/>
                </w:tcPr>
                <w:p>
                  <w:pPr>
                    <w:pStyle w:val="32"/>
                    <w:kinsoku w:val="0"/>
                    <w:overflowPunct w:val="0"/>
                    <w:spacing w:line="240" w:lineRule="auto"/>
                    <w:rPr>
                      <w:sz w:val="21"/>
                      <w:szCs w:val="21"/>
                    </w:rPr>
                  </w:pPr>
                  <w:r>
                    <w:rPr>
                      <w:sz w:val="21"/>
                      <w:szCs w:val="21"/>
                    </w:rPr>
                    <w:t>1#生产车间占地面积为23218.8m</w:t>
                  </w:r>
                  <w:r>
                    <w:rPr>
                      <w:sz w:val="21"/>
                      <w:szCs w:val="21"/>
                      <w:vertAlign w:val="superscript"/>
                    </w:rPr>
                    <w:t>2</w:t>
                  </w:r>
                  <w:r>
                    <w:rPr>
                      <w:sz w:val="21"/>
                      <w:szCs w:val="21"/>
                    </w:rPr>
                    <w:t>，采用热镀锌钢架覆盖薄膜的温室形式，单层结构，厂房内主要布设无</w:t>
                  </w:r>
                  <w:r>
                    <w:rPr>
                      <w:rStyle w:val="31"/>
                      <w:kern w:val="0"/>
                      <w:szCs w:val="21"/>
                    </w:rPr>
                    <w:t>土栽培玫瑰</w:t>
                  </w:r>
                  <w:r>
                    <w:rPr>
                      <w:sz w:val="21"/>
                      <w:szCs w:val="21"/>
                    </w:rPr>
                    <w:t>生产设备。</w:t>
                  </w:r>
                </w:p>
              </w:tc>
              <w:tc>
                <w:tcPr>
                  <w:tcW w:w="449" w:type="pct"/>
                  <w:vAlign w:val="center"/>
                </w:tcPr>
                <w:p>
                  <w:pPr>
                    <w:pStyle w:val="32"/>
                    <w:kinsoku w:val="0"/>
                    <w:overflowPunct w:val="0"/>
                    <w:spacing w:line="240" w:lineRule="auto"/>
                    <w:jc w:val="center"/>
                    <w:rPr>
                      <w:sz w:val="21"/>
                      <w:szCs w:val="21"/>
                    </w:rPr>
                  </w:pPr>
                  <w:r>
                    <w:rPr>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5" w:type="pct"/>
                  <w:vMerge w:val="continue"/>
                  <w:vAlign w:val="center"/>
                </w:tcPr>
                <w:p>
                  <w:pPr>
                    <w:jc w:val="center"/>
                    <w:rPr>
                      <w:szCs w:val="21"/>
                    </w:rPr>
                  </w:pPr>
                </w:p>
              </w:tc>
              <w:tc>
                <w:tcPr>
                  <w:tcW w:w="762" w:type="pct"/>
                  <w:vAlign w:val="center"/>
                </w:tcPr>
                <w:p>
                  <w:pPr>
                    <w:jc w:val="center"/>
                    <w:rPr>
                      <w:szCs w:val="21"/>
                    </w:rPr>
                  </w:pPr>
                  <w:r>
                    <w:rPr>
                      <w:szCs w:val="21"/>
                    </w:rPr>
                    <w:t>2#温室大棚</w:t>
                  </w:r>
                </w:p>
              </w:tc>
              <w:tc>
                <w:tcPr>
                  <w:tcW w:w="3314" w:type="pct"/>
                  <w:gridSpan w:val="2"/>
                  <w:vAlign w:val="center"/>
                </w:tcPr>
                <w:p>
                  <w:pPr>
                    <w:pStyle w:val="32"/>
                    <w:kinsoku w:val="0"/>
                    <w:overflowPunct w:val="0"/>
                    <w:spacing w:line="240" w:lineRule="auto"/>
                    <w:rPr>
                      <w:sz w:val="21"/>
                      <w:szCs w:val="21"/>
                    </w:rPr>
                  </w:pPr>
                  <w:r>
                    <w:rPr>
                      <w:sz w:val="21"/>
                      <w:szCs w:val="21"/>
                    </w:rPr>
                    <w:t>2#生产车间占地面积为19891m</w:t>
                  </w:r>
                  <w:r>
                    <w:rPr>
                      <w:sz w:val="21"/>
                      <w:szCs w:val="21"/>
                      <w:vertAlign w:val="superscript"/>
                    </w:rPr>
                    <w:t>2</w:t>
                  </w:r>
                  <w:r>
                    <w:rPr>
                      <w:sz w:val="21"/>
                      <w:szCs w:val="21"/>
                    </w:rPr>
                    <w:t>，采用热镀锌钢架覆盖薄膜的温室形式，单层结构，厂房内主要布设无</w:t>
                  </w:r>
                  <w:r>
                    <w:rPr>
                      <w:rStyle w:val="31"/>
                      <w:kern w:val="0"/>
                      <w:szCs w:val="21"/>
                    </w:rPr>
                    <w:t>土栽培玫瑰</w:t>
                  </w:r>
                  <w:r>
                    <w:rPr>
                      <w:sz w:val="21"/>
                      <w:szCs w:val="21"/>
                    </w:rPr>
                    <w:t>生产设备。</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vMerge w:val="continue"/>
                  <w:vAlign w:val="center"/>
                </w:tcPr>
                <w:p>
                  <w:pPr>
                    <w:jc w:val="center"/>
                    <w:rPr>
                      <w:szCs w:val="21"/>
                    </w:rPr>
                  </w:pPr>
                </w:p>
              </w:tc>
              <w:tc>
                <w:tcPr>
                  <w:tcW w:w="762" w:type="pct"/>
                  <w:vAlign w:val="center"/>
                </w:tcPr>
                <w:p>
                  <w:pPr>
                    <w:jc w:val="center"/>
                    <w:rPr>
                      <w:szCs w:val="21"/>
                    </w:rPr>
                  </w:pPr>
                  <w:r>
                    <w:rPr>
                      <w:szCs w:val="21"/>
                    </w:rPr>
                    <w:t>加工车间</w:t>
                  </w:r>
                </w:p>
              </w:tc>
              <w:tc>
                <w:tcPr>
                  <w:tcW w:w="3314" w:type="pct"/>
                  <w:gridSpan w:val="2"/>
                  <w:vAlign w:val="center"/>
                </w:tcPr>
                <w:p>
                  <w:pPr>
                    <w:pStyle w:val="32"/>
                    <w:kinsoku w:val="0"/>
                    <w:overflowPunct w:val="0"/>
                    <w:spacing w:line="240" w:lineRule="auto"/>
                    <w:rPr>
                      <w:sz w:val="21"/>
                      <w:szCs w:val="21"/>
                    </w:rPr>
                  </w:pPr>
                  <w:r>
                    <w:rPr>
                      <w:sz w:val="21"/>
                      <w:szCs w:val="21"/>
                    </w:rPr>
                    <w:t>包装车间占地面积为713m</w:t>
                  </w:r>
                  <w:r>
                    <w:rPr>
                      <w:sz w:val="21"/>
                      <w:szCs w:val="21"/>
                      <w:vertAlign w:val="superscript"/>
                    </w:rPr>
                    <w:t>2</w:t>
                  </w:r>
                  <w:r>
                    <w:rPr>
                      <w:sz w:val="21"/>
                      <w:szCs w:val="21"/>
                    </w:rPr>
                    <w:t>，采用钢结构厂房形式，单层结构，厂房内主要布设包花工作设备。</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vMerge w:val="restart"/>
                  <w:vAlign w:val="center"/>
                </w:tcPr>
                <w:p>
                  <w:pPr>
                    <w:jc w:val="center"/>
                    <w:rPr>
                      <w:szCs w:val="21"/>
                    </w:rPr>
                  </w:pPr>
                  <w:r>
                    <w:rPr>
                      <w:szCs w:val="21"/>
                    </w:rPr>
                    <w:t>辅助工程</w:t>
                  </w:r>
                </w:p>
              </w:tc>
              <w:tc>
                <w:tcPr>
                  <w:tcW w:w="762" w:type="pct"/>
                  <w:vAlign w:val="center"/>
                </w:tcPr>
                <w:p>
                  <w:pPr>
                    <w:jc w:val="center"/>
                    <w:rPr>
                      <w:szCs w:val="21"/>
                    </w:rPr>
                  </w:pPr>
                  <w:r>
                    <w:rPr>
                      <w:szCs w:val="21"/>
                    </w:rPr>
                    <w:t>办公室</w:t>
                  </w:r>
                </w:p>
              </w:tc>
              <w:tc>
                <w:tcPr>
                  <w:tcW w:w="3314" w:type="pct"/>
                  <w:gridSpan w:val="2"/>
                  <w:vAlign w:val="center"/>
                </w:tcPr>
                <w:p>
                  <w:pPr>
                    <w:rPr>
                      <w:szCs w:val="21"/>
                    </w:rPr>
                  </w:pPr>
                  <w:r>
                    <w:rPr>
                      <w:szCs w:val="21"/>
                    </w:rPr>
                    <w:t>位于项目区东侧，建筑面积805m</w:t>
                  </w:r>
                  <w:r>
                    <w:rPr>
                      <w:szCs w:val="21"/>
                      <w:vertAlign w:val="superscript"/>
                    </w:rPr>
                    <w:t>2</w:t>
                  </w:r>
                  <w:r>
                    <w:rPr>
                      <w:szCs w:val="21"/>
                    </w:rPr>
                    <w:t>，单层，为项目办公区域。</w:t>
                  </w:r>
                </w:p>
              </w:tc>
              <w:tc>
                <w:tcPr>
                  <w:tcW w:w="449" w:type="pct"/>
                  <w:vAlign w:val="center"/>
                </w:tcPr>
                <w:p>
                  <w:pPr>
                    <w:pStyle w:val="32"/>
                    <w:kinsoku w:val="0"/>
                    <w:overflowPunct w:val="0"/>
                    <w:spacing w:line="240" w:lineRule="auto"/>
                    <w:jc w:val="center"/>
                    <w:rPr>
                      <w:sz w:val="21"/>
                      <w:szCs w:val="21"/>
                    </w:rPr>
                  </w:pPr>
                  <w:r>
                    <w:rPr>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vMerge w:val="continue"/>
                  <w:vAlign w:val="center"/>
                </w:tcPr>
                <w:p>
                  <w:pPr>
                    <w:jc w:val="center"/>
                    <w:rPr>
                      <w:szCs w:val="21"/>
                    </w:rPr>
                  </w:pPr>
                </w:p>
              </w:tc>
              <w:tc>
                <w:tcPr>
                  <w:tcW w:w="762" w:type="pct"/>
                  <w:vAlign w:val="center"/>
                </w:tcPr>
                <w:p>
                  <w:pPr>
                    <w:jc w:val="center"/>
                    <w:rPr>
                      <w:szCs w:val="21"/>
                    </w:rPr>
                  </w:pPr>
                  <w:r>
                    <w:rPr>
                      <w:szCs w:val="21"/>
                    </w:rPr>
                    <w:t>冷库</w:t>
                  </w:r>
                </w:p>
              </w:tc>
              <w:tc>
                <w:tcPr>
                  <w:tcW w:w="3314" w:type="pct"/>
                  <w:gridSpan w:val="2"/>
                  <w:vAlign w:val="center"/>
                </w:tcPr>
                <w:p>
                  <w:pPr>
                    <w:rPr>
                      <w:szCs w:val="21"/>
                    </w:rPr>
                  </w:pPr>
                  <w:r>
                    <w:rPr>
                      <w:szCs w:val="21"/>
                    </w:rPr>
                    <w:t>位于项目区东侧，建筑面积103.25m</w:t>
                  </w:r>
                  <w:r>
                    <w:rPr>
                      <w:szCs w:val="21"/>
                      <w:vertAlign w:val="superscript"/>
                    </w:rPr>
                    <w:t>2</w:t>
                  </w:r>
                  <w:r>
                    <w:rPr>
                      <w:szCs w:val="21"/>
                    </w:rPr>
                    <w:t>，单层，为冷藏产品区域。</w:t>
                  </w:r>
                </w:p>
              </w:tc>
              <w:tc>
                <w:tcPr>
                  <w:tcW w:w="449" w:type="pct"/>
                  <w:vAlign w:val="center"/>
                </w:tcPr>
                <w:p>
                  <w:pPr>
                    <w:pStyle w:val="32"/>
                    <w:kinsoku w:val="0"/>
                    <w:overflowPunct w:val="0"/>
                    <w:spacing w:line="240" w:lineRule="auto"/>
                    <w:jc w:val="center"/>
                    <w:rPr>
                      <w:sz w:val="21"/>
                      <w:szCs w:val="21"/>
                    </w:rPr>
                  </w:pPr>
                  <w:r>
                    <w:rPr>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5" w:type="pct"/>
                  <w:vMerge w:val="continue"/>
                  <w:vAlign w:val="center"/>
                </w:tcPr>
                <w:p>
                  <w:pPr>
                    <w:jc w:val="center"/>
                    <w:rPr>
                      <w:szCs w:val="21"/>
                    </w:rPr>
                  </w:pPr>
                </w:p>
              </w:tc>
              <w:tc>
                <w:tcPr>
                  <w:tcW w:w="762" w:type="pct"/>
                  <w:vAlign w:val="center"/>
                </w:tcPr>
                <w:p>
                  <w:pPr>
                    <w:jc w:val="center"/>
                    <w:rPr>
                      <w:szCs w:val="21"/>
                    </w:rPr>
                  </w:pPr>
                  <w:r>
                    <w:rPr>
                      <w:szCs w:val="21"/>
                    </w:rPr>
                    <w:t>锅炉房1#</w:t>
                  </w:r>
                </w:p>
              </w:tc>
              <w:tc>
                <w:tcPr>
                  <w:tcW w:w="3314" w:type="pct"/>
                  <w:gridSpan w:val="2"/>
                  <w:vAlign w:val="center"/>
                </w:tcPr>
                <w:p>
                  <w:pPr>
                    <w:rPr>
                      <w:szCs w:val="21"/>
                    </w:rPr>
                  </w:pPr>
                  <w:r>
                    <w:rPr>
                      <w:szCs w:val="21"/>
                    </w:rPr>
                    <w:t>位于项目区西侧，建筑面积100m</w:t>
                  </w:r>
                  <w:r>
                    <w:rPr>
                      <w:szCs w:val="21"/>
                      <w:vertAlign w:val="superscript"/>
                    </w:rPr>
                    <w:t>2</w:t>
                  </w:r>
                  <w:r>
                    <w:rPr>
                      <w:szCs w:val="21"/>
                    </w:rPr>
                    <w:t>，单层，为项目天然气锅炉。</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5" w:type="pct"/>
                  <w:vMerge w:val="continue"/>
                  <w:vAlign w:val="center"/>
                </w:tcPr>
                <w:p>
                  <w:pPr>
                    <w:jc w:val="center"/>
                    <w:rPr>
                      <w:szCs w:val="21"/>
                    </w:rPr>
                  </w:pPr>
                </w:p>
              </w:tc>
              <w:tc>
                <w:tcPr>
                  <w:tcW w:w="762" w:type="pct"/>
                  <w:vAlign w:val="center"/>
                </w:tcPr>
                <w:p>
                  <w:pPr>
                    <w:jc w:val="center"/>
                    <w:rPr>
                      <w:szCs w:val="21"/>
                    </w:rPr>
                  </w:pPr>
                  <w:r>
                    <w:rPr>
                      <w:szCs w:val="21"/>
                    </w:rPr>
                    <w:t>锅炉房2#</w:t>
                  </w:r>
                </w:p>
              </w:tc>
              <w:tc>
                <w:tcPr>
                  <w:tcW w:w="3314" w:type="pct"/>
                  <w:gridSpan w:val="2"/>
                  <w:vAlign w:val="center"/>
                </w:tcPr>
                <w:p>
                  <w:pPr>
                    <w:rPr>
                      <w:szCs w:val="21"/>
                    </w:rPr>
                  </w:pPr>
                  <w:r>
                    <w:rPr>
                      <w:szCs w:val="21"/>
                    </w:rPr>
                    <w:t>位于项目区西侧，建筑面积35m</w:t>
                  </w:r>
                  <w:r>
                    <w:rPr>
                      <w:szCs w:val="21"/>
                      <w:vertAlign w:val="superscript"/>
                    </w:rPr>
                    <w:t>2</w:t>
                  </w:r>
                  <w:r>
                    <w:rPr>
                      <w:szCs w:val="21"/>
                    </w:rPr>
                    <w:t>，单层，为项目生物质锅炉。</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5" w:type="pct"/>
                  <w:vMerge w:val="continue"/>
                  <w:vAlign w:val="center"/>
                </w:tcPr>
                <w:p>
                  <w:pPr>
                    <w:jc w:val="center"/>
                    <w:rPr>
                      <w:szCs w:val="21"/>
                    </w:rPr>
                  </w:pPr>
                </w:p>
              </w:tc>
              <w:tc>
                <w:tcPr>
                  <w:tcW w:w="762" w:type="pct"/>
                  <w:vAlign w:val="center"/>
                </w:tcPr>
                <w:p>
                  <w:pPr>
                    <w:jc w:val="center"/>
                    <w:rPr>
                      <w:szCs w:val="21"/>
                    </w:rPr>
                  </w:pPr>
                  <w:r>
                    <w:rPr>
                      <w:szCs w:val="21"/>
                    </w:rPr>
                    <w:t>燃料储存房</w:t>
                  </w:r>
                </w:p>
              </w:tc>
              <w:tc>
                <w:tcPr>
                  <w:tcW w:w="3314" w:type="pct"/>
                  <w:gridSpan w:val="2"/>
                  <w:vAlign w:val="center"/>
                </w:tcPr>
                <w:p>
                  <w:pPr>
                    <w:rPr>
                      <w:szCs w:val="21"/>
                    </w:rPr>
                  </w:pPr>
                  <w:r>
                    <w:rPr>
                      <w:szCs w:val="21"/>
                    </w:rPr>
                    <w:t>位于项目区西侧，建筑面积165m</w:t>
                  </w:r>
                  <w:r>
                    <w:rPr>
                      <w:szCs w:val="21"/>
                      <w:vertAlign w:val="superscript"/>
                    </w:rPr>
                    <w:t>2</w:t>
                  </w:r>
                  <w:r>
                    <w:rPr>
                      <w:szCs w:val="21"/>
                    </w:rPr>
                    <w:t>，单层，为储存生物质锅炉燃料。</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5" w:type="pct"/>
                  <w:vMerge w:val="continue"/>
                  <w:vAlign w:val="center"/>
                </w:tcPr>
                <w:p>
                  <w:pPr>
                    <w:jc w:val="center"/>
                    <w:rPr>
                      <w:szCs w:val="21"/>
                    </w:rPr>
                  </w:pPr>
                </w:p>
              </w:tc>
              <w:tc>
                <w:tcPr>
                  <w:tcW w:w="762" w:type="pct"/>
                  <w:vAlign w:val="center"/>
                </w:tcPr>
                <w:p>
                  <w:pPr>
                    <w:jc w:val="center"/>
                    <w:rPr>
                      <w:szCs w:val="21"/>
                    </w:rPr>
                  </w:pPr>
                  <w:r>
                    <w:rPr>
                      <w:szCs w:val="21"/>
                    </w:rPr>
                    <w:t>水肥间</w:t>
                  </w:r>
                </w:p>
              </w:tc>
              <w:tc>
                <w:tcPr>
                  <w:tcW w:w="3314" w:type="pct"/>
                  <w:gridSpan w:val="2"/>
                  <w:vAlign w:val="center"/>
                </w:tcPr>
                <w:p>
                  <w:pPr>
                    <w:rPr>
                      <w:szCs w:val="21"/>
                    </w:rPr>
                  </w:pPr>
                  <w:r>
                    <w:rPr>
                      <w:szCs w:val="21"/>
                    </w:rPr>
                    <w:t>建筑面积91.8m</w:t>
                  </w:r>
                  <w:r>
                    <w:rPr>
                      <w:szCs w:val="21"/>
                      <w:vertAlign w:val="superscript"/>
                    </w:rPr>
                    <w:t>2</w:t>
                  </w:r>
                  <w:r>
                    <w:rPr>
                      <w:szCs w:val="21"/>
                    </w:rPr>
                    <w:t>，位于锅炉房旁，用于储存肥料及配肥。</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5" w:type="pct"/>
                  <w:vMerge w:val="continue"/>
                  <w:vAlign w:val="center"/>
                </w:tcPr>
                <w:p>
                  <w:pPr>
                    <w:jc w:val="center"/>
                    <w:rPr>
                      <w:szCs w:val="21"/>
                    </w:rPr>
                  </w:pPr>
                </w:p>
              </w:tc>
              <w:tc>
                <w:tcPr>
                  <w:tcW w:w="762" w:type="pct"/>
                  <w:vAlign w:val="center"/>
                </w:tcPr>
                <w:p>
                  <w:pPr>
                    <w:jc w:val="center"/>
                    <w:rPr>
                      <w:szCs w:val="21"/>
                    </w:rPr>
                  </w:pPr>
                  <w:r>
                    <w:rPr>
                      <w:szCs w:val="21"/>
                    </w:rPr>
                    <w:t>农药间</w:t>
                  </w:r>
                </w:p>
              </w:tc>
              <w:tc>
                <w:tcPr>
                  <w:tcW w:w="3314" w:type="pct"/>
                  <w:gridSpan w:val="2"/>
                  <w:vAlign w:val="center"/>
                </w:tcPr>
                <w:p>
                  <w:pPr>
                    <w:rPr>
                      <w:szCs w:val="21"/>
                    </w:rPr>
                  </w:pPr>
                  <w:r>
                    <w:rPr>
                      <w:szCs w:val="21"/>
                    </w:rPr>
                    <w:t>建筑面积41m</w:t>
                  </w:r>
                  <w:r>
                    <w:rPr>
                      <w:szCs w:val="21"/>
                      <w:vertAlign w:val="superscript"/>
                    </w:rPr>
                    <w:t>2</w:t>
                  </w:r>
                  <w:r>
                    <w:rPr>
                      <w:szCs w:val="21"/>
                    </w:rPr>
                    <w:t>，位于锅炉房旁，用于储存农药。</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5" w:type="pct"/>
                  <w:vMerge w:val="continue"/>
                  <w:vAlign w:val="center"/>
                </w:tcPr>
                <w:p>
                  <w:pPr>
                    <w:jc w:val="center"/>
                    <w:rPr>
                      <w:szCs w:val="21"/>
                    </w:rPr>
                  </w:pPr>
                </w:p>
              </w:tc>
              <w:tc>
                <w:tcPr>
                  <w:tcW w:w="762" w:type="pct"/>
                  <w:vAlign w:val="center"/>
                </w:tcPr>
                <w:p>
                  <w:pPr>
                    <w:jc w:val="center"/>
                    <w:rPr>
                      <w:szCs w:val="21"/>
                    </w:rPr>
                  </w:pPr>
                  <w:r>
                    <w:rPr>
                      <w:szCs w:val="21"/>
                    </w:rPr>
                    <w:t>1#卫生间</w:t>
                  </w:r>
                </w:p>
              </w:tc>
              <w:tc>
                <w:tcPr>
                  <w:tcW w:w="3314" w:type="pct"/>
                  <w:gridSpan w:val="2"/>
                  <w:vAlign w:val="center"/>
                </w:tcPr>
                <w:p>
                  <w:pPr>
                    <w:rPr>
                      <w:szCs w:val="21"/>
                    </w:rPr>
                  </w:pPr>
                  <w:r>
                    <w:rPr>
                      <w:szCs w:val="21"/>
                    </w:rPr>
                    <w:t>位于宿舍西侧，建筑面积约55.61m</w:t>
                  </w:r>
                  <w:r>
                    <w:rPr>
                      <w:szCs w:val="21"/>
                      <w:vertAlign w:val="superscript"/>
                    </w:rPr>
                    <w:t>2</w:t>
                  </w:r>
                  <w:r>
                    <w:rPr>
                      <w:szCs w:val="21"/>
                    </w:rPr>
                    <w:t>，单层结构。</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5" w:type="pct"/>
                  <w:vMerge w:val="continue"/>
                  <w:vAlign w:val="center"/>
                </w:tcPr>
                <w:p>
                  <w:pPr>
                    <w:jc w:val="center"/>
                    <w:rPr>
                      <w:szCs w:val="21"/>
                    </w:rPr>
                  </w:pPr>
                </w:p>
              </w:tc>
              <w:tc>
                <w:tcPr>
                  <w:tcW w:w="762" w:type="pct"/>
                  <w:vAlign w:val="center"/>
                </w:tcPr>
                <w:p>
                  <w:pPr>
                    <w:jc w:val="center"/>
                    <w:rPr>
                      <w:szCs w:val="21"/>
                    </w:rPr>
                  </w:pPr>
                  <w:r>
                    <w:rPr>
                      <w:szCs w:val="21"/>
                    </w:rPr>
                    <w:t>2#卫生间</w:t>
                  </w:r>
                </w:p>
              </w:tc>
              <w:tc>
                <w:tcPr>
                  <w:tcW w:w="3314" w:type="pct"/>
                  <w:gridSpan w:val="2"/>
                  <w:vAlign w:val="center"/>
                </w:tcPr>
                <w:p>
                  <w:pPr>
                    <w:rPr>
                      <w:szCs w:val="21"/>
                    </w:rPr>
                  </w:pPr>
                  <w:r>
                    <w:rPr>
                      <w:szCs w:val="21"/>
                    </w:rPr>
                    <w:t>位于1#温室大棚西侧，建筑面积约45m</w:t>
                  </w:r>
                  <w:r>
                    <w:rPr>
                      <w:szCs w:val="21"/>
                      <w:vertAlign w:val="superscript"/>
                    </w:rPr>
                    <w:t>2</w:t>
                  </w:r>
                  <w:r>
                    <w:rPr>
                      <w:szCs w:val="21"/>
                    </w:rPr>
                    <w:t>，单层结构。</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5" w:type="pct"/>
                  <w:vMerge w:val="continue"/>
                  <w:vAlign w:val="center"/>
                </w:tcPr>
                <w:p>
                  <w:pPr>
                    <w:jc w:val="center"/>
                    <w:rPr>
                      <w:szCs w:val="21"/>
                    </w:rPr>
                  </w:pPr>
                </w:p>
              </w:tc>
              <w:tc>
                <w:tcPr>
                  <w:tcW w:w="762" w:type="pct"/>
                  <w:vAlign w:val="center"/>
                </w:tcPr>
                <w:p>
                  <w:pPr>
                    <w:jc w:val="center"/>
                    <w:rPr>
                      <w:szCs w:val="21"/>
                    </w:rPr>
                  </w:pPr>
                  <w:r>
                    <w:rPr>
                      <w:szCs w:val="21"/>
                    </w:rPr>
                    <w:t>食堂</w:t>
                  </w:r>
                </w:p>
              </w:tc>
              <w:tc>
                <w:tcPr>
                  <w:tcW w:w="3314" w:type="pct"/>
                  <w:gridSpan w:val="2"/>
                  <w:vAlign w:val="center"/>
                </w:tcPr>
                <w:p>
                  <w:pPr>
                    <w:rPr>
                      <w:szCs w:val="21"/>
                    </w:rPr>
                  </w:pPr>
                  <w:r>
                    <w:rPr>
                      <w:szCs w:val="21"/>
                    </w:rPr>
                    <w:t>位于加工车间北侧，建筑面积约269.6m</w:t>
                  </w:r>
                  <w:r>
                    <w:rPr>
                      <w:szCs w:val="21"/>
                      <w:vertAlign w:val="superscript"/>
                    </w:rPr>
                    <w:t>2</w:t>
                  </w:r>
                  <w:r>
                    <w:rPr>
                      <w:szCs w:val="21"/>
                    </w:rPr>
                    <w:t>，单层结构。</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5" w:type="pct"/>
                  <w:vMerge w:val="continue"/>
                  <w:vAlign w:val="center"/>
                </w:tcPr>
                <w:p>
                  <w:pPr>
                    <w:jc w:val="center"/>
                    <w:rPr>
                      <w:szCs w:val="21"/>
                    </w:rPr>
                  </w:pPr>
                </w:p>
              </w:tc>
              <w:tc>
                <w:tcPr>
                  <w:tcW w:w="762" w:type="pct"/>
                  <w:vAlign w:val="center"/>
                </w:tcPr>
                <w:p>
                  <w:pPr>
                    <w:jc w:val="center"/>
                    <w:rPr>
                      <w:szCs w:val="21"/>
                    </w:rPr>
                  </w:pPr>
                  <w:r>
                    <w:rPr>
                      <w:szCs w:val="21"/>
                    </w:rPr>
                    <w:t>1#宿舍</w:t>
                  </w:r>
                </w:p>
              </w:tc>
              <w:tc>
                <w:tcPr>
                  <w:tcW w:w="3314" w:type="pct"/>
                  <w:gridSpan w:val="2"/>
                  <w:vAlign w:val="center"/>
                </w:tcPr>
                <w:p>
                  <w:pPr>
                    <w:rPr>
                      <w:szCs w:val="21"/>
                    </w:rPr>
                  </w:pPr>
                  <w:r>
                    <w:rPr>
                      <w:szCs w:val="21"/>
                    </w:rPr>
                    <w:t>位于项目区域东南侧，建筑面积约229m</w:t>
                  </w:r>
                  <w:r>
                    <w:rPr>
                      <w:szCs w:val="21"/>
                      <w:vertAlign w:val="superscript"/>
                    </w:rPr>
                    <w:t>2</w:t>
                  </w:r>
                  <w:r>
                    <w:rPr>
                      <w:szCs w:val="21"/>
                    </w:rPr>
                    <w:t>，单层结构。</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5" w:type="pct"/>
                  <w:vMerge w:val="continue"/>
                  <w:vAlign w:val="center"/>
                </w:tcPr>
                <w:p>
                  <w:pPr>
                    <w:jc w:val="center"/>
                    <w:rPr>
                      <w:szCs w:val="21"/>
                    </w:rPr>
                  </w:pPr>
                </w:p>
              </w:tc>
              <w:tc>
                <w:tcPr>
                  <w:tcW w:w="762" w:type="pct"/>
                  <w:vAlign w:val="center"/>
                </w:tcPr>
                <w:p>
                  <w:pPr>
                    <w:jc w:val="center"/>
                    <w:rPr>
                      <w:szCs w:val="21"/>
                    </w:rPr>
                  </w:pPr>
                  <w:r>
                    <w:rPr>
                      <w:szCs w:val="21"/>
                    </w:rPr>
                    <w:t>2#宿舍</w:t>
                  </w:r>
                </w:p>
              </w:tc>
              <w:tc>
                <w:tcPr>
                  <w:tcW w:w="3314" w:type="pct"/>
                  <w:gridSpan w:val="2"/>
                  <w:vAlign w:val="center"/>
                </w:tcPr>
                <w:p>
                  <w:pPr>
                    <w:rPr>
                      <w:szCs w:val="21"/>
                    </w:rPr>
                  </w:pPr>
                  <w:r>
                    <w:rPr>
                      <w:szCs w:val="21"/>
                    </w:rPr>
                    <w:t>位于1#温室大棚西侧，建筑面积约60m</w:t>
                  </w:r>
                  <w:r>
                    <w:rPr>
                      <w:szCs w:val="21"/>
                      <w:vertAlign w:val="superscript"/>
                    </w:rPr>
                    <w:t>2</w:t>
                  </w:r>
                  <w:r>
                    <w:rPr>
                      <w:szCs w:val="21"/>
                    </w:rPr>
                    <w:t>，单层结构。</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vMerge w:val="restart"/>
                  <w:vAlign w:val="center"/>
                </w:tcPr>
                <w:p>
                  <w:pPr>
                    <w:jc w:val="center"/>
                    <w:rPr>
                      <w:szCs w:val="21"/>
                    </w:rPr>
                  </w:pPr>
                  <w:r>
                    <w:rPr>
                      <w:szCs w:val="21"/>
                    </w:rPr>
                    <w:t>公用工程</w:t>
                  </w:r>
                </w:p>
              </w:tc>
              <w:tc>
                <w:tcPr>
                  <w:tcW w:w="762" w:type="pct"/>
                  <w:vAlign w:val="center"/>
                </w:tcPr>
                <w:p>
                  <w:pPr>
                    <w:jc w:val="center"/>
                    <w:rPr>
                      <w:szCs w:val="21"/>
                    </w:rPr>
                  </w:pPr>
                  <w:r>
                    <w:rPr>
                      <w:szCs w:val="21"/>
                    </w:rPr>
                    <w:t>供水</w:t>
                  </w:r>
                </w:p>
              </w:tc>
              <w:tc>
                <w:tcPr>
                  <w:tcW w:w="3314" w:type="pct"/>
                  <w:gridSpan w:val="2"/>
                  <w:vAlign w:val="center"/>
                </w:tcPr>
                <w:p>
                  <w:pPr>
                    <w:rPr>
                      <w:szCs w:val="21"/>
                    </w:rPr>
                  </w:pPr>
                  <w:r>
                    <w:rPr>
                      <w:szCs w:val="21"/>
                    </w:rPr>
                    <w:t>依托市政自来水管网。</w:t>
                  </w:r>
                </w:p>
              </w:tc>
              <w:tc>
                <w:tcPr>
                  <w:tcW w:w="449" w:type="pct"/>
                  <w:vAlign w:val="center"/>
                </w:tcPr>
                <w:p>
                  <w:pPr>
                    <w:jc w:val="center"/>
                    <w:rPr>
                      <w:szCs w:val="21"/>
                    </w:rPr>
                  </w:pPr>
                  <w:r>
                    <w:rPr>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5" w:type="pct"/>
                  <w:vMerge w:val="continue"/>
                  <w:vAlign w:val="center"/>
                </w:tcPr>
                <w:p>
                  <w:pPr>
                    <w:jc w:val="center"/>
                    <w:rPr>
                      <w:szCs w:val="21"/>
                    </w:rPr>
                  </w:pPr>
                </w:p>
              </w:tc>
              <w:tc>
                <w:tcPr>
                  <w:tcW w:w="762" w:type="pct"/>
                  <w:vAlign w:val="center"/>
                </w:tcPr>
                <w:p>
                  <w:pPr>
                    <w:jc w:val="center"/>
                    <w:rPr>
                      <w:szCs w:val="21"/>
                    </w:rPr>
                  </w:pPr>
                  <w:r>
                    <w:rPr>
                      <w:szCs w:val="21"/>
                    </w:rPr>
                    <w:t>排水</w:t>
                  </w:r>
                </w:p>
              </w:tc>
              <w:tc>
                <w:tcPr>
                  <w:tcW w:w="3314" w:type="pct"/>
                  <w:gridSpan w:val="2"/>
                  <w:vAlign w:val="center"/>
                </w:tcPr>
                <w:p>
                  <w:pPr>
                    <w:rPr>
                      <w:szCs w:val="21"/>
                    </w:rPr>
                  </w:pPr>
                  <w:r>
                    <w:rPr>
                      <w:szCs w:val="21"/>
                    </w:rPr>
                    <w:t>在污水管网未接通前由厂区自建污水处理站进行处理回用；接通污水管网后，由姚安县第二污水处理厂进行处理。</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vMerge w:val="continue"/>
                  <w:vAlign w:val="center"/>
                </w:tcPr>
                <w:p>
                  <w:pPr>
                    <w:jc w:val="center"/>
                    <w:rPr>
                      <w:szCs w:val="21"/>
                    </w:rPr>
                  </w:pPr>
                </w:p>
              </w:tc>
              <w:tc>
                <w:tcPr>
                  <w:tcW w:w="762" w:type="pct"/>
                  <w:vAlign w:val="center"/>
                </w:tcPr>
                <w:p>
                  <w:pPr>
                    <w:jc w:val="center"/>
                    <w:rPr>
                      <w:szCs w:val="21"/>
                    </w:rPr>
                  </w:pPr>
                  <w:r>
                    <w:rPr>
                      <w:szCs w:val="21"/>
                    </w:rPr>
                    <w:t>供电</w:t>
                  </w:r>
                </w:p>
              </w:tc>
              <w:tc>
                <w:tcPr>
                  <w:tcW w:w="3314" w:type="pct"/>
                  <w:gridSpan w:val="2"/>
                  <w:vAlign w:val="center"/>
                </w:tcPr>
                <w:p>
                  <w:pPr>
                    <w:rPr>
                      <w:szCs w:val="21"/>
                    </w:rPr>
                  </w:pPr>
                  <w:r>
                    <w:rPr>
                      <w:szCs w:val="21"/>
                    </w:rPr>
                    <w:t>项目供电由市政电网供给。</w:t>
                  </w:r>
                </w:p>
              </w:tc>
              <w:tc>
                <w:tcPr>
                  <w:tcW w:w="449" w:type="pct"/>
                  <w:vAlign w:val="center"/>
                </w:tcPr>
                <w:p>
                  <w:pPr>
                    <w:jc w:val="center"/>
                    <w:rPr>
                      <w:szCs w:val="21"/>
                    </w:rPr>
                  </w:pPr>
                  <w:r>
                    <w:rPr>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75" w:type="pct"/>
                  <w:vMerge w:val="restart"/>
                  <w:vAlign w:val="center"/>
                </w:tcPr>
                <w:p>
                  <w:pPr>
                    <w:jc w:val="center"/>
                    <w:rPr>
                      <w:szCs w:val="21"/>
                    </w:rPr>
                  </w:pPr>
                  <w:r>
                    <w:rPr>
                      <w:szCs w:val="21"/>
                    </w:rPr>
                    <w:t>环保工程</w:t>
                  </w:r>
                </w:p>
              </w:tc>
              <w:tc>
                <w:tcPr>
                  <w:tcW w:w="762" w:type="pct"/>
                  <w:vAlign w:val="center"/>
                </w:tcPr>
                <w:p>
                  <w:pPr>
                    <w:jc w:val="center"/>
                    <w:rPr>
                      <w:szCs w:val="21"/>
                    </w:rPr>
                  </w:pPr>
                  <w:r>
                    <w:rPr>
                      <w:szCs w:val="21"/>
                    </w:rPr>
                    <w:t>废气治理</w:t>
                  </w:r>
                </w:p>
              </w:tc>
              <w:tc>
                <w:tcPr>
                  <w:tcW w:w="3314" w:type="pct"/>
                  <w:gridSpan w:val="2"/>
                  <w:vAlign w:val="center"/>
                </w:tcPr>
                <w:p>
                  <w:pPr>
                    <w:rPr>
                      <w:szCs w:val="21"/>
                    </w:rPr>
                  </w:pPr>
                  <w:r>
                    <w:rPr>
                      <w:szCs w:val="21"/>
                    </w:rPr>
                    <w:t>项目产生的废气主要为锅炉废气及食堂油烟，生物质锅炉</w:t>
                  </w:r>
                  <w:r>
                    <w:rPr>
                      <w:rFonts w:hint="eastAsia"/>
                      <w:szCs w:val="21"/>
                    </w:rPr>
                    <w:t>烟气采用“湿式脱硫+布袋</w:t>
                  </w:r>
                  <w:r>
                    <w:rPr>
                      <w:szCs w:val="21"/>
                    </w:rPr>
                    <w:t>除尘</w:t>
                  </w:r>
                  <w:r>
                    <w:rPr>
                      <w:rFonts w:hint="eastAsia"/>
                      <w:szCs w:val="21"/>
                    </w:rPr>
                    <w:t>”进行处理后通过</w:t>
                  </w:r>
                  <w:r>
                    <w:rPr>
                      <w:szCs w:val="21"/>
                    </w:rPr>
                    <w:t>30m高的排气筒</w:t>
                  </w:r>
                  <w:r>
                    <w:rPr>
                      <w:rFonts w:hint="eastAsia"/>
                      <w:szCs w:val="21"/>
                    </w:rPr>
                    <w:t>排放</w:t>
                  </w:r>
                  <w:r>
                    <w:rPr>
                      <w:szCs w:val="21"/>
                    </w:rPr>
                    <w:t>；</w:t>
                  </w:r>
                  <w:r>
                    <w:rPr>
                      <w:rFonts w:hint="eastAsia"/>
                      <w:szCs w:val="21"/>
                    </w:rPr>
                    <w:t>天然气</w:t>
                  </w:r>
                  <w:r>
                    <w:rPr>
                      <w:szCs w:val="21"/>
                    </w:rPr>
                    <w:t>锅炉烟气经过15m高排气筒排放。食堂内设置</w:t>
                  </w:r>
                  <w:r>
                    <w:rPr>
                      <w:rFonts w:hint="eastAsia"/>
                      <w:szCs w:val="21"/>
                    </w:rPr>
                    <w:t>1台油烟净化器</w:t>
                  </w:r>
                  <w:r>
                    <w:rPr>
                      <w:szCs w:val="21"/>
                    </w:rPr>
                    <w:t>。</w:t>
                  </w:r>
                </w:p>
              </w:tc>
              <w:tc>
                <w:tcPr>
                  <w:tcW w:w="449" w:type="pct"/>
                  <w:vAlign w:val="center"/>
                </w:tcPr>
                <w:p>
                  <w:pP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jc w:val="center"/>
              </w:trPr>
              <w:tc>
                <w:tcPr>
                  <w:tcW w:w="475" w:type="pct"/>
                  <w:vMerge w:val="continue"/>
                  <w:vAlign w:val="center"/>
                </w:tcPr>
                <w:p>
                  <w:pPr>
                    <w:jc w:val="center"/>
                    <w:rPr>
                      <w:szCs w:val="21"/>
                    </w:rPr>
                  </w:pPr>
                </w:p>
              </w:tc>
              <w:tc>
                <w:tcPr>
                  <w:tcW w:w="762" w:type="pct"/>
                  <w:vMerge w:val="restart"/>
                  <w:vAlign w:val="center"/>
                </w:tcPr>
                <w:p>
                  <w:pPr>
                    <w:jc w:val="center"/>
                    <w:rPr>
                      <w:szCs w:val="21"/>
                    </w:rPr>
                  </w:pPr>
                  <w:r>
                    <w:rPr>
                      <w:szCs w:val="21"/>
                    </w:rPr>
                    <w:t>废水治理</w:t>
                  </w:r>
                </w:p>
              </w:tc>
              <w:tc>
                <w:tcPr>
                  <w:tcW w:w="3314" w:type="pct"/>
                  <w:gridSpan w:val="2"/>
                  <w:vAlign w:val="center"/>
                </w:tcPr>
                <w:p>
                  <w:pPr>
                    <w:rPr>
                      <w:szCs w:val="21"/>
                    </w:rPr>
                  </w:pPr>
                  <w:r>
                    <w:rPr>
                      <w:rFonts w:hint="eastAsia"/>
                      <w:szCs w:val="21"/>
                    </w:rPr>
                    <w:t>①项目产生的纯水制备费用污染物含量较少，回用于花卉种植浇灌；滴灌渗出水通过收集后回用于花卉种植用水；包花预清洗废水污染物含量较少，回用于花卉种植用水。</w:t>
                  </w:r>
                </w:p>
                <w:p>
                  <w:pPr>
                    <w:rPr>
                      <w:szCs w:val="21"/>
                    </w:rPr>
                  </w:pPr>
                  <w:r>
                    <w:rPr>
                      <w:rFonts w:hint="eastAsia"/>
                      <w:szCs w:val="21"/>
                    </w:rPr>
                    <w:t>②</w:t>
                  </w:r>
                  <w:r>
                    <w:rPr>
                      <w:szCs w:val="21"/>
                    </w:rPr>
                    <w:t>员工生活污水以及食堂废水。</w:t>
                  </w:r>
                  <w:r>
                    <w:rPr>
                      <w:rFonts w:hint="eastAsia"/>
                      <w:szCs w:val="21"/>
                    </w:rPr>
                    <w:t>员工生活污水通过</w:t>
                  </w:r>
                  <w:r>
                    <w:rPr>
                      <w:szCs w:val="21"/>
                    </w:rPr>
                    <w:t>员工食堂北侧化粪池（20m</w:t>
                  </w:r>
                  <w:r>
                    <w:rPr>
                      <w:szCs w:val="21"/>
                      <w:vertAlign w:val="superscript"/>
                    </w:rPr>
                    <w:t>3</w:t>
                  </w:r>
                  <w:r>
                    <w:rPr>
                      <w:szCs w:val="21"/>
                    </w:rPr>
                    <w:t>）、1#温室大棚西侧化粪池（10m</w:t>
                  </w:r>
                  <w:r>
                    <w:rPr>
                      <w:szCs w:val="21"/>
                      <w:vertAlign w:val="superscript"/>
                    </w:rPr>
                    <w:t>3</w:t>
                  </w:r>
                  <w:r>
                    <w:rPr>
                      <w:szCs w:val="21"/>
                    </w:rPr>
                    <w:t>）处理</w:t>
                  </w:r>
                  <w:r>
                    <w:rPr>
                      <w:rFonts w:hint="eastAsia"/>
                      <w:szCs w:val="21"/>
                    </w:rPr>
                    <w:t>；食堂废水通过</w:t>
                  </w:r>
                  <w:r>
                    <w:rPr>
                      <w:szCs w:val="21"/>
                    </w:rPr>
                    <w:t>1.5m</w:t>
                  </w:r>
                  <w:r>
                    <w:rPr>
                      <w:szCs w:val="21"/>
                      <w:vertAlign w:val="superscript"/>
                    </w:rPr>
                    <w:t>3</w:t>
                  </w:r>
                  <w:r>
                    <w:rPr>
                      <w:szCs w:val="21"/>
                    </w:rPr>
                    <w:t>隔油池处理</w:t>
                  </w:r>
                  <w:r>
                    <w:rPr>
                      <w:rFonts w:hint="eastAsia"/>
                      <w:szCs w:val="21"/>
                    </w:rPr>
                    <w:t>；</w:t>
                  </w:r>
                  <w:r>
                    <w:rPr>
                      <w:szCs w:val="21"/>
                    </w:rPr>
                    <w:t>处理后的污水在污水管网未接通前由厂区自建污水处理站</w:t>
                  </w:r>
                  <w:r>
                    <w:rPr>
                      <w:rFonts w:hint="eastAsia"/>
                      <w:szCs w:val="21"/>
                    </w:rPr>
                    <w:t>处理后达标</w:t>
                  </w:r>
                  <w:r>
                    <w:rPr>
                      <w:szCs w:val="21"/>
                    </w:rPr>
                    <w:t>回用</w:t>
                  </w:r>
                  <w:r>
                    <w:rPr>
                      <w:rFonts w:hint="eastAsia"/>
                      <w:szCs w:val="21"/>
                    </w:rPr>
                    <w:t>至花卉种植用水环节</w:t>
                  </w:r>
                  <w:r>
                    <w:rPr>
                      <w:szCs w:val="21"/>
                    </w:rPr>
                    <w:t>；</w:t>
                  </w:r>
                  <w:r>
                    <w:rPr>
                      <w:rFonts w:hint="eastAsia"/>
                      <w:szCs w:val="21"/>
                    </w:rPr>
                    <w:t>在</w:t>
                  </w:r>
                  <w:r>
                    <w:rPr>
                      <w:szCs w:val="21"/>
                    </w:rPr>
                    <w:t>污水管网</w:t>
                  </w:r>
                  <w:r>
                    <w:rPr>
                      <w:rFonts w:hint="eastAsia"/>
                      <w:szCs w:val="21"/>
                    </w:rPr>
                    <w:t>接通</w:t>
                  </w:r>
                  <w:r>
                    <w:rPr>
                      <w:szCs w:val="21"/>
                    </w:rPr>
                    <w:t>后，</w:t>
                  </w:r>
                  <w:r>
                    <w:rPr>
                      <w:rFonts w:hint="eastAsia"/>
                      <w:szCs w:val="21"/>
                    </w:rPr>
                    <w:t>进入</w:t>
                  </w:r>
                  <w:r>
                    <w:rPr>
                      <w:szCs w:val="21"/>
                    </w:rPr>
                    <w:t>姚安县第二污水处理厂进行处理。</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75" w:type="pct"/>
                  <w:vMerge w:val="continue"/>
                  <w:vAlign w:val="center"/>
                </w:tcPr>
                <w:p>
                  <w:pPr>
                    <w:jc w:val="center"/>
                    <w:rPr>
                      <w:szCs w:val="21"/>
                    </w:rPr>
                  </w:pPr>
                </w:p>
              </w:tc>
              <w:tc>
                <w:tcPr>
                  <w:tcW w:w="762" w:type="pct"/>
                  <w:vMerge w:val="continue"/>
                  <w:vAlign w:val="center"/>
                </w:tcPr>
                <w:p>
                  <w:pPr>
                    <w:jc w:val="center"/>
                    <w:rPr>
                      <w:szCs w:val="21"/>
                    </w:rPr>
                  </w:pPr>
                </w:p>
              </w:tc>
              <w:tc>
                <w:tcPr>
                  <w:tcW w:w="732" w:type="pct"/>
                  <w:vAlign w:val="center"/>
                </w:tcPr>
                <w:p>
                  <w:pPr>
                    <w:jc w:val="center"/>
                    <w:rPr>
                      <w:szCs w:val="21"/>
                    </w:rPr>
                  </w:pPr>
                  <w:r>
                    <w:rPr>
                      <w:szCs w:val="21"/>
                    </w:rPr>
                    <w:t>雨水沉淀池</w:t>
                  </w:r>
                </w:p>
              </w:tc>
              <w:tc>
                <w:tcPr>
                  <w:tcW w:w="2582" w:type="pct"/>
                  <w:vAlign w:val="center"/>
                </w:tcPr>
                <w:p>
                  <w:pPr>
                    <w:jc w:val="left"/>
                    <w:rPr>
                      <w:szCs w:val="21"/>
                    </w:rPr>
                  </w:pPr>
                  <w:r>
                    <w:rPr>
                      <w:rFonts w:hint="eastAsia"/>
                      <w:szCs w:val="21"/>
                    </w:rPr>
                    <w:t>新</w:t>
                  </w:r>
                  <w:r>
                    <w:rPr>
                      <w:szCs w:val="21"/>
                    </w:rPr>
                    <w:t>建一个950m</w:t>
                  </w:r>
                  <w:r>
                    <w:rPr>
                      <w:szCs w:val="21"/>
                      <w:vertAlign w:val="superscript"/>
                    </w:rPr>
                    <w:t>3</w:t>
                  </w:r>
                  <w:r>
                    <w:rPr>
                      <w:szCs w:val="21"/>
                    </w:rPr>
                    <w:t>的初期雨水沉淀池，收集初期雨水。</w:t>
                  </w:r>
                </w:p>
              </w:tc>
              <w:tc>
                <w:tcPr>
                  <w:tcW w:w="449" w:type="pct"/>
                  <w:vAlign w:val="center"/>
                </w:tcPr>
                <w:p>
                  <w:pP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75" w:type="pct"/>
                  <w:vMerge w:val="continue"/>
                  <w:vAlign w:val="center"/>
                </w:tcPr>
                <w:p>
                  <w:pPr>
                    <w:jc w:val="center"/>
                    <w:rPr>
                      <w:szCs w:val="21"/>
                    </w:rPr>
                  </w:pPr>
                </w:p>
              </w:tc>
              <w:tc>
                <w:tcPr>
                  <w:tcW w:w="762" w:type="pct"/>
                  <w:vMerge w:val="continue"/>
                  <w:vAlign w:val="center"/>
                </w:tcPr>
                <w:p>
                  <w:pPr>
                    <w:jc w:val="center"/>
                    <w:rPr>
                      <w:szCs w:val="21"/>
                    </w:rPr>
                  </w:pPr>
                </w:p>
              </w:tc>
              <w:tc>
                <w:tcPr>
                  <w:tcW w:w="732" w:type="pct"/>
                  <w:vAlign w:val="center"/>
                </w:tcPr>
                <w:p>
                  <w:pPr>
                    <w:jc w:val="center"/>
                    <w:rPr>
                      <w:szCs w:val="21"/>
                    </w:rPr>
                  </w:pPr>
                  <w:r>
                    <w:rPr>
                      <w:szCs w:val="21"/>
                    </w:rPr>
                    <w:t>沉淀池</w:t>
                  </w:r>
                </w:p>
              </w:tc>
              <w:tc>
                <w:tcPr>
                  <w:tcW w:w="2582" w:type="pct"/>
                  <w:vAlign w:val="center"/>
                </w:tcPr>
                <w:p>
                  <w:pPr>
                    <w:jc w:val="left"/>
                    <w:rPr>
                      <w:szCs w:val="21"/>
                    </w:rPr>
                  </w:pPr>
                  <w:r>
                    <w:rPr>
                      <w:rFonts w:hint="eastAsia"/>
                      <w:szCs w:val="21"/>
                    </w:rPr>
                    <w:t>新</w:t>
                  </w:r>
                  <w:r>
                    <w:rPr>
                      <w:szCs w:val="21"/>
                    </w:rPr>
                    <w:t>建一个4m</w:t>
                  </w:r>
                  <w:r>
                    <w:rPr>
                      <w:szCs w:val="21"/>
                      <w:vertAlign w:val="superscript"/>
                    </w:rPr>
                    <w:t>3</w:t>
                  </w:r>
                  <w:r>
                    <w:rPr>
                      <w:szCs w:val="21"/>
                    </w:rPr>
                    <w:t>的沉淀池，收集废水沉淀回用。</w:t>
                  </w:r>
                </w:p>
              </w:tc>
              <w:tc>
                <w:tcPr>
                  <w:tcW w:w="449" w:type="pct"/>
                  <w:vAlign w:val="center"/>
                </w:tcPr>
                <w:p>
                  <w:pP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jc w:val="center"/>
              </w:trPr>
              <w:tc>
                <w:tcPr>
                  <w:tcW w:w="475" w:type="pct"/>
                  <w:vMerge w:val="continue"/>
                  <w:vAlign w:val="center"/>
                </w:tcPr>
                <w:p>
                  <w:pPr>
                    <w:jc w:val="center"/>
                    <w:rPr>
                      <w:szCs w:val="21"/>
                    </w:rPr>
                  </w:pPr>
                </w:p>
              </w:tc>
              <w:tc>
                <w:tcPr>
                  <w:tcW w:w="762" w:type="pct"/>
                  <w:vMerge w:val="continue"/>
                  <w:vAlign w:val="center"/>
                </w:tcPr>
                <w:p>
                  <w:pPr>
                    <w:jc w:val="center"/>
                    <w:rPr>
                      <w:szCs w:val="21"/>
                    </w:rPr>
                  </w:pPr>
                </w:p>
              </w:tc>
              <w:tc>
                <w:tcPr>
                  <w:tcW w:w="732" w:type="pct"/>
                  <w:vAlign w:val="center"/>
                </w:tcPr>
                <w:p>
                  <w:pPr>
                    <w:jc w:val="center"/>
                    <w:rPr>
                      <w:szCs w:val="21"/>
                    </w:rPr>
                  </w:pPr>
                  <w:r>
                    <w:rPr>
                      <w:szCs w:val="21"/>
                    </w:rPr>
                    <w:t>污水站</w:t>
                  </w:r>
                </w:p>
              </w:tc>
              <w:tc>
                <w:tcPr>
                  <w:tcW w:w="2582" w:type="pct"/>
                  <w:vAlign w:val="center"/>
                </w:tcPr>
                <w:p>
                  <w:pPr>
                    <w:jc w:val="left"/>
                    <w:rPr>
                      <w:szCs w:val="21"/>
                    </w:rPr>
                  </w:pPr>
                  <w:r>
                    <w:rPr>
                      <w:rFonts w:hint="eastAsia"/>
                      <w:szCs w:val="21"/>
                    </w:rPr>
                    <w:t>新建</w:t>
                  </w:r>
                  <w:r>
                    <w:rPr>
                      <w:szCs w:val="21"/>
                    </w:rPr>
                    <w:t>5</w:t>
                  </w:r>
                  <w:r>
                    <w:rPr>
                      <w:rFonts w:hint="eastAsia"/>
                      <w:szCs w:val="21"/>
                    </w:rPr>
                    <w:t>m</w:t>
                  </w:r>
                  <w:r>
                    <w:rPr>
                      <w:szCs w:val="21"/>
                      <w:vertAlign w:val="superscript"/>
                    </w:rPr>
                    <w:t>3</w:t>
                  </w:r>
                  <w:r>
                    <w:rPr>
                      <w:szCs w:val="21"/>
                    </w:rPr>
                    <w:t>/d</w:t>
                  </w:r>
                  <w:r>
                    <w:rPr>
                      <w:rFonts w:hint="eastAsia"/>
                      <w:szCs w:val="21"/>
                    </w:rPr>
                    <w:t>一体化</w:t>
                  </w:r>
                  <w:r>
                    <w:rPr>
                      <w:szCs w:val="21"/>
                    </w:rPr>
                    <w:t>污水</w:t>
                  </w:r>
                  <w:r>
                    <w:rPr>
                      <w:rFonts w:hint="eastAsia"/>
                      <w:szCs w:val="21"/>
                    </w:rPr>
                    <w:t>处理</w:t>
                  </w:r>
                  <w:r>
                    <w:rPr>
                      <w:szCs w:val="21"/>
                    </w:rPr>
                    <w:t>站</w:t>
                  </w:r>
                  <w:r>
                    <w:rPr>
                      <w:rFonts w:hint="eastAsia"/>
                      <w:szCs w:val="21"/>
                    </w:rPr>
                    <w:t>1座，采用</w:t>
                  </w:r>
                  <w:r>
                    <w:rPr>
                      <w:szCs w:val="21"/>
                    </w:rPr>
                    <w:t>“A</w:t>
                  </w:r>
                  <w:r>
                    <w:rPr>
                      <w:szCs w:val="21"/>
                      <w:vertAlign w:val="superscript"/>
                    </w:rPr>
                    <w:t>2</w:t>
                  </w:r>
                  <w:r>
                    <w:rPr>
                      <w:szCs w:val="21"/>
                    </w:rPr>
                    <w:t>/O+MBR”</w:t>
                  </w:r>
                  <w:r>
                    <w:rPr>
                      <w:rFonts w:hint="eastAsia"/>
                      <w:szCs w:val="21"/>
                    </w:rPr>
                    <w:t>处理工艺</w:t>
                  </w:r>
                  <w:r>
                    <w:rPr>
                      <w:szCs w:val="21"/>
                    </w:rPr>
                    <w:t>，在</w:t>
                  </w:r>
                  <w:r>
                    <w:rPr>
                      <w:rFonts w:hint="eastAsia"/>
                      <w:szCs w:val="21"/>
                    </w:rPr>
                    <w:t>污水管网未接通前进行生活污水处理。</w:t>
                  </w:r>
                </w:p>
              </w:tc>
              <w:tc>
                <w:tcPr>
                  <w:tcW w:w="449" w:type="pct"/>
                  <w:vAlign w:val="center"/>
                </w:tcPr>
                <w:p>
                  <w:pP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vMerge w:val="continue"/>
                  <w:vAlign w:val="center"/>
                </w:tcPr>
                <w:p>
                  <w:pPr>
                    <w:jc w:val="center"/>
                    <w:rPr>
                      <w:szCs w:val="21"/>
                    </w:rPr>
                  </w:pPr>
                </w:p>
              </w:tc>
              <w:tc>
                <w:tcPr>
                  <w:tcW w:w="762" w:type="pct"/>
                  <w:vAlign w:val="center"/>
                </w:tcPr>
                <w:p>
                  <w:pPr>
                    <w:jc w:val="center"/>
                    <w:rPr>
                      <w:szCs w:val="21"/>
                    </w:rPr>
                  </w:pPr>
                  <w:r>
                    <w:rPr>
                      <w:szCs w:val="21"/>
                    </w:rPr>
                    <w:t>噪声治理</w:t>
                  </w:r>
                </w:p>
              </w:tc>
              <w:tc>
                <w:tcPr>
                  <w:tcW w:w="3314" w:type="pct"/>
                  <w:gridSpan w:val="2"/>
                  <w:vAlign w:val="center"/>
                </w:tcPr>
                <w:p>
                  <w:pPr>
                    <w:rPr>
                      <w:szCs w:val="21"/>
                    </w:rPr>
                  </w:pPr>
                  <w:r>
                    <w:rPr>
                      <w:szCs w:val="21"/>
                    </w:rPr>
                    <w:t>设备安装减振设施、隔声设施。</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vMerge w:val="continue"/>
                  <w:vAlign w:val="center"/>
                </w:tcPr>
                <w:p>
                  <w:pPr>
                    <w:jc w:val="center"/>
                    <w:rPr>
                      <w:szCs w:val="21"/>
                    </w:rPr>
                  </w:pPr>
                </w:p>
              </w:tc>
              <w:tc>
                <w:tcPr>
                  <w:tcW w:w="762" w:type="pct"/>
                  <w:vMerge w:val="restart"/>
                  <w:vAlign w:val="center"/>
                </w:tcPr>
                <w:p>
                  <w:pPr>
                    <w:jc w:val="center"/>
                    <w:rPr>
                      <w:szCs w:val="21"/>
                    </w:rPr>
                  </w:pPr>
                  <w:r>
                    <w:rPr>
                      <w:szCs w:val="21"/>
                    </w:rPr>
                    <w:t>固废治理</w:t>
                  </w:r>
                </w:p>
              </w:tc>
              <w:tc>
                <w:tcPr>
                  <w:tcW w:w="732" w:type="pct"/>
                  <w:vAlign w:val="center"/>
                </w:tcPr>
                <w:p>
                  <w:pPr>
                    <w:jc w:val="center"/>
                    <w:rPr>
                      <w:szCs w:val="21"/>
                    </w:rPr>
                  </w:pPr>
                  <w:r>
                    <w:rPr>
                      <w:rFonts w:hint="eastAsia"/>
                    </w:rPr>
                    <w:t>危险废物贮存库</w:t>
                  </w:r>
                </w:p>
              </w:tc>
              <w:tc>
                <w:tcPr>
                  <w:tcW w:w="2582" w:type="pct"/>
                  <w:vAlign w:val="center"/>
                </w:tcPr>
                <w:p>
                  <w:pPr>
                    <w:rPr>
                      <w:szCs w:val="21"/>
                    </w:rPr>
                  </w:pPr>
                  <w:r>
                    <w:rPr>
                      <w:szCs w:val="21"/>
                    </w:rPr>
                    <w:t>建筑面积15m</w:t>
                  </w:r>
                  <w:r>
                    <w:rPr>
                      <w:szCs w:val="21"/>
                      <w:vertAlign w:val="superscript"/>
                    </w:rPr>
                    <w:t>2</w:t>
                  </w:r>
                  <w:r>
                    <w:rPr>
                      <w:szCs w:val="21"/>
                    </w:rPr>
                    <w:t>，位于锅炉房旁，用于暂存废农药和废包装桶。等效黏土防渗层Mb≥6.0m，K≤1×10</w:t>
                  </w:r>
                  <w:r>
                    <w:rPr>
                      <w:rFonts w:hint="eastAsia"/>
                      <w:szCs w:val="21"/>
                      <w:vertAlign w:val="superscript"/>
                    </w:rPr>
                    <w:t>-</w:t>
                  </w:r>
                  <w:r>
                    <w:rPr>
                      <w:szCs w:val="21"/>
                      <w:vertAlign w:val="superscript"/>
                    </w:rPr>
                    <w:t>7</w:t>
                  </w:r>
                  <w:r>
                    <w:rPr>
                      <w:szCs w:val="21"/>
                    </w:rPr>
                    <w:t>cm/s；或参照GB18598执行。</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vMerge w:val="continue"/>
                  <w:vAlign w:val="center"/>
                </w:tcPr>
                <w:p>
                  <w:pPr>
                    <w:jc w:val="center"/>
                    <w:rPr>
                      <w:szCs w:val="21"/>
                    </w:rPr>
                  </w:pPr>
                </w:p>
              </w:tc>
              <w:tc>
                <w:tcPr>
                  <w:tcW w:w="762" w:type="pct"/>
                  <w:vMerge w:val="continue"/>
                  <w:vAlign w:val="center"/>
                </w:tcPr>
                <w:p>
                  <w:pPr>
                    <w:jc w:val="center"/>
                    <w:rPr>
                      <w:szCs w:val="21"/>
                    </w:rPr>
                  </w:pPr>
                </w:p>
              </w:tc>
              <w:tc>
                <w:tcPr>
                  <w:tcW w:w="732" w:type="pct"/>
                  <w:vAlign w:val="center"/>
                </w:tcPr>
                <w:p>
                  <w:pPr>
                    <w:jc w:val="center"/>
                    <w:rPr>
                      <w:szCs w:val="21"/>
                    </w:rPr>
                  </w:pPr>
                  <w:r>
                    <w:rPr>
                      <w:szCs w:val="21"/>
                    </w:rPr>
                    <w:t>危险化学品储存间</w:t>
                  </w:r>
                </w:p>
              </w:tc>
              <w:tc>
                <w:tcPr>
                  <w:tcW w:w="2582" w:type="pct"/>
                  <w:vAlign w:val="center"/>
                </w:tcPr>
                <w:p>
                  <w:pPr>
                    <w:rPr>
                      <w:szCs w:val="21"/>
                    </w:rPr>
                  </w:pPr>
                  <w:r>
                    <w:rPr>
                      <w:szCs w:val="21"/>
                    </w:rPr>
                    <w:t>建筑面积10m</w:t>
                  </w:r>
                  <w:r>
                    <w:rPr>
                      <w:szCs w:val="21"/>
                      <w:vertAlign w:val="superscript"/>
                    </w:rPr>
                    <w:t>2</w:t>
                  </w:r>
                  <w:r>
                    <w:rPr>
                      <w:szCs w:val="21"/>
                    </w:rPr>
                    <w:t>，位于锅炉房旁。用于存放危险化学品硝酸。等效黏土防渗层Mb≥6.0m，K≤1×10</w:t>
                  </w:r>
                  <w:r>
                    <w:rPr>
                      <w:rFonts w:hint="eastAsia"/>
                      <w:szCs w:val="21"/>
                      <w:vertAlign w:val="superscript"/>
                    </w:rPr>
                    <w:t>-</w:t>
                  </w:r>
                  <w:r>
                    <w:rPr>
                      <w:szCs w:val="21"/>
                      <w:vertAlign w:val="superscript"/>
                    </w:rPr>
                    <w:t>7</w:t>
                  </w:r>
                  <w:r>
                    <w:rPr>
                      <w:szCs w:val="21"/>
                    </w:rPr>
                    <w:t>cm/s；或参照GB18598执行。</w:t>
                  </w:r>
                </w:p>
              </w:tc>
              <w:tc>
                <w:tcPr>
                  <w:tcW w:w="449" w:type="pct"/>
                  <w:vAlign w:val="center"/>
                </w:tcPr>
                <w:p>
                  <w:pPr>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vMerge w:val="continue"/>
                  <w:vAlign w:val="center"/>
                </w:tcPr>
                <w:p>
                  <w:pPr>
                    <w:jc w:val="center"/>
                    <w:rPr>
                      <w:szCs w:val="21"/>
                    </w:rPr>
                  </w:pPr>
                </w:p>
              </w:tc>
              <w:tc>
                <w:tcPr>
                  <w:tcW w:w="762" w:type="pct"/>
                  <w:vMerge w:val="continue"/>
                  <w:vAlign w:val="center"/>
                </w:tcPr>
                <w:p>
                  <w:pPr>
                    <w:jc w:val="center"/>
                    <w:rPr>
                      <w:szCs w:val="21"/>
                    </w:rPr>
                  </w:pPr>
                </w:p>
              </w:tc>
              <w:tc>
                <w:tcPr>
                  <w:tcW w:w="732" w:type="pct"/>
                  <w:vAlign w:val="center"/>
                </w:tcPr>
                <w:p>
                  <w:pPr>
                    <w:jc w:val="center"/>
                    <w:rPr>
                      <w:szCs w:val="21"/>
                    </w:rPr>
                  </w:pPr>
                  <w:r>
                    <w:rPr>
                      <w:szCs w:val="21"/>
                    </w:rPr>
                    <w:t>垃圾桶</w:t>
                  </w:r>
                </w:p>
              </w:tc>
              <w:tc>
                <w:tcPr>
                  <w:tcW w:w="2582" w:type="pct"/>
                  <w:vAlign w:val="center"/>
                </w:tcPr>
                <w:p>
                  <w:pPr>
                    <w:rPr>
                      <w:szCs w:val="21"/>
                    </w:rPr>
                  </w:pPr>
                  <w:r>
                    <w:rPr>
                      <w:szCs w:val="21"/>
                    </w:rPr>
                    <w:t>若干</w:t>
                  </w:r>
                  <w:r>
                    <w:rPr>
                      <w:rFonts w:hint="eastAsia"/>
                      <w:szCs w:val="21"/>
                    </w:rPr>
                    <w:t>个</w:t>
                  </w:r>
                  <w:r>
                    <w:rPr>
                      <w:szCs w:val="21"/>
                    </w:rPr>
                    <w:t>垃圾桶，用于收集员工产生的生活垃圾。</w:t>
                  </w:r>
                </w:p>
              </w:tc>
              <w:tc>
                <w:tcPr>
                  <w:tcW w:w="449" w:type="pct"/>
                  <w:vAlign w:val="center"/>
                </w:tcPr>
                <w:p>
                  <w:pPr>
                    <w:jc w:val="center"/>
                    <w:rPr>
                      <w:szCs w:val="21"/>
                    </w:rPr>
                  </w:pPr>
                  <w:r>
                    <w:rPr>
                      <w:szCs w:val="21"/>
                    </w:rPr>
                    <w:t>新建</w:t>
                  </w:r>
                </w:p>
              </w:tc>
            </w:tr>
          </w:tbl>
          <w:p>
            <w:pPr>
              <w:adjustRightInd w:val="0"/>
              <w:snapToGrid w:val="0"/>
              <w:spacing w:line="360" w:lineRule="auto"/>
              <w:jc w:val="left"/>
              <w:rPr>
                <w:b/>
                <w:bCs/>
                <w:sz w:val="24"/>
              </w:rPr>
            </w:pPr>
            <w:r>
              <w:rPr>
                <w:b/>
                <w:bCs/>
                <w:sz w:val="24"/>
              </w:rPr>
              <w:t>3、主要生产设备</w:t>
            </w:r>
          </w:p>
          <w:p>
            <w:pPr>
              <w:autoSpaceDE w:val="0"/>
              <w:autoSpaceDN w:val="0"/>
              <w:spacing w:before="156" w:beforeLines="50" w:line="360" w:lineRule="auto"/>
              <w:ind w:firstLine="480" w:firstLineChars="200"/>
              <w:outlineLvl w:val="0"/>
              <w:rPr>
                <w:sz w:val="24"/>
              </w:rPr>
            </w:pPr>
            <w:bookmarkStart w:id="13" w:name="_Toc30885"/>
            <w:bookmarkStart w:id="14" w:name="_Toc7544"/>
            <w:bookmarkStart w:id="15" w:name="_Toc4838"/>
            <w:bookmarkStart w:id="16" w:name="_Toc10666"/>
            <w:bookmarkStart w:id="17" w:name="_Toc144147942"/>
            <w:r>
              <w:rPr>
                <w:sz w:val="24"/>
              </w:rPr>
              <w:t>主要生产设备见表2-2。</w:t>
            </w:r>
            <w:bookmarkEnd w:id="13"/>
            <w:bookmarkEnd w:id="14"/>
            <w:bookmarkEnd w:id="15"/>
            <w:bookmarkEnd w:id="16"/>
            <w:bookmarkEnd w:id="17"/>
          </w:p>
          <w:p>
            <w:pPr>
              <w:adjustRightInd w:val="0"/>
              <w:snapToGrid w:val="0"/>
              <w:spacing w:line="360" w:lineRule="auto"/>
              <w:jc w:val="center"/>
              <w:rPr>
                <w:b/>
                <w:bCs/>
                <w:sz w:val="24"/>
              </w:rPr>
            </w:pPr>
            <w:r>
              <w:rPr>
                <w:b/>
                <w:bCs/>
                <w:sz w:val="24"/>
              </w:rPr>
              <w:t>表2-2  生产设备一览表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3108"/>
              <w:gridCol w:w="299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1" w:type="pct"/>
                  <w:vAlign w:val="center"/>
                </w:tcPr>
                <w:p>
                  <w:pPr>
                    <w:jc w:val="center"/>
                    <w:outlineLvl w:val="0"/>
                    <w:rPr>
                      <w:b/>
                      <w:bCs/>
                      <w:szCs w:val="21"/>
                    </w:rPr>
                  </w:pPr>
                  <w:bookmarkStart w:id="18" w:name="_Toc8235"/>
                  <w:bookmarkStart w:id="19" w:name="_Toc144147943"/>
                  <w:bookmarkStart w:id="20" w:name="_Toc24737"/>
                  <w:bookmarkStart w:id="21" w:name="_Toc8395"/>
                  <w:bookmarkStart w:id="22" w:name="_Toc1571"/>
                  <w:r>
                    <w:rPr>
                      <w:b/>
                      <w:bCs/>
                      <w:szCs w:val="21"/>
                    </w:rPr>
                    <w:t>序号</w:t>
                  </w:r>
                  <w:bookmarkEnd w:id="18"/>
                  <w:bookmarkEnd w:id="19"/>
                </w:p>
              </w:tc>
              <w:tc>
                <w:tcPr>
                  <w:tcW w:w="1759" w:type="pct"/>
                  <w:vAlign w:val="center"/>
                </w:tcPr>
                <w:p>
                  <w:pPr>
                    <w:jc w:val="center"/>
                    <w:outlineLvl w:val="0"/>
                    <w:rPr>
                      <w:b/>
                      <w:bCs/>
                      <w:szCs w:val="21"/>
                    </w:rPr>
                  </w:pPr>
                  <w:bookmarkStart w:id="23" w:name="_Toc144147944"/>
                  <w:bookmarkStart w:id="24" w:name="_Toc27430"/>
                  <w:r>
                    <w:rPr>
                      <w:b/>
                      <w:bCs/>
                      <w:szCs w:val="21"/>
                    </w:rPr>
                    <w:t>设备名称</w:t>
                  </w:r>
                  <w:bookmarkEnd w:id="23"/>
                  <w:bookmarkEnd w:id="24"/>
                </w:p>
              </w:tc>
              <w:tc>
                <w:tcPr>
                  <w:tcW w:w="1692" w:type="pct"/>
                  <w:vAlign w:val="center"/>
                </w:tcPr>
                <w:p>
                  <w:pPr>
                    <w:jc w:val="center"/>
                    <w:outlineLvl w:val="0"/>
                    <w:rPr>
                      <w:b/>
                      <w:bCs/>
                      <w:szCs w:val="21"/>
                    </w:rPr>
                  </w:pPr>
                  <w:bookmarkStart w:id="25" w:name="_Toc17406"/>
                  <w:bookmarkStart w:id="26" w:name="_Toc144147945"/>
                  <w:r>
                    <w:rPr>
                      <w:b/>
                      <w:bCs/>
                      <w:szCs w:val="21"/>
                    </w:rPr>
                    <w:t>规格型号</w:t>
                  </w:r>
                  <w:bookmarkEnd w:id="25"/>
                  <w:bookmarkEnd w:id="26"/>
                </w:p>
              </w:tc>
              <w:tc>
                <w:tcPr>
                  <w:tcW w:w="538" w:type="pct"/>
                  <w:vAlign w:val="center"/>
                </w:tcPr>
                <w:p>
                  <w:pPr>
                    <w:jc w:val="center"/>
                    <w:outlineLvl w:val="0"/>
                    <w:rPr>
                      <w:b/>
                      <w:bCs/>
                      <w:szCs w:val="21"/>
                    </w:rPr>
                  </w:pPr>
                  <w:bookmarkStart w:id="27" w:name="_Toc144147946"/>
                  <w:bookmarkStart w:id="28" w:name="_Toc20682"/>
                  <w:r>
                    <w:rPr>
                      <w:b/>
                      <w:bCs/>
                      <w:szCs w:val="21"/>
                    </w:rPr>
                    <w:t>数量</w:t>
                  </w:r>
                  <w:bookmarkEnd w:id="27"/>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szCs w:val="21"/>
                    </w:rPr>
                  </w:pPr>
                  <w:bookmarkStart w:id="29" w:name="_Toc144147947"/>
                  <w:r>
                    <w:rPr>
                      <w:rFonts w:hint="eastAsia"/>
                      <w:szCs w:val="21"/>
                    </w:rPr>
                    <w:t>1</w:t>
                  </w:r>
                  <w:bookmarkEnd w:id="29"/>
                </w:p>
              </w:tc>
              <w:tc>
                <w:tcPr>
                  <w:tcW w:w="1759" w:type="pct"/>
                  <w:vAlign w:val="center"/>
                </w:tcPr>
                <w:p>
                  <w:pPr>
                    <w:jc w:val="center"/>
                    <w:rPr>
                      <w:szCs w:val="21"/>
                    </w:rPr>
                  </w:pPr>
                  <w:r>
                    <w:rPr>
                      <w:szCs w:val="21"/>
                    </w:rPr>
                    <w:t>电控柜</w:t>
                  </w:r>
                </w:p>
              </w:tc>
              <w:tc>
                <w:tcPr>
                  <w:tcW w:w="1692" w:type="pct"/>
                  <w:vAlign w:val="center"/>
                </w:tcPr>
                <w:p>
                  <w:pPr>
                    <w:jc w:val="center"/>
                    <w:rPr>
                      <w:szCs w:val="21"/>
                    </w:rPr>
                  </w:pPr>
                  <w:r>
                    <w:rPr>
                      <w:szCs w:val="21"/>
                    </w:rPr>
                    <w:t>/</w:t>
                  </w:r>
                </w:p>
              </w:tc>
              <w:tc>
                <w:tcPr>
                  <w:tcW w:w="538" w:type="pct"/>
                  <w:vAlign w:val="center"/>
                </w:tcPr>
                <w:p>
                  <w:pPr>
                    <w:spacing w:before="105"/>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szCs w:val="21"/>
                    </w:rPr>
                  </w:pPr>
                  <w:bookmarkStart w:id="30" w:name="_Toc144147948"/>
                  <w:bookmarkStart w:id="31" w:name="_Toc11258"/>
                  <w:r>
                    <w:rPr>
                      <w:szCs w:val="21"/>
                    </w:rPr>
                    <w:t>2</w:t>
                  </w:r>
                  <w:bookmarkEnd w:id="30"/>
                  <w:bookmarkEnd w:id="31"/>
                </w:p>
              </w:tc>
              <w:tc>
                <w:tcPr>
                  <w:tcW w:w="1759" w:type="pct"/>
                  <w:vAlign w:val="center"/>
                </w:tcPr>
                <w:p>
                  <w:pPr>
                    <w:jc w:val="center"/>
                    <w:rPr>
                      <w:szCs w:val="21"/>
                    </w:rPr>
                  </w:pPr>
                  <w:r>
                    <w:rPr>
                      <w:szCs w:val="21"/>
                    </w:rPr>
                    <w:t>清水罐供水变频控制柜</w:t>
                  </w:r>
                </w:p>
              </w:tc>
              <w:tc>
                <w:tcPr>
                  <w:tcW w:w="1692" w:type="pct"/>
                  <w:vAlign w:val="center"/>
                </w:tcPr>
                <w:p>
                  <w:pPr>
                    <w:jc w:val="center"/>
                    <w:rPr>
                      <w:szCs w:val="21"/>
                    </w:rPr>
                  </w:pPr>
                  <w:r>
                    <w:rPr>
                      <w:szCs w:val="21"/>
                    </w:rPr>
                    <w:t>2×7.5KW</w:t>
                  </w:r>
                </w:p>
              </w:tc>
              <w:tc>
                <w:tcPr>
                  <w:tcW w:w="538" w:type="pct"/>
                  <w:vAlign w:val="center"/>
                </w:tcPr>
                <w:p>
                  <w:pPr>
                    <w:spacing w:before="108"/>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szCs w:val="21"/>
                    </w:rPr>
                  </w:pPr>
                  <w:bookmarkStart w:id="32" w:name="_Toc144147949"/>
                  <w:bookmarkStart w:id="33" w:name="_Toc31128"/>
                  <w:bookmarkStart w:id="34" w:name="_Toc20714"/>
                  <w:r>
                    <w:rPr>
                      <w:szCs w:val="21"/>
                    </w:rPr>
                    <w:t>3</w:t>
                  </w:r>
                  <w:bookmarkEnd w:id="32"/>
                  <w:bookmarkEnd w:id="33"/>
                  <w:bookmarkEnd w:id="34"/>
                </w:p>
              </w:tc>
              <w:tc>
                <w:tcPr>
                  <w:tcW w:w="1759" w:type="pct"/>
                  <w:vAlign w:val="center"/>
                </w:tcPr>
                <w:p>
                  <w:pPr>
                    <w:jc w:val="center"/>
                    <w:rPr>
                      <w:szCs w:val="21"/>
                    </w:rPr>
                  </w:pPr>
                  <w:r>
                    <w:rPr>
                      <w:szCs w:val="21"/>
                    </w:rPr>
                    <w:t>施肥机</w:t>
                  </w:r>
                </w:p>
              </w:tc>
              <w:tc>
                <w:tcPr>
                  <w:tcW w:w="1692" w:type="pct"/>
                  <w:vAlign w:val="center"/>
                </w:tcPr>
                <w:p>
                  <w:pPr>
                    <w:jc w:val="center"/>
                    <w:rPr>
                      <w:szCs w:val="21"/>
                    </w:rPr>
                  </w:pPr>
                  <w:r>
                    <w:rPr>
                      <w:szCs w:val="21"/>
                    </w:rPr>
                    <w:t>2.2KW</w:t>
                  </w:r>
                </w:p>
              </w:tc>
              <w:tc>
                <w:tcPr>
                  <w:tcW w:w="538" w:type="pct"/>
                  <w:vAlign w:val="center"/>
                </w:tcPr>
                <w:p>
                  <w:pPr>
                    <w:spacing w:before="111"/>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szCs w:val="21"/>
                    </w:rPr>
                  </w:pPr>
                  <w:bookmarkStart w:id="35" w:name="_Toc24829"/>
                  <w:bookmarkStart w:id="36" w:name="_Toc6902"/>
                  <w:bookmarkStart w:id="37" w:name="_Toc144147950"/>
                  <w:r>
                    <w:rPr>
                      <w:szCs w:val="21"/>
                    </w:rPr>
                    <w:t>4</w:t>
                  </w:r>
                  <w:bookmarkEnd w:id="35"/>
                  <w:bookmarkEnd w:id="36"/>
                  <w:bookmarkEnd w:id="37"/>
                </w:p>
              </w:tc>
              <w:tc>
                <w:tcPr>
                  <w:tcW w:w="1759" w:type="pct"/>
                  <w:vAlign w:val="center"/>
                </w:tcPr>
                <w:p>
                  <w:pPr>
                    <w:jc w:val="center"/>
                    <w:rPr>
                      <w:szCs w:val="21"/>
                    </w:rPr>
                  </w:pPr>
                  <w:r>
                    <w:rPr>
                      <w:szCs w:val="21"/>
                    </w:rPr>
                    <w:t>清水泵</w:t>
                  </w:r>
                </w:p>
              </w:tc>
              <w:tc>
                <w:tcPr>
                  <w:tcW w:w="1692" w:type="pct"/>
                  <w:vAlign w:val="center"/>
                </w:tcPr>
                <w:p>
                  <w:pPr>
                    <w:jc w:val="center"/>
                    <w:rPr>
                      <w:szCs w:val="21"/>
                    </w:rPr>
                  </w:pPr>
                  <w:r>
                    <w:rPr>
                      <w:szCs w:val="21"/>
                    </w:rPr>
                    <w:t>2.2KW</w:t>
                  </w:r>
                </w:p>
              </w:tc>
              <w:tc>
                <w:tcPr>
                  <w:tcW w:w="538" w:type="pct"/>
                  <w:vAlign w:val="center"/>
                </w:tcPr>
                <w:p>
                  <w:pPr>
                    <w:spacing w:before="113"/>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szCs w:val="21"/>
                    </w:rPr>
                  </w:pPr>
                  <w:bookmarkStart w:id="38" w:name="_Toc32540"/>
                  <w:bookmarkStart w:id="39" w:name="_Toc144147951"/>
                  <w:bookmarkStart w:id="40" w:name="_Toc18177"/>
                  <w:r>
                    <w:rPr>
                      <w:szCs w:val="21"/>
                    </w:rPr>
                    <w:t>5</w:t>
                  </w:r>
                  <w:bookmarkEnd w:id="38"/>
                  <w:bookmarkEnd w:id="39"/>
                  <w:bookmarkEnd w:id="40"/>
                </w:p>
              </w:tc>
              <w:tc>
                <w:tcPr>
                  <w:tcW w:w="1759" w:type="pct"/>
                  <w:vAlign w:val="center"/>
                </w:tcPr>
                <w:p>
                  <w:pPr>
                    <w:jc w:val="center"/>
                    <w:rPr>
                      <w:szCs w:val="21"/>
                    </w:rPr>
                  </w:pPr>
                  <w:r>
                    <w:rPr>
                      <w:szCs w:val="21"/>
                    </w:rPr>
                    <w:t>灌溉泵</w:t>
                  </w:r>
                </w:p>
              </w:tc>
              <w:tc>
                <w:tcPr>
                  <w:tcW w:w="1692" w:type="pct"/>
                  <w:vAlign w:val="center"/>
                </w:tcPr>
                <w:p>
                  <w:pPr>
                    <w:jc w:val="center"/>
                    <w:rPr>
                      <w:szCs w:val="21"/>
                    </w:rPr>
                  </w:pPr>
                  <w:r>
                    <w:rPr>
                      <w:szCs w:val="21"/>
                    </w:rPr>
                    <w:t>15KW</w:t>
                  </w:r>
                </w:p>
              </w:tc>
              <w:tc>
                <w:tcPr>
                  <w:tcW w:w="538" w:type="pct"/>
                  <w:vAlign w:val="center"/>
                </w:tcPr>
                <w:p>
                  <w:pPr>
                    <w:spacing w:before="116"/>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szCs w:val="21"/>
                    </w:rPr>
                  </w:pPr>
                  <w:bookmarkStart w:id="41" w:name="_Toc2147"/>
                  <w:bookmarkStart w:id="42" w:name="_Toc144147952"/>
                  <w:bookmarkStart w:id="43" w:name="_Toc22920"/>
                  <w:r>
                    <w:rPr>
                      <w:szCs w:val="21"/>
                    </w:rPr>
                    <w:t>6</w:t>
                  </w:r>
                  <w:bookmarkEnd w:id="41"/>
                  <w:bookmarkEnd w:id="42"/>
                  <w:bookmarkEnd w:id="43"/>
                </w:p>
              </w:tc>
              <w:tc>
                <w:tcPr>
                  <w:tcW w:w="1759" w:type="pct"/>
                  <w:vAlign w:val="center"/>
                </w:tcPr>
                <w:p>
                  <w:pPr>
                    <w:jc w:val="center"/>
                    <w:rPr>
                      <w:szCs w:val="21"/>
                    </w:rPr>
                  </w:pPr>
                  <w:r>
                    <w:rPr>
                      <w:szCs w:val="21"/>
                    </w:rPr>
                    <w:t>回水泵</w:t>
                  </w:r>
                </w:p>
              </w:tc>
              <w:tc>
                <w:tcPr>
                  <w:tcW w:w="1692" w:type="pct"/>
                  <w:vAlign w:val="center"/>
                </w:tcPr>
                <w:p>
                  <w:pPr>
                    <w:jc w:val="center"/>
                    <w:rPr>
                      <w:szCs w:val="21"/>
                    </w:rPr>
                  </w:pPr>
                  <w:r>
                    <w:rPr>
                      <w:szCs w:val="21"/>
                    </w:rPr>
                    <w:t>5.5KW</w:t>
                  </w:r>
                </w:p>
              </w:tc>
              <w:tc>
                <w:tcPr>
                  <w:tcW w:w="538" w:type="pct"/>
                  <w:vAlign w:val="center"/>
                </w:tcPr>
                <w:p>
                  <w:pPr>
                    <w:spacing w:before="119"/>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011" w:type="pct"/>
                  <w:vAlign w:val="center"/>
                </w:tcPr>
                <w:p>
                  <w:pPr>
                    <w:jc w:val="center"/>
                    <w:outlineLvl w:val="0"/>
                    <w:rPr>
                      <w:szCs w:val="21"/>
                    </w:rPr>
                  </w:pPr>
                  <w:bookmarkStart w:id="44" w:name="_Toc26695"/>
                  <w:bookmarkStart w:id="45" w:name="_Toc144147953"/>
                  <w:bookmarkStart w:id="46" w:name="_Toc18605"/>
                  <w:r>
                    <w:rPr>
                      <w:szCs w:val="21"/>
                    </w:rPr>
                    <w:t>7</w:t>
                  </w:r>
                  <w:bookmarkEnd w:id="44"/>
                  <w:bookmarkEnd w:id="45"/>
                  <w:bookmarkEnd w:id="46"/>
                </w:p>
              </w:tc>
              <w:tc>
                <w:tcPr>
                  <w:tcW w:w="1759" w:type="pct"/>
                  <w:vAlign w:val="center"/>
                </w:tcPr>
                <w:p>
                  <w:pPr>
                    <w:jc w:val="center"/>
                    <w:rPr>
                      <w:szCs w:val="21"/>
                    </w:rPr>
                  </w:pPr>
                  <w:r>
                    <w:rPr>
                      <w:szCs w:val="21"/>
                    </w:rPr>
                    <w:t>施肥机</w:t>
                  </w:r>
                </w:p>
              </w:tc>
              <w:tc>
                <w:tcPr>
                  <w:tcW w:w="1692" w:type="pct"/>
                  <w:vAlign w:val="center"/>
                </w:tcPr>
                <w:p>
                  <w:pPr>
                    <w:jc w:val="center"/>
                    <w:rPr>
                      <w:szCs w:val="21"/>
                    </w:rPr>
                  </w:pPr>
                  <w:r>
                    <w:rPr>
                      <w:szCs w:val="21"/>
                    </w:rPr>
                    <w:t>Priva25m³</w:t>
                  </w:r>
                </w:p>
              </w:tc>
              <w:tc>
                <w:tcPr>
                  <w:tcW w:w="538" w:type="pct"/>
                  <w:vAlign w:val="center"/>
                </w:tcPr>
                <w:p>
                  <w:pPr>
                    <w:spacing w:before="121"/>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szCs w:val="21"/>
                    </w:rPr>
                  </w:pPr>
                  <w:bookmarkStart w:id="47" w:name="_Toc144147954"/>
                  <w:bookmarkStart w:id="48" w:name="_Toc27075"/>
                  <w:bookmarkStart w:id="49" w:name="_Toc32057"/>
                  <w:r>
                    <w:rPr>
                      <w:szCs w:val="21"/>
                    </w:rPr>
                    <w:t>8</w:t>
                  </w:r>
                  <w:bookmarkEnd w:id="47"/>
                  <w:bookmarkEnd w:id="48"/>
                  <w:bookmarkEnd w:id="49"/>
                </w:p>
              </w:tc>
              <w:tc>
                <w:tcPr>
                  <w:tcW w:w="1759" w:type="pct"/>
                  <w:vAlign w:val="center"/>
                </w:tcPr>
                <w:p>
                  <w:pPr>
                    <w:jc w:val="center"/>
                    <w:rPr>
                      <w:szCs w:val="21"/>
                    </w:rPr>
                  </w:pPr>
                  <w:r>
                    <w:rPr>
                      <w:szCs w:val="21"/>
                    </w:rPr>
                    <w:t>消毒机</w:t>
                  </w:r>
                </w:p>
              </w:tc>
              <w:tc>
                <w:tcPr>
                  <w:tcW w:w="1692" w:type="pct"/>
                  <w:vAlign w:val="center"/>
                </w:tcPr>
                <w:p>
                  <w:pPr>
                    <w:jc w:val="center"/>
                    <w:rPr>
                      <w:szCs w:val="21"/>
                    </w:rPr>
                  </w:pPr>
                  <w:r>
                    <w:rPr>
                      <w:szCs w:val="21"/>
                    </w:rPr>
                    <w:t>PrivaUV M-Line 8</w:t>
                  </w:r>
                </w:p>
              </w:tc>
              <w:tc>
                <w:tcPr>
                  <w:tcW w:w="538" w:type="pct"/>
                  <w:vAlign w:val="center"/>
                </w:tcPr>
                <w:p>
                  <w:pPr>
                    <w:spacing w:before="126"/>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szCs w:val="21"/>
                    </w:rPr>
                  </w:pPr>
                  <w:bookmarkStart w:id="50" w:name="_Toc12095"/>
                  <w:bookmarkStart w:id="51" w:name="_Toc144147955"/>
                  <w:bookmarkStart w:id="52" w:name="_Toc21217"/>
                  <w:r>
                    <w:rPr>
                      <w:szCs w:val="21"/>
                    </w:rPr>
                    <w:t>9</w:t>
                  </w:r>
                  <w:bookmarkEnd w:id="50"/>
                  <w:bookmarkEnd w:id="51"/>
                  <w:bookmarkEnd w:id="52"/>
                </w:p>
              </w:tc>
              <w:tc>
                <w:tcPr>
                  <w:tcW w:w="1759" w:type="pct"/>
                  <w:vAlign w:val="center"/>
                </w:tcPr>
                <w:p>
                  <w:pPr>
                    <w:jc w:val="center"/>
                    <w:rPr>
                      <w:szCs w:val="21"/>
                    </w:rPr>
                  </w:pPr>
                  <w:r>
                    <w:rPr>
                      <w:szCs w:val="21"/>
                    </w:rPr>
                    <w:t>控制柜、传感器</w:t>
                  </w:r>
                </w:p>
              </w:tc>
              <w:tc>
                <w:tcPr>
                  <w:tcW w:w="1692" w:type="pct"/>
                  <w:vAlign w:val="center"/>
                </w:tcPr>
                <w:p>
                  <w:pPr>
                    <w:jc w:val="center"/>
                    <w:rPr>
                      <w:szCs w:val="21"/>
                    </w:rPr>
                  </w:pPr>
                  <w:r>
                    <w:rPr>
                      <w:szCs w:val="21"/>
                    </w:rPr>
                    <w:t>Priva Compact CC 813</w:t>
                  </w:r>
                </w:p>
              </w:tc>
              <w:tc>
                <w:tcPr>
                  <w:tcW w:w="538" w:type="pct"/>
                  <w:vAlign w:val="center"/>
                </w:tcPr>
                <w:p>
                  <w:pPr>
                    <w:spacing w:before="128"/>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011" w:type="pct"/>
                  <w:vAlign w:val="center"/>
                </w:tcPr>
                <w:p>
                  <w:pPr>
                    <w:jc w:val="center"/>
                    <w:outlineLvl w:val="0"/>
                    <w:rPr>
                      <w:szCs w:val="21"/>
                    </w:rPr>
                  </w:pPr>
                  <w:bookmarkStart w:id="53" w:name="_Toc23949"/>
                  <w:bookmarkStart w:id="54" w:name="_Toc144147956"/>
                  <w:bookmarkStart w:id="55" w:name="_Toc10902"/>
                  <w:r>
                    <w:rPr>
                      <w:szCs w:val="21"/>
                    </w:rPr>
                    <w:t>10</w:t>
                  </w:r>
                  <w:bookmarkEnd w:id="53"/>
                  <w:bookmarkEnd w:id="54"/>
                  <w:bookmarkEnd w:id="55"/>
                </w:p>
              </w:tc>
              <w:tc>
                <w:tcPr>
                  <w:tcW w:w="1759" w:type="pct"/>
                  <w:vAlign w:val="center"/>
                </w:tcPr>
                <w:p>
                  <w:pPr>
                    <w:jc w:val="center"/>
                    <w:rPr>
                      <w:szCs w:val="21"/>
                    </w:rPr>
                  </w:pPr>
                  <w:r>
                    <w:rPr>
                      <w:szCs w:val="21"/>
                    </w:rPr>
                    <w:t>储水罐</w:t>
                  </w:r>
                </w:p>
              </w:tc>
              <w:tc>
                <w:tcPr>
                  <w:tcW w:w="1692" w:type="pct"/>
                  <w:vAlign w:val="center"/>
                </w:tcPr>
                <w:p>
                  <w:pPr>
                    <w:jc w:val="center"/>
                    <w:rPr>
                      <w:szCs w:val="21"/>
                    </w:rPr>
                  </w:pPr>
                  <w:r>
                    <w:rPr>
                      <w:szCs w:val="21"/>
                    </w:rPr>
                    <w:t>98m</w:t>
                  </w:r>
                  <w:r>
                    <w:rPr>
                      <w:szCs w:val="21"/>
                      <w:vertAlign w:val="superscript"/>
                    </w:rPr>
                    <w:t>3</w:t>
                  </w:r>
                </w:p>
              </w:tc>
              <w:tc>
                <w:tcPr>
                  <w:tcW w:w="538" w:type="pct"/>
                  <w:vAlign w:val="center"/>
                </w:tcPr>
                <w:p>
                  <w:pPr>
                    <w:spacing w:before="130"/>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11" w:type="pct"/>
                  <w:vAlign w:val="center"/>
                </w:tcPr>
                <w:p>
                  <w:pPr>
                    <w:jc w:val="center"/>
                    <w:outlineLvl w:val="0"/>
                    <w:rPr>
                      <w:szCs w:val="21"/>
                    </w:rPr>
                  </w:pPr>
                  <w:bookmarkStart w:id="56" w:name="_Toc16825"/>
                  <w:bookmarkStart w:id="57" w:name="_Toc144147957"/>
                  <w:bookmarkStart w:id="58" w:name="_Toc27035"/>
                  <w:r>
                    <w:rPr>
                      <w:szCs w:val="21"/>
                    </w:rPr>
                    <w:t>11</w:t>
                  </w:r>
                  <w:bookmarkEnd w:id="56"/>
                  <w:bookmarkEnd w:id="57"/>
                  <w:bookmarkEnd w:id="58"/>
                </w:p>
              </w:tc>
              <w:tc>
                <w:tcPr>
                  <w:tcW w:w="1759" w:type="pct"/>
                  <w:vAlign w:val="center"/>
                </w:tcPr>
                <w:p>
                  <w:pPr>
                    <w:jc w:val="center"/>
                    <w:rPr>
                      <w:szCs w:val="21"/>
                    </w:rPr>
                  </w:pPr>
                  <w:r>
                    <w:rPr>
                      <w:szCs w:val="21"/>
                    </w:rPr>
                    <w:t>储水罐</w:t>
                  </w:r>
                </w:p>
              </w:tc>
              <w:tc>
                <w:tcPr>
                  <w:tcW w:w="1692" w:type="pct"/>
                  <w:vAlign w:val="center"/>
                </w:tcPr>
                <w:p>
                  <w:pPr>
                    <w:jc w:val="center"/>
                    <w:rPr>
                      <w:szCs w:val="21"/>
                    </w:rPr>
                  </w:pPr>
                  <w:r>
                    <w:rPr>
                      <w:szCs w:val="21"/>
                    </w:rPr>
                    <w:t>192m</w:t>
                  </w:r>
                  <w:r>
                    <w:rPr>
                      <w:szCs w:val="21"/>
                      <w:vertAlign w:val="superscript"/>
                    </w:rPr>
                    <w:t>3</w:t>
                  </w:r>
                </w:p>
              </w:tc>
              <w:tc>
                <w:tcPr>
                  <w:tcW w:w="538" w:type="pct"/>
                  <w:vAlign w:val="center"/>
                </w:tcPr>
                <w:p>
                  <w:pPr>
                    <w:spacing w:before="134"/>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szCs w:val="21"/>
                    </w:rPr>
                  </w:pPr>
                  <w:bookmarkStart w:id="59" w:name="_Toc23354"/>
                  <w:bookmarkStart w:id="60" w:name="_Toc144147958"/>
                  <w:bookmarkStart w:id="61" w:name="_Toc11880"/>
                  <w:r>
                    <w:rPr>
                      <w:szCs w:val="21"/>
                    </w:rPr>
                    <w:t>12</w:t>
                  </w:r>
                  <w:bookmarkEnd w:id="59"/>
                  <w:bookmarkEnd w:id="60"/>
                  <w:bookmarkEnd w:id="61"/>
                </w:p>
              </w:tc>
              <w:tc>
                <w:tcPr>
                  <w:tcW w:w="1759" w:type="pct"/>
                  <w:vAlign w:val="center"/>
                </w:tcPr>
                <w:p>
                  <w:pPr>
                    <w:jc w:val="center"/>
                    <w:rPr>
                      <w:szCs w:val="21"/>
                    </w:rPr>
                  </w:pPr>
                  <w:r>
                    <w:rPr>
                      <w:szCs w:val="21"/>
                    </w:rPr>
                    <w:t>储水罐</w:t>
                  </w:r>
                </w:p>
              </w:tc>
              <w:tc>
                <w:tcPr>
                  <w:tcW w:w="1692" w:type="pct"/>
                  <w:vAlign w:val="center"/>
                </w:tcPr>
                <w:p>
                  <w:pPr>
                    <w:jc w:val="center"/>
                    <w:rPr>
                      <w:szCs w:val="21"/>
                    </w:rPr>
                  </w:pPr>
                  <w:r>
                    <w:rPr>
                      <w:szCs w:val="21"/>
                    </w:rPr>
                    <w:t>243m</w:t>
                  </w:r>
                  <w:r>
                    <w:rPr>
                      <w:szCs w:val="21"/>
                      <w:vertAlign w:val="superscript"/>
                    </w:rPr>
                    <w:t>3</w:t>
                  </w:r>
                </w:p>
              </w:tc>
              <w:tc>
                <w:tcPr>
                  <w:tcW w:w="538" w:type="pct"/>
                  <w:vAlign w:val="center"/>
                </w:tcPr>
                <w:p>
                  <w:pPr>
                    <w:spacing w:before="138"/>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szCs w:val="21"/>
                    </w:rPr>
                  </w:pPr>
                  <w:bookmarkStart w:id="62" w:name="_Toc23237"/>
                  <w:bookmarkStart w:id="63" w:name="_Toc1262"/>
                  <w:bookmarkStart w:id="64" w:name="_Toc144147959"/>
                  <w:r>
                    <w:rPr>
                      <w:szCs w:val="21"/>
                    </w:rPr>
                    <w:t>13</w:t>
                  </w:r>
                  <w:bookmarkEnd w:id="62"/>
                  <w:bookmarkEnd w:id="63"/>
                  <w:bookmarkEnd w:id="64"/>
                </w:p>
              </w:tc>
              <w:tc>
                <w:tcPr>
                  <w:tcW w:w="1759" w:type="pct"/>
                  <w:vAlign w:val="center"/>
                </w:tcPr>
                <w:p>
                  <w:pPr>
                    <w:jc w:val="center"/>
                    <w:rPr>
                      <w:szCs w:val="21"/>
                    </w:rPr>
                  </w:pPr>
                  <w:r>
                    <w:rPr>
                      <w:szCs w:val="21"/>
                    </w:rPr>
                    <w:t>储水罐</w:t>
                  </w:r>
                </w:p>
              </w:tc>
              <w:tc>
                <w:tcPr>
                  <w:tcW w:w="1692" w:type="pct"/>
                  <w:vAlign w:val="center"/>
                </w:tcPr>
                <w:p>
                  <w:pPr>
                    <w:jc w:val="center"/>
                    <w:rPr>
                      <w:szCs w:val="21"/>
                    </w:rPr>
                  </w:pPr>
                  <w:r>
                    <w:rPr>
                      <w:szCs w:val="21"/>
                    </w:rPr>
                    <w:t>300m</w:t>
                  </w:r>
                  <w:r>
                    <w:rPr>
                      <w:szCs w:val="21"/>
                      <w:vertAlign w:val="superscript"/>
                    </w:rPr>
                    <w:t>3</w:t>
                  </w:r>
                </w:p>
              </w:tc>
              <w:tc>
                <w:tcPr>
                  <w:tcW w:w="538" w:type="pct"/>
                  <w:vAlign w:val="center"/>
                </w:tcPr>
                <w:p>
                  <w:pPr>
                    <w:spacing w:before="138"/>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szCs w:val="21"/>
                    </w:rPr>
                  </w:pPr>
                  <w:bookmarkStart w:id="65" w:name="_Toc144147960"/>
                  <w:bookmarkStart w:id="66" w:name="_Toc11353"/>
                  <w:r>
                    <w:rPr>
                      <w:szCs w:val="21"/>
                    </w:rPr>
                    <w:t>14</w:t>
                  </w:r>
                  <w:bookmarkEnd w:id="65"/>
                  <w:bookmarkEnd w:id="66"/>
                </w:p>
              </w:tc>
              <w:tc>
                <w:tcPr>
                  <w:tcW w:w="1759" w:type="pct"/>
                  <w:vAlign w:val="center"/>
                </w:tcPr>
                <w:p>
                  <w:pPr>
                    <w:spacing w:before="101"/>
                    <w:jc w:val="center"/>
                    <w:rPr>
                      <w:szCs w:val="21"/>
                    </w:rPr>
                  </w:pPr>
                  <w:r>
                    <w:rPr>
                      <w:rFonts w:eastAsiaTheme="minorEastAsia"/>
                      <w:spacing w:val="-4"/>
                      <w:szCs w:val="21"/>
                    </w:rPr>
                    <w:t>制冷风机</w:t>
                  </w:r>
                </w:p>
              </w:tc>
              <w:tc>
                <w:tcPr>
                  <w:tcW w:w="1692" w:type="pct"/>
                  <w:vAlign w:val="center"/>
                </w:tcPr>
                <w:p>
                  <w:pPr>
                    <w:jc w:val="center"/>
                    <w:outlineLvl w:val="0"/>
                    <w:rPr>
                      <w:szCs w:val="21"/>
                    </w:rPr>
                  </w:pPr>
                  <w:bookmarkStart w:id="67" w:name="_Toc10575"/>
                  <w:bookmarkStart w:id="68" w:name="_Toc144147961"/>
                  <w:r>
                    <w:rPr>
                      <w:rFonts w:eastAsiaTheme="minorEastAsia"/>
                    </w:rPr>
                    <w:t>/</w:t>
                  </w:r>
                  <w:bookmarkEnd w:id="67"/>
                  <w:bookmarkEnd w:id="68"/>
                </w:p>
              </w:tc>
              <w:tc>
                <w:tcPr>
                  <w:tcW w:w="538" w:type="pct"/>
                  <w:vAlign w:val="center"/>
                </w:tcPr>
                <w:p>
                  <w:pPr>
                    <w:spacing w:before="138"/>
                    <w:jc w:val="center"/>
                    <w:rPr>
                      <w:szCs w:val="21"/>
                    </w:rPr>
                  </w:pPr>
                  <w:r>
                    <w:rPr>
                      <w:rFonts w:eastAsiaTheme="minorEastAsia"/>
                    </w:rPr>
                    <w:t>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szCs w:val="21"/>
                    </w:rPr>
                  </w:pPr>
                  <w:bookmarkStart w:id="69" w:name="_Toc144147962"/>
                  <w:bookmarkStart w:id="70" w:name="_Toc29425"/>
                  <w:r>
                    <w:rPr>
                      <w:szCs w:val="21"/>
                    </w:rPr>
                    <w:t>15</w:t>
                  </w:r>
                  <w:bookmarkEnd w:id="69"/>
                  <w:bookmarkEnd w:id="70"/>
                </w:p>
              </w:tc>
              <w:tc>
                <w:tcPr>
                  <w:tcW w:w="1759" w:type="pct"/>
                  <w:vAlign w:val="center"/>
                </w:tcPr>
                <w:p>
                  <w:pPr>
                    <w:spacing w:before="101"/>
                    <w:jc w:val="center"/>
                    <w:rPr>
                      <w:szCs w:val="21"/>
                    </w:rPr>
                  </w:pPr>
                  <w:r>
                    <w:rPr>
                      <w:rFonts w:eastAsiaTheme="minorEastAsia"/>
                      <w:spacing w:val="-4"/>
                      <w:szCs w:val="21"/>
                    </w:rPr>
                    <w:t>压缩机</w:t>
                  </w:r>
                </w:p>
              </w:tc>
              <w:tc>
                <w:tcPr>
                  <w:tcW w:w="1692" w:type="pct"/>
                  <w:vAlign w:val="center"/>
                </w:tcPr>
                <w:p>
                  <w:pPr>
                    <w:jc w:val="center"/>
                    <w:outlineLvl w:val="0"/>
                    <w:rPr>
                      <w:szCs w:val="21"/>
                    </w:rPr>
                  </w:pPr>
                  <w:bookmarkStart w:id="71" w:name="_Toc22595"/>
                  <w:bookmarkStart w:id="72" w:name="_Toc144147963"/>
                  <w:r>
                    <w:rPr>
                      <w:rFonts w:eastAsiaTheme="minorEastAsia"/>
                    </w:rPr>
                    <w:t>/</w:t>
                  </w:r>
                  <w:bookmarkEnd w:id="71"/>
                  <w:bookmarkEnd w:id="72"/>
                </w:p>
              </w:tc>
              <w:tc>
                <w:tcPr>
                  <w:tcW w:w="538" w:type="pct"/>
                  <w:vAlign w:val="center"/>
                </w:tcPr>
                <w:p>
                  <w:pPr>
                    <w:spacing w:before="138"/>
                    <w:jc w:val="center"/>
                    <w:rPr>
                      <w:szCs w:val="21"/>
                    </w:rPr>
                  </w:pPr>
                  <w:r>
                    <w:rPr>
                      <w:rFonts w:eastAsiaTheme="minorEastAsia"/>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szCs w:val="21"/>
                    </w:rPr>
                  </w:pPr>
                  <w:bookmarkStart w:id="73" w:name="_Toc26035"/>
                  <w:bookmarkStart w:id="74" w:name="_Toc144147964"/>
                  <w:r>
                    <w:rPr>
                      <w:szCs w:val="21"/>
                    </w:rPr>
                    <w:t>16</w:t>
                  </w:r>
                  <w:bookmarkEnd w:id="73"/>
                  <w:bookmarkEnd w:id="74"/>
                </w:p>
              </w:tc>
              <w:tc>
                <w:tcPr>
                  <w:tcW w:w="1759" w:type="pct"/>
                  <w:vAlign w:val="center"/>
                </w:tcPr>
                <w:p>
                  <w:pPr>
                    <w:spacing w:before="101"/>
                    <w:jc w:val="center"/>
                    <w:rPr>
                      <w:rFonts w:eastAsiaTheme="minorEastAsia"/>
                      <w:spacing w:val="-4"/>
                      <w:szCs w:val="21"/>
                    </w:rPr>
                  </w:pPr>
                  <w:r>
                    <w:rPr>
                      <w:rFonts w:eastAsiaTheme="minorEastAsia"/>
                      <w:spacing w:val="-4"/>
                      <w:szCs w:val="21"/>
                    </w:rPr>
                    <w:t>纯水</w:t>
                  </w:r>
                  <w:r>
                    <w:rPr>
                      <w:rFonts w:hint="eastAsia" w:eastAsiaTheme="minorEastAsia"/>
                      <w:spacing w:val="-4"/>
                      <w:szCs w:val="21"/>
                    </w:rPr>
                    <w:t>机</w:t>
                  </w:r>
                </w:p>
              </w:tc>
              <w:tc>
                <w:tcPr>
                  <w:tcW w:w="1692" w:type="pct"/>
                  <w:vAlign w:val="center"/>
                </w:tcPr>
                <w:p>
                  <w:pPr>
                    <w:jc w:val="center"/>
                    <w:outlineLvl w:val="0"/>
                    <w:rPr>
                      <w:rFonts w:eastAsiaTheme="minorEastAsia"/>
                    </w:rPr>
                  </w:pPr>
                  <w:bookmarkStart w:id="75" w:name="_Toc144147965"/>
                  <w:bookmarkStart w:id="76" w:name="_Toc12336"/>
                  <w:r>
                    <w:rPr>
                      <w:rFonts w:eastAsiaTheme="minorEastAsia"/>
                    </w:rPr>
                    <w:t>/</w:t>
                  </w:r>
                  <w:bookmarkEnd w:id="75"/>
                  <w:bookmarkEnd w:id="76"/>
                </w:p>
              </w:tc>
              <w:tc>
                <w:tcPr>
                  <w:tcW w:w="538" w:type="pct"/>
                  <w:vAlign w:val="center"/>
                </w:tcPr>
                <w:p>
                  <w:pPr>
                    <w:spacing w:before="138"/>
                    <w:jc w:val="center"/>
                    <w:rPr>
                      <w:rFonts w:eastAsiaTheme="minorEastAsia"/>
                    </w:rPr>
                  </w:pPr>
                  <w:r>
                    <w:rPr>
                      <w:rFonts w:eastAsiaTheme="minorEastAsi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szCs w:val="21"/>
                    </w:rPr>
                  </w:pPr>
                  <w:bookmarkStart w:id="77" w:name="_Toc30413"/>
                  <w:bookmarkStart w:id="78" w:name="_Toc144147966"/>
                  <w:r>
                    <w:rPr>
                      <w:szCs w:val="21"/>
                    </w:rPr>
                    <w:t>17</w:t>
                  </w:r>
                  <w:bookmarkEnd w:id="77"/>
                  <w:bookmarkEnd w:id="78"/>
                </w:p>
              </w:tc>
              <w:tc>
                <w:tcPr>
                  <w:tcW w:w="1759" w:type="pct"/>
                  <w:vAlign w:val="center"/>
                </w:tcPr>
                <w:p>
                  <w:pPr>
                    <w:spacing w:before="101"/>
                    <w:jc w:val="center"/>
                    <w:rPr>
                      <w:rFonts w:eastAsiaTheme="minorEastAsia"/>
                      <w:spacing w:val="-4"/>
                      <w:szCs w:val="21"/>
                    </w:rPr>
                  </w:pPr>
                  <w:r>
                    <w:rPr>
                      <w:rFonts w:eastAsiaTheme="minorEastAsia"/>
                      <w:spacing w:val="-4"/>
                      <w:szCs w:val="21"/>
                    </w:rPr>
                    <w:t>天然气锅炉</w:t>
                  </w:r>
                </w:p>
              </w:tc>
              <w:tc>
                <w:tcPr>
                  <w:tcW w:w="1692" w:type="pct"/>
                  <w:vAlign w:val="center"/>
                </w:tcPr>
                <w:p>
                  <w:pPr>
                    <w:jc w:val="center"/>
                    <w:outlineLvl w:val="0"/>
                    <w:rPr>
                      <w:rFonts w:eastAsiaTheme="minorEastAsia"/>
                    </w:rPr>
                  </w:pPr>
                  <w:bookmarkStart w:id="79" w:name="_Toc144147967"/>
                  <w:bookmarkStart w:id="80" w:name="_Toc15388"/>
                  <w:r>
                    <w:rPr>
                      <w:rFonts w:eastAsiaTheme="minorEastAsia"/>
                    </w:rPr>
                    <w:t>4t/</w:t>
                  </w:r>
                  <w:r>
                    <w:rPr>
                      <w:rFonts w:eastAsiaTheme="minorEastAsia"/>
                      <w:spacing w:val="-4"/>
                      <w:szCs w:val="21"/>
                    </w:rPr>
                    <w:t>h</w:t>
                  </w:r>
                  <w:r>
                    <w:rPr>
                      <w:rFonts w:hint="eastAsia" w:eastAsiaTheme="minorEastAsia"/>
                      <w:spacing w:val="-4"/>
                      <w:szCs w:val="21"/>
                    </w:rPr>
                    <w:t>立式蒸汽锅炉 LSS</w:t>
                  </w:r>
                  <w:bookmarkEnd w:id="79"/>
                  <w:bookmarkEnd w:id="80"/>
                </w:p>
              </w:tc>
              <w:tc>
                <w:tcPr>
                  <w:tcW w:w="538" w:type="pct"/>
                  <w:vAlign w:val="center"/>
                </w:tcPr>
                <w:p>
                  <w:pPr>
                    <w:spacing w:before="138"/>
                    <w:jc w:val="center"/>
                    <w:rPr>
                      <w:rFonts w:eastAsiaTheme="minorEastAsia"/>
                    </w:rPr>
                  </w:pPr>
                  <w:r>
                    <w:rPr>
                      <w:rFonts w:eastAsiaTheme="minorEastAsi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szCs w:val="21"/>
                    </w:rPr>
                  </w:pPr>
                  <w:bookmarkStart w:id="81" w:name="_Toc144147968"/>
                  <w:r>
                    <w:rPr>
                      <w:szCs w:val="21"/>
                    </w:rPr>
                    <w:t>18</w:t>
                  </w:r>
                  <w:bookmarkEnd w:id="81"/>
                </w:p>
              </w:tc>
              <w:tc>
                <w:tcPr>
                  <w:tcW w:w="1759" w:type="pct"/>
                  <w:vAlign w:val="center"/>
                </w:tcPr>
                <w:p>
                  <w:pPr>
                    <w:spacing w:before="101"/>
                    <w:jc w:val="center"/>
                    <w:rPr>
                      <w:rFonts w:eastAsiaTheme="minorEastAsia"/>
                      <w:spacing w:val="-4"/>
                      <w:szCs w:val="21"/>
                    </w:rPr>
                  </w:pPr>
                  <w:r>
                    <w:rPr>
                      <w:rFonts w:eastAsiaTheme="minorEastAsia"/>
                      <w:spacing w:val="-4"/>
                      <w:szCs w:val="21"/>
                    </w:rPr>
                    <w:t>生物质锅炉</w:t>
                  </w:r>
                </w:p>
              </w:tc>
              <w:tc>
                <w:tcPr>
                  <w:tcW w:w="1692" w:type="pct"/>
                  <w:vAlign w:val="center"/>
                </w:tcPr>
                <w:p>
                  <w:pPr>
                    <w:jc w:val="center"/>
                    <w:outlineLvl w:val="0"/>
                    <w:rPr>
                      <w:rFonts w:eastAsiaTheme="minorEastAsia"/>
                    </w:rPr>
                  </w:pPr>
                  <w:bookmarkStart w:id="82" w:name="_Toc144147969"/>
                  <w:bookmarkStart w:id="83" w:name="_Toc15621"/>
                  <w:r>
                    <w:rPr>
                      <w:rFonts w:eastAsiaTheme="minorEastAsia"/>
                    </w:rPr>
                    <w:t>2t/h</w:t>
                  </w:r>
                  <w:r>
                    <w:rPr>
                      <w:rFonts w:eastAsiaTheme="minorEastAsia"/>
                      <w:spacing w:val="-4"/>
                      <w:szCs w:val="21"/>
                    </w:rPr>
                    <w:t>单锅筒手烧生物质蒸汽锅炉DZH4-1.25-T</w:t>
                  </w:r>
                  <w:bookmarkEnd w:id="82"/>
                  <w:bookmarkEnd w:id="83"/>
                </w:p>
              </w:tc>
              <w:tc>
                <w:tcPr>
                  <w:tcW w:w="538" w:type="pct"/>
                  <w:vAlign w:val="center"/>
                </w:tcPr>
                <w:p>
                  <w:pPr>
                    <w:spacing w:before="138"/>
                    <w:jc w:val="center"/>
                    <w:rPr>
                      <w:rFonts w:eastAsiaTheme="minorEastAsia"/>
                    </w:rPr>
                  </w:pPr>
                  <w:r>
                    <w:rPr>
                      <w:rFonts w:eastAsiaTheme="minorEastAsia"/>
                    </w:rPr>
                    <w:t>1/套</w:t>
                  </w:r>
                </w:p>
              </w:tc>
            </w:tr>
            <w:bookmarkEnd w:id="20"/>
            <w:bookmarkEnd w:id="21"/>
            <w:bookmarkEnd w:id="22"/>
          </w:tbl>
          <w:p>
            <w:pPr>
              <w:spacing w:before="156" w:beforeLines="50" w:line="360" w:lineRule="auto"/>
              <w:outlineLvl w:val="0"/>
              <w:rPr>
                <w:b/>
                <w:bCs/>
                <w:sz w:val="24"/>
              </w:rPr>
            </w:pPr>
            <w:bookmarkStart w:id="84" w:name="_Toc11402"/>
            <w:bookmarkStart w:id="85" w:name="_Toc12808"/>
            <w:bookmarkStart w:id="86" w:name="_Toc3870"/>
            <w:bookmarkStart w:id="87" w:name="_Toc144147970"/>
            <w:bookmarkStart w:id="88" w:name="_Toc32533"/>
            <w:r>
              <w:rPr>
                <w:b/>
                <w:bCs/>
                <w:sz w:val="24"/>
              </w:rPr>
              <w:t>4、主要原辅材料及燃料</w:t>
            </w:r>
            <w:bookmarkEnd w:id="84"/>
            <w:bookmarkEnd w:id="85"/>
            <w:bookmarkEnd w:id="86"/>
            <w:bookmarkEnd w:id="87"/>
            <w:bookmarkEnd w:id="88"/>
          </w:p>
          <w:p>
            <w:pPr>
              <w:adjustRightInd w:val="0"/>
              <w:snapToGrid w:val="0"/>
              <w:spacing w:line="360" w:lineRule="auto"/>
              <w:ind w:firstLine="480" w:firstLineChars="200"/>
              <w:jc w:val="left"/>
              <w:rPr>
                <w:sz w:val="24"/>
              </w:rPr>
            </w:pPr>
            <w:r>
              <w:rPr>
                <w:sz w:val="24"/>
              </w:rPr>
              <w:t>项目主要原辅材料见表2-3、表2-4。</w:t>
            </w:r>
          </w:p>
          <w:p>
            <w:pPr>
              <w:autoSpaceDE w:val="0"/>
              <w:autoSpaceDN w:val="0"/>
              <w:spacing w:line="360" w:lineRule="auto"/>
              <w:jc w:val="center"/>
              <w:outlineLvl w:val="0"/>
              <w:rPr>
                <w:sz w:val="24"/>
              </w:rPr>
            </w:pPr>
            <w:bookmarkStart w:id="89" w:name="_Toc1667"/>
            <w:bookmarkStart w:id="90" w:name="_Toc11276"/>
            <w:bookmarkStart w:id="91" w:name="_Toc26708"/>
            <w:bookmarkStart w:id="92" w:name="_Toc144147971"/>
            <w:bookmarkStart w:id="93" w:name="_Toc29111"/>
            <w:r>
              <w:rPr>
                <w:b/>
                <w:bCs/>
                <w:sz w:val="24"/>
              </w:rPr>
              <w:t>表2-3  主要原辅料及消耗一览表</w:t>
            </w:r>
            <w:bookmarkEnd w:id="89"/>
            <w:bookmarkEnd w:id="90"/>
            <w:bookmarkEnd w:id="91"/>
            <w:bookmarkEnd w:id="92"/>
            <w:bookmarkEnd w:id="93"/>
          </w:p>
          <w:tbl>
            <w:tblPr>
              <w:tblStyle w:val="26"/>
              <w:tblpPr w:leftFromText="180" w:rightFromText="180" w:vertAnchor="text" w:horzAnchor="page" w:tblpX="127" w:tblpY="497"/>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572"/>
              <w:gridCol w:w="1114"/>
              <w:gridCol w:w="1091"/>
              <w:gridCol w:w="990"/>
              <w:gridCol w:w="1238"/>
              <w:gridCol w:w="732"/>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55" w:type="pct"/>
                  <w:vAlign w:val="center"/>
                </w:tcPr>
                <w:p>
                  <w:pPr>
                    <w:jc w:val="center"/>
                    <w:outlineLvl w:val="0"/>
                    <w:rPr>
                      <w:b/>
                      <w:bCs/>
                      <w:szCs w:val="21"/>
                    </w:rPr>
                  </w:pPr>
                  <w:bookmarkStart w:id="94" w:name="_Toc22870"/>
                  <w:bookmarkStart w:id="95" w:name="_Toc144147972"/>
                  <w:bookmarkStart w:id="96" w:name="_Toc25173"/>
                  <w:r>
                    <w:rPr>
                      <w:b/>
                      <w:bCs/>
                      <w:szCs w:val="21"/>
                    </w:rPr>
                    <w:t>序号</w:t>
                  </w:r>
                  <w:bookmarkEnd w:id="94"/>
                  <w:bookmarkEnd w:id="95"/>
                  <w:bookmarkEnd w:id="96"/>
                </w:p>
              </w:tc>
              <w:tc>
                <w:tcPr>
                  <w:tcW w:w="889" w:type="pct"/>
                  <w:vAlign w:val="center"/>
                </w:tcPr>
                <w:p>
                  <w:pPr>
                    <w:jc w:val="center"/>
                    <w:outlineLvl w:val="0"/>
                    <w:rPr>
                      <w:b/>
                      <w:bCs/>
                      <w:szCs w:val="21"/>
                    </w:rPr>
                  </w:pPr>
                  <w:bookmarkStart w:id="97" w:name="_Toc13296"/>
                  <w:bookmarkStart w:id="98" w:name="_Toc144147973"/>
                  <w:bookmarkStart w:id="99" w:name="_Toc3803"/>
                  <w:r>
                    <w:rPr>
                      <w:b/>
                      <w:bCs/>
                      <w:szCs w:val="21"/>
                    </w:rPr>
                    <w:t>名称</w:t>
                  </w:r>
                  <w:bookmarkEnd w:id="97"/>
                  <w:bookmarkEnd w:id="98"/>
                  <w:bookmarkEnd w:id="99"/>
                </w:p>
              </w:tc>
              <w:tc>
                <w:tcPr>
                  <w:tcW w:w="630" w:type="pct"/>
                  <w:vAlign w:val="center"/>
                </w:tcPr>
                <w:p>
                  <w:pPr>
                    <w:jc w:val="center"/>
                    <w:outlineLvl w:val="0"/>
                    <w:rPr>
                      <w:b/>
                      <w:bCs/>
                      <w:szCs w:val="21"/>
                    </w:rPr>
                  </w:pPr>
                  <w:bookmarkStart w:id="100" w:name="_Toc13213"/>
                  <w:bookmarkStart w:id="101" w:name="_Toc144147974"/>
                  <w:bookmarkStart w:id="102" w:name="_Toc20141"/>
                  <w:r>
                    <w:rPr>
                      <w:b/>
                      <w:bCs/>
                      <w:szCs w:val="21"/>
                    </w:rPr>
                    <w:t>规格</w:t>
                  </w:r>
                  <w:bookmarkEnd w:id="100"/>
                  <w:bookmarkEnd w:id="101"/>
                  <w:bookmarkEnd w:id="102"/>
                </w:p>
              </w:tc>
              <w:tc>
                <w:tcPr>
                  <w:tcW w:w="617" w:type="pct"/>
                  <w:vAlign w:val="center"/>
                </w:tcPr>
                <w:p>
                  <w:pPr>
                    <w:jc w:val="center"/>
                    <w:outlineLvl w:val="0"/>
                    <w:rPr>
                      <w:b/>
                      <w:bCs/>
                      <w:szCs w:val="21"/>
                    </w:rPr>
                  </w:pPr>
                  <w:bookmarkStart w:id="103" w:name="_Toc144147975"/>
                  <w:bookmarkStart w:id="104" w:name="_Toc6296"/>
                  <w:r>
                    <w:rPr>
                      <w:b/>
                      <w:bCs/>
                      <w:szCs w:val="21"/>
                    </w:rPr>
                    <w:t>年用量（t/a）</w:t>
                  </w:r>
                  <w:bookmarkEnd w:id="103"/>
                  <w:bookmarkEnd w:id="104"/>
                </w:p>
              </w:tc>
              <w:tc>
                <w:tcPr>
                  <w:tcW w:w="560" w:type="pct"/>
                  <w:vAlign w:val="center"/>
                </w:tcPr>
                <w:p>
                  <w:pPr>
                    <w:jc w:val="center"/>
                    <w:outlineLvl w:val="0"/>
                    <w:rPr>
                      <w:b/>
                      <w:bCs/>
                      <w:szCs w:val="21"/>
                    </w:rPr>
                  </w:pPr>
                  <w:bookmarkStart w:id="105" w:name="_Toc30331"/>
                  <w:bookmarkStart w:id="106" w:name="_Toc18000"/>
                  <w:bookmarkStart w:id="107" w:name="_Toc144147976"/>
                  <w:r>
                    <w:rPr>
                      <w:b/>
                      <w:bCs/>
                      <w:szCs w:val="21"/>
                    </w:rPr>
                    <w:t>储存量</w:t>
                  </w:r>
                  <w:r>
                    <w:rPr>
                      <w:rFonts w:hint="eastAsia"/>
                      <w:b/>
                      <w:bCs/>
                      <w:szCs w:val="21"/>
                    </w:rPr>
                    <w:t>（</w:t>
                  </w:r>
                  <w:r>
                    <w:rPr>
                      <w:b/>
                      <w:bCs/>
                      <w:szCs w:val="21"/>
                    </w:rPr>
                    <w:t>t</w:t>
                  </w:r>
                  <w:r>
                    <w:rPr>
                      <w:rFonts w:hint="eastAsia"/>
                      <w:b/>
                      <w:bCs/>
                      <w:szCs w:val="21"/>
                    </w:rPr>
                    <w:t>）</w:t>
                  </w:r>
                  <w:bookmarkEnd w:id="105"/>
                  <w:bookmarkEnd w:id="106"/>
                  <w:bookmarkEnd w:id="107"/>
                </w:p>
              </w:tc>
              <w:tc>
                <w:tcPr>
                  <w:tcW w:w="700" w:type="pct"/>
                  <w:vAlign w:val="center"/>
                </w:tcPr>
                <w:p>
                  <w:pPr>
                    <w:jc w:val="center"/>
                    <w:outlineLvl w:val="0"/>
                    <w:rPr>
                      <w:b/>
                      <w:bCs/>
                      <w:szCs w:val="21"/>
                    </w:rPr>
                  </w:pPr>
                  <w:bookmarkStart w:id="108" w:name="_Toc25568"/>
                  <w:bookmarkStart w:id="109" w:name="_Toc144147977"/>
                  <w:r>
                    <w:rPr>
                      <w:b/>
                      <w:bCs/>
                      <w:szCs w:val="21"/>
                    </w:rPr>
                    <w:t>暂存位置</w:t>
                  </w:r>
                  <w:bookmarkEnd w:id="108"/>
                  <w:bookmarkEnd w:id="109"/>
                </w:p>
              </w:tc>
              <w:tc>
                <w:tcPr>
                  <w:tcW w:w="414" w:type="pct"/>
                  <w:vAlign w:val="center"/>
                </w:tcPr>
                <w:p>
                  <w:pPr>
                    <w:jc w:val="center"/>
                    <w:outlineLvl w:val="0"/>
                    <w:rPr>
                      <w:b/>
                      <w:bCs/>
                      <w:szCs w:val="21"/>
                    </w:rPr>
                  </w:pPr>
                  <w:bookmarkStart w:id="110" w:name="_Toc8435"/>
                  <w:bookmarkStart w:id="111" w:name="_Toc144147978"/>
                  <w:r>
                    <w:rPr>
                      <w:b/>
                      <w:bCs/>
                      <w:szCs w:val="21"/>
                    </w:rPr>
                    <w:t>来源</w:t>
                  </w:r>
                  <w:bookmarkEnd w:id="110"/>
                  <w:bookmarkEnd w:id="111"/>
                </w:p>
              </w:tc>
              <w:tc>
                <w:tcPr>
                  <w:tcW w:w="831" w:type="pct"/>
                  <w:vAlign w:val="center"/>
                </w:tcPr>
                <w:p>
                  <w:pPr>
                    <w:jc w:val="center"/>
                    <w:outlineLvl w:val="0"/>
                    <w:rPr>
                      <w:b/>
                      <w:bCs/>
                      <w:szCs w:val="21"/>
                    </w:rPr>
                  </w:pPr>
                  <w:bookmarkStart w:id="112" w:name="_Toc144147979"/>
                  <w:bookmarkStart w:id="113" w:name="_Toc19107"/>
                  <w:r>
                    <w:rPr>
                      <w:b/>
                      <w:bCs/>
                      <w:szCs w:val="21"/>
                    </w:rPr>
                    <w:t>用途</w:t>
                  </w:r>
                  <w:bookmarkEnd w:id="112"/>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55" w:type="pct"/>
                  <w:vAlign w:val="center"/>
                </w:tcPr>
                <w:p>
                  <w:pPr>
                    <w:jc w:val="center"/>
                    <w:outlineLvl w:val="0"/>
                    <w:rPr>
                      <w:szCs w:val="21"/>
                    </w:rPr>
                  </w:pPr>
                  <w:bookmarkStart w:id="114" w:name="_Toc1100"/>
                  <w:bookmarkStart w:id="115" w:name="_Toc144147980"/>
                  <w:bookmarkStart w:id="116" w:name="_Toc8591"/>
                  <w:r>
                    <w:rPr>
                      <w:szCs w:val="21"/>
                    </w:rPr>
                    <w:t>1</w:t>
                  </w:r>
                  <w:bookmarkEnd w:id="114"/>
                  <w:bookmarkEnd w:id="115"/>
                  <w:bookmarkEnd w:id="116"/>
                </w:p>
              </w:tc>
              <w:tc>
                <w:tcPr>
                  <w:tcW w:w="889" w:type="pct"/>
                  <w:vAlign w:val="center"/>
                </w:tcPr>
                <w:p>
                  <w:pPr>
                    <w:widowControl/>
                    <w:jc w:val="center"/>
                    <w:textAlignment w:val="center"/>
                    <w:rPr>
                      <w:szCs w:val="21"/>
                    </w:rPr>
                  </w:pPr>
                  <w:r>
                    <w:fldChar w:fldCharType="begin"/>
                  </w:r>
                  <w:r>
                    <w:instrText xml:space="preserve"> HYPERLINK \l "RANGE!A1" </w:instrText>
                  </w:r>
                  <w:r>
                    <w:fldChar w:fldCharType="separate"/>
                  </w:r>
                  <w:r>
                    <w:rPr>
                      <w:rStyle w:val="30"/>
                      <w:color w:val="auto"/>
                      <w:szCs w:val="21"/>
                      <w:u w:val="none"/>
                    </w:rPr>
                    <w:t>铁11%</w:t>
                  </w:r>
                  <w:r>
                    <w:rPr>
                      <w:rStyle w:val="30"/>
                      <w:color w:val="auto"/>
                      <w:szCs w:val="21"/>
                      <w:u w:val="none"/>
                    </w:rPr>
                    <w:fldChar w:fldCharType="end"/>
                  </w:r>
                </w:p>
              </w:tc>
              <w:tc>
                <w:tcPr>
                  <w:tcW w:w="630" w:type="pct"/>
                  <w:vAlign w:val="center"/>
                </w:tcPr>
                <w:p>
                  <w:pPr>
                    <w:widowControl/>
                    <w:jc w:val="center"/>
                    <w:textAlignment w:val="center"/>
                    <w:rPr>
                      <w:szCs w:val="21"/>
                    </w:rPr>
                  </w:pPr>
                  <w:r>
                    <w:rPr>
                      <w:kern w:val="0"/>
                      <w:szCs w:val="21"/>
                      <w:lang w:bidi="ar"/>
                    </w:rPr>
                    <w:t>10kg/袋</w:t>
                  </w:r>
                </w:p>
              </w:tc>
              <w:tc>
                <w:tcPr>
                  <w:tcW w:w="617" w:type="pct"/>
                  <w:vAlign w:val="center"/>
                </w:tcPr>
                <w:p>
                  <w:pPr>
                    <w:widowControl/>
                    <w:jc w:val="center"/>
                    <w:textAlignment w:val="center"/>
                    <w:rPr>
                      <w:szCs w:val="21"/>
                    </w:rPr>
                  </w:pPr>
                  <w:r>
                    <w:rPr>
                      <w:kern w:val="0"/>
                      <w:szCs w:val="21"/>
                      <w:lang w:bidi="ar"/>
                    </w:rPr>
                    <w:t>1.5</w:t>
                  </w:r>
                </w:p>
              </w:tc>
              <w:tc>
                <w:tcPr>
                  <w:tcW w:w="560" w:type="pct"/>
                  <w:vAlign w:val="center"/>
                </w:tcPr>
                <w:p>
                  <w:pPr>
                    <w:widowControl/>
                    <w:jc w:val="center"/>
                    <w:textAlignment w:val="center"/>
                    <w:rPr>
                      <w:szCs w:val="21"/>
                    </w:rPr>
                  </w:pPr>
                  <w:r>
                    <w:rPr>
                      <w:kern w:val="0"/>
                      <w:szCs w:val="21"/>
                      <w:lang w:bidi="ar"/>
                    </w:rPr>
                    <w:t>0.15</w:t>
                  </w:r>
                </w:p>
              </w:tc>
              <w:tc>
                <w:tcPr>
                  <w:tcW w:w="700" w:type="pct"/>
                  <w:vAlign w:val="center"/>
                </w:tcPr>
                <w:p>
                  <w:pPr>
                    <w:widowControl/>
                    <w:jc w:val="center"/>
                    <w:textAlignment w:val="center"/>
                    <w:rPr>
                      <w:szCs w:val="21"/>
                    </w:rPr>
                  </w:pPr>
                  <w:r>
                    <w:rPr>
                      <w:kern w:val="0"/>
                      <w:szCs w:val="21"/>
                      <w:lang w:bidi="ar"/>
                    </w:rPr>
                    <w:t>水肥间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55" w:type="pct"/>
                  <w:vAlign w:val="center"/>
                </w:tcPr>
                <w:p>
                  <w:pPr>
                    <w:jc w:val="center"/>
                    <w:outlineLvl w:val="0"/>
                    <w:rPr>
                      <w:szCs w:val="21"/>
                    </w:rPr>
                  </w:pPr>
                  <w:bookmarkStart w:id="117" w:name="_Toc144147981"/>
                  <w:bookmarkStart w:id="118" w:name="_Toc26326"/>
                  <w:bookmarkStart w:id="119" w:name="_Toc20786"/>
                  <w:r>
                    <w:rPr>
                      <w:szCs w:val="21"/>
                    </w:rPr>
                    <w:t>2</w:t>
                  </w:r>
                  <w:bookmarkEnd w:id="117"/>
                  <w:bookmarkEnd w:id="118"/>
                  <w:bookmarkEnd w:id="119"/>
                </w:p>
              </w:tc>
              <w:tc>
                <w:tcPr>
                  <w:tcW w:w="889" w:type="pct"/>
                  <w:vAlign w:val="center"/>
                </w:tcPr>
                <w:p>
                  <w:pPr>
                    <w:widowControl/>
                    <w:jc w:val="center"/>
                    <w:textAlignment w:val="center"/>
                    <w:rPr>
                      <w:szCs w:val="21"/>
                    </w:rPr>
                  </w:pPr>
                  <w:r>
                    <w:fldChar w:fldCharType="begin"/>
                  </w:r>
                  <w:r>
                    <w:instrText xml:space="preserve"> HYPERLINK \l "RANGE!A1" </w:instrText>
                  </w:r>
                  <w:r>
                    <w:fldChar w:fldCharType="separate"/>
                  </w:r>
                  <w:r>
                    <w:rPr>
                      <w:rStyle w:val="30"/>
                      <w:color w:val="auto"/>
                      <w:szCs w:val="21"/>
                      <w:u w:val="none"/>
                    </w:rPr>
                    <w:t>铁6%</w:t>
                  </w:r>
                  <w:r>
                    <w:rPr>
                      <w:rStyle w:val="30"/>
                      <w:color w:val="auto"/>
                      <w:szCs w:val="21"/>
                      <w:u w:val="none"/>
                    </w:rPr>
                    <w:fldChar w:fldCharType="end"/>
                  </w:r>
                </w:p>
              </w:tc>
              <w:tc>
                <w:tcPr>
                  <w:tcW w:w="630" w:type="pct"/>
                  <w:vAlign w:val="center"/>
                </w:tcPr>
                <w:p>
                  <w:pPr>
                    <w:widowControl/>
                    <w:jc w:val="center"/>
                    <w:textAlignment w:val="center"/>
                    <w:rPr>
                      <w:szCs w:val="21"/>
                    </w:rPr>
                  </w:pPr>
                  <w:r>
                    <w:rPr>
                      <w:kern w:val="0"/>
                      <w:szCs w:val="21"/>
                      <w:lang w:bidi="ar"/>
                    </w:rPr>
                    <w:t>10kg/袋</w:t>
                  </w:r>
                </w:p>
              </w:tc>
              <w:tc>
                <w:tcPr>
                  <w:tcW w:w="617" w:type="pct"/>
                  <w:vAlign w:val="center"/>
                </w:tcPr>
                <w:p>
                  <w:pPr>
                    <w:widowControl/>
                    <w:jc w:val="center"/>
                    <w:textAlignment w:val="center"/>
                    <w:rPr>
                      <w:szCs w:val="21"/>
                    </w:rPr>
                  </w:pPr>
                  <w:r>
                    <w:rPr>
                      <w:kern w:val="0"/>
                      <w:szCs w:val="21"/>
                      <w:lang w:bidi="ar"/>
                    </w:rPr>
                    <w:t>1.5</w:t>
                  </w:r>
                </w:p>
              </w:tc>
              <w:tc>
                <w:tcPr>
                  <w:tcW w:w="560" w:type="pct"/>
                  <w:vAlign w:val="center"/>
                </w:tcPr>
                <w:p>
                  <w:pPr>
                    <w:widowControl/>
                    <w:jc w:val="center"/>
                    <w:textAlignment w:val="center"/>
                    <w:rPr>
                      <w:szCs w:val="21"/>
                    </w:rPr>
                  </w:pPr>
                  <w:r>
                    <w:rPr>
                      <w:kern w:val="0"/>
                      <w:szCs w:val="21"/>
                      <w:lang w:bidi="ar"/>
                    </w:rPr>
                    <w:t>0.15</w:t>
                  </w:r>
                </w:p>
              </w:tc>
              <w:tc>
                <w:tcPr>
                  <w:tcW w:w="700" w:type="pct"/>
                  <w:vAlign w:val="center"/>
                </w:tcPr>
                <w:p>
                  <w:pPr>
                    <w:widowControl/>
                    <w:jc w:val="center"/>
                    <w:textAlignment w:val="center"/>
                    <w:rPr>
                      <w:szCs w:val="21"/>
                    </w:rPr>
                  </w:pPr>
                  <w:r>
                    <w:rPr>
                      <w:kern w:val="0"/>
                      <w:szCs w:val="21"/>
                      <w:lang w:bidi="ar"/>
                    </w:rPr>
                    <w:t>水肥间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jc w:val="center"/>
                    <w:outlineLvl w:val="0"/>
                    <w:rPr>
                      <w:szCs w:val="21"/>
                    </w:rPr>
                  </w:pPr>
                  <w:bookmarkStart w:id="120" w:name="_Toc144147982"/>
                  <w:bookmarkStart w:id="121" w:name="_Toc22033"/>
                  <w:bookmarkStart w:id="122" w:name="_Toc13722"/>
                  <w:r>
                    <w:rPr>
                      <w:szCs w:val="21"/>
                    </w:rPr>
                    <w:t>3</w:t>
                  </w:r>
                  <w:bookmarkEnd w:id="120"/>
                  <w:bookmarkEnd w:id="121"/>
                  <w:bookmarkEnd w:id="122"/>
                </w:p>
              </w:tc>
              <w:tc>
                <w:tcPr>
                  <w:tcW w:w="889" w:type="pct"/>
                  <w:vAlign w:val="center"/>
                </w:tcPr>
                <w:p>
                  <w:pPr>
                    <w:widowControl/>
                    <w:jc w:val="center"/>
                    <w:textAlignment w:val="center"/>
                    <w:rPr>
                      <w:szCs w:val="21"/>
                    </w:rPr>
                  </w:pPr>
                  <w:r>
                    <w:fldChar w:fldCharType="begin"/>
                  </w:r>
                  <w:r>
                    <w:instrText xml:space="preserve"> HYPERLINK \l "RANGE!A1" </w:instrText>
                  </w:r>
                  <w:r>
                    <w:fldChar w:fldCharType="separate"/>
                  </w:r>
                  <w:r>
                    <w:rPr>
                      <w:rStyle w:val="30"/>
                      <w:color w:val="auto"/>
                      <w:szCs w:val="21"/>
                      <w:u w:val="none"/>
                    </w:rPr>
                    <w:t>硝酸</w:t>
                  </w:r>
                  <w:r>
                    <w:rPr>
                      <w:rStyle w:val="30"/>
                      <w:color w:val="auto"/>
                      <w:szCs w:val="21"/>
                      <w:u w:val="none"/>
                    </w:rPr>
                    <w:fldChar w:fldCharType="end"/>
                  </w:r>
                </w:p>
              </w:tc>
              <w:tc>
                <w:tcPr>
                  <w:tcW w:w="630" w:type="pct"/>
                  <w:vAlign w:val="center"/>
                </w:tcPr>
                <w:p>
                  <w:pPr>
                    <w:widowControl/>
                    <w:jc w:val="center"/>
                    <w:textAlignment w:val="center"/>
                    <w:rPr>
                      <w:szCs w:val="21"/>
                    </w:rPr>
                  </w:pPr>
                  <w:r>
                    <w:rPr>
                      <w:kern w:val="0"/>
                      <w:szCs w:val="21"/>
                      <w:lang w:bidi="ar"/>
                    </w:rPr>
                    <w:t>250升/桶</w:t>
                  </w:r>
                </w:p>
              </w:tc>
              <w:tc>
                <w:tcPr>
                  <w:tcW w:w="617" w:type="pct"/>
                  <w:vAlign w:val="center"/>
                </w:tcPr>
                <w:p>
                  <w:pPr>
                    <w:widowControl/>
                    <w:jc w:val="center"/>
                    <w:textAlignment w:val="center"/>
                    <w:rPr>
                      <w:szCs w:val="21"/>
                    </w:rPr>
                  </w:pPr>
                  <w:r>
                    <w:rPr>
                      <w:kern w:val="0"/>
                      <w:szCs w:val="21"/>
                      <w:lang w:bidi="ar"/>
                    </w:rPr>
                    <w:t>10</w:t>
                  </w:r>
                </w:p>
              </w:tc>
              <w:tc>
                <w:tcPr>
                  <w:tcW w:w="560" w:type="pct"/>
                  <w:vAlign w:val="center"/>
                </w:tcPr>
                <w:p>
                  <w:pPr>
                    <w:widowControl/>
                    <w:jc w:val="center"/>
                    <w:textAlignment w:val="center"/>
                    <w:rPr>
                      <w:szCs w:val="21"/>
                    </w:rPr>
                  </w:pPr>
                  <w:r>
                    <w:rPr>
                      <w:kern w:val="0"/>
                      <w:szCs w:val="21"/>
                      <w:lang w:bidi="ar"/>
                    </w:rPr>
                    <w:t>0.1</w:t>
                  </w:r>
                </w:p>
              </w:tc>
              <w:tc>
                <w:tcPr>
                  <w:tcW w:w="700" w:type="pct"/>
                  <w:vAlign w:val="center"/>
                </w:tcPr>
                <w:p>
                  <w:pPr>
                    <w:widowControl/>
                    <w:jc w:val="center"/>
                    <w:textAlignment w:val="center"/>
                    <w:rPr>
                      <w:szCs w:val="21"/>
                    </w:rPr>
                  </w:pPr>
                  <w:r>
                    <w:rPr>
                      <w:rFonts w:hint="eastAsia"/>
                      <w:kern w:val="0"/>
                      <w:szCs w:val="21"/>
                      <w:lang w:bidi="ar"/>
                    </w:rPr>
                    <w:t>危险化学品间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jc w:val="center"/>
                    <w:outlineLvl w:val="0"/>
                    <w:rPr>
                      <w:szCs w:val="21"/>
                    </w:rPr>
                  </w:pPr>
                  <w:bookmarkStart w:id="123" w:name="_Toc14167"/>
                  <w:bookmarkStart w:id="124" w:name="_Toc144147983"/>
                  <w:r>
                    <w:rPr>
                      <w:szCs w:val="21"/>
                    </w:rPr>
                    <w:t>4</w:t>
                  </w:r>
                  <w:bookmarkEnd w:id="123"/>
                  <w:bookmarkEnd w:id="124"/>
                </w:p>
              </w:tc>
              <w:tc>
                <w:tcPr>
                  <w:tcW w:w="889" w:type="pct"/>
                  <w:vAlign w:val="center"/>
                </w:tcPr>
                <w:p>
                  <w:pPr>
                    <w:widowControl/>
                    <w:jc w:val="center"/>
                    <w:textAlignment w:val="center"/>
                    <w:rPr>
                      <w:szCs w:val="21"/>
                    </w:rPr>
                  </w:pPr>
                  <w:r>
                    <w:rPr>
                      <w:kern w:val="0"/>
                      <w:szCs w:val="21"/>
                      <w:lang w:bidi="ar"/>
                    </w:rPr>
                    <w:t>硝酸钙</w:t>
                  </w:r>
                </w:p>
              </w:tc>
              <w:tc>
                <w:tcPr>
                  <w:tcW w:w="630" w:type="pct"/>
                  <w:vAlign w:val="center"/>
                </w:tcPr>
                <w:p>
                  <w:pPr>
                    <w:widowControl/>
                    <w:jc w:val="center"/>
                    <w:textAlignment w:val="center"/>
                    <w:rPr>
                      <w:szCs w:val="21"/>
                    </w:rPr>
                  </w:pPr>
                  <w:r>
                    <w:rPr>
                      <w:kern w:val="0"/>
                      <w:szCs w:val="21"/>
                      <w:lang w:bidi="ar"/>
                    </w:rPr>
                    <w:t>25kg/袋</w:t>
                  </w:r>
                </w:p>
              </w:tc>
              <w:tc>
                <w:tcPr>
                  <w:tcW w:w="617" w:type="pct"/>
                  <w:vAlign w:val="center"/>
                </w:tcPr>
                <w:p>
                  <w:pPr>
                    <w:widowControl/>
                    <w:jc w:val="center"/>
                    <w:textAlignment w:val="center"/>
                    <w:rPr>
                      <w:szCs w:val="21"/>
                    </w:rPr>
                  </w:pPr>
                  <w:r>
                    <w:rPr>
                      <w:kern w:val="0"/>
                      <w:szCs w:val="21"/>
                      <w:lang w:bidi="ar"/>
                    </w:rPr>
                    <w:t>36</w:t>
                  </w:r>
                </w:p>
              </w:tc>
              <w:tc>
                <w:tcPr>
                  <w:tcW w:w="560" w:type="pct"/>
                  <w:vAlign w:val="center"/>
                </w:tcPr>
                <w:p>
                  <w:pPr>
                    <w:widowControl/>
                    <w:jc w:val="center"/>
                    <w:textAlignment w:val="center"/>
                    <w:rPr>
                      <w:szCs w:val="21"/>
                    </w:rPr>
                  </w:pPr>
                  <w:r>
                    <w:rPr>
                      <w:kern w:val="0"/>
                      <w:szCs w:val="21"/>
                      <w:lang w:bidi="ar"/>
                    </w:rPr>
                    <w:t>0.3</w:t>
                  </w:r>
                </w:p>
              </w:tc>
              <w:tc>
                <w:tcPr>
                  <w:tcW w:w="700" w:type="pct"/>
                  <w:vAlign w:val="center"/>
                </w:tcPr>
                <w:p>
                  <w:pPr>
                    <w:widowControl/>
                    <w:jc w:val="center"/>
                    <w:textAlignment w:val="center"/>
                    <w:rPr>
                      <w:szCs w:val="21"/>
                    </w:rPr>
                  </w:pPr>
                  <w:r>
                    <w:rPr>
                      <w:kern w:val="0"/>
                      <w:szCs w:val="21"/>
                      <w:lang w:bidi="ar"/>
                    </w:rPr>
                    <w:t>水肥间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jc w:val="center"/>
                    <w:outlineLvl w:val="0"/>
                    <w:rPr>
                      <w:szCs w:val="21"/>
                    </w:rPr>
                  </w:pPr>
                  <w:bookmarkStart w:id="125" w:name="_Toc13431"/>
                  <w:bookmarkStart w:id="126" w:name="_Toc144147984"/>
                  <w:r>
                    <w:rPr>
                      <w:szCs w:val="21"/>
                    </w:rPr>
                    <w:t>5</w:t>
                  </w:r>
                  <w:bookmarkEnd w:id="125"/>
                  <w:bookmarkEnd w:id="126"/>
                </w:p>
              </w:tc>
              <w:tc>
                <w:tcPr>
                  <w:tcW w:w="889" w:type="pct"/>
                  <w:vAlign w:val="center"/>
                </w:tcPr>
                <w:p>
                  <w:pPr>
                    <w:widowControl/>
                    <w:jc w:val="center"/>
                    <w:textAlignment w:val="center"/>
                    <w:rPr>
                      <w:szCs w:val="21"/>
                    </w:rPr>
                  </w:pPr>
                  <w:r>
                    <w:fldChar w:fldCharType="begin"/>
                  </w:r>
                  <w:r>
                    <w:instrText xml:space="preserve"> HYPERLINK \l "RANGE!A1" </w:instrText>
                  </w:r>
                  <w:r>
                    <w:fldChar w:fldCharType="separate"/>
                  </w:r>
                  <w:r>
                    <w:rPr>
                      <w:rStyle w:val="30"/>
                      <w:color w:val="auto"/>
                      <w:szCs w:val="21"/>
                      <w:u w:val="none"/>
                    </w:rPr>
                    <w:t>硝酸钾</w:t>
                  </w:r>
                  <w:r>
                    <w:rPr>
                      <w:rStyle w:val="30"/>
                      <w:color w:val="auto"/>
                      <w:szCs w:val="21"/>
                      <w:u w:val="none"/>
                    </w:rPr>
                    <w:fldChar w:fldCharType="end"/>
                  </w:r>
                </w:p>
              </w:tc>
              <w:tc>
                <w:tcPr>
                  <w:tcW w:w="630" w:type="pct"/>
                  <w:vAlign w:val="center"/>
                </w:tcPr>
                <w:p>
                  <w:pPr>
                    <w:widowControl/>
                    <w:jc w:val="center"/>
                    <w:textAlignment w:val="center"/>
                    <w:rPr>
                      <w:szCs w:val="21"/>
                    </w:rPr>
                  </w:pPr>
                  <w:r>
                    <w:rPr>
                      <w:kern w:val="0"/>
                      <w:szCs w:val="21"/>
                      <w:lang w:bidi="ar"/>
                    </w:rPr>
                    <w:t>25kg/袋</w:t>
                  </w:r>
                </w:p>
              </w:tc>
              <w:tc>
                <w:tcPr>
                  <w:tcW w:w="617" w:type="pct"/>
                  <w:vAlign w:val="center"/>
                </w:tcPr>
                <w:p>
                  <w:pPr>
                    <w:widowControl/>
                    <w:jc w:val="center"/>
                    <w:textAlignment w:val="center"/>
                    <w:rPr>
                      <w:szCs w:val="21"/>
                    </w:rPr>
                  </w:pPr>
                  <w:r>
                    <w:rPr>
                      <w:kern w:val="0"/>
                      <w:szCs w:val="21"/>
                      <w:lang w:bidi="ar"/>
                    </w:rPr>
                    <w:t>18</w:t>
                  </w:r>
                </w:p>
              </w:tc>
              <w:tc>
                <w:tcPr>
                  <w:tcW w:w="560" w:type="pct"/>
                  <w:vAlign w:val="center"/>
                </w:tcPr>
                <w:p>
                  <w:pPr>
                    <w:widowControl/>
                    <w:jc w:val="center"/>
                    <w:textAlignment w:val="center"/>
                    <w:rPr>
                      <w:szCs w:val="21"/>
                    </w:rPr>
                  </w:pPr>
                  <w:r>
                    <w:rPr>
                      <w:kern w:val="0"/>
                      <w:szCs w:val="21"/>
                      <w:lang w:bidi="ar"/>
                    </w:rPr>
                    <w:t>1.5</w:t>
                  </w:r>
                </w:p>
              </w:tc>
              <w:tc>
                <w:tcPr>
                  <w:tcW w:w="700" w:type="pct"/>
                  <w:vAlign w:val="center"/>
                </w:tcPr>
                <w:p>
                  <w:pPr>
                    <w:widowControl/>
                    <w:jc w:val="center"/>
                    <w:textAlignment w:val="center"/>
                    <w:rPr>
                      <w:szCs w:val="21"/>
                    </w:rPr>
                  </w:pPr>
                  <w:r>
                    <w:rPr>
                      <w:kern w:val="0"/>
                      <w:szCs w:val="21"/>
                      <w:lang w:bidi="ar"/>
                    </w:rPr>
                    <w:t>水肥间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jc w:val="center"/>
                    <w:outlineLvl w:val="0"/>
                    <w:rPr>
                      <w:szCs w:val="21"/>
                    </w:rPr>
                  </w:pPr>
                  <w:bookmarkStart w:id="127" w:name="_Toc4290"/>
                  <w:bookmarkStart w:id="128" w:name="_Toc144147985"/>
                  <w:r>
                    <w:rPr>
                      <w:szCs w:val="21"/>
                    </w:rPr>
                    <w:t>6</w:t>
                  </w:r>
                  <w:bookmarkEnd w:id="127"/>
                  <w:bookmarkEnd w:id="128"/>
                </w:p>
              </w:tc>
              <w:tc>
                <w:tcPr>
                  <w:tcW w:w="889" w:type="pct"/>
                  <w:vAlign w:val="center"/>
                </w:tcPr>
                <w:p>
                  <w:pPr>
                    <w:widowControl/>
                    <w:jc w:val="center"/>
                    <w:textAlignment w:val="center"/>
                    <w:rPr>
                      <w:szCs w:val="21"/>
                    </w:rPr>
                  </w:pPr>
                  <w:r>
                    <w:rPr>
                      <w:kern w:val="0"/>
                      <w:szCs w:val="21"/>
                      <w:lang w:bidi="ar"/>
                    </w:rPr>
                    <w:t>硝酸镁</w:t>
                  </w:r>
                </w:p>
              </w:tc>
              <w:tc>
                <w:tcPr>
                  <w:tcW w:w="630" w:type="pct"/>
                  <w:vAlign w:val="center"/>
                </w:tcPr>
                <w:p>
                  <w:pPr>
                    <w:widowControl/>
                    <w:jc w:val="center"/>
                    <w:textAlignment w:val="center"/>
                    <w:rPr>
                      <w:szCs w:val="21"/>
                    </w:rPr>
                  </w:pPr>
                  <w:r>
                    <w:rPr>
                      <w:kern w:val="0"/>
                      <w:szCs w:val="21"/>
                      <w:lang w:bidi="ar"/>
                    </w:rPr>
                    <w:t>25kg/袋</w:t>
                  </w:r>
                </w:p>
              </w:tc>
              <w:tc>
                <w:tcPr>
                  <w:tcW w:w="617" w:type="pct"/>
                  <w:vAlign w:val="center"/>
                </w:tcPr>
                <w:p>
                  <w:pPr>
                    <w:widowControl/>
                    <w:jc w:val="center"/>
                    <w:textAlignment w:val="center"/>
                    <w:rPr>
                      <w:szCs w:val="21"/>
                    </w:rPr>
                  </w:pPr>
                  <w:r>
                    <w:rPr>
                      <w:kern w:val="0"/>
                      <w:szCs w:val="21"/>
                      <w:lang w:bidi="ar"/>
                    </w:rPr>
                    <w:t>19</w:t>
                  </w:r>
                </w:p>
              </w:tc>
              <w:tc>
                <w:tcPr>
                  <w:tcW w:w="560" w:type="pct"/>
                  <w:vAlign w:val="center"/>
                </w:tcPr>
                <w:p>
                  <w:pPr>
                    <w:widowControl/>
                    <w:jc w:val="center"/>
                    <w:textAlignment w:val="center"/>
                    <w:rPr>
                      <w:szCs w:val="21"/>
                    </w:rPr>
                  </w:pPr>
                  <w:r>
                    <w:rPr>
                      <w:kern w:val="0"/>
                      <w:szCs w:val="21"/>
                      <w:lang w:bidi="ar"/>
                    </w:rPr>
                    <w:t>0.2</w:t>
                  </w:r>
                </w:p>
              </w:tc>
              <w:tc>
                <w:tcPr>
                  <w:tcW w:w="700" w:type="pct"/>
                  <w:vAlign w:val="center"/>
                </w:tcPr>
                <w:p>
                  <w:pPr>
                    <w:widowControl/>
                    <w:jc w:val="center"/>
                    <w:textAlignment w:val="center"/>
                    <w:rPr>
                      <w:szCs w:val="21"/>
                    </w:rPr>
                  </w:pPr>
                  <w:r>
                    <w:rPr>
                      <w:kern w:val="0"/>
                      <w:szCs w:val="21"/>
                      <w:lang w:bidi="ar"/>
                    </w:rPr>
                    <w:t>水肥间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jc w:val="center"/>
                    <w:outlineLvl w:val="0"/>
                    <w:rPr>
                      <w:szCs w:val="21"/>
                    </w:rPr>
                  </w:pPr>
                  <w:bookmarkStart w:id="129" w:name="_Toc12495"/>
                  <w:bookmarkStart w:id="130" w:name="_Toc144147986"/>
                  <w:r>
                    <w:rPr>
                      <w:szCs w:val="21"/>
                    </w:rPr>
                    <w:t>7</w:t>
                  </w:r>
                  <w:bookmarkEnd w:id="129"/>
                  <w:bookmarkEnd w:id="130"/>
                </w:p>
              </w:tc>
              <w:tc>
                <w:tcPr>
                  <w:tcW w:w="889" w:type="pct"/>
                  <w:vAlign w:val="center"/>
                </w:tcPr>
                <w:p>
                  <w:pPr>
                    <w:widowControl/>
                    <w:jc w:val="center"/>
                    <w:textAlignment w:val="center"/>
                    <w:rPr>
                      <w:szCs w:val="21"/>
                    </w:rPr>
                  </w:pPr>
                  <w:r>
                    <w:fldChar w:fldCharType="begin"/>
                  </w:r>
                  <w:r>
                    <w:instrText xml:space="preserve"> HYPERLINK \l "RANGE!A1" </w:instrText>
                  </w:r>
                  <w:r>
                    <w:fldChar w:fldCharType="separate"/>
                  </w:r>
                  <w:r>
                    <w:rPr>
                      <w:rStyle w:val="30"/>
                      <w:color w:val="auto"/>
                      <w:szCs w:val="21"/>
                      <w:u w:val="none"/>
                    </w:rPr>
                    <w:t>硫酸镁</w:t>
                  </w:r>
                  <w:r>
                    <w:rPr>
                      <w:rStyle w:val="30"/>
                      <w:color w:val="auto"/>
                      <w:szCs w:val="21"/>
                      <w:u w:val="none"/>
                    </w:rPr>
                    <w:fldChar w:fldCharType="end"/>
                  </w:r>
                </w:p>
              </w:tc>
              <w:tc>
                <w:tcPr>
                  <w:tcW w:w="630" w:type="pct"/>
                  <w:vAlign w:val="center"/>
                </w:tcPr>
                <w:p>
                  <w:pPr>
                    <w:widowControl/>
                    <w:jc w:val="center"/>
                    <w:textAlignment w:val="center"/>
                    <w:rPr>
                      <w:szCs w:val="21"/>
                    </w:rPr>
                  </w:pPr>
                  <w:r>
                    <w:rPr>
                      <w:kern w:val="0"/>
                      <w:szCs w:val="21"/>
                      <w:lang w:bidi="ar"/>
                    </w:rPr>
                    <w:t>50kg/袋</w:t>
                  </w:r>
                </w:p>
              </w:tc>
              <w:tc>
                <w:tcPr>
                  <w:tcW w:w="617" w:type="pct"/>
                  <w:vAlign w:val="center"/>
                </w:tcPr>
                <w:p>
                  <w:pPr>
                    <w:widowControl/>
                    <w:jc w:val="center"/>
                    <w:textAlignment w:val="center"/>
                    <w:rPr>
                      <w:szCs w:val="21"/>
                    </w:rPr>
                  </w:pPr>
                  <w:r>
                    <w:rPr>
                      <w:kern w:val="0"/>
                      <w:szCs w:val="21"/>
                      <w:lang w:bidi="ar"/>
                    </w:rPr>
                    <w:t>22</w:t>
                  </w:r>
                </w:p>
              </w:tc>
              <w:tc>
                <w:tcPr>
                  <w:tcW w:w="560" w:type="pct"/>
                  <w:vAlign w:val="center"/>
                </w:tcPr>
                <w:p>
                  <w:pPr>
                    <w:widowControl/>
                    <w:jc w:val="center"/>
                    <w:textAlignment w:val="center"/>
                    <w:rPr>
                      <w:szCs w:val="21"/>
                    </w:rPr>
                  </w:pPr>
                  <w:r>
                    <w:rPr>
                      <w:szCs w:val="21"/>
                    </w:rPr>
                    <w:t>2</w:t>
                  </w:r>
                </w:p>
              </w:tc>
              <w:tc>
                <w:tcPr>
                  <w:tcW w:w="700" w:type="pct"/>
                  <w:vAlign w:val="center"/>
                </w:tcPr>
                <w:p>
                  <w:pPr>
                    <w:widowControl/>
                    <w:jc w:val="center"/>
                    <w:textAlignment w:val="center"/>
                    <w:rPr>
                      <w:szCs w:val="21"/>
                    </w:rPr>
                  </w:pPr>
                  <w:r>
                    <w:rPr>
                      <w:kern w:val="0"/>
                      <w:szCs w:val="21"/>
                      <w:lang w:bidi="ar"/>
                    </w:rPr>
                    <w:t>水肥间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jc w:val="center"/>
                    <w:outlineLvl w:val="0"/>
                    <w:rPr>
                      <w:szCs w:val="21"/>
                    </w:rPr>
                  </w:pPr>
                  <w:bookmarkStart w:id="131" w:name="_Toc25100"/>
                  <w:bookmarkStart w:id="132" w:name="_Toc144147987"/>
                  <w:r>
                    <w:rPr>
                      <w:szCs w:val="21"/>
                    </w:rPr>
                    <w:t>8</w:t>
                  </w:r>
                  <w:bookmarkEnd w:id="131"/>
                  <w:bookmarkEnd w:id="132"/>
                </w:p>
              </w:tc>
              <w:tc>
                <w:tcPr>
                  <w:tcW w:w="889" w:type="pct"/>
                  <w:vAlign w:val="center"/>
                </w:tcPr>
                <w:p>
                  <w:pPr>
                    <w:widowControl/>
                    <w:jc w:val="center"/>
                    <w:textAlignment w:val="center"/>
                    <w:rPr>
                      <w:szCs w:val="21"/>
                    </w:rPr>
                  </w:pPr>
                  <w:r>
                    <w:rPr>
                      <w:kern w:val="0"/>
                      <w:szCs w:val="21"/>
                      <w:lang w:bidi="ar"/>
                    </w:rPr>
                    <w:t>硫酸锰</w:t>
                  </w:r>
                </w:p>
              </w:tc>
              <w:tc>
                <w:tcPr>
                  <w:tcW w:w="630" w:type="pct"/>
                  <w:vAlign w:val="center"/>
                </w:tcPr>
                <w:p>
                  <w:pPr>
                    <w:widowControl/>
                    <w:jc w:val="center"/>
                    <w:textAlignment w:val="center"/>
                    <w:rPr>
                      <w:szCs w:val="21"/>
                    </w:rPr>
                  </w:pPr>
                  <w:r>
                    <w:rPr>
                      <w:kern w:val="0"/>
                      <w:szCs w:val="21"/>
                      <w:lang w:bidi="ar"/>
                    </w:rPr>
                    <w:t>25kg/袋</w:t>
                  </w:r>
                </w:p>
              </w:tc>
              <w:tc>
                <w:tcPr>
                  <w:tcW w:w="617" w:type="pct"/>
                  <w:vAlign w:val="center"/>
                </w:tcPr>
                <w:p>
                  <w:pPr>
                    <w:widowControl/>
                    <w:jc w:val="center"/>
                    <w:textAlignment w:val="center"/>
                    <w:rPr>
                      <w:szCs w:val="21"/>
                    </w:rPr>
                  </w:pPr>
                  <w:r>
                    <w:rPr>
                      <w:kern w:val="0"/>
                      <w:szCs w:val="21"/>
                      <w:lang w:bidi="ar"/>
                    </w:rPr>
                    <w:t>0.12</w:t>
                  </w:r>
                </w:p>
              </w:tc>
              <w:tc>
                <w:tcPr>
                  <w:tcW w:w="560" w:type="pct"/>
                  <w:vAlign w:val="center"/>
                </w:tcPr>
                <w:p>
                  <w:pPr>
                    <w:widowControl/>
                    <w:jc w:val="center"/>
                    <w:textAlignment w:val="center"/>
                    <w:rPr>
                      <w:szCs w:val="21"/>
                    </w:rPr>
                  </w:pPr>
                  <w:r>
                    <w:rPr>
                      <w:kern w:val="0"/>
                      <w:szCs w:val="21"/>
                      <w:lang w:bidi="ar"/>
                    </w:rPr>
                    <w:t>0.01</w:t>
                  </w:r>
                </w:p>
              </w:tc>
              <w:tc>
                <w:tcPr>
                  <w:tcW w:w="700" w:type="pct"/>
                  <w:vAlign w:val="center"/>
                </w:tcPr>
                <w:p>
                  <w:pPr>
                    <w:widowControl/>
                    <w:jc w:val="center"/>
                    <w:textAlignment w:val="center"/>
                    <w:rPr>
                      <w:szCs w:val="21"/>
                    </w:rPr>
                  </w:pPr>
                  <w:r>
                    <w:rPr>
                      <w:kern w:val="0"/>
                      <w:szCs w:val="21"/>
                      <w:lang w:bidi="ar"/>
                    </w:rPr>
                    <w:t>水肥间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jc w:val="center"/>
                    <w:outlineLvl w:val="0"/>
                    <w:rPr>
                      <w:szCs w:val="21"/>
                    </w:rPr>
                  </w:pPr>
                  <w:bookmarkStart w:id="133" w:name="_Toc144147988"/>
                  <w:bookmarkStart w:id="134" w:name="_Toc18839"/>
                  <w:r>
                    <w:rPr>
                      <w:szCs w:val="21"/>
                    </w:rPr>
                    <w:t>9</w:t>
                  </w:r>
                  <w:bookmarkEnd w:id="133"/>
                  <w:bookmarkEnd w:id="134"/>
                </w:p>
              </w:tc>
              <w:tc>
                <w:tcPr>
                  <w:tcW w:w="889" w:type="pct"/>
                  <w:vAlign w:val="center"/>
                </w:tcPr>
                <w:p>
                  <w:pPr>
                    <w:widowControl/>
                    <w:jc w:val="center"/>
                    <w:textAlignment w:val="center"/>
                    <w:rPr>
                      <w:szCs w:val="21"/>
                    </w:rPr>
                  </w:pPr>
                  <w:r>
                    <w:fldChar w:fldCharType="begin"/>
                  </w:r>
                  <w:r>
                    <w:instrText xml:space="preserve"> HYPERLINK \l "RANGE!A1" </w:instrText>
                  </w:r>
                  <w:r>
                    <w:fldChar w:fldCharType="separate"/>
                  </w:r>
                  <w:r>
                    <w:rPr>
                      <w:rStyle w:val="30"/>
                      <w:color w:val="auto"/>
                      <w:szCs w:val="21"/>
                      <w:u w:val="none"/>
                    </w:rPr>
                    <w:t>硫酸铜</w:t>
                  </w:r>
                  <w:r>
                    <w:rPr>
                      <w:rStyle w:val="30"/>
                      <w:color w:val="auto"/>
                      <w:szCs w:val="21"/>
                      <w:u w:val="none"/>
                    </w:rPr>
                    <w:fldChar w:fldCharType="end"/>
                  </w:r>
                </w:p>
              </w:tc>
              <w:tc>
                <w:tcPr>
                  <w:tcW w:w="630" w:type="pct"/>
                  <w:vAlign w:val="center"/>
                </w:tcPr>
                <w:p>
                  <w:pPr>
                    <w:widowControl/>
                    <w:jc w:val="center"/>
                    <w:textAlignment w:val="center"/>
                    <w:rPr>
                      <w:szCs w:val="21"/>
                    </w:rPr>
                  </w:pPr>
                  <w:r>
                    <w:rPr>
                      <w:kern w:val="0"/>
                      <w:szCs w:val="21"/>
                      <w:lang w:bidi="ar"/>
                    </w:rPr>
                    <w:t>25kg/袋</w:t>
                  </w:r>
                </w:p>
              </w:tc>
              <w:tc>
                <w:tcPr>
                  <w:tcW w:w="617" w:type="pct"/>
                  <w:vAlign w:val="center"/>
                </w:tcPr>
                <w:p>
                  <w:pPr>
                    <w:widowControl/>
                    <w:jc w:val="center"/>
                    <w:textAlignment w:val="center"/>
                    <w:rPr>
                      <w:szCs w:val="21"/>
                    </w:rPr>
                  </w:pPr>
                  <w:r>
                    <w:rPr>
                      <w:kern w:val="0"/>
                      <w:szCs w:val="21"/>
                      <w:lang w:bidi="ar"/>
                    </w:rPr>
                    <w:t>0.05</w:t>
                  </w:r>
                </w:p>
              </w:tc>
              <w:tc>
                <w:tcPr>
                  <w:tcW w:w="560" w:type="pct"/>
                  <w:vAlign w:val="center"/>
                </w:tcPr>
                <w:p>
                  <w:pPr>
                    <w:widowControl/>
                    <w:jc w:val="center"/>
                    <w:textAlignment w:val="center"/>
                    <w:rPr>
                      <w:szCs w:val="21"/>
                    </w:rPr>
                  </w:pPr>
                  <w:r>
                    <w:rPr>
                      <w:kern w:val="0"/>
                      <w:szCs w:val="21"/>
                      <w:lang w:bidi="ar"/>
                    </w:rPr>
                    <w:t>0.005</w:t>
                  </w:r>
                </w:p>
              </w:tc>
              <w:tc>
                <w:tcPr>
                  <w:tcW w:w="700" w:type="pct"/>
                  <w:vAlign w:val="center"/>
                </w:tcPr>
                <w:p>
                  <w:pPr>
                    <w:widowControl/>
                    <w:jc w:val="center"/>
                    <w:textAlignment w:val="center"/>
                    <w:rPr>
                      <w:szCs w:val="21"/>
                    </w:rPr>
                  </w:pPr>
                  <w:r>
                    <w:rPr>
                      <w:kern w:val="0"/>
                      <w:szCs w:val="21"/>
                      <w:lang w:bidi="ar"/>
                    </w:rPr>
                    <w:t>水肥间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jc w:val="center"/>
                    <w:outlineLvl w:val="0"/>
                    <w:rPr>
                      <w:szCs w:val="21"/>
                    </w:rPr>
                  </w:pPr>
                  <w:bookmarkStart w:id="135" w:name="_Toc144147989"/>
                  <w:bookmarkStart w:id="136" w:name="_Toc21220"/>
                  <w:r>
                    <w:rPr>
                      <w:szCs w:val="21"/>
                    </w:rPr>
                    <w:t>10</w:t>
                  </w:r>
                  <w:bookmarkEnd w:id="135"/>
                  <w:bookmarkEnd w:id="136"/>
                </w:p>
              </w:tc>
              <w:tc>
                <w:tcPr>
                  <w:tcW w:w="889" w:type="pct"/>
                  <w:vAlign w:val="center"/>
                </w:tcPr>
                <w:p>
                  <w:pPr>
                    <w:widowControl/>
                    <w:jc w:val="center"/>
                    <w:textAlignment w:val="center"/>
                    <w:rPr>
                      <w:szCs w:val="21"/>
                    </w:rPr>
                  </w:pPr>
                  <w:r>
                    <w:fldChar w:fldCharType="begin"/>
                  </w:r>
                  <w:r>
                    <w:instrText xml:space="preserve"> HYPERLINK \l "RANGE!A1" </w:instrText>
                  </w:r>
                  <w:r>
                    <w:fldChar w:fldCharType="separate"/>
                  </w:r>
                  <w:r>
                    <w:rPr>
                      <w:rStyle w:val="30"/>
                      <w:color w:val="auto"/>
                      <w:szCs w:val="21"/>
                      <w:u w:val="none"/>
                    </w:rPr>
                    <w:t>钼酸铵</w:t>
                  </w:r>
                  <w:r>
                    <w:rPr>
                      <w:rStyle w:val="30"/>
                      <w:color w:val="auto"/>
                      <w:szCs w:val="21"/>
                      <w:u w:val="none"/>
                    </w:rPr>
                    <w:fldChar w:fldCharType="end"/>
                  </w:r>
                </w:p>
              </w:tc>
              <w:tc>
                <w:tcPr>
                  <w:tcW w:w="630" w:type="pct"/>
                  <w:vAlign w:val="center"/>
                </w:tcPr>
                <w:p>
                  <w:pPr>
                    <w:widowControl/>
                    <w:jc w:val="center"/>
                    <w:textAlignment w:val="center"/>
                    <w:rPr>
                      <w:szCs w:val="21"/>
                    </w:rPr>
                  </w:pPr>
                  <w:r>
                    <w:rPr>
                      <w:kern w:val="0"/>
                      <w:szCs w:val="21"/>
                      <w:lang w:bidi="ar"/>
                    </w:rPr>
                    <w:t>25kg/袋</w:t>
                  </w:r>
                </w:p>
              </w:tc>
              <w:tc>
                <w:tcPr>
                  <w:tcW w:w="617" w:type="pct"/>
                  <w:vAlign w:val="center"/>
                </w:tcPr>
                <w:p>
                  <w:pPr>
                    <w:widowControl/>
                    <w:jc w:val="center"/>
                    <w:textAlignment w:val="center"/>
                    <w:rPr>
                      <w:szCs w:val="21"/>
                    </w:rPr>
                  </w:pPr>
                  <w:r>
                    <w:rPr>
                      <w:kern w:val="0"/>
                      <w:szCs w:val="21"/>
                      <w:lang w:bidi="ar"/>
                    </w:rPr>
                    <w:t>3</w:t>
                  </w:r>
                </w:p>
              </w:tc>
              <w:tc>
                <w:tcPr>
                  <w:tcW w:w="560" w:type="pct"/>
                  <w:vAlign w:val="center"/>
                </w:tcPr>
                <w:p>
                  <w:pPr>
                    <w:widowControl/>
                    <w:jc w:val="center"/>
                    <w:textAlignment w:val="center"/>
                    <w:rPr>
                      <w:szCs w:val="21"/>
                    </w:rPr>
                  </w:pPr>
                  <w:r>
                    <w:rPr>
                      <w:kern w:val="0"/>
                      <w:szCs w:val="21"/>
                      <w:lang w:bidi="ar"/>
                    </w:rPr>
                    <w:t>0.3</w:t>
                  </w:r>
                </w:p>
              </w:tc>
              <w:tc>
                <w:tcPr>
                  <w:tcW w:w="700" w:type="pct"/>
                  <w:vAlign w:val="center"/>
                </w:tcPr>
                <w:p>
                  <w:pPr>
                    <w:widowControl/>
                    <w:jc w:val="center"/>
                    <w:textAlignment w:val="center"/>
                    <w:rPr>
                      <w:szCs w:val="21"/>
                    </w:rPr>
                  </w:pPr>
                  <w:r>
                    <w:rPr>
                      <w:kern w:val="0"/>
                      <w:szCs w:val="21"/>
                      <w:lang w:bidi="ar"/>
                    </w:rPr>
                    <w:t>水肥间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jc w:val="center"/>
                    <w:outlineLvl w:val="0"/>
                    <w:rPr>
                      <w:szCs w:val="21"/>
                    </w:rPr>
                  </w:pPr>
                  <w:bookmarkStart w:id="137" w:name="_Toc8738"/>
                  <w:bookmarkStart w:id="138" w:name="_Toc144147990"/>
                  <w:r>
                    <w:rPr>
                      <w:szCs w:val="21"/>
                    </w:rPr>
                    <w:t>11</w:t>
                  </w:r>
                  <w:bookmarkEnd w:id="137"/>
                  <w:bookmarkEnd w:id="138"/>
                </w:p>
              </w:tc>
              <w:tc>
                <w:tcPr>
                  <w:tcW w:w="889" w:type="pct"/>
                  <w:vAlign w:val="center"/>
                </w:tcPr>
                <w:p>
                  <w:pPr>
                    <w:widowControl/>
                    <w:jc w:val="center"/>
                    <w:textAlignment w:val="center"/>
                    <w:rPr>
                      <w:szCs w:val="21"/>
                    </w:rPr>
                  </w:pPr>
                  <w:r>
                    <w:fldChar w:fldCharType="begin"/>
                  </w:r>
                  <w:r>
                    <w:instrText xml:space="preserve"> HYPERLINK \l "RANGE!A1" </w:instrText>
                  </w:r>
                  <w:r>
                    <w:fldChar w:fldCharType="separate"/>
                  </w:r>
                  <w:r>
                    <w:rPr>
                      <w:rStyle w:val="30"/>
                      <w:color w:val="auto"/>
                      <w:szCs w:val="21"/>
                      <w:u w:val="none"/>
                    </w:rPr>
                    <w:t>硫酸锌</w:t>
                  </w:r>
                  <w:r>
                    <w:rPr>
                      <w:rStyle w:val="30"/>
                      <w:color w:val="auto"/>
                      <w:szCs w:val="21"/>
                      <w:u w:val="none"/>
                    </w:rPr>
                    <w:fldChar w:fldCharType="end"/>
                  </w:r>
                </w:p>
              </w:tc>
              <w:tc>
                <w:tcPr>
                  <w:tcW w:w="630" w:type="pct"/>
                  <w:vAlign w:val="center"/>
                </w:tcPr>
                <w:p>
                  <w:pPr>
                    <w:widowControl/>
                    <w:jc w:val="center"/>
                    <w:textAlignment w:val="center"/>
                    <w:rPr>
                      <w:szCs w:val="21"/>
                    </w:rPr>
                  </w:pPr>
                  <w:r>
                    <w:rPr>
                      <w:kern w:val="0"/>
                      <w:szCs w:val="21"/>
                      <w:lang w:bidi="ar"/>
                    </w:rPr>
                    <w:t>25kg/袋</w:t>
                  </w:r>
                </w:p>
              </w:tc>
              <w:tc>
                <w:tcPr>
                  <w:tcW w:w="617" w:type="pct"/>
                  <w:vAlign w:val="center"/>
                </w:tcPr>
                <w:p>
                  <w:pPr>
                    <w:widowControl/>
                    <w:jc w:val="center"/>
                    <w:textAlignment w:val="center"/>
                    <w:rPr>
                      <w:szCs w:val="21"/>
                    </w:rPr>
                  </w:pPr>
                  <w:r>
                    <w:rPr>
                      <w:kern w:val="0"/>
                      <w:szCs w:val="21"/>
                      <w:lang w:bidi="ar"/>
                    </w:rPr>
                    <w:t>0.02</w:t>
                  </w:r>
                </w:p>
              </w:tc>
              <w:tc>
                <w:tcPr>
                  <w:tcW w:w="560" w:type="pct"/>
                  <w:vAlign w:val="center"/>
                </w:tcPr>
                <w:p>
                  <w:pPr>
                    <w:widowControl/>
                    <w:jc w:val="center"/>
                    <w:textAlignment w:val="center"/>
                    <w:rPr>
                      <w:szCs w:val="21"/>
                    </w:rPr>
                  </w:pPr>
                  <w:r>
                    <w:rPr>
                      <w:kern w:val="0"/>
                      <w:szCs w:val="21"/>
                      <w:lang w:bidi="ar"/>
                    </w:rPr>
                    <w:t>0.002</w:t>
                  </w:r>
                </w:p>
              </w:tc>
              <w:tc>
                <w:tcPr>
                  <w:tcW w:w="700" w:type="pct"/>
                  <w:vAlign w:val="center"/>
                </w:tcPr>
                <w:p>
                  <w:pPr>
                    <w:widowControl/>
                    <w:jc w:val="center"/>
                    <w:textAlignment w:val="center"/>
                    <w:rPr>
                      <w:szCs w:val="21"/>
                    </w:rPr>
                  </w:pPr>
                  <w:r>
                    <w:rPr>
                      <w:kern w:val="0"/>
                      <w:szCs w:val="21"/>
                      <w:lang w:bidi="ar"/>
                    </w:rPr>
                    <w:t>水肥间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jc w:val="center"/>
                    <w:outlineLvl w:val="0"/>
                    <w:rPr>
                      <w:szCs w:val="21"/>
                    </w:rPr>
                  </w:pPr>
                  <w:bookmarkStart w:id="139" w:name="_Toc144147991"/>
                  <w:bookmarkStart w:id="140" w:name="_Toc12840"/>
                  <w:r>
                    <w:rPr>
                      <w:szCs w:val="21"/>
                    </w:rPr>
                    <w:t>12</w:t>
                  </w:r>
                  <w:bookmarkEnd w:id="139"/>
                  <w:bookmarkEnd w:id="140"/>
                </w:p>
              </w:tc>
              <w:tc>
                <w:tcPr>
                  <w:tcW w:w="889" w:type="pct"/>
                  <w:vAlign w:val="center"/>
                </w:tcPr>
                <w:p>
                  <w:pPr>
                    <w:widowControl/>
                    <w:jc w:val="center"/>
                    <w:textAlignment w:val="center"/>
                    <w:rPr>
                      <w:b/>
                      <w:bCs/>
                      <w:szCs w:val="21"/>
                    </w:rPr>
                  </w:pPr>
                  <w:r>
                    <w:rPr>
                      <w:kern w:val="0"/>
                      <w:szCs w:val="21"/>
                      <w:lang w:bidi="ar"/>
                    </w:rPr>
                    <w:t>磷酸二氢钾</w:t>
                  </w:r>
                </w:p>
              </w:tc>
              <w:tc>
                <w:tcPr>
                  <w:tcW w:w="630" w:type="pct"/>
                  <w:vAlign w:val="center"/>
                </w:tcPr>
                <w:p>
                  <w:pPr>
                    <w:widowControl/>
                    <w:jc w:val="center"/>
                    <w:textAlignment w:val="center"/>
                    <w:rPr>
                      <w:b/>
                      <w:bCs/>
                      <w:szCs w:val="21"/>
                    </w:rPr>
                  </w:pPr>
                  <w:r>
                    <w:rPr>
                      <w:kern w:val="0"/>
                      <w:szCs w:val="21"/>
                      <w:lang w:bidi="ar"/>
                    </w:rPr>
                    <w:t>20kg/袋</w:t>
                  </w:r>
                </w:p>
              </w:tc>
              <w:tc>
                <w:tcPr>
                  <w:tcW w:w="617" w:type="pct"/>
                  <w:vAlign w:val="center"/>
                </w:tcPr>
                <w:p>
                  <w:pPr>
                    <w:widowControl/>
                    <w:jc w:val="center"/>
                    <w:textAlignment w:val="center"/>
                    <w:rPr>
                      <w:szCs w:val="21"/>
                    </w:rPr>
                  </w:pPr>
                  <w:r>
                    <w:rPr>
                      <w:kern w:val="0"/>
                      <w:szCs w:val="21"/>
                      <w:lang w:bidi="ar"/>
                    </w:rPr>
                    <w:t>19</w:t>
                  </w:r>
                </w:p>
              </w:tc>
              <w:tc>
                <w:tcPr>
                  <w:tcW w:w="560" w:type="pct"/>
                  <w:vAlign w:val="center"/>
                </w:tcPr>
                <w:p>
                  <w:pPr>
                    <w:widowControl/>
                    <w:jc w:val="center"/>
                    <w:textAlignment w:val="center"/>
                    <w:rPr>
                      <w:b/>
                      <w:bCs/>
                      <w:szCs w:val="21"/>
                    </w:rPr>
                  </w:pPr>
                  <w:r>
                    <w:rPr>
                      <w:kern w:val="0"/>
                      <w:szCs w:val="21"/>
                      <w:lang w:bidi="ar"/>
                    </w:rPr>
                    <w:t>0.2</w:t>
                  </w:r>
                </w:p>
              </w:tc>
              <w:tc>
                <w:tcPr>
                  <w:tcW w:w="700" w:type="pct"/>
                  <w:vAlign w:val="center"/>
                </w:tcPr>
                <w:p>
                  <w:pPr>
                    <w:widowControl/>
                    <w:jc w:val="center"/>
                    <w:textAlignment w:val="center"/>
                    <w:rPr>
                      <w:szCs w:val="21"/>
                    </w:rPr>
                  </w:pPr>
                  <w:r>
                    <w:rPr>
                      <w:kern w:val="0"/>
                      <w:szCs w:val="21"/>
                      <w:lang w:bidi="ar"/>
                    </w:rPr>
                    <w:t>水肥间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widowControl/>
                    <w:jc w:val="center"/>
                    <w:textAlignment w:val="center"/>
                    <w:rPr>
                      <w:szCs w:val="21"/>
                    </w:rPr>
                  </w:pPr>
                  <w:r>
                    <w:rPr>
                      <w:kern w:val="0"/>
                      <w:szCs w:val="21"/>
                      <w:lang w:bidi="ar"/>
                    </w:rPr>
                    <w:t>13</w:t>
                  </w:r>
                </w:p>
              </w:tc>
              <w:tc>
                <w:tcPr>
                  <w:tcW w:w="889" w:type="pct"/>
                  <w:vAlign w:val="center"/>
                </w:tcPr>
                <w:p>
                  <w:pPr>
                    <w:widowControl/>
                    <w:jc w:val="center"/>
                    <w:textAlignment w:val="center"/>
                    <w:rPr>
                      <w:szCs w:val="21"/>
                    </w:rPr>
                  </w:pPr>
                  <w:r>
                    <w:rPr>
                      <w:kern w:val="0"/>
                      <w:szCs w:val="21"/>
                      <w:lang w:bidi="ar"/>
                    </w:rPr>
                    <w:t>阿维菌素</w:t>
                  </w:r>
                </w:p>
              </w:tc>
              <w:tc>
                <w:tcPr>
                  <w:tcW w:w="630" w:type="pct"/>
                  <w:vAlign w:val="center"/>
                </w:tcPr>
                <w:p>
                  <w:pPr>
                    <w:widowControl/>
                    <w:jc w:val="center"/>
                    <w:textAlignment w:val="center"/>
                    <w:rPr>
                      <w:szCs w:val="21"/>
                    </w:rPr>
                  </w:pPr>
                  <w:r>
                    <w:rPr>
                      <w:kern w:val="0"/>
                      <w:szCs w:val="21"/>
                      <w:lang w:bidi="ar"/>
                    </w:rPr>
                    <w:t>1L/瓶</w:t>
                  </w:r>
                </w:p>
              </w:tc>
              <w:tc>
                <w:tcPr>
                  <w:tcW w:w="617" w:type="pct"/>
                  <w:vAlign w:val="center"/>
                </w:tcPr>
                <w:p>
                  <w:pPr>
                    <w:widowControl/>
                    <w:jc w:val="center"/>
                    <w:textAlignment w:val="center"/>
                    <w:rPr>
                      <w:szCs w:val="21"/>
                    </w:rPr>
                  </w:pPr>
                  <w:r>
                    <w:rPr>
                      <w:kern w:val="0"/>
                      <w:szCs w:val="21"/>
                      <w:lang w:bidi="ar"/>
                    </w:rPr>
                    <w:t>0.015</w:t>
                  </w:r>
                </w:p>
              </w:tc>
              <w:tc>
                <w:tcPr>
                  <w:tcW w:w="560" w:type="pct"/>
                  <w:vAlign w:val="center"/>
                </w:tcPr>
                <w:p>
                  <w:pPr>
                    <w:widowControl/>
                    <w:jc w:val="center"/>
                    <w:textAlignment w:val="center"/>
                    <w:rPr>
                      <w:szCs w:val="21"/>
                    </w:rPr>
                  </w:pPr>
                  <w:r>
                    <w:rPr>
                      <w:kern w:val="0"/>
                      <w:szCs w:val="21"/>
                      <w:lang w:bidi="ar"/>
                    </w:rPr>
                    <w:t>0.002</w:t>
                  </w:r>
                </w:p>
              </w:tc>
              <w:tc>
                <w:tcPr>
                  <w:tcW w:w="700" w:type="pct"/>
                  <w:vAlign w:val="center"/>
                </w:tcPr>
                <w:p>
                  <w:pPr>
                    <w:widowControl/>
                    <w:jc w:val="center"/>
                    <w:textAlignment w:val="center"/>
                    <w:rPr>
                      <w:szCs w:val="21"/>
                    </w:rPr>
                  </w:pPr>
                  <w:r>
                    <w:rPr>
                      <w:kern w:val="0"/>
                      <w:szCs w:val="21"/>
                      <w:lang w:bidi="ar"/>
                    </w:rPr>
                    <w:t>农药间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widowControl/>
                    <w:jc w:val="center"/>
                    <w:textAlignment w:val="center"/>
                    <w:rPr>
                      <w:szCs w:val="21"/>
                    </w:rPr>
                  </w:pPr>
                  <w:r>
                    <w:rPr>
                      <w:kern w:val="0"/>
                      <w:szCs w:val="21"/>
                      <w:lang w:bidi="ar"/>
                    </w:rPr>
                    <w:t>14</w:t>
                  </w:r>
                </w:p>
              </w:tc>
              <w:tc>
                <w:tcPr>
                  <w:tcW w:w="889" w:type="pct"/>
                  <w:vAlign w:val="center"/>
                </w:tcPr>
                <w:p>
                  <w:pPr>
                    <w:widowControl/>
                    <w:jc w:val="center"/>
                    <w:textAlignment w:val="center"/>
                    <w:rPr>
                      <w:szCs w:val="21"/>
                    </w:rPr>
                  </w:pPr>
                  <w:r>
                    <w:rPr>
                      <w:kern w:val="0"/>
                      <w:szCs w:val="21"/>
                      <w:lang w:bidi="ar"/>
                    </w:rPr>
                    <w:t>百菌清</w:t>
                  </w:r>
                </w:p>
              </w:tc>
              <w:tc>
                <w:tcPr>
                  <w:tcW w:w="630" w:type="pct"/>
                  <w:vAlign w:val="center"/>
                </w:tcPr>
                <w:p>
                  <w:pPr>
                    <w:widowControl/>
                    <w:jc w:val="center"/>
                    <w:textAlignment w:val="center"/>
                    <w:rPr>
                      <w:szCs w:val="21"/>
                    </w:rPr>
                  </w:pPr>
                  <w:r>
                    <w:rPr>
                      <w:kern w:val="0"/>
                      <w:szCs w:val="21"/>
                      <w:lang w:bidi="ar"/>
                    </w:rPr>
                    <w:t>1kg/袋</w:t>
                  </w:r>
                </w:p>
              </w:tc>
              <w:tc>
                <w:tcPr>
                  <w:tcW w:w="617" w:type="pct"/>
                  <w:vAlign w:val="center"/>
                </w:tcPr>
                <w:p>
                  <w:pPr>
                    <w:widowControl/>
                    <w:jc w:val="center"/>
                    <w:textAlignment w:val="center"/>
                    <w:rPr>
                      <w:szCs w:val="21"/>
                    </w:rPr>
                  </w:pPr>
                  <w:r>
                    <w:rPr>
                      <w:kern w:val="0"/>
                      <w:szCs w:val="21"/>
                      <w:lang w:bidi="ar"/>
                    </w:rPr>
                    <w:t>0.015</w:t>
                  </w:r>
                </w:p>
              </w:tc>
              <w:tc>
                <w:tcPr>
                  <w:tcW w:w="560" w:type="pct"/>
                  <w:vAlign w:val="center"/>
                </w:tcPr>
                <w:p>
                  <w:pPr>
                    <w:widowControl/>
                    <w:jc w:val="center"/>
                    <w:textAlignment w:val="center"/>
                    <w:rPr>
                      <w:szCs w:val="21"/>
                    </w:rPr>
                  </w:pPr>
                  <w:r>
                    <w:rPr>
                      <w:kern w:val="0"/>
                      <w:szCs w:val="21"/>
                      <w:lang w:bidi="ar"/>
                    </w:rPr>
                    <w:t>0.005</w:t>
                  </w:r>
                </w:p>
              </w:tc>
              <w:tc>
                <w:tcPr>
                  <w:tcW w:w="700" w:type="pct"/>
                  <w:vAlign w:val="center"/>
                </w:tcPr>
                <w:p>
                  <w:pPr>
                    <w:widowControl/>
                    <w:jc w:val="center"/>
                    <w:textAlignment w:val="center"/>
                    <w:rPr>
                      <w:szCs w:val="21"/>
                    </w:rPr>
                  </w:pPr>
                  <w:r>
                    <w:rPr>
                      <w:kern w:val="0"/>
                      <w:szCs w:val="21"/>
                      <w:lang w:bidi="ar"/>
                    </w:rPr>
                    <w:t>农药间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widowControl/>
                    <w:jc w:val="center"/>
                    <w:textAlignment w:val="center"/>
                    <w:rPr>
                      <w:szCs w:val="21"/>
                    </w:rPr>
                  </w:pPr>
                  <w:r>
                    <w:rPr>
                      <w:kern w:val="0"/>
                      <w:szCs w:val="21"/>
                      <w:lang w:bidi="ar"/>
                    </w:rPr>
                    <w:t>15</w:t>
                  </w:r>
                </w:p>
              </w:tc>
              <w:tc>
                <w:tcPr>
                  <w:tcW w:w="889" w:type="pct"/>
                  <w:vAlign w:val="center"/>
                </w:tcPr>
                <w:p>
                  <w:pPr>
                    <w:widowControl/>
                    <w:jc w:val="center"/>
                    <w:textAlignment w:val="center"/>
                    <w:rPr>
                      <w:szCs w:val="21"/>
                    </w:rPr>
                  </w:pPr>
                  <w:r>
                    <w:rPr>
                      <w:kern w:val="0"/>
                      <w:szCs w:val="21"/>
                      <w:lang w:bidi="ar"/>
                    </w:rPr>
                    <w:t>苯醚甲环唑</w:t>
                  </w:r>
                </w:p>
              </w:tc>
              <w:tc>
                <w:tcPr>
                  <w:tcW w:w="630" w:type="pct"/>
                  <w:vAlign w:val="center"/>
                </w:tcPr>
                <w:p>
                  <w:pPr>
                    <w:widowControl/>
                    <w:jc w:val="center"/>
                    <w:textAlignment w:val="center"/>
                    <w:rPr>
                      <w:szCs w:val="21"/>
                    </w:rPr>
                  </w:pPr>
                  <w:r>
                    <w:rPr>
                      <w:kern w:val="0"/>
                      <w:szCs w:val="21"/>
                      <w:lang w:bidi="ar"/>
                    </w:rPr>
                    <w:t>1kg/袋</w:t>
                  </w:r>
                </w:p>
              </w:tc>
              <w:tc>
                <w:tcPr>
                  <w:tcW w:w="617" w:type="pct"/>
                  <w:vAlign w:val="center"/>
                </w:tcPr>
                <w:p>
                  <w:pPr>
                    <w:widowControl/>
                    <w:jc w:val="center"/>
                    <w:textAlignment w:val="center"/>
                    <w:rPr>
                      <w:szCs w:val="21"/>
                    </w:rPr>
                  </w:pPr>
                  <w:r>
                    <w:rPr>
                      <w:kern w:val="0"/>
                      <w:szCs w:val="21"/>
                      <w:lang w:bidi="ar"/>
                    </w:rPr>
                    <w:t>0.012</w:t>
                  </w:r>
                </w:p>
              </w:tc>
              <w:tc>
                <w:tcPr>
                  <w:tcW w:w="560" w:type="pct"/>
                  <w:vAlign w:val="center"/>
                </w:tcPr>
                <w:p>
                  <w:pPr>
                    <w:widowControl/>
                    <w:jc w:val="center"/>
                    <w:textAlignment w:val="center"/>
                    <w:rPr>
                      <w:szCs w:val="21"/>
                    </w:rPr>
                  </w:pPr>
                  <w:r>
                    <w:rPr>
                      <w:kern w:val="0"/>
                      <w:szCs w:val="21"/>
                      <w:lang w:bidi="ar"/>
                    </w:rPr>
                    <w:t>0.003</w:t>
                  </w:r>
                </w:p>
              </w:tc>
              <w:tc>
                <w:tcPr>
                  <w:tcW w:w="700" w:type="pct"/>
                  <w:vAlign w:val="center"/>
                </w:tcPr>
                <w:p>
                  <w:pPr>
                    <w:widowControl/>
                    <w:jc w:val="center"/>
                    <w:textAlignment w:val="center"/>
                    <w:rPr>
                      <w:szCs w:val="21"/>
                    </w:rPr>
                  </w:pPr>
                  <w:r>
                    <w:rPr>
                      <w:kern w:val="0"/>
                      <w:szCs w:val="21"/>
                      <w:lang w:bidi="ar"/>
                    </w:rPr>
                    <w:t>农药间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55" w:type="pct"/>
                  <w:vAlign w:val="center"/>
                </w:tcPr>
                <w:p>
                  <w:pPr>
                    <w:widowControl/>
                    <w:jc w:val="center"/>
                    <w:textAlignment w:val="center"/>
                    <w:rPr>
                      <w:szCs w:val="21"/>
                    </w:rPr>
                  </w:pPr>
                  <w:r>
                    <w:rPr>
                      <w:kern w:val="0"/>
                      <w:szCs w:val="21"/>
                      <w:lang w:bidi="ar"/>
                    </w:rPr>
                    <w:t>16</w:t>
                  </w:r>
                </w:p>
              </w:tc>
              <w:tc>
                <w:tcPr>
                  <w:tcW w:w="889" w:type="pct"/>
                  <w:vAlign w:val="center"/>
                </w:tcPr>
                <w:p>
                  <w:pPr>
                    <w:widowControl/>
                    <w:jc w:val="center"/>
                    <w:textAlignment w:val="center"/>
                    <w:rPr>
                      <w:szCs w:val="21"/>
                    </w:rPr>
                  </w:pPr>
                  <w:r>
                    <w:rPr>
                      <w:kern w:val="0"/>
                      <w:szCs w:val="21"/>
                      <w:lang w:bidi="ar"/>
                    </w:rPr>
                    <w:t>吡虫啉</w:t>
                  </w:r>
                </w:p>
              </w:tc>
              <w:tc>
                <w:tcPr>
                  <w:tcW w:w="630" w:type="pct"/>
                  <w:vAlign w:val="center"/>
                </w:tcPr>
                <w:p>
                  <w:pPr>
                    <w:widowControl/>
                    <w:jc w:val="center"/>
                    <w:textAlignment w:val="center"/>
                    <w:rPr>
                      <w:szCs w:val="21"/>
                    </w:rPr>
                  </w:pPr>
                  <w:r>
                    <w:rPr>
                      <w:kern w:val="0"/>
                      <w:szCs w:val="21"/>
                      <w:lang w:bidi="ar"/>
                    </w:rPr>
                    <w:t>500g/瓶</w:t>
                  </w:r>
                </w:p>
              </w:tc>
              <w:tc>
                <w:tcPr>
                  <w:tcW w:w="617" w:type="pct"/>
                  <w:vAlign w:val="center"/>
                </w:tcPr>
                <w:p>
                  <w:pPr>
                    <w:widowControl/>
                    <w:jc w:val="center"/>
                    <w:textAlignment w:val="center"/>
                    <w:rPr>
                      <w:szCs w:val="21"/>
                    </w:rPr>
                  </w:pPr>
                  <w:r>
                    <w:rPr>
                      <w:kern w:val="0"/>
                      <w:szCs w:val="21"/>
                      <w:lang w:bidi="ar"/>
                    </w:rPr>
                    <w:t>0.01</w:t>
                  </w:r>
                </w:p>
              </w:tc>
              <w:tc>
                <w:tcPr>
                  <w:tcW w:w="560" w:type="pct"/>
                  <w:vAlign w:val="center"/>
                </w:tcPr>
                <w:p>
                  <w:pPr>
                    <w:widowControl/>
                    <w:jc w:val="center"/>
                    <w:textAlignment w:val="center"/>
                    <w:rPr>
                      <w:szCs w:val="21"/>
                    </w:rPr>
                  </w:pPr>
                  <w:r>
                    <w:rPr>
                      <w:kern w:val="0"/>
                      <w:szCs w:val="21"/>
                      <w:lang w:bidi="ar"/>
                    </w:rPr>
                    <w:t>0.001</w:t>
                  </w:r>
                </w:p>
              </w:tc>
              <w:tc>
                <w:tcPr>
                  <w:tcW w:w="700" w:type="pct"/>
                  <w:vAlign w:val="center"/>
                </w:tcPr>
                <w:p>
                  <w:pPr>
                    <w:widowControl/>
                    <w:jc w:val="center"/>
                    <w:textAlignment w:val="center"/>
                    <w:rPr>
                      <w:szCs w:val="21"/>
                    </w:rPr>
                  </w:pPr>
                  <w:r>
                    <w:rPr>
                      <w:kern w:val="0"/>
                      <w:szCs w:val="21"/>
                      <w:lang w:bidi="ar"/>
                    </w:rPr>
                    <w:t>农药间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widowControl/>
                    <w:jc w:val="center"/>
                    <w:textAlignment w:val="center"/>
                    <w:rPr>
                      <w:szCs w:val="21"/>
                    </w:rPr>
                  </w:pPr>
                  <w:r>
                    <w:rPr>
                      <w:kern w:val="0"/>
                      <w:szCs w:val="21"/>
                      <w:lang w:bidi="ar"/>
                    </w:rPr>
                    <w:t>17</w:t>
                  </w:r>
                </w:p>
              </w:tc>
              <w:tc>
                <w:tcPr>
                  <w:tcW w:w="889" w:type="pct"/>
                  <w:vAlign w:val="center"/>
                </w:tcPr>
                <w:p>
                  <w:pPr>
                    <w:widowControl/>
                    <w:jc w:val="center"/>
                    <w:textAlignment w:val="center"/>
                    <w:rPr>
                      <w:szCs w:val="21"/>
                    </w:rPr>
                  </w:pPr>
                  <w:r>
                    <w:rPr>
                      <w:kern w:val="0"/>
                      <w:szCs w:val="21"/>
                      <w:lang w:bidi="ar"/>
                    </w:rPr>
                    <w:t>吡萘嘧菌酯</w:t>
                  </w:r>
                </w:p>
              </w:tc>
              <w:tc>
                <w:tcPr>
                  <w:tcW w:w="630" w:type="pct"/>
                  <w:vAlign w:val="center"/>
                </w:tcPr>
                <w:p>
                  <w:pPr>
                    <w:widowControl/>
                    <w:jc w:val="center"/>
                    <w:textAlignment w:val="center"/>
                    <w:rPr>
                      <w:szCs w:val="21"/>
                    </w:rPr>
                  </w:pPr>
                  <w:r>
                    <w:rPr>
                      <w:kern w:val="0"/>
                      <w:szCs w:val="21"/>
                      <w:lang w:bidi="ar"/>
                    </w:rPr>
                    <w:t>100ml/瓶</w:t>
                  </w:r>
                </w:p>
              </w:tc>
              <w:tc>
                <w:tcPr>
                  <w:tcW w:w="617" w:type="pct"/>
                  <w:vAlign w:val="center"/>
                </w:tcPr>
                <w:p>
                  <w:pPr>
                    <w:widowControl/>
                    <w:jc w:val="center"/>
                    <w:textAlignment w:val="center"/>
                    <w:rPr>
                      <w:szCs w:val="21"/>
                    </w:rPr>
                  </w:pPr>
                  <w:r>
                    <w:rPr>
                      <w:kern w:val="0"/>
                      <w:szCs w:val="21"/>
                      <w:lang w:bidi="ar"/>
                    </w:rPr>
                    <w:t>0.008</w:t>
                  </w:r>
                </w:p>
              </w:tc>
              <w:tc>
                <w:tcPr>
                  <w:tcW w:w="560" w:type="pct"/>
                  <w:vAlign w:val="center"/>
                </w:tcPr>
                <w:p>
                  <w:pPr>
                    <w:widowControl/>
                    <w:jc w:val="center"/>
                    <w:textAlignment w:val="center"/>
                    <w:rPr>
                      <w:szCs w:val="21"/>
                    </w:rPr>
                  </w:pPr>
                  <w:r>
                    <w:rPr>
                      <w:kern w:val="0"/>
                      <w:szCs w:val="21"/>
                      <w:lang w:bidi="ar"/>
                    </w:rPr>
                    <w:t>0.002</w:t>
                  </w:r>
                </w:p>
              </w:tc>
              <w:tc>
                <w:tcPr>
                  <w:tcW w:w="700" w:type="pct"/>
                  <w:vAlign w:val="center"/>
                </w:tcPr>
                <w:p>
                  <w:pPr>
                    <w:widowControl/>
                    <w:jc w:val="center"/>
                    <w:textAlignment w:val="center"/>
                    <w:rPr>
                      <w:szCs w:val="21"/>
                    </w:rPr>
                  </w:pPr>
                  <w:r>
                    <w:rPr>
                      <w:kern w:val="0"/>
                      <w:szCs w:val="21"/>
                      <w:lang w:bidi="ar"/>
                    </w:rPr>
                    <w:t>农药间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pct"/>
                  <w:vAlign w:val="center"/>
                </w:tcPr>
                <w:p>
                  <w:pPr>
                    <w:widowControl/>
                    <w:jc w:val="center"/>
                    <w:textAlignment w:val="center"/>
                    <w:rPr>
                      <w:szCs w:val="21"/>
                    </w:rPr>
                  </w:pPr>
                  <w:r>
                    <w:rPr>
                      <w:kern w:val="0"/>
                      <w:szCs w:val="21"/>
                      <w:lang w:bidi="ar"/>
                    </w:rPr>
                    <w:t>18</w:t>
                  </w:r>
                </w:p>
              </w:tc>
              <w:tc>
                <w:tcPr>
                  <w:tcW w:w="889" w:type="pct"/>
                  <w:vAlign w:val="center"/>
                </w:tcPr>
                <w:p>
                  <w:pPr>
                    <w:widowControl/>
                    <w:jc w:val="center"/>
                    <w:textAlignment w:val="center"/>
                    <w:rPr>
                      <w:szCs w:val="21"/>
                    </w:rPr>
                  </w:pPr>
                  <w:r>
                    <w:rPr>
                      <w:kern w:val="0"/>
                      <w:szCs w:val="21"/>
                      <w:lang w:bidi="ar"/>
                    </w:rPr>
                    <w:t>吡噻菌胺</w:t>
                  </w:r>
                </w:p>
              </w:tc>
              <w:tc>
                <w:tcPr>
                  <w:tcW w:w="630" w:type="pct"/>
                  <w:vAlign w:val="center"/>
                </w:tcPr>
                <w:p>
                  <w:pPr>
                    <w:widowControl/>
                    <w:jc w:val="center"/>
                    <w:textAlignment w:val="center"/>
                    <w:rPr>
                      <w:szCs w:val="21"/>
                    </w:rPr>
                  </w:pPr>
                  <w:r>
                    <w:rPr>
                      <w:kern w:val="0"/>
                      <w:szCs w:val="21"/>
                      <w:lang w:bidi="ar"/>
                    </w:rPr>
                    <w:t>1L/瓶</w:t>
                  </w:r>
                </w:p>
              </w:tc>
              <w:tc>
                <w:tcPr>
                  <w:tcW w:w="617" w:type="pct"/>
                  <w:vAlign w:val="center"/>
                </w:tcPr>
                <w:p>
                  <w:pPr>
                    <w:widowControl/>
                    <w:jc w:val="center"/>
                    <w:textAlignment w:val="center"/>
                    <w:rPr>
                      <w:szCs w:val="21"/>
                    </w:rPr>
                  </w:pPr>
                  <w:r>
                    <w:rPr>
                      <w:kern w:val="0"/>
                      <w:szCs w:val="21"/>
                      <w:lang w:bidi="ar"/>
                    </w:rPr>
                    <w:t>0.01</w:t>
                  </w:r>
                </w:p>
              </w:tc>
              <w:tc>
                <w:tcPr>
                  <w:tcW w:w="560" w:type="pct"/>
                  <w:vAlign w:val="center"/>
                </w:tcPr>
                <w:p>
                  <w:pPr>
                    <w:widowControl/>
                    <w:jc w:val="center"/>
                    <w:textAlignment w:val="center"/>
                    <w:rPr>
                      <w:szCs w:val="21"/>
                    </w:rPr>
                  </w:pPr>
                  <w:r>
                    <w:rPr>
                      <w:kern w:val="0"/>
                      <w:szCs w:val="21"/>
                      <w:lang w:bidi="ar"/>
                    </w:rPr>
                    <w:t>0.003</w:t>
                  </w:r>
                </w:p>
              </w:tc>
              <w:tc>
                <w:tcPr>
                  <w:tcW w:w="700" w:type="pct"/>
                  <w:vAlign w:val="center"/>
                </w:tcPr>
                <w:p>
                  <w:pPr>
                    <w:widowControl/>
                    <w:jc w:val="center"/>
                    <w:textAlignment w:val="center"/>
                    <w:rPr>
                      <w:szCs w:val="21"/>
                    </w:rPr>
                  </w:pPr>
                  <w:r>
                    <w:rPr>
                      <w:kern w:val="0"/>
                      <w:szCs w:val="21"/>
                      <w:lang w:bidi="ar"/>
                    </w:rPr>
                    <w:t>农药间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widowControl/>
                    <w:jc w:val="center"/>
                    <w:textAlignment w:val="center"/>
                    <w:rPr>
                      <w:szCs w:val="21"/>
                    </w:rPr>
                  </w:pPr>
                  <w:r>
                    <w:rPr>
                      <w:kern w:val="0"/>
                      <w:szCs w:val="21"/>
                      <w:lang w:bidi="ar"/>
                    </w:rPr>
                    <w:t>19</w:t>
                  </w:r>
                </w:p>
              </w:tc>
              <w:tc>
                <w:tcPr>
                  <w:tcW w:w="889" w:type="pct"/>
                  <w:vAlign w:val="center"/>
                </w:tcPr>
                <w:p>
                  <w:pPr>
                    <w:widowControl/>
                    <w:jc w:val="center"/>
                    <w:textAlignment w:val="center"/>
                    <w:rPr>
                      <w:szCs w:val="21"/>
                    </w:rPr>
                  </w:pPr>
                  <w:r>
                    <w:rPr>
                      <w:kern w:val="0"/>
                      <w:szCs w:val="21"/>
                      <w:lang w:bidi="ar"/>
                    </w:rPr>
                    <w:t>哒螨螺螨酯</w:t>
                  </w:r>
                </w:p>
              </w:tc>
              <w:tc>
                <w:tcPr>
                  <w:tcW w:w="630" w:type="pct"/>
                  <w:vAlign w:val="center"/>
                </w:tcPr>
                <w:p>
                  <w:pPr>
                    <w:widowControl/>
                    <w:jc w:val="center"/>
                    <w:textAlignment w:val="center"/>
                    <w:rPr>
                      <w:szCs w:val="21"/>
                    </w:rPr>
                  </w:pPr>
                  <w:r>
                    <w:rPr>
                      <w:kern w:val="0"/>
                      <w:szCs w:val="21"/>
                      <w:lang w:bidi="ar"/>
                    </w:rPr>
                    <w:t>500ml/瓶</w:t>
                  </w:r>
                </w:p>
              </w:tc>
              <w:tc>
                <w:tcPr>
                  <w:tcW w:w="617" w:type="pct"/>
                  <w:vAlign w:val="center"/>
                </w:tcPr>
                <w:p>
                  <w:pPr>
                    <w:widowControl/>
                    <w:jc w:val="center"/>
                    <w:textAlignment w:val="center"/>
                    <w:rPr>
                      <w:szCs w:val="21"/>
                    </w:rPr>
                  </w:pPr>
                  <w:r>
                    <w:rPr>
                      <w:kern w:val="0"/>
                      <w:szCs w:val="21"/>
                      <w:lang w:bidi="ar"/>
                    </w:rPr>
                    <w:t>0.005</w:t>
                  </w:r>
                </w:p>
              </w:tc>
              <w:tc>
                <w:tcPr>
                  <w:tcW w:w="560" w:type="pct"/>
                  <w:vAlign w:val="center"/>
                </w:tcPr>
                <w:p>
                  <w:pPr>
                    <w:widowControl/>
                    <w:jc w:val="center"/>
                    <w:textAlignment w:val="center"/>
                    <w:rPr>
                      <w:szCs w:val="21"/>
                    </w:rPr>
                  </w:pPr>
                  <w:r>
                    <w:rPr>
                      <w:kern w:val="0"/>
                      <w:szCs w:val="21"/>
                      <w:lang w:bidi="ar"/>
                    </w:rPr>
                    <w:t>0.001</w:t>
                  </w:r>
                </w:p>
              </w:tc>
              <w:tc>
                <w:tcPr>
                  <w:tcW w:w="700" w:type="pct"/>
                  <w:vAlign w:val="center"/>
                </w:tcPr>
                <w:p>
                  <w:pPr>
                    <w:widowControl/>
                    <w:jc w:val="center"/>
                    <w:textAlignment w:val="center"/>
                    <w:rPr>
                      <w:szCs w:val="21"/>
                    </w:rPr>
                  </w:pPr>
                  <w:r>
                    <w:rPr>
                      <w:kern w:val="0"/>
                      <w:szCs w:val="21"/>
                      <w:lang w:bidi="ar"/>
                    </w:rPr>
                    <w:t>农药间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widowControl/>
                    <w:jc w:val="center"/>
                    <w:textAlignment w:val="center"/>
                    <w:rPr>
                      <w:szCs w:val="21"/>
                    </w:rPr>
                  </w:pPr>
                  <w:r>
                    <w:rPr>
                      <w:kern w:val="0"/>
                      <w:szCs w:val="21"/>
                      <w:lang w:bidi="ar"/>
                    </w:rPr>
                    <w:t>20</w:t>
                  </w:r>
                </w:p>
              </w:tc>
              <w:tc>
                <w:tcPr>
                  <w:tcW w:w="889" w:type="pct"/>
                  <w:vAlign w:val="center"/>
                </w:tcPr>
                <w:p>
                  <w:pPr>
                    <w:widowControl/>
                    <w:jc w:val="center"/>
                    <w:textAlignment w:val="center"/>
                    <w:rPr>
                      <w:szCs w:val="21"/>
                    </w:rPr>
                  </w:pPr>
                  <w:r>
                    <w:rPr>
                      <w:kern w:val="0"/>
                      <w:szCs w:val="21"/>
                      <w:lang w:bidi="ar"/>
                    </w:rPr>
                    <w:t>联苯肼酯（爱卡螨）</w:t>
                  </w:r>
                </w:p>
              </w:tc>
              <w:tc>
                <w:tcPr>
                  <w:tcW w:w="630" w:type="pct"/>
                  <w:vAlign w:val="center"/>
                </w:tcPr>
                <w:p>
                  <w:pPr>
                    <w:widowControl/>
                    <w:jc w:val="center"/>
                    <w:textAlignment w:val="center"/>
                    <w:rPr>
                      <w:szCs w:val="21"/>
                    </w:rPr>
                  </w:pPr>
                  <w:r>
                    <w:rPr>
                      <w:kern w:val="0"/>
                      <w:szCs w:val="21"/>
                      <w:lang w:bidi="ar"/>
                    </w:rPr>
                    <w:t>100ml/瓶</w:t>
                  </w:r>
                </w:p>
              </w:tc>
              <w:tc>
                <w:tcPr>
                  <w:tcW w:w="617" w:type="pct"/>
                  <w:vAlign w:val="center"/>
                </w:tcPr>
                <w:p>
                  <w:pPr>
                    <w:widowControl/>
                    <w:jc w:val="center"/>
                    <w:textAlignment w:val="center"/>
                    <w:rPr>
                      <w:szCs w:val="21"/>
                    </w:rPr>
                  </w:pPr>
                  <w:r>
                    <w:rPr>
                      <w:kern w:val="0"/>
                      <w:szCs w:val="21"/>
                      <w:lang w:bidi="ar"/>
                    </w:rPr>
                    <w:t>0.01</w:t>
                  </w:r>
                </w:p>
              </w:tc>
              <w:tc>
                <w:tcPr>
                  <w:tcW w:w="560" w:type="pct"/>
                  <w:vAlign w:val="center"/>
                </w:tcPr>
                <w:p>
                  <w:pPr>
                    <w:widowControl/>
                    <w:jc w:val="center"/>
                    <w:textAlignment w:val="center"/>
                    <w:rPr>
                      <w:szCs w:val="21"/>
                    </w:rPr>
                  </w:pPr>
                  <w:r>
                    <w:rPr>
                      <w:kern w:val="0"/>
                      <w:szCs w:val="21"/>
                      <w:lang w:bidi="ar"/>
                    </w:rPr>
                    <w:t>0.005</w:t>
                  </w:r>
                </w:p>
              </w:tc>
              <w:tc>
                <w:tcPr>
                  <w:tcW w:w="700" w:type="pct"/>
                  <w:vAlign w:val="center"/>
                </w:tcPr>
                <w:p>
                  <w:pPr>
                    <w:widowControl/>
                    <w:jc w:val="center"/>
                    <w:textAlignment w:val="center"/>
                    <w:rPr>
                      <w:szCs w:val="21"/>
                    </w:rPr>
                  </w:pPr>
                  <w:r>
                    <w:rPr>
                      <w:kern w:val="0"/>
                      <w:szCs w:val="21"/>
                      <w:lang w:bidi="ar"/>
                    </w:rPr>
                    <w:t>农药间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widowControl/>
                    <w:jc w:val="center"/>
                    <w:textAlignment w:val="center"/>
                    <w:rPr>
                      <w:szCs w:val="21"/>
                    </w:rPr>
                  </w:pPr>
                  <w:r>
                    <w:rPr>
                      <w:kern w:val="0"/>
                      <w:szCs w:val="21"/>
                      <w:lang w:bidi="ar"/>
                    </w:rPr>
                    <w:t>21</w:t>
                  </w:r>
                </w:p>
              </w:tc>
              <w:tc>
                <w:tcPr>
                  <w:tcW w:w="889" w:type="pct"/>
                  <w:vAlign w:val="center"/>
                </w:tcPr>
                <w:p>
                  <w:pPr>
                    <w:widowControl/>
                    <w:jc w:val="center"/>
                    <w:textAlignment w:val="center"/>
                    <w:rPr>
                      <w:szCs w:val="21"/>
                    </w:rPr>
                  </w:pPr>
                  <w:r>
                    <w:rPr>
                      <w:kern w:val="0"/>
                      <w:szCs w:val="21"/>
                      <w:lang w:bidi="ar"/>
                    </w:rPr>
                    <w:t>氯氟氰菊酯</w:t>
                  </w:r>
                </w:p>
              </w:tc>
              <w:tc>
                <w:tcPr>
                  <w:tcW w:w="630" w:type="pct"/>
                  <w:vAlign w:val="center"/>
                </w:tcPr>
                <w:p>
                  <w:pPr>
                    <w:widowControl/>
                    <w:jc w:val="center"/>
                    <w:textAlignment w:val="center"/>
                    <w:rPr>
                      <w:szCs w:val="21"/>
                    </w:rPr>
                  </w:pPr>
                  <w:r>
                    <w:rPr>
                      <w:kern w:val="0"/>
                      <w:szCs w:val="21"/>
                      <w:lang w:bidi="ar"/>
                    </w:rPr>
                    <w:t>1L/瓶</w:t>
                  </w:r>
                </w:p>
              </w:tc>
              <w:tc>
                <w:tcPr>
                  <w:tcW w:w="617" w:type="pct"/>
                  <w:vAlign w:val="center"/>
                </w:tcPr>
                <w:p>
                  <w:pPr>
                    <w:widowControl/>
                    <w:jc w:val="center"/>
                    <w:textAlignment w:val="center"/>
                    <w:rPr>
                      <w:szCs w:val="21"/>
                    </w:rPr>
                  </w:pPr>
                  <w:r>
                    <w:rPr>
                      <w:kern w:val="0"/>
                      <w:szCs w:val="21"/>
                      <w:lang w:bidi="ar"/>
                    </w:rPr>
                    <w:t>0.008</w:t>
                  </w:r>
                </w:p>
              </w:tc>
              <w:tc>
                <w:tcPr>
                  <w:tcW w:w="560" w:type="pct"/>
                  <w:vAlign w:val="center"/>
                </w:tcPr>
                <w:p>
                  <w:pPr>
                    <w:widowControl/>
                    <w:jc w:val="center"/>
                    <w:textAlignment w:val="center"/>
                    <w:rPr>
                      <w:szCs w:val="21"/>
                    </w:rPr>
                  </w:pPr>
                  <w:r>
                    <w:rPr>
                      <w:kern w:val="0"/>
                      <w:szCs w:val="21"/>
                      <w:lang w:bidi="ar"/>
                    </w:rPr>
                    <w:t>0.003</w:t>
                  </w:r>
                </w:p>
              </w:tc>
              <w:tc>
                <w:tcPr>
                  <w:tcW w:w="700" w:type="pct"/>
                  <w:vAlign w:val="center"/>
                </w:tcPr>
                <w:p>
                  <w:pPr>
                    <w:widowControl/>
                    <w:jc w:val="center"/>
                    <w:textAlignment w:val="center"/>
                    <w:rPr>
                      <w:szCs w:val="21"/>
                    </w:rPr>
                  </w:pPr>
                  <w:r>
                    <w:rPr>
                      <w:kern w:val="0"/>
                      <w:szCs w:val="21"/>
                      <w:lang w:bidi="ar"/>
                    </w:rPr>
                    <w:t>农药间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widowControl/>
                    <w:jc w:val="center"/>
                    <w:textAlignment w:val="center"/>
                    <w:rPr>
                      <w:szCs w:val="21"/>
                    </w:rPr>
                  </w:pPr>
                  <w:r>
                    <w:rPr>
                      <w:kern w:val="0"/>
                      <w:szCs w:val="21"/>
                      <w:lang w:bidi="ar"/>
                    </w:rPr>
                    <w:t>22</w:t>
                  </w:r>
                </w:p>
              </w:tc>
              <w:tc>
                <w:tcPr>
                  <w:tcW w:w="889" w:type="pct"/>
                  <w:vAlign w:val="center"/>
                </w:tcPr>
                <w:p>
                  <w:pPr>
                    <w:widowControl/>
                    <w:jc w:val="center"/>
                    <w:textAlignment w:val="center"/>
                    <w:rPr>
                      <w:szCs w:val="21"/>
                    </w:rPr>
                  </w:pPr>
                  <w:r>
                    <w:rPr>
                      <w:kern w:val="0"/>
                      <w:szCs w:val="21"/>
                      <w:lang w:bidi="ar"/>
                    </w:rPr>
                    <w:t>嘧环咯菌腈</w:t>
                  </w:r>
                </w:p>
              </w:tc>
              <w:tc>
                <w:tcPr>
                  <w:tcW w:w="630" w:type="pct"/>
                  <w:vAlign w:val="center"/>
                </w:tcPr>
                <w:p>
                  <w:pPr>
                    <w:widowControl/>
                    <w:jc w:val="center"/>
                    <w:textAlignment w:val="center"/>
                    <w:rPr>
                      <w:szCs w:val="21"/>
                    </w:rPr>
                  </w:pPr>
                  <w:r>
                    <w:rPr>
                      <w:kern w:val="0"/>
                      <w:szCs w:val="21"/>
                      <w:lang w:bidi="ar"/>
                    </w:rPr>
                    <w:t>100克/袋</w:t>
                  </w:r>
                </w:p>
              </w:tc>
              <w:tc>
                <w:tcPr>
                  <w:tcW w:w="617" w:type="pct"/>
                  <w:vAlign w:val="center"/>
                </w:tcPr>
                <w:p>
                  <w:pPr>
                    <w:widowControl/>
                    <w:jc w:val="center"/>
                    <w:textAlignment w:val="center"/>
                    <w:rPr>
                      <w:szCs w:val="21"/>
                    </w:rPr>
                  </w:pPr>
                  <w:r>
                    <w:rPr>
                      <w:kern w:val="0"/>
                      <w:szCs w:val="21"/>
                      <w:lang w:bidi="ar"/>
                    </w:rPr>
                    <w:t>0.005</w:t>
                  </w:r>
                </w:p>
              </w:tc>
              <w:tc>
                <w:tcPr>
                  <w:tcW w:w="560" w:type="pct"/>
                  <w:vAlign w:val="center"/>
                </w:tcPr>
                <w:p>
                  <w:pPr>
                    <w:widowControl/>
                    <w:jc w:val="center"/>
                    <w:textAlignment w:val="center"/>
                    <w:rPr>
                      <w:szCs w:val="21"/>
                    </w:rPr>
                  </w:pPr>
                  <w:r>
                    <w:rPr>
                      <w:kern w:val="0"/>
                      <w:szCs w:val="21"/>
                      <w:lang w:bidi="ar"/>
                    </w:rPr>
                    <w:t>0.001</w:t>
                  </w:r>
                </w:p>
              </w:tc>
              <w:tc>
                <w:tcPr>
                  <w:tcW w:w="700" w:type="pct"/>
                  <w:vAlign w:val="center"/>
                </w:tcPr>
                <w:p>
                  <w:pPr>
                    <w:widowControl/>
                    <w:jc w:val="center"/>
                    <w:textAlignment w:val="center"/>
                    <w:rPr>
                      <w:szCs w:val="21"/>
                    </w:rPr>
                  </w:pPr>
                  <w:r>
                    <w:rPr>
                      <w:kern w:val="0"/>
                      <w:szCs w:val="21"/>
                      <w:lang w:bidi="ar"/>
                    </w:rPr>
                    <w:t>农药间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widowControl/>
                    <w:jc w:val="center"/>
                    <w:textAlignment w:val="center"/>
                    <w:rPr>
                      <w:szCs w:val="21"/>
                    </w:rPr>
                  </w:pPr>
                  <w:r>
                    <w:rPr>
                      <w:kern w:val="0"/>
                      <w:szCs w:val="21"/>
                      <w:lang w:bidi="ar"/>
                    </w:rPr>
                    <w:t>23</w:t>
                  </w:r>
                </w:p>
              </w:tc>
              <w:tc>
                <w:tcPr>
                  <w:tcW w:w="889" w:type="pct"/>
                  <w:vAlign w:val="center"/>
                </w:tcPr>
                <w:p>
                  <w:pPr>
                    <w:widowControl/>
                    <w:jc w:val="center"/>
                    <w:textAlignment w:val="center"/>
                    <w:rPr>
                      <w:szCs w:val="21"/>
                    </w:rPr>
                  </w:pPr>
                  <w:r>
                    <w:rPr>
                      <w:kern w:val="0"/>
                      <w:szCs w:val="21"/>
                      <w:lang w:bidi="ar"/>
                    </w:rPr>
                    <w:t>嘧菌酯</w:t>
                  </w:r>
                </w:p>
              </w:tc>
              <w:tc>
                <w:tcPr>
                  <w:tcW w:w="630" w:type="pct"/>
                  <w:vAlign w:val="center"/>
                </w:tcPr>
                <w:p>
                  <w:pPr>
                    <w:widowControl/>
                    <w:jc w:val="center"/>
                    <w:textAlignment w:val="center"/>
                    <w:rPr>
                      <w:szCs w:val="21"/>
                    </w:rPr>
                  </w:pPr>
                  <w:r>
                    <w:rPr>
                      <w:kern w:val="0"/>
                      <w:szCs w:val="21"/>
                      <w:lang w:bidi="ar"/>
                    </w:rPr>
                    <w:t>1L/瓶</w:t>
                  </w:r>
                </w:p>
              </w:tc>
              <w:tc>
                <w:tcPr>
                  <w:tcW w:w="617" w:type="pct"/>
                  <w:vAlign w:val="center"/>
                </w:tcPr>
                <w:p>
                  <w:pPr>
                    <w:widowControl/>
                    <w:jc w:val="center"/>
                    <w:textAlignment w:val="center"/>
                    <w:rPr>
                      <w:szCs w:val="21"/>
                    </w:rPr>
                  </w:pPr>
                  <w:r>
                    <w:rPr>
                      <w:kern w:val="0"/>
                      <w:szCs w:val="21"/>
                      <w:lang w:bidi="ar"/>
                    </w:rPr>
                    <w:t>0.012</w:t>
                  </w:r>
                </w:p>
              </w:tc>
              <w:tc>
                <w:tcPr>
                  <w:tcW w:w="560" w:type="pct"/>
                  <w:vAlign w:val="center"/>
                </w:tcPr>
                <w:p>
                  <w:pPr>
                    <w:widowControl/>
                    <w:jc w:val="center"/>
                    <w:textAlignment w:val="center"/>
                    <w:rPr>
                      <w:szCs w:val="21"/>
                    </w:rPr>
                  </w:pPr>
                  <w:r>
                    <w:rPr>
                      <w:kern w:val="0"/>
                      <w:szCs w:val="21"/>
                      <w:lang w:bidi="ar"/>
                    </w:rPr>
                    <w:t>0.002</w:t>
                  </w:r>
                </w:p>
              </w:tc>
              <w:tc>
                <w:tcPr>
                  <w:tcW w:w="700" w:type="pct"/>
                  <w:vAlign w:val="center"/>
                </w:tcPr>
                <w:p>
                  <w:pPr>
                    <w:widowControl/>
                    <w:jc w:val="center"/>
                    <w:textAlignment w:val="center"/>
                    <w:rPr>
                      <w:szCs w:val="21"/>
                    </w:rPr>
                  </w:pPr>
                  <w:r>
                    <w:rPr>
                      <w:kern w:val="0"/>
                      <w:szCs w:val="21"/>
                      <w:lang w:bidi="ar"/>
                    </w:rPr>
                    <w:t>农药间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widowControl/>
                    <w:jc w:val="center"/>
                    <w:textAlignment w:val="center"/>
                    <w:rPr>
                      <w:szCs w:val="21"/>
                    </w:rPr>
                  </w:pPr>
                  <w:r>
                    <w:rPr>
                      <w:kern w:val="0"/>
                      <w:szCs w:val="21"/>
                      <w:lang w:bidi="ar"/>
                    </w:rPr>
                    <w:t>24</w:t>
                  </w:r>
                </w:p>
              </w:tc>
              <w:tc>
                <w:tcPr>
                  <w:tcW w:w="889" w:type="pct"/>
                  <w:vAlign w:val="center"/>
                </w:tcPr>
                <w:p>
                  <w:pPr>
                    <w:widowControl/>
                    <w:jc w:val="center"/>
                    <w:textAlignment w:val="center"/>
                    <w:rPr>
                      <w:szCs w:val="21"/>
                    </w:rPr>
                  </w:pPr>
                  <w:r>
                    <w:rPr>
                      <w:kern w:val="0"/>
                      <w:szCs w:val="21"/>
                      <w:lang w:bidi="ar"/>
                    </w:rPr>
                    <w:t>嘧霉胺</w:t>
                  </w:r>
                </w:p>
              </w:tc>
              <w:tc>
                <w:tcPr>
                  <w:tcW w:w="630" w:type="pct"/>
                  <w:vAlign w:val="center"/>
                </w:tcPr>
                <w:p>
                  <w:pPr>
                    <w:widowControl/>
                    <w:jc w:val="center"/>
                    <w:textAlignment w:val="center"/>
                    <w:rPr>
                      <w:szCs w:val="21"/>
                    </w:rPr>
                  </w:pPr>
                  <w:r>
                    <w:rPr>
                      <w:kern w:val="0"/>
                      <w:szCs w:val="21"/>
                      <w:lang w:bidi="ar"/>
                    </w:rPr>
                    <w:t>100g/袋</w:t>
                  </w:r>
                </w:p>
              </w:tc>
              <w:tc>
                <w:tcPr>
                  <w:tcW w:w="617" w:type="pct"/>
                  <w:vAlign w:val="center"/>
                </w:tcPr>
                <w:p>
                  <w:pPr>
                    <w:widowControl/>
                    <w:jc w:val="center"/>
                    <w:textAlignment w:val="center"/>
                    <w:rPr>
                      <w:szCs w:val="21"/>
                    </w:rPr>
                  </w:pPr>
                  <w:r>
                    <w:rPr>
                      <w:kern w:val="0"/>
                      <w:szCs w:val="21"/>
                      <w:lang w:bidi="ar"/>
                    </w:rPr>
                    <w:t>0.01</w:t>
                  </w:r>
                </w:p>
              </w:tc>
              <w:tc>
                <w:tcPr>
                  <w:tcW w:w="560" w:type="pct"/>
                  <w:vAlign w:val="center"/>
                </w:tcPr>
                <w:p>
                  <w:pPr>
                    <w:widowControl/>
                    <w:jc w:val="center"/>
                    <w:textAlignment w:val="center"/>
                    <w:rPr>
                      <w:szCs w:val="21"/>
                    </w:rPr>
                  </w:pPr>
                  <w:r>
                    <w:rPr>
                      <w:kern w:val="0"/>
                      <w:szCs w:val="21"/>
                      <w:lang w:bidi="ar"/>
                    </w:rPr>
                    <w:t>0.002</w:t>
                  </w:r>
                </w:p>
              </w:tc>
              <w:tc>
                <w:tcPr>
                  <w:tcW w:w="700" w:type="pct"/>
                  <w:vAlign w:val="center"/>
                </w:tcPr>
                <w:p>
                  <w:pPr>
                    <w:widowControl/>
                    <w:jc w:val="center"/>
                    <w:textAlignment w:val="center"/>
                    <w:rPr>
                      <w:szCs w:val="21"/>
                    </w:rPr>
                  </w:pPr>
                  <w:r>
                    <w:rPr>
                      <w:kern w:val="0"/>
                      <w:szCs w:val="21"/>
                      <w:lang w:bidi="ar"/>
                    </w:rPr>
                    <w:t>农药间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widowControl/>
                    <w:jc w:val="center"/>
                    <w:textAlignment w:val="center"/>
                    <w:rPr>
                      <w:szCs w:val="21"/>
                    </w:rPr>
                  </w:pPr>
                  <w:r>
                    <w:rPr>
                      <w:kern w:val="0"/>
                      <w:szCs w:val="21"/>
                      <w:lang w:bidi="ar"/>
                    </w:rPr>
                    <w:t>25</w:t>
                  </w:r>
                </w:p>
              </w:tc>
              <w:tc>
                <w:tcPr>
                  <w:tcW w:w="889" w:type="pct"/>
                  <w:vAlign w:val="center"/>
                </w:tcPr>
                <w:p>
                  <w:pPr>
                    <w:widowControl/>
                    <w:jc w:val="center"/>
                    <w:textAlignment w:val="center"/>
                    <w:rPr>
                      <w:szCs w:val="21"/>
                    </w:rPr>
                  </w:pPr>
                  <w:r>
                    <w:rPr>
                      <w:kern w:val="0"/>
                      <w:szCs w:val="21"/>
                      <w:lang w:bidi="ar"/>
                    </w:rPr>
                    <w:t>嘧酯噻唑锌</w:t>
                  </w:r>
                </w:p>
              </w:tc>
              <w:tc>
                <w:tcPr>
                  <w:tcW w:w="630" w:type="pct"/>
                  <w:vAlign w:val="center"/>
                </w:tcPr>
                <w:p>
                  <w:pPr>
                    <w:widowControl/>
                    <w:jc w:val="center"/>
                    <w:textAlignment w:val="center"/>
                    <w:rPr>
                      <w:szCs w:val="21"/>
                    </w:rPr>
                  </w:pPr>
                  <w:r>
                    <w:rPr>
                      <w:kern w:val="0"/>
                      <w:szCs w:val="21"/>
                      <w:lang w:bidi="ar"/>
                    </w:rPr>
                    <w:t>1L/瓶</w:t>
                  </w:r>
                </w:p>
              </w:tc>
              <w:tc>
                <w:tcPr>
                  <w:tcW w:w="617" w:type="pct"/>
                  <w:vAlign w:val="center"/>
                </w:tcPr>
                <w:p>
                  <w:pPr>
                    <w:widowControl/>
                    <w:jc w:val="center"/>
                    <w:textAlignment w:val="center"/>
                    <w:rPr>
                      <w:szCs w:val="21"/>
                    </w:rPr>
                  </w:pPr>
                  <w:r>
                    <w:rPr>
                      <w:kern w:val="0"/>
                      <w:szCs w:val="21"/>
                      <w:lang w:bidi="ar"/>
                    </w:rPr>
                    <w:t>0.01</w:t>
                  </w:r>
                </w:p>
              </w:tc>
              <w:tc>
                <w:tcPr>
                  <w:tcW w:w="560" w:type="pct"/>
                  <w:vAlign w:val="center"/>
                </w:tcPr>
                <w:p>
                  <w:pPr>
                    <w:widowControl/>
                    <w:jc w:val="center"/>
                    <w:textAlignment w:val="center"/>
                    <w:rPr>
                      <w:szCs w:val="21"/>
                    </w:rPr>
                  </w:pPr>
                  <w:r>
                    <w:rPr>
                      <w:kern w:val="0"/>
                      <w:szCs w:val="21"/>
                      <w:lang w:bidi="ar"/>
                    </w:rPr>
                    <w:t>0.004</w:t>
                  </w:r>
                </w:p>
              </w:tc>
              <w:tc>
                <w:tcPr>
                  <w:tcW w:w="700" w:type="pct"/>
                  <w:vAlign w:val="center"/>
                </w:tcPr>
                <w:p>
                  <w:pPr>
                    <w:widowControl/>
                    <w:jc w:val="center"/>
                    <w:textAlignment w:val="center"/>
                    <w:rPr>
                      <w:szCs w:val="21"/>
                    </w:rPr>
                  </w:pPr>
                  <w:r>
                    <w:rPr>
                      <w:kern w:val="0"/>
                      <w:szCs w:val="21"/>
                      <w:lang w:bidi="ar"/>
                    </w:rPr>
                    <w:t>农药间</w:t>
                  </w:r>
                </w:p>
              </w:tc>
              <w:tc>
                <w:tcPr>
                  <w:tcW w:w="414" w:type="pct"/>
                  <w:vAlign w:val="center"/>
                </w:tcPr>
                <w:p>
                  <w:pPr>
                    <w:widowControl/>
                    <w:jc w:val="center"/>
                    <w:textAlignment w:val="center"/>
                    <w:rPr>
                      <w:szCs w:val="21"/>
                    </w:rPr>
                  </w:pPr>
                  <w:r>
                    <w:rPr>
                      <w:kern w:val="0"/>
                      <w:szCs w:val="21"/>
                      <w:lang w:bidi="ar"/>
                    </w:rPr>
                    <w:t>外购</w:t>
                  </w:r>
                </w:p>
              </w:tc>
              <w:tc>
                <w:tcPr>
                  <w:tcW w:w="831" w:type="pct"/>
                  <w:vAlign w:val="center"/>
                </w:tcPr>
                <w:p>
                  <w:pPr>
                    <w:widowControl/>
                    <w:jc w:val="center"/>
                    <w:textAlignment w:val="center"/>
                    <w:rPr>
                      <w:kern w:val="0"/>
                      <w:szCs w:val="21"/>
                      <w:lang w:bidi="ar"/>
                    </w:rPr>
                  </w:pPr>
                  <w:r>
                    <w:rPr>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widowControl/>
                    <w:jc w:val="center"/>
                    <w:textAlignment w:val="center"/>
                    <w:rPr>
                      <w:kern w:val="0"/>
                      <w:szCs w:val="21"/>
                      <w:lang w:bidi="ar"/>
                    </w:rPr>
                  </w:pPr>
                  <w:r>
                    <w:rPr>
                      <w:kern w:val="0"/>
                      <w:szCs w:val="21"/>
                      <w:lang w:bidi="ar"/>
                    </w:rPr>
                    <w:t>26</w:t>
                  </w:r>
                </w:p>
              </w:tc>
              <w:tc>
                <w:tcPr>
                  <w:tcW w:w="889" w:type="pct"/>
                  <w:vAlign w:val="center"/>
                </w:tcPr>
                <w:p>
                  <w:pPr>
                    <w:widowControl/>
                    <w:jc w:val="center"/>
                    <w:textAlignment w:val="center"/>
                    <w:rPr>
                      <w:kern w:val="0"/>
                      <w:szCs w:val="21"/>
                      <w:lang w:bidi="ar"/>
                    </w:rPr>
                  </w:pPr>
                  <w:r>
                    <w:rPr>
                      <w:kern w:val="0"/>
                      <w:szCs w:val="21"/>
                      <w:lang w:bidi="ar"/>
                    </w:rPr>
                    <w:t>天然气</w:t>
                  </w:r>
                </w:p>
              </w:tc>
              <w:tc>
                <w:tcPr>
                  <w:tcW w:w="630" w:type="pct"/>
                  <w:vAlign w:val="center"/>
                </w:tcPr>
                <w:p>
                  <w:pPr>
                    <w:widowControl/>
                    <w:jc w:val="center"/>
                    <w:textAlignment w:val="center"/>
                    <w:rPr>
                      <w:kern w:val="0"/>
                      <w:szCs w:val="21"/>
                      <w:lang w:bidi="ar"/>
                    </w:rPr>
                  </w:pPr>
                  <w:r>
                    <w:rPr>
                      <w:kern w:val="0"/>
                      <w:szCs w:val="21"/>
                      <w:lang w:bidi="ar"/>
                    </w:rPr>
                    <w:t>/</w:t>
                  </w:r>
                </w:p>
              </w:tc>
              <w:tc>
                <w:tcPr>
                  <w:tcW w:w="617" w:type="pct"/>
                  <w:vAlign w:val="center"/>
                </w:tcPr>
                <w:p>
                  <w:pPr>
                    <w:jc w:val="center"/>
                    <w:outlineLvl w:val="0"/>
                    <w:rPr>
                      <w:kern w:val="0"/>
                      <w:szCs w:val="21"/>
                      <w:lang w:bidi="ar"/>
                    </w:rPr>
                  </w:pPr>
                  <w:bookmarkStart w:id="141" w:name="_Toc2892"/>
                  <w:bookmarkStart w:id="142" w:name="_Toc144147992"/>
                  <w:r>
                    <w:rPr>
                      <w:szCs w:val="21"/>
                    </w:rPr>
                    <w:t>136.8万m</w:t>
                  </w:r>
                  <w:r>
                    <w:rPr>
                      <w:szCs w:val="21"/>
                      <w:vertAlign w:val="superscript"/>
                    </w:rPr>
                    <w:t>3</w:t>
                  </w:r>
                  <w:bookmarkEnd w:id="141"/>
                  <w:bookmarkEnd w:id="142"/>
                </w:p>
              </w:tc>
              <w:tc>
                <w:tcPr>
                  <w:tcW w:w="560" w:type="pct"/>
                  <w:vAlign w:val="center"/>
                </w:tcPr>
                <w:p>
                  <w:pPr>
                    <w:widowControl/>
                    <w:jc w:val="center"/>
                    <w:textAlignment w:val="center"/>
                    <w:rPr>
                      <w:kern w:val="0"/>
                      <w:szCs w:val="21"/>
                      <w:lang w:bidi="ar"/>
                    </w:rPr>
                  </w:pPr>
                  <w:r>
                    <w:rPr>
                      <w:kern w:val="0"/>
                      <w:szCs w:val="21"/>
                      <w:lang w:bidi="ar"/>
                    </w:rPr>
                    <w:t>/</w:t>
                  </w:r>
                </w:p>
              </w:tc>
              <w:tc>
                <w:tcPr>
                  <w:tcW w:w="700" w:type="pct"/>
                  <w:vAlign w:val="center"/>
                </w:tcPr>
                <w:p>
                  <w:pPr>
                    <w:jc w:val="center"/>
                    <w:outlineLvl w:val="0"/>
                    <w:rPr>
                      <w:kern w:val="0"/>
                      <w:szCs w:val="21"/>
                      <w:lang w:bidi="ar"/>
                    </w:rPr>
                  </w:pPr>
                  <w:bookmarkStart w:id="143" w:name="_Toc7404"/>
                  <w:bookmarkStart w:id="144" w:name="_Toc144147993"/>
                  <w:r>
                    <w:rPr>
                      <w:szCs w:val="21"/>
                    </w:rPr>
                    <w:t>1#锅炉房</w:t>
                  </w:r>
                  <w:bookmarkEnd w:id="143"/>
                  <w:bookmarkEnd w:id="144"/>
                </w:p>
              </w:tc>
              <w:tc>
                <w:tcPr>
                  <w:tcW w:w="414" w:type="pct"/>
                  <w:vAlign w:val="center"/>
                </w:tcPr>
                <w:p>
                  <w:pPr>
                    <w:jc w:val="center"/>
                    <w:outlineLvl w:val="0"/>
                    <w:rPr>
                      <w:kern w:val="0"/>
                      <w:szCs w:val="21"/>
                      <w:lang w:bidi="ar"/>
                    </w:rPr>
                  </w:pPr>
                  <w:bookmarkStart w:id="145" w:name="_Toc144147994"/>
                  <w:bookmarkStart w:id="146" w:name="_Toc9940"/>
                  <w:r>
                    <w:rPr>
                      <w:szCs w:val="21"/>
                    </w:rPr>
                    <w:t>外购</w:t>
                  </w:r>
                  <w:bookmarkEnd w:id="145"/>
                  <w:bookmarkEnd w:id="146"/>
                </w:p>
              </w:tc>
              <w:tc>
                <w:tcPr>
                  <w:tcW w:w="831" w:type="pct"/>
                  <w:vAlign w:val="center"/>
                </w:tcPr>
                <w:p>
                  <w:pPr>
                    <w:jc w:val="center"/>
                    <w:outlineLvl w:val="0"/>
                    <w:rPr>
                      <w:szCs w:val="21"/>
                    </w:rPr>
                  </w:pPr>
                  <w:bookmarkStart w:id="147" w:name="_Toc144147995"/>
                  <w:bookmarkStart w:id="148" w:name="_Toc19183"/>
                  <w:r>
                    <w:rPr>
                      <w:szCs w:val="21"/>
                    </w:rPr>
                    <w:t>燃料</w:t>
                  </w:r>
                  <w:bookmarkEnd w:id="147"/>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widowControl/>
                    <w:jc w:val="center"/>
                    <w:textAlignment w:val="center"/>
                    <w:rPr>
                      <w:kern w:val="0"/>
                      <w:szCs w:val="21"/>
                      <w:lang w:bidi="ar"/>
                    </w:rPr>
                  </w:pPr>
                  <w:r>
                    <w:rPr>
                      <w:kern w:val="0"/>
                      <w:szCs w:val="21"/>
                      <w:lang w:bidi="ar"/>
                    </w:rPr>
                    <w:t>27</w:t>
                  </w:r>
                </w:p>
              </w:tc>
              <w:tc>
                <w:tcPr>
                  <w:tcW w:w="889" w:type="pct"/>
                  <w:vAlign w:val="center"/>
                </w:tcPr>
                <w:p>
                  <w:pPr>
                    <w:widowControl/>
                    <w:jc w:val="center"/>
                    <w:textAlignment w:val="center"/>
                    <w:rPr>
                      <w:kern w:val="0"/>
                      <w:szCs w:val="21"/>
                      <w:lang w:bidi="ar"/>
                    </w:rPr>
                  </w:pPr>
                  <w:r>
                    <w:rPr>
                      <w:kern w:val="0"/>
                      <w:szCs w:val="21"/>
                      <w:lang w:bidi="ar"/>
                    </w:rPr>
                    <w:t>制冷剂（R404A）</w:t>
                  </w:r>
                </w:p>
              </w:tc>
              <w:tc>
                <w:tcPr>
                  <w:tcW w:w="630" w:type="pct"/>
                  <w:vAlign w:val="center"/>
                </w:tcPr>
                <w:p>
                  <w:pPr>
                    <w:widowControl/>
                    <w:jc w:val="center"/>
                    <w:textAlignment w:val="center"/>
                    <w:rPr>
                      <w:kern w:val="0"/>
                      <w:szCs w:val="21"/>
                      <w:lang w:bidi="ar"/>
                    </w:rPr>
                  </w:pPr>
                  <w:r>
                    <w:rPr>
                      <w:kern w:val="0"/>
                      <w:szCs w:val="21"/>
                      <w:lang w:bidi="ar"/>
                    </w:rPr>
                    <w:t>/</w:t>
                  </w:r>
                </w:p>
              </w:tc>
              <w:tc>
                <w:tcPr>
                  <w:tcW w:w="617" w:type="pct"/>
                  <w:vAlign w:val="center"/>
                </w:tcPr>
                <w:p>
                  <w:pPr>
                    <w:jc w:val="center"/>
                    <w:outlineLvl w:val="0"/>
                    <w:rPr>
                      <w:kern w:val="0"/>
                      <w:szCs w:val="21"/>
                      <w:lang w:bidi="ar"/>
                    </w:rPr>
                  </w:pPr>
                  <w:bookmarkStart w:id="149" w:name="_Toc144147996"/>
                  <w:bookmarkStart w:id="150" w:name="_Toc24213"/>
                  <w:r>
                    <w:rPr>
                      <w:szCs w:val="21"/>
                    </w:rPr>
                    <w:t>0.05</w:t>
                  </w:r>
                  <w:r>
                    <w:rPr>
                      <w:rFonts w:hint="eastAsia"/>
                      <w:szCs w:val="21"/>
                    </w:rPr>
                    <w:t>t/a</w:t>
                  </w:r>
                  <w:bookmarkEnd w:id="149"/>
                  <w:bookmarkEnd w:id="150"/>
                </w:p>
              </w:tc>
              <w:tc>
                <w:tcPr>
                  <w:tcW w:w="560" w:type="pct"/>
                  <w:vAlign w:val="center"/>
                </w:tcPr>
                <w:p>
                  <w:pPr>
                    <w:widowControl/>
                    <w:jc w:val="center"/>
                    <w:textAlignment w:val="center"/>
                    <w:rPr>
                      <w:kern w:val="0"/>
                      <w:szCs w:val="21"/>
                      <w:lang w:bidi="ar"/>
                    </w:rPr>
                  </w:pPr>
                  <w:r>
                    <w:rPr>
                      <w:kern w:val="0"/>
                      <w:szCs w:val="21"/>
                      <w:lang w:bidi="ar"/>
                    </w:rPr>
                    <w:t>/</w:t>
                  </w:r>
                </w:p>
              </w:tc>
              <w:tc>
                <w:tcPr>
                  <w:tcW w:w="700" w:type="pct"/>
                  <w:vAlign w:val="center"/>
                </w:tcPr>
                <w:p>
                  <w:pPr>
                    <w:jc w:val="center"/>
                    <w:outlineLvl w:val="0"/>
                    <w:rPr>
                      <w:kern w:val="0"/>
                      <w:szCs w:val="21"/>
                      <w:lang w:bidi="ar"/>
                    </w:rPr>
                  </w:pPr>
                  <w:bookmarkStart w:id="151" w:name="_Toc4971"/>
                  <w:bookmarkStart w:id="152" w:name="_Toc144147997"/>
                  <w:r>
                    <w:rPr>
                      <w:szCs w:val="21"/>
                    </w:rPr>
                    <w:t>冷库</w:t>
                  </w:r>
                  <w:bookmarkEnd w:id="151"/>
                  <w:bookmarkEnd w:id="152"/>
                </w:p>
              </w:tc>
              <w:tc>
                <w:tcPr>
                  <w:tcW w:w="414" w:type="pct"/>
                  <w:vAlign w:val="center"/>
                </w:tcPr>
                <w:p>
                  <w:pPr>
                    <w:jc w:val="center"/>
                    <w:outlineLvl w:val="0"/>
                    <w:rPr>
                      <w:kern w:val="0"/>
                      <w:szCs w:val="21"/>
                      <w:lang w:bidi="ar"/>
                    </w:rPr>
                  </w:pPr>
                  <w:bookmarkStart w:id="153" w:name="_Toc5764"/>
                  <w:bookmarkStart w:id="154" w:name="_Toc144147998"/>
                  <w:r>
                    <w:rPr>
                      <w:szCs w:val="21"/>
                    </w:rPr>
                    <w:t>外购</w:t>
                  </w:r>
                  <w:bookmarkEnd w:id="153"/>
                  <w:bookmarkEnd w:id="154"/>
                </w:p>
              </w:tc>
              <w:tc>
                <w:tcPr>
                  <w:tcW w:w="831" w:type="pct"/>
                  <w:vAlign w:val="center"/>
                </w:tcPr>
                <w:p>
                  <w:pPr>
                    <w:jc w:val="center"/>
                    <w:outlineLvl w:val="0"/>
                    <w:rPr>
                      <w:szCs w:val="21"/>
                    </w:rPr>
                  </w:pPr>
                  <w:bookmarkStart w:id="155" w:name="_Toc5533"/>
                  <w:bookmarkStart w:id="156" w:name="_Toc144147999"/>
                  <w:r>
                    <w:rPr>
                      <w:szCs w:val="21"/>
                    </w:rPr>
                    <w:t>制冷</w:t>
                  </w:r>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5" w:type="pct"/>
                  <w:vAlign w:val="center"/>
                </w:tcPr>
                <w:p>
                  <w:pPr>
                    <w:widowControl/>
                    <w:jc w:val="center"/>
                    <w:textAlignment w:val="center"/>
                    <w:rPr>
                      <w:kern w:val="0"/>
                      <w:szCs w:val="21"/>
                      <w:lang w:bidi="ar"/>
                    </w:rPr>
                  </w:pPr>
                  <w:r>
                    <w:rPr>
                      <w:kern w:val="0"/>
                      <w:szCs w:val="21"/>
                      <w:lang w:bidi="ar"/>
                    </w:rPr>
                    <w:t>28</w:t>
                  </w:r>
                </w:p>
              </w:tc>
              <w:tc>
                <w:tcPr>
                  <w:tcW w:w="889" w:type="pct"/>
                  <w:vAlign w:val="center"/>
                </w:tcPr>
                <w:p>
                  <w:pPr>
                    <w:widowControl/>
                    <w:jc w:val="center"/>
                    <w:textAlignment w:val="center"/>
                    <w:rPr>
                      <w:kern w:val="0"/>
                      <w:szCs w:val="21"/>
                      <w:lang w:bidi="ar"/>
                    </w:rPr>
                  </w:pPr>
                  <w:r>
                    <w:rPr>
                      <w:kern w:val="0"/>
                      <w:szCs w:val="21"/>
                      <w:lang w:bidi="ar"/>
                    </w:rPr>
                    <w:t>成型生物质燃料</w:t>
                  </w:r>
                </w:p>
              </w:tc>
              <w:tc>
                <w:tcPr>
                  <w:tcW w:w="630" w:type="pct"/>
                  <w:vAlign w:val="center"/>
                </w:tcPr>
                <w:p>
                  <w:pPr>
                    <w:widowControl/>
                    <w:jc w:val="center"/>
                    <w:textAlignment w:val="center"/>
                    <w:rPr>
                      <w:kern w:val="0"/>
                      <w:szCs w:val="21"/>
                      <w:lang w:bidi="ar"/>
                    </w:rPr>
                  </w:pPr>
                  <w:r>
                    <w:rPr>
                      <w:kern w:val="0"/>
                      <w:szCs w:val="21"/>
                      <w:lang w:bidi="ar"/>
                    </w:rPr>
                    <w:t>/</w:t>
                  </w:r>
                </w:p>
              </w:tc>
              <w:tc>
                <w:tcPr>
                  <w:tcW w:w="617" w:type="pct"/>
                  <w:vAlign w:val="center"/>
                </w:tcPr>
                <w:p>
                  <w:pPr>
                    <w:jc w:val="center"/>
                    <w:outlineLvl w:val="0"/>
                    <w:rPr>
                      <w:szCs w:val="21"/>
                    </w:rPr>
                  </w:pPr>
                  <w:bookmarkStart w:id="157" w:name="_Toc30615"/>
                  <w:bookmarkStart w:id="158" w:name="_Toc144148000"/>
                  <w:r>
                    <w:rPr>
                      <w:szCs w:val="21"/>
                    </w:rPr>
                    <w:t>820.8</w:t>
                  </w:r>
                  <w:r>
                    <w:rPr>
                      <w:rFonts w:hint="eastAsia"/>
                      <w:szCs w:val="21"/>
                    </w:rPr>
                    <w:t>t/a</w:t>
                  </w:r>
                  <w:bookmarkEnd w:id="157"/>
                  <w:bookmarkEnd w:id="158"/>
                </w:p>
              </w:tc>
              <w:tc>
                <w:tcPr>
                  <w:tcW w:w="560" w:type="pct"/>
                  <w:vAlign w:val="center"/>
                </w:tcPr>
                <w:p>
                  <w:pPr>
                    <w:widowControl/>
                    <w:jc w:val="center"/>
                    <w:textAlignment w:val="center"/>
                    <w:rPr>
                      <w:kern w:val="0"/>
                      <w:szCs w:val="21"/>
                      <w:lang w:bidi="ar"/>
                    </w:rPr>
                  </w:pPr>
                  <w:r>
                    <w:rPr>
                      <w:kern w:val="0"/>
                      <w:szCs w:val="21"/>
                      <w:lang w:bidi="ar"/>
                    </w:rPr>
                    <w:t>80</w:t>
                  </w:r>
                </w:p>
              </w:tc>
              <w:tc>
                <w:tcPr>
                  <w:tcW w:w="700" w:type="pct"/>
                  <w:vAlign w:val="center"/>
                </w:tcPr>
                <w:p>
                  <w:pPr>
                    <w:jc w:val="center"/>
                    <w:outlineLvl w:val="0"/>
                    <w:rPr>
                      <w:szCs w:val="21"/>
                    </w:rPr>
                  </w:pPr>
                  <w:bookmarkStart w:id="159" w:name="_Toc2696"/>
                  <w:bookmarkStart w:id="160" w:name="_Toc144148001"/>
                  <w:r>
                    <w:rPr>
                      <w:szCs w:val="21"/>
                    </w:rPr>
                    <w:t>燃料储存房</w:t>
                  </w:r>
                  <w:bookmarkEnd w:id="159"/>
                  <w:bookmarkEnd w:id="160"/>
                </w:p>
              </w:tc>
              <w:tc>
                <w:tcPr>
                  <w:tcW w:w="414" w:type="pct"/>
                  <w:vAlign w:val="center"/>
                </w:tcPr>
                <w:p>
                  <w:pPr>
                    <w:jc w:val="center"/>
                    <w:outlineLvl w:val="0"/>
                    <w:rPr>
                      <w:szCs w:val="21"/>
                    </w:rPr>
                  </w:pPr>
                  <w:bookmarkStart w:id="161" w:name="_Toc144148002"/>
                  <w:bookmarkStart w:id="162" w:name="_Toc25354"/>
                  <w:r>
                    <w:rPr>
                      <w:szCs w:val="21"/>
                    </w:rPr>
                    <w:t>外购</w:t>
                  </w:r>
                  <w:bookmarkEnd w:id="161"/>
                  <w:bookmarkEnd w:id="162"/>
                </w:p>
              </w:tc>
              <w:tc>
                <w:tcPr>
                  <w:tcW w:w="831" w:type="pct"/>
                  <w:vAlign w:val="center"/>
                </w:tcPr>
                <w:p>
                  <w:pPr>
                    <w:jc w:val="center"/>
                    <w:outlineLvl w:val="0"/>
                    <w:rPr>
                      <w:szCs w:val="21"/>
                    </w:rPr>
                  </w:pPr>
                  <w:bookmarkStart w:id="163" w:name="_Toc12722"/>
                  <w:bookmarkStart w:id="164" w:name="_Toc144148003"/>
                  <w:r>
                    <w:rPr>
                      <w:szCs w:val="21"/>
                    </w:rPr>
                    <w:t>燃料</w:t>
                  </w:r>
                  <w:bookmarkEnd w:id="163"/>
                  <w:bookmarkEnd w:id="164"/>
                </w:p>
              </w:tc>
            </w:tr>
          </w:tbl>
          <w:p>
            <w:pPr>
              <w:autoSpaceDE w:val="0"/>
              <w:autoSpaceDN w:val="0"/>
              <w:spacing w:before="156" w:beforeLines="50" w:line="360" w:lineRule="auto"/>
              <w:jc w:val="center"/>
              <w:outlineLvl w:val="0"/>
              <w:rPr>
                <w:b/>
                <w:bCs/>
                <w:sz w:val="24"/>
              </w:rPr>
            </w:pPr>
            <w:bookmarkStart w:id="165" w:name="_Toc18011"/>
            <w:bookmarkStart w:id="166" w:name="_Toc22682"/>
            <w:bookmarkStart w:id="167" w:name="_Toc17506"/>
            <w:bookmarkStart w:id="168" w:name="_Toc144148004"/>
            <w:bookmarkStart w:id="169" w:name="_Toc30864"/>
            <w:r>
              <w:rPr>
                <w:b/>
                <w:bCs/>
                <w:sz w:val="24"/>
              </w:rPr>
              <w:t>表2-4 原</w:t>
            </w:r>
            <w:r>
              <w:rPr>
                <w:rFonts w:hint="eastAsia"/>
                <w:b/>
                <w:bCs/>
                <w:sz w:val="24"/>
              </w:rPr>
              <w:t>辅</w:t>
            </w:r>
            <w:r>
              <w:rPr>
                <w:b/>
                <w:bCs/>
                <w:sz w:val="24"/>
              </w:rPr>
              <w:t>材料理化性质一览表</w:t>
            </w:r>
            <w:bookmarkEnd w:id="165"/>
            <w:bookmarkEnd w:id="166"/>
            <w:bookmarkEnd w:id="167"/>
            <w:bookmarkEnd w:id="168"/>
            <w:bookmarkEnd w:id="169"/>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51" w:type="pct"/>
                  <w:vAlign w:val="center"/>
                </w:tcPr>
                <w:p>
                  <w:pPr>
                    <w:jc w:val="center"/>
                    <w:outlineLvl w:val="0"/>
                    <w:rPr>
                      <w:b/>
                      <w:bCs/>
                      <w:szCs w:val="21"/>
                    </w:rPr>
                  </w:pPr>
                  <w:bookmarkStart w:id="170" w:name="_Toc144148005"/>
                  <w:bookmarkStart w:id="171" w:name="_Toc6388"/>
                  <w:r>
                    <w:rPr>
                      <w:b/>
                      <w:bCs/>
                      <w:szCs w:val="21"/>
                    </w:rPr>
                    <w:t>名称</w:t>
                  </w:r>
                  <w:bookmarkEnd w:id="170"/>
                  <w:bookmarkEnd w:id="171"/>
                </w:p>
              </w:tc>
              <w:tc>
                <w:tcPr>
                  <w:tcW w:w="3648" w:type="pct"/>
                  <w:vAlign w:val="center"/>
                </w:tcPr>
                <w:p>
                  <w:pPr>
                    <w:jc w:val="center"/>
                    <w:outlineLvl w:val="0"/>
                    <w:rPr>
                      <w:b/>
                      <w:bCs/>
                      <w:szCs w:val="21"/>
                    </w:rPr>
                  </w:pPr>
                  <w:bookmarkStart w:id="172" w:name="_Toc12196"/>
                  <w:bookmarkStart w:id="173" w:name="_Toc349"/>
                  <w:bookmarkStart w:id="174" w:name="_Toc144148006"/>
                  <w:r>
                    <w:rPr>
                      <w:b/>
                      <w:bCs/>
                      <w:szCs w:val="21"/>
                    </w:rPr>
                    <w:t>理化性质</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51" w:type="pct"/>
                  <w:vAlign w:val="center"/>
                </w:tcPr>
                <w:p>
                  <w:pPr>
                    <w:jc w:val="center"/>
                    <w:outlineLvl w:val="0"/>
                    <w:rPr>
                      <w:szCs w:val="21"/>
                    </w:rPr>
                  </w:pPr>
                  <w:bookmarkStart w:id="175" w:name="_Toc16270"/>
                  <w:r>
                    <w:rPr>
                      <w:szCs w:val="21"/>
                    </w:rPr>
                    <w:fldChar w:fldCharType="begin"/>
                  </w:r>
                  <w:r>
                    <w:rPr>
                      <w:szCs w:val="21"/>
                    </w:rPr>
                    <w:instrText xml:space="preserve"> HYPERLINK "" \l "硝酸钙2!A1" </w:instrText>
                  </w:r>
                  <w:r>
                    <w:rPr>
                      <w:szCs w:val="21"/>
                    </w:rPr>
                    <w:fldChar w:fldCharType="separate"/>
                  </w:r>
                  <w:bookmarkStart w:id="176" w:name="_Toc144148007"/>
                  <w:r>
                    <w:rPr>
                      <w:szCs w:val="21"/>
                    </w:rPr>
                    <w:t>硝酸钙</w:t>
                  </w:r>
                  <w:bookmarkEnd w:id="176"/>
                  <w:r>
                    <w:rPr>
                      <w:szCs w:val="21"/>
                    </w:rPr>
                    <w:fldChar w:fldCharType="end"/>
                  </w:r>
                  <w:bookmarkEnd w:id="175"/>
                </w:p>
              </w:tc>
              <w:tc>
                <w:tcPr>
                  <w:tcW w:w="3648" w:type="pct"/>
                  <w:vAlign w:val="center"/>
                </w:tcPr>
                <w:p>
                  <w:pPr>
                    <w:widowControl/>
                    <w:shd w:val="clear" w:color="auto" w:fill="FFFFFF"/>
                    <w:spacing w:after="225"/>
                    <w:ind w:firstLine="420"/>
                    <w:jc w:val="left"/>
                    <w:rPr>
                      <w:szCs w:val="21"/>
                    </w:rPr>
                  </w:pPr>
                  <w:r>
                    <w:rPr>
                      <w:szCs w:val="21"/>
                      <w:shd w:val="clear" w:color="auto" w:fill="FFFFFF"/>
                    </w:rPr>
                    <w:t>是一种无机化合物，化学式为Ca(NO</w:t>
                  </w:r>
                  <w:r>
                    <w:rPr>
                      <w:szCs w:val="21"/>
                      <w:shd w:val="clear" w:color="auto" w:fill="FFFFFF"/>
                      <w:vertAlign w:val="subscript"/>
                    </w:rPr>
                    <w:t>3</w:t>
                  </w:r>
                  <w:r>
                    <w:rPr>
                      <w:szCs w:val="21"/>
                      <w:shd w:val="clear" w:color="auto" w:fill="FFFFFF"/>
                    </w:rPr>
                    <w:t>)</w:t>
                  </w:r>
                  <w:r>
                    <w:rPr>
                      <w:szCs w:val="21"/>
                      <w:shd w:val="clear" w:color="auto" w:fill="FFFFFF"/>
                      <w:vertAlign w:val="subscript"/>
                    </w:rPr>
                    <w:t>2</w:t>
                  </w:r>
                  <w:r>
                    <w:rPr>
                      <w:szCs w:val="21"/>
                      <w:shd w:val="clear" w:color="auto" w:fill="FFFFFF"/>
                    </w:rPr>
                    <w:t>，为白色结晶性粉末，有两种晶体。易溶于水、液氨、丙酮、甲醇、乙醇，不溶于浓硝酸。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jc w:val="center"/>
                    <w:outlineLvl w:val="0"/>
                    <w:rPr>
                      <w:szCs w:val="21"/>
                    </w:rPr>
                  </w:pPr>
                  <w:bookmarkStart w:id="177" w:name="_Toc16981"/>
                  <w:r>
                    <w:rPr>
                      <w:szCs w:val="21"/>
                    </w:rPr>
                    <w:fldChar w:fldCharType="begin"/>
                  </w:r>
                  <w:r>
                    <w:rPr>
                      <w:szCs w:val="21"/>
                    </w:rPr>
                    <w:instrText xml:space="preserve"> HYPERLINK "" \l "硝酸镁2!A1" </w:instrText>
                  </w:r>
                  <w:r>
                    <w:rPr>
                      <w:szCs w:val="21"/>
                    </w:rPr>
                    <w:fldChar w:fldCharType="separate"/>
                  </w:r>
                  <w:bookmarkStart w:id="178" w:name="_Toc144148008"/>
                  <w:r>
                    <w:rPr>
                      <w:szCs w:val="21"/>
                    </w:rPr>
                    <w:t>硝酸镁</w:t>
                  </w:r>
                  <w:bookmarkEnd w:id="178"/>
                  <w:r>
                    <w:rPr>
                      <w:szCs w:val="21"/>
                    </w:rPr>
                    <w:fldChar w:fldCharType="end"/>
                  </w:r>
                  <w:bookmarkEnd w:id="177"/>
                </w:p>
              </w:tc>
              <w:tc>
                <w:tcPr>
                  <w:tcW w:w="3648" w:type="pct"/>
                  <w:vAlign w:val="center"/>
                </w:tcPr>
                <w:p>
                  <w:pPr>
                    <w:spacing w:before="31"/>
                    <w:ind w:right="82" w:firstLine="420" w:firstLineChars="200"/>
                    <w:rPr>
                      <w:szCs w:val="21"/>
                    </w:rPr>
                  </w:pPr>
                  <w:r>
                    <w:rPr>
                      <w:szCs w:val="21"/>
                      <w:shd w:val="clear" w:color="auto" w:fill="FFFFFF"/>
                    </w:rPr>
                    <w:t>是一种</w:t>
                  </w:r>
                  <w:r>
                    <w:fldChar w:fldCharType="begin"/>
                  </w:r>
                  <w:r>
                    <w:instrText xml:space="preserve"> HYPERLINK "https://baike.baidu.com/item/%E6%97%A0%E6%9C%BA%E5%8C%96%E5%90%88%E7%89%A9/10716655?fromModule=lemma_inlink" \t "https://baike.baidu.com/item/%E7%A1%9D%E9%85%B8%E9%95%81/_blank" </w:instrText>
                  </w:r>
                  <w:r>
                    <w:fldChar w:fldCharType="separate"/>
                  </w:r>
                  <w:r>
                    <w:rPr>
                      <w:szCs w:val="21"/>
                      <w:shd w:val="clear" w:color="auto" w:fill="FFFFFF"/>
                    </w:rPr>
                    <w:t>无机化合物</w:t>
                  </w:r>
                  <w:r>
                    <w:rPr>
                      <w:szCs w:val="21"/>
                      <w:shd w:val="clear" w:color="auto" w:fill="FFFFFF"/>
                    </w:rPr>
                    <w:fldChar w:fldCharType="end"/>
                  </w:r>
                  <w:r>
                    <w:rPr>
                      <w:szCs w:val="21"/>
                      <w:shd w:val="clear" w:color="auto" w:fill="FFFFFF"/>
                    </w:rPr>
                    <w:t>，化学式为Mg(NO</w:t>
                  </w:r>
                  <w:r>
                    <w:rPr>
                      <w:szCs w:val="21"/>
                      <w:shd w:val="clear" w:color="auto" w:fill="FFFFFF"/>
                      <w:vertAlign w:val="subscript"/>
                    </w:rPr>
                    <w:t>3</w:t>
                  </w:r>
                  <w:r>
                    <w:rPr>
                      <w:szCs w:val="21"/>
                      <w:shd w:val="clear" w:color="auto" w:fill="FFFFFF"/>
                    </w:rPr>
                    <w:t>)</w:t>
                  </w:r>
                  <w:r>
                    <w:rPr>
                      <w:szCs w:val="21"/>
                      <w:shd w:val="clear" w:color="auto" w:fill="FFFFFF"/>
                      <w:vertAlign w:val="subscript"/>
                    </w:rPr>
                    <w:t>2</w:t>
                  </w:r>
                  <w:r>
                    <w:rPr>
                      <w:szCs w:val="21"/>
                      <w:shd w:val="clear" w:color="auto" w:fill="FFFFFF"/>
                    </w:rPr>
                    <w:t>，为白色</w:t>
                  </w:r>
                  <w:r>
                    <w:fldChar w:fldCharType="begin"/>
                  </w:r>
                  <w:r>
                    <w:instrText xml:space="preserve">HYPERLINK "https://baike.baidu.com/item/%E7%BB%93%E6%99%B6%E6%80%A7/6830050?fromModule=lemma_inlink" \t "https://baike.baidu.com/item/%E7%A1%9D%E9%85%B8%E9%95%81/_blank"</w:instrText>
                  </w:r>
                  <w:r>
                    <w:fldChar w:fldCharType="separate"/>
                  </w:r>
                  <w:r>
                    <w:rPr>
                      <w:szCs w:val="21"/>
                      <w:shd w:val="clear" w:color="auto" w:fill="FFFFFF"/>
                    </w:rPr>
                    <w:t>结晶性</w:t>
                  </w:r>
                  <w:r>
                    <w:rPr>
                      <w:szCs w:val="21"/>
                      <w:shd w:val="clear" w:color="auto" w:fill="FFFFFF"/>
                    </w:rPr>
                    <w:fldChar w:fldCharType="end"/>
                  </w:r>
                  <w:r>
                    <w:rPr>
                      <w:szCs w:val="21"/>
                      <w:shd w:val="clear" w:color="auto" w:fill="FFFFFF"/>
                    </w:rPr>
                    <w:t>粉末，溶于水、</w:t>
                  </w:r>
                  <w:r>
                    <w:fldChar w:fldCharType="begin"/>
                  </w:r>
                  <w:r>
                    <w:instrText xml:space="preserve"> HYPERLINK "https://baike.baidu.com/item/%E7%94%B2%E9%86%87/1512312?fromModule=lemma_inlink" \t "https://baike.baidu.com/item/%E7%A1%9D%E9%85%B8%E9%95%81/_blank" </w:instrText>
                  </w:r>
                  <w:r>
                    <w:fldChar w:fldCharType="separate"/>
                  </w:r>
                  <w:r>
                    <w:rPr>
                      <w:szCs w:val="21"/>
                      <w:shd w:val="clear" w:color="auto" w:fill="FFFFFF"/>
                    </w:rPr>
                    <w:t>甲醇</w:t>
                  </w:r>
                  <w:r>
                    <w:rPr>
                      <w:szCs w:val="21"/>
                      <w:shd w:val="clear" w:color="auto" w:fill="FFFFFF"/>
                    </w:rPr>
                    <w:fldChar w:fldCharType="end"/>
                  </w:r>
                  <w:r>
                    <w:rPr>
                      <w:szCs w:val="21"/>
                      <w:shd w:val="clear" w:color="auto" w:fill="FFFFFF"/>
                    </w:rPr>
                    <w:t>、</w:t>
                  </w:r>
                  <w:r>
                    <w:fldChar w:fldCharType="begin"/>
                  </w:r>
                  <w:r>
                    <w:instrText xml:space="preserve"> HYPERLINK "https://baike.baidu.com/item/%E4%B9%99%E9%86%87/135334?fromModule=lemma_inlink" \t "https://baike.baidu.com/item/%E7%A1%9D%E9%85%B8%E9%95%81/_blank" </w:instrText>
                  </w:r>
                  <w:r>
                    <w:fldChar w:fldCharType="separate"/>
                  </w:r>
                  <w:r>
                    <w:rPr>
                      <w:szCs w:val="21"/>
                      <w:shd w:val="clear" w:color="auto" w:fill="FFFFFF"/>
                    </w:rPr>
                    <w:t>乙醇</w:t>
                  </w:r>
                  <w:r>
                    <w:rPr>
                      <w:szCs w:val="21"/>
                      <w:shd w:val="clear" w:color="auto" w:fill="FFFFFF"/>
                    </w:rPr>
                    <w:fldChar w:fldCharType="end"/>
                  </w:r>
                  <w:r>
                    <w:rPr>
                      <w:szCs w:val="21"/>
                      <w:shd w:val="clear" w:color="auto" w:fill="FFFFFF"/>
                    </w:rPr>
                    <w:t>、液氨，其水溶液呈中性。可用作</w:t>
                  </w:r>
                  <w:r>
                    <w:fldChar w:fldCharType="begin"/>
                  </w:r>
                  <w:r>
                    <w:instrText xml:space="preserve"> HYPERLINK "https://baike.baidu.com/item/%E6%B5%93%E7%A1%9D%E9%85%B8/7275542?fromModule=lemma_inlink" \t "https://baike.baidu.com/item/%E7%A1%9D%E9%85%B8%E9%95%81/_blank" </w:instrText>
                  </w:r>
                  <w:r>
                    <w:fldChar w:fldCharType="separate"/>
                  </w:r>
                  <w:r>
                    <w:rPr>
                      <w:szCs w:val="21"/>
                      <w:shd w:val="clear" w:color="auto" w:fill="FFFFFF"/>
                    </w:rPr>
                    <w:t>浓硝酸</w:t>
                  </w:r>
                  <w:r>
                    <w:rPr>
                      <w:szCs w:val="21"/>
                      <w:shd w:val="clear" w:color="auto" w:fill="FFFFFF"/>
                    </w:rPr>
                    <w:fldChar w:fldCharType="end"/>
                  </w:r>
                  <w:r>
                    <w:rPr>
                      <w:szCs w:val="21"/>
                      <w:shd w:val="clear" w:color="auto" w:fill="FFFFFF"/>
                    </w:rPr>
                    <w:t>的</w:t>
                  </w:r>
                  <w:r>
                    <w:fldChar w:fldCharType="begin"/>
                  </w:r>
                  <w:r>
                    <w:instrText xml:space="preserve"> HYPERLINK "https://baike.baidu.com/item/%E8%84%B1%E6%B0%B4%E5%89%82/6808435?fromModule=lemma_inlink" \t "https://baike.baidu.com/item/%E7%A1%9D%E9%85%B8%E9%95%81/_blank" </w:instrText>
                  </w:r>
                  <w:r>
                    <w:fldChar w:fldCharType="separate"/>
                  </w:r>
                  <w:r>
                    <w:rPr>
                      <w:szCs w:val="21"/>
                      <w:shd w:val="clear" w:color="auto" w:fill="FFFFFF"/>
                    </w:rPr>
                    <w:t>脱水剂</w:t>
                  </w:r>
                  <w:r>
                    <w:rPr>
                      <w:szCs w:val="21"/>
                      <w:shd w:val="clear" w:color="auto" w:fill="FFFFFF"/>
                    </w:rPr>
                    <w:fldChar w:fldCharType="end"/>
                  </w:r>
                  <w:r>
                    <w:rPr>
                      <w:szCs w:val="21"/>
                      <w:shd w:val="clear" w:color="auto" w:fill="FFFFFF"/>
                    </w:rPr>
                    <w:t>、</w:t>
                  </w:r>
                  <w:r>
                    <w:fldChar w:fldCharType="begin"/>
                  </w:r>
                  <w:r>
                    <w:instrText xml:space="preserve"> HYPERLINK "https://baike.baidu.com/item/%E5%82%AC%E5%8C%96%E5%89%82/1132343?fromModule=lemma_inlink" \t "https://baike.baidu.com/item/%E7%A1%9D%E9%85%B8%E9%95%81/_blank" </w:instrText>
                  </w:r>
                  <w:r>
                    <w:fldChar w:fldCharType="separate"/>
                  </w:r>
                  <w:r>
                    <w:rPr>
                      <w:szCs w:val="21"/>
                      <w:shd w:val="clear" w:color="auto" w:fill="FFFFFF"/>
                    </w:rPr>
                    <w:t>催化剂</w:t>
                  </w:r>
                  <w:r>
                    <w:rPr>
                      <w:szCs w:val="21"/>
                      <w:shd w:val="clear" w:color="auto" w:fill="FFFFFF"/>
                    </w:rPr>
                    <w:fldChar w:fldCharType="end"/>
                  </w:r>
                  <w:r>
                    <w:rPr>
                      <w:szCs w:val="21"/>
                      <w:shd w:val="clear" w:color="auto" w:fill="FFFFFF"/>
                    </w:rPr>
                    <w:t>和小麦灰化剂等。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jc w:val="center"/>
                    <w:outlineLvl w:val="0"/>
                    <w:rPr>
                      <w:szCs w:val="21"/>
                    </w:rPr>
                  </w:pPr>
                  <w:bookmarkStart w:id="179" w:name="_Toc22304"/>
                  <w:bookmarkStart w:id="180" w:name="_Toc144148009"/>
                  <w:r>
                    <w:rPr>
                      <w:szCs w:val="21"/>
                    </w:rPr>
                    <w:t>硫酸镁</w:t>
                  </w:r>
                  <w:bookmarkEnd w:id="179"/>
                  <w:bookmarkEnd w:id="180"/>
                </w:p>
              </w:tc>
              <w:tc>
                <w:tcPr>
                  <w:tcW w:w="3648" w:type="pct"/>
                  <w:vAlign w:val="center"/>
                </w:tcPr>
                <w:p>
                  <w:pPr>
                    <w:spacing w:before="31"/>
                    <w:ind w:right="82" w:firstLine="420" w:firstLineChars="200"/>
                    <w:rPr>
                      <w:spacing w:val="-2"/>
                      <w:szCs w:val="21"/>
                    </w:rPr>
                  </w:pPr>
                  <w:r>
                    <w:rPr>
                      <w:szCs w:val="21"/>
                      <w:shd w:val="clear" w:color="auto" w:fill="FFFFFF"/>
                    </w:rPr>
                    <w:t>硫酸镁，或</w:t>
                  </w:r>
                  <w:r>
                    <w:fldChar w:fldCharType="begin"/>
                  </w:r>
                  <w:r>
                    <w:instrText xml:space="preserve">HYPERLINK "https://baike.sogou.com/lemma/ShowInnerLink.htm?lemmaId=517523&amp;ss_c=ssc.citiao.link" \t "https://baike.sogou.com/_blank"</w:instrText>
                  </w:r>
                  <w:r>
                    <w:fldChar w:fldCharType="separate"/>
                  </w:r>
                  <w:r>
                    <w:rPr>
                      <w:szCs w:val="21"/>
                      <w:shd w:val="clear" w:color="auto" w:fill="FFFFFF"/>
                    </w:rPr>
                    <w:t>七水硫酸镁</w:t>
                  </w:r>
                  <w:r>
                    <w:rPr>
                      <w:szCs w:val="21"/>
                      <w:shd w:val="clear" w:color="auto" w:fill="FFFFFF"/>
                    </w:rPr>
                    <w:fldChar w:fldCharType="end"/>
                  </w:r>
                  <w:r>
                    <w:rPr>
                      <w:szCs w:val="21"/>
                      <w:shd w:val="clear" w:color="auto" w:fill="FFFFFF"/>
                    </w:rPr>
                    <w:t>，又名硫苦、苦盐、泻利盐、泻盐，是一种含镁的化合物。七水硫酸镁在空气（干燥）中易风化为粉状，加热时逐渐脱去</w:t>
                  </w:r>
                  <w:r>
                    <w:fldChar w:fldCharType="begin"/>
                  </w:r>
                  <w:r>
                    <w:instrText xml:space="preserve">HYPERLINK "https://baike.sogou.com/lemma/ShowInnerLink.htm?lemmaId=262682&amp;ss_c=ssc.citiao.link" \t "https://baike.sogou.com/_blank"</w:instrText>
                  </w:r>
                  <w:r>
                    <w:fldChar w:fldCharType="separate"/>
                  </w:r>
                  <w:r>
                    <w:rPr>
                      <w:szCs w:val="21"/>
                      <w:shd w:val="clear" w:color="auto" w:fill="FFFFFF"/>
                    </w:rPr>
                    <w:t>结晶水</w:t>
                  </w:r>
                  <w:r>
                    <w:rPr>
                      <w:szCs w:val="21"/>
                      <w:shd w:val="clear" w:color="auto" w:fill="FFFFFF"/>
                    </w:rPr>
                    <w:fldChar w:fldCharType="end"/>
                  </w:r>
                  <w:r>
                    <w:rPr>
                      <w:szCs w:val="21"/>
                      <w:shd w:val="clear" w:color="auto" w:fill="FFFFFF"/>
                    </w:rPr>
                    <w:t>变为</w:t>
                  </w:r>
                  <w:r>
                    <w:fldChar w:fldCharType="begin"/>
                  </w:r>
                  <w:r>
                    <w:instrText xml:space="preserve"> HYPERLINK "https://baike.sogou.com/lemma/ShowInnerLink.htm?lemmaId=445990&amp;ss_c=ssc.citiao.link" \t "https://baike.sogou.com/_blank" </w:instrText>
                  </w:r>
                  <w:r>
                    <w:fldChar w:fldCharType="separate"/>
                  </w:r>
                  <w:r>
                    <w:rPr>
                      <w:szCs w:val="21"/>
                      <w:shd w:val="clear" w:color="auto" w:fill="FFFFFF"/>
                    </w:rPr>
                    <w:t>无水硫酸镁</w:t>
                  </w:r>
                  <w:r>
                    <w:rPr>
                      <w:szCs w:val="21"/>
                      <w:shd w:val="clear" w:color="auto" w:fill="FFFFFF"/>
                    </w:rPr>
                    <w:fldChar w:fldCharType="end"/>
                  </w:r>
                  <w:r>
                    <w:rPr>
                      <w:szCs w:val="21"/>
                      <w:shd w:val="clear" w:color="auto" w:fill="FFFFFF"/>
                    </w:rPr>
                    <w:t>，硫酸镁是一种化工原料。易溶于水，微溶于乙醇和甘油，乙醚，不溶于丙酮。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jc w:val="center"/>
                    <w:outlineLvl w:val="0"/>
                    <w:rPr>
                      <w:szCs w:val="21"/>
                    </w:rPr>
                  </w:pPr>
                  <w:bookmarkStart w:id="181" w:name="_Toc25424"/>
                  <w:bookmarkStart w:id="182" w:name="_Toc144148010"/>
                  <w:r>
                    <w:rPr>
                      <w:szCs w:val="21"/>
                    </w:rPr>
                    <w:t>硫酸锰</w:t>
                  </w:r>
                  <w:bookmarkEnd w:id="181"/>
                  <w:bookmarkEnd w:id="182"/>
                </w:p>
              </w:tc>
              <w:tc>
                <w:tcPr>
                  <w:tcW w:w="3648" w:type="pct"/>
                  <w:vAlign w:val="center"/>
                </w:tcPr>
                <w:p>
                  <w:pPr>
                    <w:spacing w:before="31"/>
                    <w:ind w:right="82" w:firstLine="420" w:firstLineChars="200"/>
                    <w:rPr>
                      <w:spacing w:val="-2"/>
                      <w:szCs w:val="21"/>
                    </w:rPr>
                  </w:pPr>
                  <w:r>
                    <w:rPr>
                      <w:szCs w:val="21"/>
                      <w:shd w:val="clear" w:color="auto" w:fill="FFFFFF"/>
                    </w:rPr>
                    <w:t>硫酸锰（化学式MnSO</w:t>
                  </w:r>
                  <w:r>
                    <w:rPr>
                      <w:szCs w:val="21"/>
                      <w:shd w:val="clear" w:color="auto" w:fill="FFFFFF"/>
                      <w:vertAlign w:val="subscript"/>
                    </w:rPr>
                    <w:t>4</w:t>
                  </w:r>
                  <w:r>
                    <w:rPr>
                      <w:szCs w:val="21"/>
                      <w:shd w:val="clear" w:color="auto" w:fill="FFFFFF"/>
                    </w:rPr>
                    <w:t>，式量151.00），其一水合物为微红色斜方晶体，相对密度为3.50，熔点为700℃，易溶于水，不溶于乙醇。其以多种水合物的形式存在。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1" w:type="pct"/>
                  <w:vAlign w:val="center"/>
                </w:tcPr>
                <w:p>
                  <w:pPr>
                    <w:jc w:val="center"/>
                    <w:outlineLvl w:val="0"/>
                    <w:rPr>
                      <w:szCs w:val="21"/>
                    </w:rPr>
                  </w:pPr>
                  <w:bookmarkStart w:id="183" w:name="_Toc14653"/>
                  <w:r>
                    <w:rPr>
                      <w:szCs w:val="21"/>
                    </w:rPr>
                    <w:fldChar w:fldCharType="begin"/>
                  </w:r>
                  <w:r>
                    <w:rPr>
                      <w:szCs w:val="21"/>
                    </w:rPr>
                    <w:instrText xml:space="preserve"> HYPERLINK "" \l "RANGE!A1" </w:instrText>
                  </w:r>
                  <w:r>
                    <w:rPr>
                      <w:szCs w:val="21"/>
                    </w:rPr>
                    <w:fldChar w:fldCharType="separate"/>
                  </w:r>
                  <w:bookmarkStart w:id="184" w:name="_Toc144148011"/>
                  <w:r>
                    <w:rPr>
                      <w:szCs w:val="21"/>
                    </w:rPr>
                    <w:t>硫酸铜</w:t>
                  </w:r>
                  <w:bookmarkEnd w:id="184"/>
                  <w:r>
                    <w:rPr>
                      <w:szCs w:val="21"/>
                    </w:rPr>
                    <w:fldChar w:fldCharType="end"/>
                  </w:r>
                  <w:bookmarkEnd w:id="183"/>
                </w:p>
              </w:tc>
              <w:tc>
                <w:tcPr>
                  <w:tcW w:w="3648" w:type="pct"/>
                  <w:vAlign w:val="center"/>
                </w:tcPr>
                <w:p>
                  <w:pPr>
                    <w:spacing w:before="31"/>
                    <w:ind w:right="82" w:firstLine="420" w:firstLineChars="200"/>
                    <w:rPr>
                      <w:spacing w:val="-2"/>
                      <w:szCs w:val="21"/>
                    </w:rPr>
                  </w:pPr>
                  <w:r>
                    <w:rPr>
                      <w:szCs w:val="21"/>
                      <w:shd w:val="clear" w:color="auto" w:fill="FFFFFF"/>
                    </w:rPr>
                    <w:t>硫酸铜（英文名：cupric sulfate）是一种</w:t>
                  </w:r>
                  <w:r>
                    <w:fldChar w:fldCharType="begin"/>
                  </w:r>
                  <w:r>
                    <w:instrText xml:space="preserve">HYPERLINK "https://baike.sogou.com/lemma/ShowInnerLink.htm?lemmaId=1714946" \t "https://baike.sogou.com/_blank"</w:instrText>
                  </w:r>
                  <w:r>
                    <w:fldChar w:fldCharType="separate"/>
                  </w:r>
                  <w:r>
                    <w:rPr>
                      <w:szCs w:val="21"/>
                      <w:shd w:val="clear" w:color="auto" w:fill="FFFFFF"/>
                    </w:rPr>
                    <w:t>无机化合物</w:t>
                  </w:r>
                  <w:r>
                    <w:rPr>
                      <w:szCs w:val="21"/>
                      <w:shd w:val="clear" w:color="auto" w:fill="FFFFFF"/>
                    </w:rPr>
                    <w:fldChar w:fldCharType="end"/>
                  </w:r>
                  <w:r>
                    <w:rPr>
                      <w:szCs w:val="21"/>
                      <w:shd w:val="clear" w:color="auto" w:fill="FFFFFF"/>
                    </w:rPr>
                    <w:t>，化学式CuSO</w:t>
                  </w:r>
                  <w:r>
                    <w:rPr>
                      <w:szCs w:val="21"/>
                      <w:shd w:val="clear" w:color="auto" w:fill="FFFFFF"/>
                      <w:vertAlign w:val="subscript"/>
                    </w:rPr>
                    <w:t>4</w:t>
                  </w:r>
                  <w:r>
                    <w:rPr>
                      <w:szCs w:val="21"/>
                      <w:shd w:val="clear" w:color="auto" w:fill="FFFFFF"/>
                    </w:rPr>
                    <w:t>。为白色或灰白色粉末，易吸水变蓝绿色的五水合硫酸铜。水溶液呈弱酸性，显蓝色。溶于水、甲醇。不溶于乙醇。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jc w:val="center"/>
                    <w:outlineLvl w:val="0"/>
                    <w:rPr>
                      <w:szCs w:val="21"/>
                    </w:rPr>
                  </w:pPr>
                  <w:bookmarkStart w:id="185" w:name="_Toc31083"/>
                  <w:r>
                    <w:rPr>
                      <w:szCs w:val="21"/>
                    </w:rPr>
                    <w:fldChar w:fldCharType="begin"/>
                  </w:r>
                  <w:r>
                    <w:rPr>
                      <w:szCs w:val="21"/>
                    </w:rPr>
                    <w:instrText xml:space="preserve"> HYPERLINK "" \l "RANGE!A1" </w:instrText>
                  </w:r>
                  <w:r>
                    <w:rPr>
                      <w:szCs w:val="21"/>
                    </w:rPr>
                    <w:fldChar w:fldCharType="separate"/>
                  </w:r>
                  <w:bookmarkStart w:id="186" w:name="_Toc144148012"/>
                  <w:r>
                    <w:rPr>
                      <w:szCs w:val="21"/>
                    </w:rPr>
                    <w:t>钼酸铵</w:t>
                  </w:r>
                  <w:bookmarkEnd w:id="186"/>
                  <w:r>
                    <w:rPr>
                      <w:szCs w:val="21"/>
                    </w:rPr>
                    <w:fldChar w:fldCharType="end"/>
                  </w:r>
                  <w:bookmarkEnd w:id="185"/>
                </w:p>
              </w:tc>
              <w:tc>
                <w:tcPr>
                  <w:tcW w:w="3648" w:type="pct"/>
                  <w:vAlign w:val="center"/>
                </w:tcPr>
                <w:p>
                  <w:pPr>
                    <w:spacing w:before="31"/>
                    <w:ind w:right="82" w:firstLine="420" w:firstLineChars="200"/>
                    <w:rPr>
                      <w:spacing w:val="-2"/>
                      <w:szCs w:val="21"/>
                    </w:rPr>
                  </w:pPr>
                  <w:r>
                    <w:rPr>
                      <w:szCs w:val="21"/>
                      <w:shd w:val="clear" w:color="auto" w:fill="FFFFFF"/>
                    </w:rPr>
                    <w:t>钼酸铵，为白色或淡绿色晶体，工业上一般用</w:t>
                  </w:r>
                  <w:r>
                    <w:rPr>
                      <w:rFonts w:hint="eastAsia"/>
                      <w:szCs w:val="21"/>
                      <w:shd w:val="clear" w:color="auto" w:fill="FFFFFF"/>
                    </w:rPr>
                    <w:t>（</w:t>
                  </w:r>
                  <w:r>
                    <w:rPr>
                      <w:szCs w:val="21"/>
                      <w:shd w:val="clear" w:color="auto" w:fill="FFFFFF"/>
                    </w:rPr>
                    <w:t>MoS</w:t>
                  </w:r>
                  <w:r>
                    <w:rPr>
                      <w:szCs w:val="21"/>
                      <w:shd w:val="clear" w:color="auto" w:fill="FFFFFF"/>
                      <w:vertAlign w:val="subscript"/>
                    </w:rPr>
                    <w:t>2</w:t>
                  </w:r>
                  <w:r>
                    <w:rPr>
                      <w:rFonts w:hint="eastAsia"/>
                      <w:szCs w:val="21"/>
                      <w:shd w:val="clear" w:color="auto" w:fill="FFFFFF"/>
                      <w:vertAlign w:val="subscript"/>
                    </w:rPr>
                    <w:t>）</w:t>
                  </w:r>
                  <w:r>
                    <w:rPr>
                      <w:szCs w:val="21"/>
                      <w:shd w:val="clear" w:color="auto" w:fill="FFFFFF"/>
                    </w:rPr>
                    <w:t>焙烧脱硫，用氨水浸出而制得。易于纯化、易于溶解、易于</w:t>
                  </w:r>
                  <w:r>
                    <w:fldChar w:fldCharType="begin"/>
                  </w:r>
                  <w:r>
                    <w:instrText xml:space="preserve">HYPERLINK "https://baike.sogou.com/lemma/ShowInnerLink.htm?lemmaId=361645&amp;ss_c=ssc.citiao.link" \t "https://baike.sogou.com/_blank"</w:instrText>
                  </w:r>
                  <w:r>
                    <w:fldChar w:fldCharType="separate"/>
                  </w:r>
                  <w:r>
                    <w:rPr>
                      <w:szCs w:val="21"/>
                      <w:shd w:val="clear" w:color="auto" w:fill="FFFFFF"/>
                    </w:rPr>
                    <w:t>热解离</w:t>
                  </w:r>
                  <w:r>
                    <w:rPr>
                      <w:szCs w:val="21"/>
                      <w:shd w:val="clear" w:color="auto" w:fill="FFFFFF"/>
                    </w:rPr>
                    <w:fldChar w:fldCharType="end"/>
                  </w:r>
                  <w:r>
                    <w:rPr>
                      <w:szCs w:val="21"/>
                      <w:shd w:val="clear" w:color="auto" w:fill="FFFFFF"/>
                    </w:rPr>
                    <w:t>，而且，热解离出的NH</w:t>
                  </w:r>
                  <w:r>
                    <w:rPr>
                      <w:szCs w:val="21"/>
                      <w:shd w:val="clear" w:color="auto" w:fill="FFFFFF"/>
                      <w:vertAlign w:val="subscript"/>
                    </w:rPr>
                    <w:t>3</w:t>
                  </w:r>
                  <w:r>
                    <w:rPr>
                      <w:szCs w:val="21"/>
                      <w:shd w:val="clear" w:color="auto" w:fill="FFFFFF"/>
                    </w:rPr>
                    <w:t>气随加热可充分逸出，不再污染钼产品。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jc w:val="center"/>
                    <w:outlineLvl w:val="0"/>
                    <w:rPr>
                      <w:szCs w:val="21"/>
                    </w:rPr>
                  </w:pPr>
                  <w:bookmarkStart w:id="187" w:name="_Toc7853"/>
                  <w:r>
                    <w:rPr>
                      <w:szCs w:val="21"/>
                    </w:rPr>
                    <w:fldChar w:fldCharType="begin"/>
                  </w:r>
                  <w:r>
                    <w:rPr>
                      <w:szCs w:val="21"/>
                    </w:rPr>
                    <w:instrText xml:space="preserve"> HYPERLINK "" \l "RANGE!A1" </w:instrText>
                  </w:r>
                  <w:r>
                    <w:rPr>
                      <w:szCs w:val="21"/>
                    </w:rPr>
                    <w:fldChar w:fldCharType="separate"/>
                  </w:r>
                  <w:bookmarkStart w:id="188" w:name="_Toc144148013"/>
                  <w:r>
                    <w:rPr>
                      <w:szCs w:val="21"/>
                    </w:rPr>
                    <w:t>硫酸锌</w:t>
                  </w:r>
                  <w:bookmarkEnd w:id="188"/>
                  <w:r>
                    <w:rPr>
                      <w:szCs w:val="21"/>
                    </w:rPr>
                    <w:fldChar w:fldCharType="end"/>
                  </w:r>
                  <w:bookmarkEnd w:id="187"/>
                </w:p>
              </w:tc>
              <w:tc>
                <w:tcPr>
                  <w:tcW w:w="3648" w:type="pct"/>
                  <w:vAlign w:val="center"/>
                </w:tcPr>
                <w:p>
                  <w:pPr>
                    <w:spacing w:before="31"/>
                    <w:ind w:right="82" w:firstLine="420" w:firstLineChars="200"/>
                    <w:rPr>
                      <w:spacing w:val="-2"/>
                      <w:szCs w:val="21"/>
                    </w:rPr>
                  </w:pPr>
                  <w:r>
                    <w:rPr>
                      <w:szCs w:val="21"/>
                      <w:shd w:val="clear" w:color="auto" w:fill="FFFFFF"/>
                    </w:rPr>
                    <w:t>硫酸锌（化学式：ZnSO</w:t>
                  </w:r>
                  <w:r>
                    <w:rPr>
                      <w:szCs w:val="21"/>
                      <w:shd w:val="clear" w:color="auto" w:fill="FFFFFF"/>
                      <w:vertAlign w:val="subscript"/>
                    </w:rPr>
                    <w:t>4</w:t>
                  </w:r>
                  <w:r>
                    <w:rPr>
                      <w:szCs w:val="21"/>
                      <w:shd w:val="clear" w:color="auto" w:fill="FFFFFF"/>
                    </w:rPr>
                    <w:t>）是最重要的锌盐之一，为无色斜方晶体或白色粉末，其七水合物俗称皓矾，是一种天然矿物。易溶于水，水溶液呈酸性，微溶于乙醇和甘油。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jc w:val="center"/>
                    <w:outlineLvl w:val="0"/>
                    <w:rPr>
                      <w:szCs w:val="21"/>
                    </w:rPr>
                  </w:pPr>
                  <w:bookmarkStart w:id="189" w:name="_Toc14968"/>
                  <w:r>
                    <w:rPr>
                      <w:szCs w:val="21"/>
                    </w:rPr>
                    <w:fldChar w:fldCharType="begin"/>
                  </w:r>
                  <w:r>
                    <w:rPr>
                      <w:szCs w:val="21"/>
                    </w:rPr>
                    <w:instrText xml:space="preserve"> HYPERLINK "" \l "RANGE!A1" </w:instrText>
                  </w:r>
                  <w:r>
                    <w:rPr>
                      <w:szCs w:val="21"/>
                    </w:rPr>
                    <w:fldChar w:fldCharType="separate"/>
                  </w:r>
                  <w:bookmarkStart w:id="190" w:name="_Toc144148014"/>
                  <w:r>
                    <w:rPr>
                      <w:szCs w:val="21"/>
                    </w:rPr>
                    <w:t>铁11%</w:t>
                  </w:r>
                  <w:bookmarkEnd w:id="190"/>
                  <w:r>
                    <w:rPr>
                      <w:szCs w:val="21"/>
                    </w:rPr>
                    <w:fldChar w:fldCharType="end"/>
                  </w:r>
                  <w:bookmarkEnd w:id="189"/>
                </w:p>
              </w:tc>
              <w:tc>
                <w:tcPr>
                  <w:tcW w:w="3648" w:type="pct"/>
                  <w:vAlign w:val="center"/>
                </w:tcPr>
                <w:p>
                  <w:pPr>
                    <w:spacing w:before="31"/>
                    <w:ind w:right="82" w:firstLine="420" w:firstLineChars="200"/>
                    <w:rPr>
                      <w:spacing w:val="-2"/>
                      <w:szCs w:val="21"/>
                    </w:rPr>
                  </w:pPr>
                  <w:r>
                    <w:rPr>
                      <w:szCs w:val="21"/>
                      <w:shd w:val="clear" w:color="auto" w:fill="FFFFFF"/>
                    </w:rPr>
                    <w:t>分子式是C</w:t>
                  </w:r>
                  <w:r>
                    <w:rPr>
                      <w:szCs w:val="21"/>
                      <w:shd w:val="clear" w:color="auto" w:fill="FFFFFF"/>
                      <w:vertAlign w:val="subscript"/>
                    </w:rPr>
                    <w:t>10</w:t>
                  </w:r>
                  <w:r>
                    <w:rPr>
                      <w:szCs w:val="21"/>
                      <w:shd w:val="clear" w:color="auto" w:fill="FFFFFF"/>
                    </w:rPr>
                    <w:t>H</w:t>
                  </w:r>
                  <w:r>
                    <w:rPr>
                      <w:szCs w:val="21"/>
                      <w:shd w:val="clear" w:color="auto" w:fill="FFFFFF"/>
                      <w:vertAlign w:val="subscript"/>
                    </w:rPr>
                    <w:t>20</w:t>
                  </w:r>
                  <w:r>
                    <w:rPr>
                      <w:szCs w:val="21"/>
                      <w:shd w:val="clear" w:color="auto" w:fill="FFFFFF"/>
                    </w:rPr>
                    <w:t>FeN</w:t>
                  </w:r>
                  <w:r>
                    <w:rPr>
                      <w:szCs w:val="21"/>
                      <w:shd w:val="clear" w:color="auto" w:fill="FFFFFF"/>
                      <w:vertAlign w:val="subscript"/>
                    </w:rPr>
                    <w:t>3</w:t>
                  </w:r>
                  <w:r>
                    <w:rPr>
                      <w:szCs w:val="21"/>
                      <w:shd w:val="clear" w:color="auto" w:fill="FFFFFF"/>
                    </w:rPr>
                    <w:t>O</w:t>
                  </w:r>
                  <w:r>
                    <w:rPr>
                      <w:szCs w:val="21"/>
                      <w:shd w:val="clear" w:color="auto" w:fill="FFFFFF"/>
                      <w:vertAlign w:val="subscript"/>
                    </w:rPr>
                    <w:t>8</w:t>
                  </w:r>
                  <w:r>
                    <w:rPr>
                      <w:szCs w:val="21"/>
                      <w:shd w:val="clear" w:color="auto" w:fill="FFFFFF"/>
                    </w:rPr>
                    <w:t>，黄色结晶粉末。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jc w:val="center"/>
                    <w:outlineLvl w:val="0"/>
                    <w:rPr>
                      <w:szCs w:val="21"/>
                    </w:rPr>
                  </w:pPr>
                  <w:bookmarkStart w:id="191" w:name="_Toc19860"/>
                  <w:r>
                    <w:rPr>
                      <w:szCs w:val="21"/>
                    </w:rPr>
                    <w:fldChar w:fldCharType="begin"/>
                  </w:r>
                  <w:r>
                    <w:rPr>
                      <w:szCs w:val="21"/>
                    </w:rPr>
                    <w:instrText xml:space="preserve"> HYPERLINK "" \l "RANGE!A1" </w:instrText>
                  </w:r>
                  <w:r>
                    <w:rPr>
                      <w:szCs w:val="21"/>
                    </w:rPr>
                    <w:fldChar w:fldCharType="separate"/>
                  </w:r>
                  <w:bookmarkStart w:id="192" w:name="_Toc144148015"/>
                  <w:r>
                    <w:rPr>
                      <w:szCs w:val="21"/>
                    </w:rPr>
                    <w:t>铁6%</w:t>
                  </w:r>
                  <w:bookmarkEnd w:id="192"/>
                  <w:r>
                    <w:rPr>
                      <w:szCs w:val="21"/>
                    </w:rPr>
                    <w:fldChar w:fldCharType="end"/>
                  </w:r>
                  <w:bookmarkEnd w:id="191"/>
                </w:p>
              </w:tc>
              <w:tc>
                <w:tcPr>
                  <w:tcW w:w="3648" w:type="pct"/>
                  <w:vAlign w:val="center"/>
                </w:tcPr>
                <w:p>
                  <w:pPr>
                    <w:spacing w:before="31"/>
                    <w:ind w:right="82" w:firstLine="420" w:firstLineChars="200"/>
                    <w:rPr>
                      <w:spacing w:val="-2"/>
                      <w:szCs w:val="21"/>
                    </w:rPr>
                  </w:pPr>
                  <w:r>
                    <w:rPr>
                      <w:szCs w:val="21"/>
                      <w:shd w:val="clear" w:color="auto" w:fill="FFFFFF"/>
                    </w:rPr>
                    <w:t>分子式是C</w:t>
                  </w:r>
                  <w:r>
                    <w:rPr>
                      <w:szCs w:val="21"/>
                      <w:shd w:val="clear" w:color="auto" w:fill="FFFFFF"/>
                      <w:vertAlign w:val="subscript"/>
                    </w:rPr>
                    <w:t>10</w:t>
                  </w:r>
                  <w:r>
                    <w:rPr>
                      <w:szCs w:val="21"/>
                      <w:shd w:val="clear" w:color="auto" w:fill="FFFFFF"/>
                    </w:rPr>
                    <w:t>H</w:t>
                  </w:r>
                  <w:r>
                    <w:rPr>
                      <w:szCs w:val="21"/>
                      <w:shd w:val="clear" w:color="auto" w:fill="FFFFFF"/>
                      <w:vertAlign w:val="subscript"/>
                    </w:rPr>
                    <w:t>20</w:t>
                  </w:r>
                  <w:r>
                    <w:rPr>
                      <w:szCs w:val="21"/>
                      <w:shd w:val="clear" w:color="auto" w:fill="FFFFFF"/>
                    </w:rPr>
                    <w:t>FeN</w:t>
                  </w:r>
                  <w:r>
                    <w:rPr>
                      <w:szCs w:val="21"/>
                      <w:shd w:val="clear" w:color="auto" w:fill="FFFFFF"/>
                      <w:vertAlign w:val="subscript"/>
                    </w:rPr>
                    <w:t>3</w:t>
                  </w:r>
                  <w:r>
                    <w:rPr>
                      <w:szCs w:val="21"/>
                      <w:shd w:val="clear" w:color="auto" w:fill="FFFFFF"/>
                    </w:rPr>
                    <w:t>O</w:t>
                  </w:r>
                  <w:r>
                    <w:rPr>
                      <w:szCs w:val="21"/>
                      <w:shd w:val="clear" w:color="auto" w:fill="FFFFFF"/>
                      <w:vertAlign w:val="subscript"/>
                    </w:rPr>
                    <w:t>8</w:t>
                  </w:r>
                  <w:r>
                    <w:rPr>
                      <w:szCs w:val="21"/>
                      <w:shd w:val="clear" w:color="auto" w:fill="FFFFFF"/>
                    </w:rPr>
                    <w:t>，黄色结晶粉末。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jc w:val="center"/>
                    <w:outlineLvl w:val="0"/>
                    <w:rPr>
                      <w:szCs w:val="21"/>
                    </w:rPr>
                  </w:pPr>
                  <w:bookmarkStart w:id="193" w:name="_Toc1333"/>
                  <w:r>
                    <w:rPr>
                      <w:szCs w:val="21"/>
                    </w:rPr>
                    <w:fldChar w:fldCharType="begin"/>
                  </w:r>
                  <w:r>
                    <w:rPr>
                      <w:szCs w:val="21"/>
                    </w:rPr>
                    <w:instrText xml:space="preserve"> HYPERLINK "" \l "RANGE!A1" </w:instrText>
                  </w:r>
                  <w:r>
                    <w:rPr>
                      <w:szCs w:val="21"/>
                    </w:rPr>
                    <w:fldChar w:fldCharType="separate"/>
                  </w:r>
                  <w:bookmarkStart w:id="194" w:name="_Toc144148016"/>
                  <w:r>
                    <w:rPr>
                      <w:szCs w:val="21"/>
                    </w:rPr>
                    <w:t>硝酸</w:t>
                  </w:r>
                  <w:bookmarkEnd w:id="194"/>
                  <w:r>
                    <w:rPr>
                      <w:szCs w:val="21"/>
                    </w:rPr>
                    <w:fldChar w:fldCharType="end"/>
                  </w:r>
                  <w:bookmarkEnd w:id="193"/>
                </w:p>
              </w:tc>
              <w:tc>
                <w:tcPr>
                  <w:tcW w:w="3648" w:type="pct"/>
                  <w:vAlign w:val="center"/>
                </w:tcPr>
                <w:p>
                  <w:pPr>
                    <w:spacing w:before="31"/>
                    <w:ind w:right="82" w:firstLine="420" w:firstLineChars="200"/>
                    <w:rPr>
                      <w:szCs w:val="21"/>
                      <w:shd w:val="clear" w:color="auto" w:fill="FFFFFF"/>
                    </w:rPr>
                  </w:pPr>
                  <w:r>
                    <w:rPr>
                      <w:szCs w:val="21"/>
                      <w:shd w:val="clear" w:color="auto" w:fill="FFFFFF"/>
                    </w:rPr>
                    <w:t>硝酸是一种具有强</w:t>
                  </w:r>
                  <w:r>
                    <w:fldChar w:fldCharType="begin"/>
                  </w:r>
                  <w:r>
                    <w:instrText xml:space="preserve"> HYPERLINK "https://baike.sogou.com/lemma/ShowInnerLink.htm?lemmaId=379884&amp;ss_c=ssc.citiao.link" \t "https://baike.sogou.com/_blank" </w:instrText>
                  </w:r>
                  <w:r>
                    <w:fldChar w:fldCharType="separate"/>
                  </w:r>
                  <w:r>
                    <w:rPr>
                      <w:szCs w:val="21"/>
                      <w:shd w:val="clear" w:color="auto" w:fill="FFFFFF"/>
                    </w:rPr>
                    <w:t>氧化性</w:t>
                  </w:r>
                  <w:r>
                    <w:rPr>
                      <w:szCs w:val="21"/>
                      <w:shd w:val="clear" w:color="auto" w:fill="FFFFFF"/>
                    </w:rPr>
                    <w:fldChar w:fldCharType="end"/>
                  </w:r>
                  <w:r>
                    <w:rPr>
                      <w:szCs w:val="21"/>
                      <w:shd w:val="clear" w:color="auto" w:fill="FFFFFF"/>
                    </w:rPr>
                    <w:t>、腐蚀性的强酸，属于一元无机强酸，是六大无机强酸之一，也是一种重要的化工原料。纯硝酸为无色透明液体，</w:t>
                  </w:r>
                  <w:r>
                    <w:fldChar w:fldCharType="begin"/>
                  </w:r>
                  <w:r>
                    <w:instrText xml:space="preserve"> HYPERLINK "https://baike.sogou.com/lemma/ShowInnerLink.htm?lemmaId=7711236&amp;ss_c=ssc.citiao.link" \t "https://baike.sogou.com/_blank" </w:instrText>
                  </w:r>
                  <w:r>
                    <w:fldChar w:fldCharType="separate"/>
                  </w:r>
                  <w:r>
                    <w:rPr>
                      <w:szCs w:val="21"/>
                      <w:shd w:val="clear" w:color="auto" w:fill="FFFFFF"/>
                    </w:rPr>
                    <w:t>浓硝酸</w:t>
                  </w:r>
                  <w:r>
                    <w:rPr>
                      <w:szCs w:val="21"/>
                      <w:shd w:val="clear" w:color="auto" w:fill="FFFFFF"/>
                    </w:rPr>
                    <w:fldChar w:fldCharType="end"/>
                  </w:r>
                  <w:r>
                    <w:rPr>
                      <w:szCs w:val="21"/>
                      <w:shd w:val="clear" w:color="auto" w:fill="FFFFFF"/>
                    </w:rPr>
                    <w:t>为淡黄色液体（溶有二氧化氮），正常情况下为无色透明液体，有窒息性刺激气味。浓硝酸含量为68%左右，易挥发。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jc w:val="center"/>
                    <w:outlineLvl w:val="0"/>
                    <w:rPr>
                      <w:szCs w:val="21"/>
                    </w:rPr>
                  </w:pPr>
                  <w:bookmarkStart w:id="195" w:name="_Toc24100"/>
                  <w:r>
                    <w:rPr>
                      <w:szCs w:val="21"/>
                    </w:rPr>
                    <w:fldChar w:fldCharType="begin"/>
                  </w:r>
                  <w:r>
                    <w:rPr>
                      <w:szCs w:val="21"/>
                    </w:rPr>
                    <w:instrText xml:space="preserve"> HYPERLINK "" \l "磷酸二氢钾1!A1" </w:instrText>
                  </w:r>
                  <w:r>
                    <w:rPr>
                      <w:szCs w:val="21"/>
                    </w:rPr>
                    <w:fldChar w:fldCharType="separate"/>
                  </w:r>
                  <w:bookmarkStart w:id="196" w:name="_Toc144148017"/>
                  <w:r>
                    <w:rPr>
                      <w:szCs w:val="21"/>
                    </w:rPr>
                    <w:t>磷酸二氢钾</w:t>
                  </w:r>
                  <w:r>
                    <w:rPr>
                      <w:szCs w:val="21"/>
                    </w:rPr>
                    <w:fldChar w:fldCharType="end"/>
                  </w:r>
                  <w:r>
                    <w:rPr>
                      <w:szCs w:val="21"/>
                    </w:rPr>
                    <w:t xml:space="preserve"> 160</w:t>
                  </w:r>
                  <w:bookmarkEnd w:id="195"/>
                  <w:bookmarkEnd w:id="196"/>
                </w:p>
              </w:tc>
              <w:tc>
                <w:tcPr>
                  <w:tcW w:w="3648" w:type="pct"/>
                  <w:vAlign w:val="center"/>
                </w:tcPr>
                <w:p>
                  <w:pPr>
                    <w:spacing w:before="31"/>
                    <w:ind w:right="82" w:firstLine="420" w:firstLineChars="200"/>
                    <w:rPr>
                      <w:spacing w:val="-2"/>
                      <w:szCs w:val="21"/>
                    </w:rPr>
                  </w:pPr>
                  <w:r>
                    <w:rPr>
                      <w:szCs w:val="21"/>
                      <w:shd w:val="clear" w:color="auto" w:fill="FFFFFF"/>
                    </w:rPr>
                    <w:t>是一种无机化合物，化学式为KH</w:t>
                  </w:r>
                  <w:r>
                    <w:rPr>
                      <w:szCs w:val="21"/>
                      <w:shd w:val="clear" w:color="auto" w:fill="FFFFFF"/>
                      <w:vertAlign w:val="subscript"/>
                    </w:rPr>
                    <w:t>2</w:t>
                  </w:r>
                  <w:r>
                    <w:rPr>
                      <w:szCs w:val="21"/>
                      <w:shd w:val="clear" w:color="auto" w:fill="FFFFFF"/>
                    </w:rPr>
                    <w:t>PO</w:t>
                  </w:r>
                  <w:r>
                    <w:rPr>
                      <w:szCs w:val="21"/>
                      <w:shd w:val="clear" w:color="auto" w:fill="FFFFFF"/>
                      <w:vertAlign w:val="subscript"/>
                    </w:rPr>
                    <w:t>4</w:t>
                  </w:r>
                  <w:r>
                    <w:rPr>
                      <w:szCs w:val="21"/>
                      <w:shd w:val="clear" w:color="auto" w:fill="FFFFFF"/>
                    </w:rPr>
                    <w:t>，有潮解性，加热至400℃时熔化而成透明的液体，冷却后固化为不透明的玻璃状偏磷酸钾。空气中稳定，溶于水，不溶于乙醇。工业上用作缓冲剂、培养剂，也用作细菌培养剂合成清酒的调味剂，制偏磷酸钾的原料，酿造酵母的培养剂、强化剂、膨松剂、发酵助剂，农业上用作高效磷钾复合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widowControl/>
                    <w:jc w:val="center"/>
                    <w:textAlignment w:val="center"/>
                    <w:rPr>
                      <w:szCs w:val="21"/>
                    </w:rPr>
                  </w:pPr>
                  <w:r>
                    <w:fldChar w:fldCharType="begin"/>
                  </w:r>
                  <w:r>
                    <w:instrText xml:space="preserve"> HYPERLINK \l "'（施佳乐）嘧霉胺1L'!A1" </w:instrText>
                  </w:r>
                  <w:r>
                    <w:fldChar w:fldCharType="separate"/>
                  </w:r>
                  <w:r>
                    <w:rPr>
                      <w:rStyle w:val="30"/>
                      <w:color w:val="auto"/>
                      <w:szCs w:val="21"/>
                      <w:u w:val="none"/>
                    </w:rPr>
                    <w:t>嘧霉胺</w:t>
                  </w:r>
                  <w:r>
                    <w:rPr>
                      <w:rStyle w:val="30"/>
                      <w:color w:val="auto"/>
                      <w:szCs w:val="21"/>
                      <w:u w:val="none"/>
                    </w:rPr>
                    <w:fldChar w:fldCharType="end"/>
                  </w:r>
                </w:p>
              </w:tc>
              <w:tc>
                <w:tcPr>
                  <w:tcW w:w="3648" w:type="pct"/>
                  <w:vAlign w:val="center"/>
                </w:tcPr>
                <w:p>
                  <w:pPr>
                    <w:spacing w:before="31"/>
                    <w:ind w:right="82" w:firstLine="420" w:firstLineChars="200"/>
                    <w:rPr>
                      <w:spacing w:val="-2"/>
                      <w:szCs w:val="21"/>
                    </w:rPr>
                  </w:pPr>
                  <w:r>
                    <w:rPr>
                      <w:szCs w:val="21"/>
                      <w:shd w:val="clear" w:color="auto" w:fill="FFFFFF"/>
                    </w:rPr>
                    <w:t>又称甲基嘧啶胺、二甲嘧啶胺属苯氨基嘧啶类杀菌剂，对灰霉病有特效。其杀菌作用机理独特，通过抑制病菌</w:t>
                  </w:r>
                  <w:r>
                    <w:rPr>
                      <w:rFonts w:hint="eastAsia"/>
                      <w:szCs w:val="21"/>
                      <w:shd w:val="clear" w:color="auto" w:fill="FFFFFF"/>
                    </w:rPr>
                    <w:t>浸染</w:t>
                  </w:r>
                  <w:r>
                    <w:rPr>
                      <w:szCs w:val="21"/>
                      <w:shd w:val="clear" w:color="auto" w:fill="FFFFFF"/>
                    </w:rPr>
                    <w:t>酶的分泌从而阻止病菌侵染，并杀死病菌。具有保护和治疗作用，同时具有内吸和</w:t>
                  </w:r>
                  <w:r>
                    <w:fldChar w:fldCharType="begin"/>
                  </w:r>
                  <w:r>
                    <w:instrText xml:space="preserve"> HYPERLINK "https://baike.baidu.com/item/%E7%86%8F%E8%92%B8?fromModule=lemma_inlink" \t "https://baike.baidu.com/item/_blank" </w:instrText>
                  </w:r>
                  <w:r>
                    <w:fldChar w:fldCharType="separate"/>
                  </w:r>
                  <w:r>
                    <w:rPr>
                      <w:szCs w:val="21"/>
                      <w:shd w:val="clear" w:color="auto" w:fill="FFFFFF"/>
                    </w:rPr>
                    <w:t>熏蒸</w:t>
                  </w:r>
                  <w:r>
                    <w:rPr>
                      <w:szCs w:val="21"/>
                      <w:shd w:val="clear" w:color="auto" w:fill="FFFFFF"/>
                    </w:rPr>
                    <w:fldChar w:fldCharType="end"/>
                  </w:r>
                  <w:r>
                    <w:rPr>
                      <w:szCs w:val="21"/>
                      <w:shd w:val="clear" w:color="auto" w:fill="FFFFFF"/>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widowControl/>
                    <w:jc w:val="center"/>
                    <w:textAlignment w:val="center"/>
                    <w:rPr>
                      <w:szCs w:val="21"/>
                    </w:rPr>
                  </w:pPr>
                  <w:r>
                    <w:rPr>
                      <w:rStyle w:val="30"/>
                      <w:color w:val="auto"/>
                      <w:szCs w:val="21"/>
                      <w:u w:val="none"/>
                    </w:rPr>
                    <w:t>嘧菌酯</w:t>
                  </w:r>
                </w:p>
              </w:tc>
              <w:tc>
                <w:tcPr>
                  <w:tcW w:w="3648" w:type="pct"/>
                  <w:vAlign w:val="center"/>
                </w:tcPr>
                <w:p>
                  <w:pPr>
                    <w:pStyle w:val="23"/>
                    <w:shd w:val="clear" w:color="auto" w:fill="FFFFFF"/>
                    <w:spacing w:before="0" w:beforeAutospacing="0" w:after="225" w:afterAutospacing="0"/>
                    <w:ind w:firstLine="420"/>
                    <w:rPr>
                      <w:rFonts w:ascii="Times New Roman" w:hAnsi="Times New Roman"/>
                      <w:spacing w:val="-2"/>
                      <w:sz w:val="21"/>
                      <w:szCs w:val="21"/>
                    </w:rPr>
                  </w:pPr>
                  <w:r>
                    <w:rPr>
                      <w:rFonts w:ascii="Times New Roman" w:hAnsi="Times New Roman"/>
                      <w:kern w:val="2"/>
                      <w:sz w:val="21"/>
                      <w:szCs w:val="21"/>
                      <w:shd w:val="clear" w:color="auto" w:fill="FFFFFF"/>
                    </w:rPr>
                    <w:t>化学式为C</w:t>
                  </w:r>
                  <w:r>
                    <w:rPr>
                      <w:rFonts w:ascii="Times New Roman" w:hAnsi="Times New Roman"/>
                      <w:kern w:val="2"/>
                      <w:sz w:val="21"/>
                      <w:szCs w:val="21"/>
                      <w:shd w:val="clear" w:color="auto" w:fill="FFFFFF"/>
                      <w:vertAlign w:val="subscript"/>
                    </w:rPr>
                    <w:t>22</w:t>
                  </w:r>
                  <w:r>
                    <w:rPr>
                      <w:rFonts w:ascii="Times New Roman" w:hAnsi="Times New Roman"/>
                      <w:kern w:val="2"/>
                      <w:sz w:val="21"/>
                      <w:szCs w:val="21"/>
                      <w:shd w:val="clear" w:color="auto" w:fill="FFFFFF"/>
                    </w:rPr>
                    <w:t>H</w:t>
                  </w:r>
                  <w:r>
                    <w:rPr>
                      <w:rFonts w:ascii="Times New Roman" w:hAnsi="Times New Roman"/>
                      <w:kern w:val="2"/>
                      <w:sz w:val="21"/>
                      <w:szCs w:val="21"/>
                      <w:shd w:val="clear" w:color="auto" w:fill="FFFFFF"/>
                      <w:vertAlign w:val="subscript"/>
                    </w:rPr>
                    <w:t>17</w:t>
                  </w:r>
                  <w:r>
                    <w:rPr>
                      <w:rFonts w:ascii="Times New Roman" w:hAnsi="Times New Roman"/>
                      <w:kern w:val="2"/>
                      <w:sz w:val="21"/>
                      <w:szCs w:val="21"/>
                      <w:shd w:val="clear" w:color="auto" w:fill="FFFFFF"/>
                    </w:rPr>
                    <w:t>N</w:t>
                  </w:r>
                  <w:r>
                    <w:rPr>
                      <w:rFonts w:ascii="Times New Roman" w:hAnsi="Times New Roman"/>
                      <w:kern w:val="2"/>
                      <w:sz w:val="21"/>
                      <w:szCs w:val="21"/>
                      <w:shd w:val="clear" w:color="auto" w:fill="FFFFFF"/>
                      <w:vertAlign w:val="subscript"/>
                    </w:rPr>
                    <w:t>3</w:t>
                  </w:r>
                  <w:r>
                    <w:rPr>
                      <w:rFonts w:ascii="Times New Roman" w:hAnsi="Times New Roman"/>
                      <w:kern w:val="2"/>
                      <w:sz w:val="21"/>
                      <w:szCs w:val="21"/>
                      <w:shd w:val="clear" w:color="auto" w:fill="FFFFFF"/>
                    </w:rPr>
                    <w:t>O</w:t>
                  </w:r>
                  <w:r>
                    <w:rPr>
                      <w:rFonts w:ascii="Times New Roman" w:hAnsi="Times New Roman"/>
                      <w:kern w:val="2"/>
                      <w:sz w:val="21"/>
                      <w:szCs w:val="21"/>
                      <w:shd w:val="clear" w:color="auto" w:fill="FFFFFF"/>
                      <w:vertAlign w:val="subscript"/>
                    </w:rPr>
                    <w:t>5</w:t>
                  </w:r>
                  <w:r>
                    <w:rPr>
                      <w:rFonts w:ascii="Times New Roman" w:hAnsi="Times New Roman"/>
                      <w:kern w:val="2"/>
                      <w:sz w:val="21"/>
                      <w:szCs w:val="21"/>
                      <w:shd w:val="clear" w:color="auto" w:fill="FFFFFF"/>
                    </w:rPr>
                    <w:t>纯品为白色</w:t>
                  </w:r>
                  <w:r>
                    <w:fldChar w:fldCharType="begin"/>
                  </w:r>
                  <w:r>
                    <w:instrText xml:space="preserve">HYPERLINK "https://baike.sogou.com/lemma/ShowInnerLink.htm?lemmaId=69771500&amp;ss_c=ssc.citiao.link" \t "https://baike.sogou.com/_blank"</w:instrText>
                  </w:r>
                  <w:r>
                    <w:fldChar w:fldCharType="separate"/>
                  </w:r>
                  <w:r>
                    <w:rPr>
                      <w:rFonts w:ascii="Times New Roman" w:hAnsi="Times New Roman"/>
                      <w:kern w:val="2"/>
                      <w:sz w:val="21"/>
                      <w:szCs w:val="21"/>
                      <w:shd w:val="clear" w:color="auto" w:fill="FFFFFF"/>
                    </w:rPr>
                    <w:t>结晶固体</w:t>
                  </w:r>
                  <w:r>
                    <w:rPr>
                      <w:rFonts w:ascii="Times New Roman" w:hAnsi="Times New Roman"/>
                      <w:kern w:val="2"/>
                      <w:sz w:val="21"/>
                      <w:szCs w:val="21"/>
                      <w:shd w:val="clear" w:color="auto" w:fill="FFFFFF"/>
                    </w:rPr>
                    <w:fldChar w:fldCharType="end"/>
                  </w:r>
                  <w:r>
                    <w:rPr>
                      <w:rFonts w:ascii="Times New Roman" w:hAnsi="Times New Roman"/>
                      <w:kern w:val="2"/>
                      <w:sz w:val="21"/>
                      <w:szCs w:val="21"/>
                      <w:shd w:val="clear" w:color="auto" w:fill="FFFFFF"/>
                    </w:rPr>
                    <w:t>，微溶于己烷、</w:t>
                  </w:r>
                  <w:r>
                    <w:fldChar w:fldCharType="begin"/>
                  </w:r>
                  <w:r>
                    <w:instrText xml:space="preserve"> HYPERLINK "https://baike.sogou.com/lemma/ShowInnerLink.htm?lemmaId=151419" \t "https://baike.sogou.com/_blank" </w:instrText>
                  </w:r>
                  <w:r>
                    <w:fldChar w:fldCharType="separate"/>
                  </w:r>
                  <w:r>
                    <w:rPr>
                      <w:rFonts w:ascii="Times New Roman" w:hAnsi="Times New Roman"/>
                      <w:kern w:val="2"/>
                      <w:sz w:val="21"/>
                      <w:szCs w:val="21"/>
                      <w:shd w:val="clear" w:color="auto" w:fill="FFFFFF"/>
                    </w:rPr>
                    <w:t>正辛醇</w:t>
                  </w:r>
                  <w:r>
                    <w:rPr>
                      <w:rFonts w:ascii="Times New Roman" w:hAnsi="Times New Roman"/>
                      <w:kern w:val="2"/>
                      <w:sz w:val="21"/>
                      <w:szCs w:val="21"/>
                      <w:shd w:val="clear" w:color="auto" w:fill="FFFFFF"/>
                    </w:rPr>
                    <w:fldChar w:fldCharType="end"/>
                  </w:r>
                  <w:r>
                    <w:rPr>
                      <w:rFonts w:ascii="Times New Roman" w:hAnsi="Times New Roman"/>
                      <w:kern w:val="2"/>
                      <w:sz w:val="21"/>
                      <w:szCs w:val="21"/>
                      <w:shd w:val="clear" w:color="auto" w:fill="FFFFFF"/>
                    </w:rPr>
                    <w:t>，溶于甲醇、甲苯、丙酮，易溶于乙酸乙酯、乙腈、二氯甲烷。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widowControl/>
                    <w:jc w:val="center"/>
                    <w:textAlignment w:val="center"/>
                    <w:rPr>
                      <w:szCs w:val="21"/>
                    </w:rPr>
                  </w:pPr>
                  <w:r>
                    <w:rPr>
                      <w:rStyle w:val="30"/>
                      <w:color w:val="auto"/>
                      <w:szCs w:val="21"/>
                      <w:u w:val="none"/>
                    </w:rPr>
                    <w:t>哒螨螺螨酯</w:t>
                  </w:r>
                </w:p>
              </w:tc>
              <w:tc>
                <w:tcPr>
                  <w:tcW w:w="3648" w:type="pct"/>
                  <w:vAlign w:val="center"/>
                </w:tcPr>
                <w:p>
                  <w:pPr>
                    <w:spacing w:before="31"/>
                    <w:ind w:right="82" w:firstLine="420" w:firstLineChars="200"/>
                    <w:rPr>
                      <w:spacing w:val="-2"/>
                      <w:szCs w:val="21"/>
                    </w:rPr>
                  </w:pPr>
                  <w:r>
                    <w:rPr>
                      <w:szCs w:val="21"/>
                      <w:shd w:val="clear" w:color="auto" w:fill="FFFFFF"/>
                    </w:rPr>
                    <w:t>螺螨酯是一种化学物质，其分子式为C</w:t>
                  </w:r>
                  <w:r>
                    <w:rPr>
                      <w:szCs w:val="21"/>
                      <w:shd w:val="clear" w:color="auto" w:fill="FFFFFF"/>
                      <w:vertAlign w:val="subscript"/>
                    </w:rPr>
                    <w:t>21</w:t>
                  </w:r>
                  <w:r>
                    <w:rPr>
                      <w:szCs w:val="21"/>
                      <w:shd w:val="clear" w:color="auto" w:fill="FFFFFF"/>
                    </w:rPr>
                    <w:t>H</w:t>
                  </w:r>
                  <w:r>
                    <w:rPr>
                      <w:szCs w:val="21"/>
                      <w:shd w:val="clear" w:color="auto" w:fill="FFFFFF"/>
                      <w:vertAlign w:val="subscript"/>
                    </w:rPr>
                    <w:t>24</w:t>
                  </w:r>
                  <w:r>
                    <w:fldChar w:fldCharType="begin"/>
                  </w:r>
                  <w:r>
                    <w:instrText xml:space="preserve"> HYPERLINK "https://baike.sogou.com/lemma/ShowInnerLink.htm?lemmaId=181519423&amp;ss_c=ssc.citiao.link" \t "https://baike.sogou.com/_blank" </w:instrText>
                  </w:r>
                  <w:r>
                    <w:fldChar w:fldCharType="separate"/>
                  </w:r>
                  <w:r>
                    <w:rPr>
                      <w:szCs w:val="21"/>
                      <w:shd w:val="clear" w:color="auto" w:fill="FFFFFF"/>
                    </w:rPr>
                    <w:t>C</w:t>
                  </w:r>
                  <w:r>
                    <w:rPr>
                      <w:szCs w:val="21"/>
                      <w:shd w:val="clear" w:color="auto" w:fill="FFFFFF"/>
                      <w:vertAlign w:val="subscript"/>
                    </w:rPr>
                    <w:t>l2</w:t>
                  </w:r>
                  <w:r>
                    <w:rPr>
                      <w:szCs w:val="21"/>
                      <w:shd w:val="clear" w:color="auto" w:fill="FFFFFF"/>
                      <w:vertAlign w:val="subscript"/>
                    </w:rPr>
                    <w:fldChar w:fldCharType="end"/>
                  </w:r>
                  <w:r>
                    <w:rPr>
                      <w:szCs w:val="21"/>
                      <w:shd w:val="clear" w:color="auto" w:fill="FFFFFF"/>
                    </w:rPr>
                    <w:t>O</w:t>
                  </w:r>
                  <w:r>
                    <w:rPr>
                      <w:szCs w:val="21"/>
                      <w:shd w:val="clear" w:color="auto" w:fill="FFFFFF"/>
                      <w:vertAlign w:val="subscript"/>
                    </w:rPr>
                    <w:t>4</w:t>
                  </w:r>
                  <w:r>
                    <w:rPr>
                      <w:szCs w:val="21"/>
                      <w:shd w:val="clear" w:color="auto" w:fill="FFFFFF"/>
                    </w:rPr>
                    <w:t>。外观白色粉状，无特殊气味，具</w:t>
                  </w:r>
                  <w:r>
                    <w:fldChar w:fldCharType="begin"/>
                  </w:r>
                  <w:r>
                    <w:instrText xml:space="preserve">HYPERLINK "https://baike.sogou.com/lemma/ShowInnerLink.htm?lemmaId=648074&amp;ss_c=ssc.citiao.link" \t "https://baike.sogou.com/_blank"</w:instrText>
                  </w:r>
                  <w:r>
                    <w:fldChar w:fldCharType="separate"/>
                  </w:r>
                  <w:r>
                    <w:rPr>
                      <w:szCs w:val="21"/>
                      <w:shd w:val="clear" w:color="auto" w:fill="FFFFFF"/>
                    </w:rPr>
                    <w:t>触杀作用</w:t>
                  </w:r>
                  <w:r>
                    <w:rPr>
                      <w:szCs w:val="21"/>
                      <w:shd w:val="clear" w:color="auto" w:fill="FFFFFF"/>
                    </w:rPr>
                    <w:fldChar w:fldCharType="end"/>
                  </w:r>
                  <w:r>
                    <w:rPr>
                      <w:szCs w:val="21"/>
                      <w:shd w:val="clear" w:color="auto" w:fill="FFFFFF"/>
                    </w:rPr>
                    <w:t>，没有内吸性。对</w:t>
                  </w:r>
                  <w:r>
                    <w:fldChar w:fldCharType="begin"/>
                  </w:r>
                  <w:r>
                    <w:instrText xml:space="preserve"> HYPERLINK "https://baike.sogou.com/lemma/ShowInnerLink.htm?lemmaId=1980117&amp;ss_c=ssc.citiao.link" \t "https://baike.sogou.com/_blank" </w:instrText>
                  </w:r>
                  <w:r>
                    <w:fldChar w:fldCharType="separate"/>
                  </w:r>
                  <w:r>
                    <w:rPr>
                      <w:szCs w:val="21"/>
                      <w:shd w:val="clear" w:color="auto" w:fill="FFFFFF"/>
                    </w:rPr>
                    <w:t>害螨</w:t>
                  </w:r>
                  <w:r>
                    <w:rPr>
                      <w:szCs w:val="21"/>
                      <w:shd w:val="clear" w:color="auto" w:fill="FFFFFF"/>
                    </w:rPr>
                    <w:fldChar w:fldCharType="end"/>
                  </w:r>
                  <w:r>
                    <w:rPr>
                      <w:szCs w:val="21"/>
                      <w:shd w:val="clear" w:color="auto" w:fill="FFFFFF"/>
                    </w:rPr>
                    <w:t>的卵、幼螨、若螨具有良好的杀伤效果，对成螨无效，但具有抑制雌螨产卵孵化率的作用。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widowControl/>
                    <w:jc w:val="center"/>
                    <w:textAlignment w:val="center"/>
                    <w:rPr>
                      <w:szCs w:val="21"/>
                    </w:rPr>
                  </w:pPr>
                  <w:r>
                    <w:rPr>
                      <w:kern w:val="0"/>
                      <w:szCs w:val="21"/>
                      <w:lang w:bidi="ar"/>
                    </w:rPr>
                    <w:t>百菌清</w:t>
                  </w:r>
                </w:p>
              </w:tc>
              <w:tc>
                <w:tcPr>
                  <w:tcW w:w="3648" w:type="pct"/>
                  <w:vAlign w:val="center"/>
                </w:tcPr>
                <w:p>
                  <w:pPr>
                    <w:spacing w:before="31"/>
                    <w:ind w:right="82" w:firstLine="420" w:firstLineChars="200"/>
                    <w:rPr>
                      <w:szCs w:val="21"/>
                      <w:shd w:val="clear" w:color="auto" w:fill="FFFFFF"/>
                    </w:rPr>
                  </w:pPr>
                  <w:r>
                    <w:rPr>
                      <w:szCs w:val="21"/>
                      <w:shd w:val="clear" w:color="auto" w:fill="FFFFFF"/>
                    </w:rPr>
                    <w:t>分子式为C</w:t>
                  </w:r>
                  <w:r>
                    <w:rPr>
                      <w:szCs w:val="21"/>
                      <w:shd w:val="clear" w:color="auto" w:fill="FFFFFF"/>
                      <w:vertAlign w:val="subscript"/>
                    </w:rPr>
                    <w:t>8</w:t>
                  </w:r>
                  <w:r>
                    <w:rPr>
                      <w:szCs w:val="21"/>
                      <w:shd w:val="clear" w:color="auto" w:fill="FFFFFF"/>
                    </w:rPr>
                    <w:t>N</w:t>
                  </w:r>
                  <w:r>
                    <w:rPr>
                      <w:szCs w:val="21"/>
                      <w:shd w:val="clear" w:color="auto" w:fill="FFFFFF"/>
                      <w:vertAlign w:val="subscript"/>
                    </w:rPr>
                    <w:t>2</w:t>
                  </w:r>
                  <w:r>
                    <w:rPr>
                      <w:szCs w:val="21"/>
                      <w:shd w:val="clear" w:color="auto" w:fill="FFFFFF"/>
                    </w:rPr>
                    <w:t>C</w:t>
                  </w:r>
                  <w:r>
                    <w:rPr>
                      <w:szCs w:val="21"/>
                      <w:shd w:val="clear" w:color="auto" w:fill="FFFFFF"/>
                      <w:vertAlign w:val="subscript"/>
                    </w:rPr>
                    <w:t>l4</w:t>
                  </w:r>
                  <w:r>
                    <w:rPr>
                      <w:szCs w:val="21"/>
                      <w:shd w:val="clear" w:color="auto" w:fill="FFFFFF"/>
                    </w:rPr>
                    <w:t>，无色无味晶体，熔点250℃～251℃，沸点350℃，密度1.8g/cm</w:t>
                  </w:r>
                  <w:r>
                    <w:rPr>
                      <w:szCs w:val="21"/>
                      <w:shd w:val="clear" w:color="auto" w:fill="FFFFFF"/>
                      <w:vertAlign w:val="superscript"/>
                    </w:rPr>
                    <w:t>3</w:t>
                  </w:r>
                  <w:r>
                    <w:rPr>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widowControl/>
                    <w:jc w:val="center"/>
                    <w:textAlignment w:val="center"/>
                    <w:rPr>
                      <w:szCs w:val="21"/>
                    </w:rPr>
                  </w:pPr>
                  <w:r>
                    <w:rPr>
                      <w:kern w:val="0"/>
                      <w:szCs w:val="21"/>
                      <w:lang w:bidi="ar"/>
                    </w:rPr>
                    <w:t>吡萘嘧菌酯</w:t>
                  </w:r>
                </w:p>
              </w:tc>
              <w:tc>
                <w:tcPr>
                  <w:tcW w:w="3648" w:type="pct"/>
                  <w:vAlign w:val="center"/>
                </w:tcPr>
                <w:p>
                  <w:pPr>
                    <w:spacing w:before="31"/>
                    <w:ind w:right="82" w:firstLine="420" w:firstLineChars="200"/>
                    <w:rPr>
                      <w:szCs w:val="21"/>
                      <w:shd w:val="clear" w:color="auto" w:fill="FFFFFF"/>
                    </w:rPr>
                  </w:pPr>
                  <w:r>
                    <w:rPr>
                      <w:szCs w:val="21"/>
                      <w:shd w:val="clear" w:color="auto" w:fill="FFFFFF"/>
                    </w:rPr>
                    <w:t>该配方是由吡唑萘菌胺和嘧菌酯复配而成的一种杀菌剂，商品名“绿妃”，吡唑萘菌胺为吡唑羧酰胺类杀菌剂，属于琥珀酸脱氢酶抑制剂（SDHI）类。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widowControl/>
                    <w:jc w:val="center"/>
                    <w:textAlignment w:val="center"/>
                    <w:rPr>
                      <w:szCs w:val="21"/>
                    </w:rPr>
                  </w:pPr>
                  <w:r>
                    <w:rPr>
                      <w:kern w:val="0"/>
                      <w:szCs w:val="21"/>
                      <w:lang w:bidi="ar"/>
                    </w:rPr>
                    <w:t>吡噻菌胺</w:t>
                  </w:r>
                </w:p>
              </w:tc>
              <w:tc>
                <w:tcPr>
                  <w:tcW w:w="3648" w:type="pct"/>
                  <w:vAlign w:val="center"/>
                </w:tcPr>
                <w:p>
                  <w:pPr>
                    <w:spacing w:before="31"/>
                    <w:ind w:right="82" w:firstLine="420" w:firstLineChars="200"/>
                    <w:rPr>
                      <w:spacing w:val="-2"/>
                      <w:szCs w:val="21"/>
                    </w:rPr>
                  </w:pPr>
                  <w:r>
                    <w:rPr>
                      <w:szCs w:val="21"/>
                      <w:shd w:val="clear" w:color="auto" w:fill="FFFFFF"/>
                    </w:rPr>
                    <w:t>吡噻菌胺为日本</w:t>
                  </w:r>
                  <w:r>
                    <w:fldChar w:fldCharType="begin"/>
                  </w:r>
                  <w:r>
                    <w:instrText xml:space="preserve"> HYPERLINK "https://baike.sogou.com/lemma/ShowInnerLink.htm?lemmaId=55455905&amp;ss_c=ssc.citiao.link" \t "https://baike.sogou.com/_blank" </w:instrText>
                  </w:r>
                  <w:r>
                    <w:fldChar w:fldCharType="separate"/>
                  </w:r>
                  <w:r>
                    <w:rPr>
                      <w:szCs w:val="21"/>
                      <w:shd w:val="clear" w:color="auto" w:fill="FFFFFF"/>
                    </w:rPr>
                    <w:t>三井化学公司</w:t>
                  </w:r>
                  <w:r>
                    <w:rPr>
                      <w:szCs w:val="21"/>
                      <w:shd w:val="clear" w:color="auto" w:fill="FFFFFF"/>
                    </w:rPr>
                    <w:fldChar w:fldCharType="end"/>
                  </w:r>
                  <w:r>
                    <w:rPr>
                      <w:szCs w:val="21"/>
                      <w:shd w:val="clear" w:color="auto" w:fill="FFFFFF"/>
                    </w:rPr>
                    <w:t>研发的新颖酰胺类杀菌剂，其与现有的羧酰胺类杀菌剂有不同的杀菌谱。除了与现有羧酰胺类杀菌剂一样对</w:t>
                  </w:r>
                  <w:r>
                    <w:fldChar w:fldCharType="begin"/>
                  </w:r>
                  <w:r>
                    <w:instrText xml:space="preserve"> HYPERLINK "https://baike.sogou.com/lemma/ShowInnerLink.htm?lemmaId=10541344&amp;ss_c=ssc.citiao.link" \t "https://baike.sogou.com/_blank" </w:instrText>
                  </w:r>
                  <w:r>
                    <w:fldChar w:fldCharType="separate"/>
                  </w:r>
                  <w:r>
                    <w:rPr>
                      <w:szCs w:val="21"/>
                      <w:shd w:val="clear" w:color="auto" w:fill="FFFFFF"/>
                    </w:rPr>
                    <w:t>担子菌</w:t>
                  </w:r>
                  <w:r>
                    <w:rPr>
                      <w:szCs w:val="21"/>
                      <w:shd w:val="clear" w:color="auto" w:fill="FFFFFF"/>
                    </w:rPr>
                    <w:fldChar w:fldCharType="end"/>
                  </w:r>
                  <w:r>
                    <w:rPr>
                      <w:szCs w:val="21"/>
                      <w:shd w:val="clear" w:color="auto" w:fill="FFFFFF"/>
                    </w:rPr>
                    <w:t>有效外，其对</w:t>
                  </w:r>
                  <w:r>
                    <w:fldChar w:fldCharType="begin"/>
                  </w:r>
                  <w:r>
                    <w:instrText xml:space="preserve"> HYPERLINK "https://baike.sogou.com/lemma/ShowInnerLink.htm?lemmaId=4622773&amp;ss_c=ssc.citiao.link" \t "https://baike.sogou.com/_blank" </w:instrText>
                  </w:r>
                  <w:r>
                    <w:fldChar w:fldCharType="separate"/>
                  </w:r>
                  <w:r>
                    <w:rPr>
                      <w:szCs w:val="21"/>
                      <w:shd w:val="clear" w:color="auto" w:fill="FFFFFF"/>
                    </w:rPr>
                    <w:t>子囊菌</w:t>
                  </w:r>
                  <w:r>
                    <w:rPr>
                      <w:szCs w:val="21"/>
                      <w:shd w:val="clear" w:color="auto" w:fill="FFFFFF"/>
                    </w:rPr>
                    <w:fldChar w:fldCharType="end"/>
                  </w:r>
                  <w:r>
                    <w:rPr>
                      <w:szCs w:val="21"/>
                      <w:shd w:val="clear" w:color="auto" w:fill="FFFFFF"/>
                    </w:rPr>
                    <w:t>、不完全菌亦有效，现被推荐用于防治对其他杀菌剂具抗性的</w:t>
                  </w:r>
                  <w:r>
                    <w:fldChar w:fldCharType="begin"/>
                  </w:r>
                  <w:r>
                    <w:instrText xml:space="preserve"> HYPERLINK "https://baike.sogou.com/lemma/ShowInnerLink.htm?lemmaId=1014198&amp;ss_c=ssc.citiao.link" \t "https://baike.sogou.com/_blank" </w:instrText>
                  </w:r>
                  <w:r>
                    <w:fldChar w:fldCharType="separate"/>
                  </w:r>
                  <w:r>
                    <w:rPr>
                      <w:szCs w:val="21"/>
                      <w:shd w:val="clear" w:color="auto" w:fill="FFFFFF"/>
                    </w:rPr>
                    <w:t>灰霉病</w:t>
                  </w:r>
                  <w:r>
                    <w:rPr>
                      <w:szCs w:val="21"/>
                      <w:shd w:val="clear" w:color="auto" w:fill="FFFFFF"/>
                    </w:rPr>
                    <w:fldChar w:fldCharType="end"/>
                  </w:r>
                  <w:r>
                    <w:rPr>
                      <w:szCs w:val="21"/>
                      <w:shd w:val="clear" w:color="auto" w:fill="FFFFFF"/>
                    </w:rPr>
                    <w:t>和白粉病。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widowControl/>
                    <w:jc w:val="center"/>
                    <w:textAlignment w:val="center"/>
                    <w:rPr>
                      <w:szCs w:val="21"/>
                    </w:rPr>
                  </w:pPr>
                  <w:r>
                    <w:fldChar w:fldCharType="begin"/>
                  </w:r>
                  <w:r>
                    <w:instrText xml:space="preserve"> HYPERLINK \l "'（克乐满)联苯肼酯'!A1" </w:instrText>
                  </w:r>
                  <w:r>
                    <w:fldChar w:fldCharType="separate"/>
                  </w:r>
                  <w:r>
                    <w:rPr>
                      <w:rStyle w:val="30"/>
                      <w:color w:val="auto"/>
                      <w:szCs w:val="21"/>
                      <w:u w:val="none"/>
                    </w:rPr>
                    <w:t>联苯肼酯</w:t>
                  </w:r>
                  <w:r>
                    <w:rPr>
                      <w:rStyle w:val="30"/>
                      <w:color w:val="auto"/>
                      <w:szCs w:val="21"/>
                      <w:u w:val="none"/>
                    </w:rPr>
                    <w:fldChar w:fldCharType="end"/>
                  </w:r>
                </w:p>
              </w:tc>
              <w:tc>
                <w:tcPr>
                  <w:tcW w:w="3648" w:type="pct"/>
                  <w:vAlign w:val="center"/>
                </w:tcPr>
                <w:p>
                  <w:pPr>
                    <w:spacing w:before="31"/>
                    <w:ind w:right="82" w:firstLine="420" w:firstLineChars="200"/>
                    <w:rPr>
                      <w:spacing w:val="-2"/>
                      <w:szCs w:val="21"/>
                    </w:rPr>
                  </w:pPr>
                  <w:r>
                    <w:rPr>
                      <w:szCs w:val="21"/>
                      <w:shd w:val="clear" w:color="auto" w:fill="FFFFFF"/>
                    </w:rPr>
                    <w:t>联苯肼酯外观为白色固体结晶，溶解度（20℃）：在水中为2.1mg/L；有机溶剂中（g/L）：甲苯中24.7，乙酸乙酯中102，甲醇中44.7，乙腈中95.6；分配系数（正辛醇/水）：LogPow=3.5。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widowControl/>
                    <w:jc w:val="center"/>
                    <w:textAlignment w:val="center"/>
                    <w:rPr>
                      <w:szCs w:val="21"/>
                    </w:rPr>
                  </w:pPr>
                  <w:r>
                    <w:rPr>
                      <w:rStyle w:val="30"/>
                      <w:color w:val="auto"/>
                      <w:szCs w:val="21"/>
                      <w:u w:val="none"/>
                    </w:rPr>
                    <w:t>嘧酯噻唑锌</w:t>
                  </w:r>
                </w:p>
              </w:tc>
              <w:tc>
                <w:tcPr>
                  <w:tcW w:w="3648" w:type="pct"/>
                  <w:vAlign w:val="center"/>
                </w:tcPr>
                <w:p>
                  <w:pPr>
                    <w:spacing w:before="31"/>
                    <w:ind w:right="82" w:firstLine="420" w:firstLineChars="200"/>
                    <w:rPr>
                      <w:spacing w:val="-2"/>
                      <w:szCs w:val="21"/>
                    </w:rPr>
                  </w:pPr>
                  <w:r>
                    <w:rPr>
                      <w:szCs w:val="21"/>
                      <w:shd w:val="clear" w:color="auto" w:fill="FFFFFF"/>
                    </w:rPr>
                    <w:t>2</w:t>
                  </w:r>
                  <w:r>
                    <w:rPr>
                      <w:rFonts w:hint="eastAsia"/>
                      <w:szCs w:val="21"/>
                      <w:shd w:val="clear" w:color="auto" w:fill="FFFFFF"/>
                    </w:rPr>
                    <w:t>－</w:t>
                  </w:r>
                  <w:r>
                    <w:rPr>
                      <w:szCs w:val="21"/>
                      <w:shd w:val="clear" w:color="auto" w:fill="FFFFFF"/>
                    </w:rPr>
                    <w:t>氨基-5-巯基-1,3,4-噻二唑锌，分子式为</w:t>
                  </w:r>
                  <w:r>
                    <w:fldChar w:fldCharType="begin"/>
                  </w:r>
                  <w:r>
                    <w:instrText xml:space="preserve">HYPERLINK "https://baike.sogou.com/lemma/ShowInnerLink.htm?lemmaId=65033152&amp;ss_c=ssc.citiao.link" \t "https://baike.sogou.com/_blank"</w:instrText>
                  </w:r>
                  <w:r>
                    <w:fldChar w:fldCharType="separate"/>
                  </w:r>
                  <w:r>
                    <w:rPr>
                      <w:szCs w:val="21"/>
                      <w:shd w:val="clear" w:color="auto" w:fill="FFFFFF"/>
                    </w:rPr>
                    <w:t>C</w:t>
                  </w:r>
                  <w:r>
                    <w:rPr>
                      <w:szCs w:val="21"/>
                      <w:shd w:val="clear" w:color="auto" w:fill="FFFFFF"/>
                      <w:vertAlign w:val="subscript"/>
                    </w:rPr>
                    <w:t>4</w:t>
                  </w:r>
                  <w:r>
                    <w:rPr>
                      <w:szCs w:val="21"/>
                      <w:shd w:val="clear" w:color="auto" w:fill="FFFFFF"/>
                    </w:rPr>
                    <w:t>H</w:t>
                  </w:r>
                  <w:r>
                    <w:rPr>
                      <w:szCs w:val="21"/>
                      <w:shd w:val="clear" w:color="auto" w:fill="FFFFFF"/>
                      <w:vertAlign w:val="subscript"/>
                    </w:rPr>
                    <w:t>4</w:t>
                  </w:r>
                  <w:r>
                    <w:rPr>
                      <w:szCs w:val="21"/>
                      <w:shd w:val="clear" w:color="auto" w:fill="FFFFFF"/>
                      <w:vertAlign w:val="subscript"/>
                    </w:rPr>
                    <w:fldChar w:fldCharType="end"/>
                  </w:r>
                  <w:r>
                    <w:rPr>
                      <w:szCs w:val="21"/>
                      <w:shd w:val="clear" w:color="auto" w:fill="FFFFFF"/>
                    </w:rPr>
                    <w:t>N</w:t>
                  </w:r>
                  <w:r>
                    <w:rPr>
                      <w:szCs w:val="21"/>
                      <w:shd w:val="clear" w:color="auto" w:fill="FFFFFF"/>
                      <w:vertAlign w:val="subscript"/>
                    </w:rPr>
                    <w:t>6</w:t>
                  </w:r>
                  <w:r>
                    <w:rPr>
                      <w:szCs w:val="21"/>
                      <w:shd w:val="clear" w:color="auto" w:fill="FFFFFF"/>
                    </w:rPr>
                    <w:t>S</w:t>
                  </w:r>
                  <w:r>
                    <w:rPr>
                      <w:szCs w:val="21"/>
                      <w:shd w:val="clear" w:color="auto" w:fill="FFFFFF"/>
                      <w:vertAlign w:val="subscript"/>
                    </w:rPr>
                    <w:t>4</w:t>
                  </w:r>
                  <w:r>
                    <w:rPr>
                      <w:szCs w:val="21"/>
                      <w:shd w:val="clear" w:color="auto" w:fill="FFFFFF"/>
                    </w:rPr>
                    <w:t>Zn，灰白色粉末，熔点：&gt;300℃，不溶于水和有机溶剂，在中性、弱碱性条件下稳定。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widowControl/>
                    <w:jc w:val="center"/>
                    <w:textAlignment w:val="center"/>
                    <w:rPr>
                      <w:szCs w:val="21"/>
                    </w:rPr>
                  </w:pPr>
                  <w:r>
                    <w:fldChar w:fldCharType="begin"/>
                  </w:r>
                  <w:r>
                    <w:instrText xml:space="preserve"> HYPERLINK \l "'(艾美乐）吡虫啉'!A1" </w:instrText>
                  </w:r>
                  <w:r>
                    <w:fldChar w:fldCharType="separate"/>
                  </w:r>
                  <w:r>
                    <w:rPr>
                      <w:rStyle w:val="30"/>
                      <w:color w:val="auto"/>
                      <w:szCs w:val="21"/>
                      <w:u w:val="none"/>
                    </w:rPr>
                    <w:t>吡虫啉</w:t>
                  </w:r>
                  <w:r>
                    <w:rPr>
                      <w:rStyle w:val="30"/>
                      <w:color w:val="auto"/>
                      <w:szCs w:val="21"/>
                      <w:u w:val="none"/>
                    </w:rPr>
                    <w:fldChar w:fldCharType="end"/>
                  </w:r>
                </w:p>
              </w:tc>
              <w:tc>
                <w:tcPr>
                  <w:tcW w:w="3648" w:type="pct"/>
                  <w:vAlign w:val="center"/>
                </w:tcPr>
                <w:p>
                  <w:pPr>
                    <w:spacing w:before="31"/>
                    <w:ind w:right="82" w:firstLine="420" w:firstLineChars="200"/>
                    <w:rPr>
                      <w:spacing w:val="-2"/>
                      <w:szCs w:val="21"/>
                    </w:rPr>
                  </w:pPr>
                  <w:r>
                    <w:rPr>
                      <w:szCs w:val="21"/>
                      <w:shd w:val="clear" w:color="auto" w:fill="FFFFFF"/>
                    </w:rPr>
                    <w:t>化学式为C</w:t>
                  </w:r>
                  <w:r>
                    <w:rPr>
                      <w:szCs w:val="21"/>
                      <w:shd w:val="clear" w:color="auto" w:fill="FFFFFF"/>
                      <w:vertAlign w:val="subscript"/>
                    </w:rPr>
                    <w:t>9</w:t>
                  </w:r>
                  <w:r>
                    <w:rPr>
                      <w:szCs w:val="21"/>
                      <w:shd w:val="clear" w:color="auto" w:fill="FFFFFF"/>
                    </w:rPr>
                    <w:t>H</w:t>
                  </w:r>
                  <w:r>
                    <w:rPr>
                      <w:szCs w:val="21"/>
                      <w:shd w:val="clear" w:color="auto" w:fill="FFFFFF"/>
                      <w:vertAlign w:val="subscript"/>
                    </w:rPr>
                    <w:t>10</w:t>
                  </w:r>
                  <w:r>
                    <w:rPr>
                      <w:szCs w:val="21"/>
                      <w:shd w:val="clear" w:color="auto" w:fill="FFFFFF"/>
                    </w:rPr>
                    <w:t>ClN</w:t>
                  </w:r>
                  <w:r>
                    <w:rPr>
                      <w:szCs w:val="21"/>
                      <w:shd w:val="clear" w:color="auto" w:fill="FFFFFF"/>
                      <w:vertAlign w:val="subscript"/>
                    </w:rPr>
                    <w:t>5</w:t>
                  </w:r>
                  <w:r>
                    <w:rPr>
                      <w:szCs w:val="21"/>
                      <w:shd w:val="clear" w:color="auto" w:fill="FFFFFF"/>
                    </w:rPr>
                    <w:t>O</w:t>
                  </w:r>
                  <w:r>
                    <w:rPr>
                      <w:szCs w:val="21"/>
                      <w:shd w:val="clear" w:color="auto" w:fill="FFFFFF"/>
                      <w:vertAlign w:val="subscript"/>
                    </w:rPr>
                    <w:t>2</w:t>
                  </w:r>
                  <w:r>
                    <w:rPr>
                      <w:szCs w:val="21"/>
                      <w:shd w:val="clear" w:color="auto" w:fill="FFFFFF"/>
                    </w:rPr>
                    <w:t>。无色晶体，有微弱气味，熔点143.8℃，蒸汽压0.2μPa（20℃），密度1.543g/cm3（20℃），KowlogP=0.57（22℃），溶解度水0.51g/L（20℃），异丙醇1-2g/L（20℃），甲苯0.5-1g/L（20℃），正己烷&lt;0.1g/L（20℃），pH5-11稳定。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widowControl/>
                    <w:jc w:val="center"/>
                    <w:textAlignment w:val="center"/>
                    <w:rPr>
                      <w:szCs w:val="21"/>
                    </w:rPr>
                  </w:pPr>
                  <w:r>
                    <w:fldChar w:fldCharType="begin"/>
                  </w:r>
                  <w:r>
                    <w:instrText xml:space="preserve"> HYPERLINK \l "高效氯氟氰菊酯!A1" </w:instrText>
                  </w:r>
                  <w:r>
                    <w:fldChar w:fldCharType="separate"/>
                  </w:r>
                  <w:r>
                    <w:rPr>
                      <w:rStyle w:val="30"/>
                      <w:color w:val="auto"/>
                      <w:szCs w:val="21"/>
                      <w:u w:val="none"/>
                    </w:rPr>
                    <w:t>氯氟氰菊酯</w:t>
                  </w:r>
                  <w:r>
                    <w:rPr>
                      <w:rStyle w:val="30"/>
                      <w:color w:val="auto"/>
                      <w:szCs w:val="21"/>
                      <w:u w:val="none"/>
                    </w:rPr>
                    <w:fldChar w:fldCharType="end"/>
                  </w:r>
                </w:p>
              </w:tc>
              <w:tc>
                <w:tcPr>
                  <w:tcW w:w="3648" w:type="pct"/>
                  <w:vAlign w:val="center"/>
                </w:tcPr>
                <w:p>
                  <w:pPr>
                    <w:spacing w:before="31"/>
                    <w:ind w:right="82" w:firstLine="420" w:firstLineChars="200"/>
                    <w:rPr>
                      <w:spacing w:val="-2"/>
                      <w:szCs w:val="21"/>
                    </w:rPr>
                  </w:pPr>
                  <w:r>
                    <w:rPr>
                      <w:szCs w:val="21"/>
                      <w:shd w:val="clear" w:color="auto" w:fill="FFFFFF"/>
                    </w:rPr>
                    <w:t>纯品为白色固体，工业品为淡黄色固体，化学式为C</w:t>
                  </w:r>
                  <w:r>
                    <w:rPr>
                      <w:szCs w:val="21"/>
                      <w:shd w:val="clear" w:color="auto" w:fill="FFFFFF"/>
                      <w:vertAlign w:val="subscript"/>
                    </w:rPr>
                    <w:t>23</w:t>
                  </w:r>
                  <w:r>
                    <w:rPr>
                      <w:szCs w:val="21"/>
                      <w:shd w:val="clear" w:color="auto" w:fill="FFFFFF"/>
                    </w:rPr>
                    <w:t>H</w:t>
                  </w:r>
                  <w:r>
                    <w:rPr>
                      <w:szCs w:val="21"/>
                      <w:shd w:val="clear" w:color="auto" w:fill="FFFFFF"/>
                      <w:vertAlign w:val="subscript"/>
                    </w:rPr>
                    <w:t>19</w:t>
                  </w:r>
                  <w:r>
                    <w:rPr>
                      <w:szCs w:val="21"/>
                      <w:shd w:val="clear" w:color="auto" w:fill="FFFFFF"/>
                    </w:rPr>
                    <w:t>ClF3NO</w:t>
                  </w:r>
                  <w:r>
                    <w:rPr>
                      <w:szCs w:val="21"/>
                      <w:shd w:val="clear" w:color="auto" w:fill="FFFFFF"/>
                      <w:vertAlign w:val="subscript"/>
                    </w:rPr>
                    <w:t>3</w:t>
                  </w:r>
                  <w:r>
                    <w:rPr>
                      <w:szCs w:val="21"/>
                      <w:shd w:val="clear" w:color="auto" w:fill="FFFFFF"/>
                    </w:rPr>
                    <w:t>，沸点187－190℃/0.2mmHg，</w:t>
                  </w:r>
                  <w:r>
                    <w:fldChar w:fldCharType="begin"/>
                  </w:r>
                  <w:r>
                    <w:instrText xml:space="preserve">HYPERLINK "https://baike.baidu.com/item/%E8%92%B8%E6%B0%94%E5%8E%8B/6491145?fromModule=lemma_inlink" \t "https://baike.baidu.com/item/%E9%AB%98%E6%95%88%E6%B0%AF%E6%B0%9F%E6%B0%B0%E8%8F%8A%E9%85%AF/_blank"</w:instrText>
                  </w:r>
                  <w:r>
                    <w:fldChar w:fldCharType="separate"/>
                  </w:r>
                  <w:r>
                    <w:rPr>
                      <w:szCs w:val="21"/>
                      <w:shd w:val="clear" w:color="auto" w:fill="FFFFFF"/>
                    </w:rPr>
                    <w:t>蒸汽压</w:t>
                  </w:r>
                  <w:r>
                    <w:rPr>
                      <w:szCs w:val="21"/>
                      <w:shd w:val="clear" w:color="auto" w:fill="FFFFFF"/>
                    </w:rPr>
                    <w:fldChar w:fldCharType="end"/>
                  </w:r>
                  <w:r>
                    <w:rPr>
                      <w:szCs w:val="21"/>
                      <w:shd w:val="clear" w:color="auto" w:fill="FFFFFF"/>
                    </w:rPr>
                    <w:t>约 0.001MPa(20℃)，密度1.25(25℃)，</w:t>
                  </w:r>
                  <w:r>
                    <w:fldChar w:fldCharType="begin"/>
                  </w:r>
                  <w:r>
                    <w:instrText xml:space="preserve">HYPERLINK "https://baike.baidu.com/item/%E6%BA%B6%E8%A7%A3%E5%BA%A6/438206?fromModule=lemma_inlink" \t "https://baike.baidu.com/item/%E9%AB%98%E6%95%88%E6%B0%AF%E6%B0%9F%E6%B0%B0%E8%8F%8A%E9%85%AF/_blank"</w:instrText>
                  </w:r>
                  <w:r>
                    <w:fldChar w:fldCharType="separate"/>
                  </w:r>
                  <w:r>
                    <w:rPr>
                      <w:szCs w:val="21"/>
                      <w:shd w:val="clear" w:color="auto" w:fill="FFFFFF"/>
                    </w:rPr>
                    <w:t>溶解度</w:t>
                  </w:r>
                  <w:r>
                    <w:rPr>
                      <w:szCs w:val="21"/>
                      <w:shd w:val="clear" w:color="auto" w:fill="FFFFFF"/>
                    </w:rPr>
                    <w:fldChar w:fldCharType="end"/>
                  </w:r>
                  <w:r>
                    <w:rPr>
                      <w:szCs w:val="21"/>
                      <w:shd w:val="clear" w:color="auto" w:fill="FFFFFF"/>
                    </w:rPr>
                    <w:t>水中0.004ppb(20℃)，溶于</w:t>
                  </w:r>
                  <w:r>
                    <w:fldChar w:fldCharType="begin"/>
                  </w:r>
                  <w:r>
                    <w:instrText xml:space="preserve">HYPERLINK "https://baike.baidu.com/item/%E4%B8%99%E9%85%AE/955883?fromModule=lemma_inlink" \t "https://baike.baidu.com/item/%E9%AB%98%E6%95%88%E6%B0%AF%E6%B0%9F%E6%B0%B0%E8%8F%8A%E9%85%AF/_blank"</w:instrText>
                  </w:r>
                  <w:r>
                    <w:fldChar w:fldCharType="separate"/>
                  </w:r>
                  <w:r>
                    <w:rPr>
                      <w:szCs w:val="21"/>
                      <w:shd w:val="clear" w:color="auto" w:fill="FFFFFF"/>
                    </w:rPr>
                    <w:t>丙酮</w:t>
                  </w:r>
                  <w:r>
                    <w:rPr>
                      <w:szCs w:val="21"/>
                      <w:shd w:val="clear" w:color="auto" w:fill="FFFFFF"/>
                    </w:rPr>
                    <w:fldChar w:fldCharType="end"/>
                  </w:r>
                  <w:r>
                    <w:rPr>
                      <w:szCs w:val="21"/>
                      <w:shd w:val="clear" w:color="auto" w:fill="FFFFFF"/>
                    </w:rPr>
                    <w:t>，二 </w:t>
                  </w:r>
                  <w:r>
                    <w:fldChar w:fldCharType="begin"/>
                  </w:r>
                  <w:r>
                    <w:instrText xml:space="preserve"> HYPERLINK "https://baike.baidu.com/item/%E6%B0%AF%E7%94%B2%E7%83%B7/2196665?fromModule=lemma_inlink" \t "https://baike.baidu.com/item/%E9%AB%98%E6%95%88%E6%B0%AF%E6%B0%9F%E6%B0%B0%E8%8F%8A%E9%85%AF/_blank" </w:instrText>
                  </w:r>
                  <w:r>
                    <w:fldChar w:fldCharType="separate"/>
                  </w:r>
                  <w:r>
                    <w:rPr>
                      <w:szCs w:val="21"/>
                      <w:shd w:val="clear" w:color="auto" w:fill="FFFFFF"/>
                    </w:rPr>
                    <w:t>氯甲烷</w:t>
                  </w:r>
                  <w:r>
                    <w:rPr>
                      <w:szCs w:val="21"/>
                      <w:shd w:val="clear" w:color="auto" w:fill="FFFFFF"/>
                    </w:rPr>
                    <w:fldChar w:fldCharType="end"/>
                  </w:r>
                  <w:r>
                    <w:rPr>
                      <w:szCs w:val="21"/>
                      <w:shd w:val="clear" w:color="auto" w:fill="FFFFFF"/>
                    </w:rPr>
                    <w:t>，</w:t>
                  </w:r>
                  <w:r>
                    <w:fldChar w:fldCharType="begin"/>
                  </w:r>
                  <w:r>
                    <w:instrText xml:space="preserve"> HYPERLINK "https://baike.baidu.com/item/%E7%94%B2%E9%86%87/1512312?fromModule=lemma_inlink" \t "https://baike.baidu.com/item/%E9%AB%98%E6%95%88%E6%B0%AF%E6%B0%9F%E6%B0%B0%E8%8F%8A%E9%85%AF/_blank" </w:instrText>
                  </w:r>
                  <w:r>
                    <w:fldChar w:fldCharType="separate"/>
                  </w:r>
                  <w:r>
                    <w:rPr>
                      <w:szCs w:val="21"/>
                      <w:shd w:val="clear" w:color="auto" w:fill="FFFFFF"/>
                    </w:rPr>
                    <w:t>甲醇</w:t>
                  </w:r>
                  <w:r>
                    <w:rPr>
                      <w:szCs w:val="21"/>
                      <w:shd w:val="clear" w:color="auto" w:fill="FFFFFF"/>
                    </w:rPr>
                    <w:fldChar w:fldCharType="end"/>
                  </w:r>
                  <w:r>
                    <w:rPr>
                      <w:szCs w:val="21"/>
                      <w:shd w:val="clear" w:color="auto" w:fill="FFFFFF"/>
                    </w:rPr>
                    <w:t>，</w:t>
                  </w:r>
                  <w:r>
                    <w:fldChar w:fldCharType="begin"/>
                  </w:r>
                  <w:r>
                    <w:instrText xml:space="preserve"> HYPERLINK "https://baike.baidu.com/item/%E4%B9%99%E9%86%9A/316922?fromModule=lemma_inlink" \t "https://baike.baidu.com/item/%E9%AB%98%E6%95%88%E6%B0%AF%E6%B0%9F%E6%B0%B0%E8%8F%8A%E9%85%AF/_blank" </w:instrText>
                  </w:r>
                  <w:r>
                    <w:fldChar w:fldCharType="separate"/>
                  </w:r>
                  <w:r>
                    <w:rPr>
                      <w:szCs w:val="21"/>
                      <w:shd w:val="clear" w:color="auto" w:fill="FFFFFF"/>
                    </w:rPr>
                    <w:t>乙醚</w:t>
                  </w:r>
                  <w:r>
                    <w:rPr>
                      <w:szCs w:val="21"/>
                      <w:shd w:val="clear" w:color="auto" w:fill="FFFFFF"/>
                    </w:rPr>
                    <w:fldChar w:fldCharType="end"/>
                  </w:r>
                  <w:r>
                    <w:rPr>
                      <w:szCs w:val="21"/>
                      <w:shd w:val="clear" w:color="auto" w:fill="FFFFFF"/>
                    </w:rPr>
                    <w:t>，</w:t>
                  </w:r>
                  <w:r>
                    <w:fldChar w:fldCharType="begin"/>
                  </w:r>
                  <w:r>
                    <w:instrText xml:space="preserve"> HYPERLINK "https://baike.baidu.com/item/%E4%B9%99%E9%85%B8%E4%B9%99%E9%85%AF/2539400?fromModule=lemma_inlink" \t "https://baike.baidu.com/item/%E9%AB%98%E6%95%88%E6%B0%AF%E6%B0%9F%E6%B0%B0%E8%8F%8A%E9%85%AF/_blank" </w:instrText>
                  </w:r>
                  <w:r>
                    <w:fldChar w:fldCharType="separate"/>
                  </w:r>
                  <w:r>
                    <w:rPr>
                      <w:szCs w:val="21"/>
                      <w:shd w:val="clear" w:color="auto" w:fill="FFFFFF"/>
                    </w:rPr>
                    <w:t>乙酸乙酯</w:t>
                  </w:r>
                  <w:r>
                    <w:rPr>
                      <w:szCs w:val="21"/>
                      <w:shd w:val="clear" w:color="auto" w:fill="FFFFFF"/>
                    </w:rPr>
                    <w:fldChar w:fldCharType="end"/>
                  </w:r>
                  <w:r>
                    <w:rPr>
                      <w:szCs w:val="21"/>
                      <w:shd w:val="clear" w:color="auto" w:fill="FFFFFF"/>
                    </w:rPr>
                    <w:t>，</w:t>
                  </w:r>
                  <w:r>
                    <w:fldChar w:fldCharType="begin"/>
                  </w:r>
                  <w:r>
                    <w:instrText xml:space="preserve"> HYPERLINK "https://baike.baidu.com/item/%E5%B7%B1%E7%83%B7/67751?fromModule=lemma_inlink" \t "https://baike.baidu.com/item/%E9%AB%98%E6%95%88%E6%B0%AF%E6%B0%9F%E6%B0%B0%E8%8F%8A%E9%85%AF/_blank" </w:instrText>
                  </w:r>
                  <w:r>
                    <w:fldChar w:fldCharType="separate"/>
                  </w:r>
                  <w:r>
                    <w:rPr>
                      <w:szCs w:val="21"/>
                      <w:shd w:val="clear" w:color="auto" w:fill="FFFFFF"/>
                    </w:rPr>
                    <w:t>己烷</w:t>
                  </w:r>
                  <w:r>
                    <w:rPr>
                      <w:szCs w:val="21"/>
                      <w:shd w:val="clear" w:color="auto" w:fill="FFFFFF"/>
                    </w:rPr>
                    <w:fldChar w:fldCharType="end"/>
                  </w:r>
                  <w:r>
                    <w:rPr>
                      <w:szCs w:val="21"/>
                      <w:shd w:val="clear" w:color="auto" w:fill="FFFFFF"/>
                    </w:rPr>
                    <w:t>，</w:t>
                  </w:r>
                  <w:r>
                    <w:fldChar w:fldCharType="begin"/>
                  </w:r>
                  <w:r>
                    <w:instrText xml:space="preserve"> HYPERLINK "https://baike.baidu.com/item/%E7%94%B2%E8%8B%AF/1920908?fromModule=lemma_inlink" \t "https://baike.baidu.com/item/%E9%AB%98%E6%95%88%E6%B0%AF%E6%B0%9F%E6%B0%B0%E8%8F%8A%E9%85%AF/_blank" </w:instrText>
                  </w:r>
                  <w:r>
                    <w:fldChar w:fldCharType="separate"/>
                  </w:r>
                  <w:r>
                    <w:rPr>
                      <w:szCs w:val="21"/>
                      <w:shd w:val="clear" w:color="auto" w:fill="FFFFFF"/>
                    </w:rPr>
                    <w:t>甲苯</w:t>
                  </w:r>
                  <w:r>
                    <w:rPr>
                      <w:szCs w:val="21"/>
                      <w:shd w:val="clear" w:color="auto" w:fill="FFFFFF"/>
                    </w:rPr>
                    <w:fldChar w:fldCharType="end"/>
                  </w:r>
                  <w:r>
                    <w:rPr>
                      <w:szCs w:val="21"/>
                      <w:shd w:val="clear" w:color="auto" w:fill="FFFFFF"/>
                    </w:rPr>
                    <w:t>均&gt;500g/L(20℃)，50℃黑暗处 存放2年不分解，光下稳定，275℃分解，光下pH7－9缓慢分解，pH&gt;9加快分解。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widowControl/>
                    <w:jc w:val="center"/>
                    <w:textAlignment w:val="center"/>
                    <w:rPr>
                      <w:kern w:val="0"/>
                      <w:szCs w:val="21"/>
                      <w:lang w:bidi="ar"/>
                    </w:rPr>
                  </w:pPr>
                  <w:r>
                    <w:fldChar w:fldCharType="begin"/>
                  </w:r>
                  <w:r>
                    <w:instrText xml:space="preserve"> HYPERLINK \l "铁钻5.0阿维菌素!A1" </w:instrText>
                  </w:r>
                  <w:r>
                    <w:fldChar w:fldCharType="separate"/>
                  </w:r>
                  <w:r>
                    <w:rPr>
                      <w:rStyle w:val="30"/>
                      <w:color w:val="auto"/>
                      <w:szCs w:val="21"/>
                      <w:u w:val="none"/>
                    </w:rPr>
                    <w:t>阿维菌素</w:t>
                  </w:r>
                  <w:r>
                    <w:rPr>
                      <w:rStyle w:val="30"/>
                      <w:color w:val="auto"/>
                      <w:szCs w:val="21"/>
                      <w:u w:val="none"/>
                    </w:rPr>
                    <w:fldChar w:fldCharType="end"/>
                  </w:r>
                </w:p>
              </w:tc>
              <w:tc>
                <w:tcPr>
                  <w:tcW w:w="3648" w:type="pct"/>
                  <w:vAlign w:val="center"/>
                </w:tcPr>
                <w:p>
                  <w:pPr>
                    <w:spacing w:before="31"/>
                    <w:ind w:right="82"/>
                    <w:rPr>
                      <w:spacing w:val="-2"/>
                      <w:szCs w:val="21"/>
                    </w:rPr>
                  </w:pPr>
                  <w:r>
                    <w:rPr>
                      <w:szCs w:val="21"/>
                      <w:shd w:val="clear" w:color="auto" w:fill="FFFFFF"/>
                    </w:rPr>
                    <w:t>外观为淡黄色至白色结晶粉末，无味。m.p.155～157℃，蒸气压2×10</w:t>
                  </w:r>
                  <w:r>
                    <w:rPr>
                      <w:szCs w:val="21"/>
                      <w:shd w:val="clear" w:color="auto" w:fill="FFFFFF"/>
                      <w:vertAlign w:val="superscript"/>
                    </w:rPr>
                    <w:t>^-7</w:t>
                  </w:r>
                  <w:r>
                    <w:rPr>
                      <w:szCs w:val="21"/>
                      <w:shd w:val="clear" w:color="auto" w:fill="FFFFFF"/>
                    </w:rPr>
                    <w:t>Pa，相对密度1.16(21℃)。21℃时溶解度为：甲苯350g/L、</w:t>
                  </w:r>
                  <w:r>
                    <w:fldChar w:fldCharType="begin"/>
                  </w:r>
                  <w:r>
                    <w:instrText xml:space="preserve">HYPERLINK "https://baike.baidu.com/item/%E4%B8%99%E9%85%AE/955883?fromModule=lemma_inlink" \t "https://baike.baidu.com/_blank"</w:instrText>
                  </w:r>
                  <w:r>
                    <w:fldChar w:fldCharType="separate"/>
                  </w:r>
                  <w:r>
                    <w:rPr>
                      <w:szCs w:val="21"/>
                      <w:shd w:val="clear" w:color="auto" w:fill="FFFFFF"/>
                    </w:rPr>
                    <w:t>丙酮</w:t>
                  </w:r>
                  <w:r>
                    <w:rPr>
                      <w:szCs w:val="21"/>
                      <w:shd w:val="clear" w:color="auto" w:fill="FFFFFF"/>
                    </w:rPr>
                    <w:fldChar w:fldCharType="end"/>
                  </w:r>
                  <w:r>
                    <w:rPr>
                      <w:szCs w:val="21"/>
                      <w:shd w:val="clear" w:color="auto" w:fill="FFFFFF"/>
                    </w:rPr>
                    <w:t>100g/L、异丙醇70g/L、氯仿25g/L、乙醇20g/L、甲醇19.5g/L、环己烷6g/L、煤油0.5g/L、水10μg/L。分配系数9.9×10</w:t>
                  </w:r>
                  <w:r>
                    <w:rPr>
                      <w:szCs w:val="21"/>
                      <w:shd w:val="clear" w:color="auto" w:fill="FFFFFF"/>
                      <w:vertAlign w:val="superscript"/>
                    </w:rPr>
                    <w:t>^3</w:t>
                  </w:r>
                  <w:r>
                    <w:rPr>
                      <w:szCs w:val="21"/>
                      <w:shd w:val="clear" w:color="auto" w:fill="FFFFFF"/>
                    </w:rPr>
                    <w:t>。正常条件下稳定，pH值5～9时不会水解。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1" w:type="pct"/>
                  <w:vAlign w:val="center"/>
                </w:tcPr>
                <w:p>
                  <w:pPr>
                    <w:widowControl/>
                    <w:jc w:val="center"/>
                    <w:textAlignment w:val="center"/>
                    <w:rPr>
                      <w:kern w:val="0"/>
                      <w:szCs w:val="21"/>
                      <w:lang w:bidi="ar"/>
                    </w:rPr>
                  </w:pPr>
                  <w:r>
                    <w:fldChar w:fldCharType="begin"/>
                  </w:r>
                  <w:r>
                    <w:instrText xml:space="preserve"> HYPERLINK \l "'世高（10%苯醚甲环唑）'!A1" </w:instrText>
                  </w:r>
                  <w:r>
                    <w:fldChar w:fldCharType="separate"/>
                  </w:r>
                  <w:r>
                    <w:rPr>
                      <w:rStyle w:val="30"/>
                      <w:color w:val="auto"/>
                      <w:szCs w:val="21"/>
                      <w:u w:val="none"/>
                    </w:rPr>
                    <w:t>苯醚甲环唑</w:t>
                  </w:r>
                  <w:r>
                    <w:rPr>
                      <w:rStyle w:val="30"/>
                      <w:color w:val="auto"/>
                      <w:szCs w:val="21"/>
                      <w:u w:val="none"/>
                    </w:rPr>
                    <w:fldChar w:fldCharType="end"/>
                  </w:r>
                </w:p>
              </w:tc>
              <w:tc>
                <w:tcPr>
                  <w:tcW w:w="3648" w:type="pct"/>
                  <w:vAlign w:val="center"/>
                </w:tcPr>
                <w:p>
                  <w:pPr>
                    <w:spacing w:before="31"/>
                    <w:ind w:right="82" w:firstLine="420" w:firstLineChars="200"/>
                    <w:rPr>
                      <w:spacing w:val="-2"/>
                      <w:szCs w:val="21"/>
                    </w:rPr>
                  </w:pPr>
                  <w:r>
                    <w:rPr>
                      <w:szCs w:val="21"/>
                      <w:shd w:val="clear" w:color="auto" w:fill="FFFFFF"/>
                    </w:rPr>
                    <w:t>苯醚甲环唑，化学式为C</w:t>
                  </w:r>
                  <w:r>
                    <w:rPr>
                      <w:szCs w:val="21"/>
                      <w:shd w:val="clear" w:color="auto" w:fill="FFFFFF"/>
                      <w:vertAlign w:val="subscript"/>
                    </w:rPr>
                    <w:t>19</w:t>
                  </w:r>
                  <w:r>
                    <w:rPr>
                      <w:szCs w:val="21"/>
                      <w:shd w:val="clear" w:color="auto" w:fill="FFFFFF"/>
                    </w:rPr>
                    <w:t>H</w:t>
                  </w:r>
                  <w:r>
                    <w:rPr>
                      <w:szCs w:val="21"/>
                      <w:shd w:val="clear" w:color="auto" w:fill="FFFFFF"/>
                      <w:vertAlign w:val="subscript"/>
                    </w:rPr>
                    <w:t>17</w:t>
                  </w:r>
                  <w:r>
                    <w:rPr>
                      <w:szCs w:val="21"/>
                      <w:shd w:val="clear" w:color="auto" w:fill="FFFFFF"/>
                    </w:rPr>
                    <w:t>C</w:t>
                  </w:r>
                  <w:r>
                    <w:rPr>
                      <w:szCs w:val="21"/>
                      <w:shd w:val="clear" w:color="auto" w:fill="FFFFFF"/>
                      <w:vertAlign w:val="subscript"/>
                    </w:rPr>
                    <w:t>l2</w:t>
                  </w:r>
                  <w:r>
                    <w:rPr>
                      <w:szCs w:val="21"/>
                      <w:shd w:val="clear" w:color="auto" w:fill="FFFFFF"/>
                    </w:rPr>
                    <w:t>N</w:t>
                  </w:r>
                  <w:r>
                    <w:rPr>
                      <w:szCs w:val="21"/>
                      <w:shd w:val="clear" w:color="auto" w:fill="FFFFFF"/>
                      <w:vertAlign w:val="subscript"/>
                    </w:rPr>
                    <w:t>3</w:t>
                  </w:r>
                  <w:r>
                    <w:rPr>
                      <w:szCs w:val="21"/>
                      <w:shd w:val="clear" w:color="auto" w:fill="FFFFFF"/>
                    </w:rPr>
                    <w:t>O</w:t>
                  </w:r>
                  <w:r>
                    <w:rPr>
                      <w:szCs w:val="21"/>
                      <w:shd w:val="clear" w:color="auto" w:fill="FFFFFF"/>
                      <w:vertAlign w:val="subscript"/>
                    </w:rPr>
                    <w:t>3</w:t>
                  </w:r>
                  <w:r>
                    <w:rPr>
                      <w:szCs w:val="21"/>
                      <w:shd w:val="clear" w:color="auto" w:fill="FFFFFF"/>
                    </w:rPr>
                    <w:t>，是低毒</w:t>
                  </w:r>
                  <w:r>
                    <w:fldChar w:fldCharType="begin"/>
                  </w:r>
                  <w:r>
                    <w:instrText xml:space="preserve">HYPERLINK "https://baike.baidu.com/item/%E6%9D%82%E7%8E%AF%E7%B1%BB%E6%9D%80%E8%8F%8C%E5%89%82/3850335?fromModule=lemma_inlink" \t "https://baike.baidu.com/_blank"</w:instrText>
                  </w:r>
                  <w:r>
                    <w:fldChar w:fldCharType="separate"/>
                  </w:r>
                  <w:r>
                    <w:rPr>
                      <w:szCs w:val="21"/>
                      <w:shd w:val="clear" w:color="auto" w:fill="FFFFFF"/>
                    </w:rPr>
                    <w:t>杂环类杀菌剂</w:t>
                  </w:r>
                  <w:r>
                    <w:rPr>
                      <w:szCs w:val="21"/>
                      <w:shd w:val="clear" w:color="auto" w:fill="FFFFFF"/>
                    </w:rPr>
                    <w:fldChar w:fldCharType="end"/>
                  </w:r>
                  <w:r>
                    <w:rPr>
                      <w:szCs w:val="21"/>
                      <w:shd w:val="clear" w:color="auto" w:fill="FFFFFF"/>
                    </w:rPr>
                    <w:t>农药，</w:t>
                  </w:r>
                  <w:r>
                    <w:fldChar w:fldCharType="begin"/>
                  </w:r>
                  <w:r>
                    <w:instrText xml:space="preserve"> HYPERLINK "https://baike.baidu.com/item/%E6%98%93%E6%BA%B6/10683840?fromModule=lemma_inlink" \t "https://baike.baidu.com/_blank" </w:instrText>
                  </w:r>
                  <w:r>
                    <w:fldChar w:fldCharType="separate"/>
                  </w:r>
                  <w:r>
                    <w:rPr>
                      <w:szCs w:val="21"/>
                      <w:shd w:val="clear" w:color="auto" w:fill="FFFFFF"/>
                    </w:rPr>
                    <w:t>易溶</w:t>
                  </w:r>
                  <w:r>
                    <w:rPr>
                      <w:szCs w:val="21"/>
                      <w:shd w:val="clear" w:color="auto" w:fill="FFFFFF"/>
                    </w:rPr>
                    <w:fldChar w:fldCharType="end"/>
                  </w:r>
                  <w:r>
                    <w:rPr>
                      <w:szCs w:val="21"/>
                      <w:shd w:val="clear" w:color="auto" w:fill="FFFFFF"/>
                    </w:rPr>
                    <w:t>于</w:t>
                  </w:r>
                  <w:r>
                    <w:fldChar w:fldCharType="begin"/>
                  </w:r>
                  <w:r>
                    <w:instrText xml:space="preserve"> HYPERLINK "https://baike.baidu.com/item/%E6%9C%89%E6%9C%BA%E6%BA%B6%E5%89%82/7921016?fromModule=lemma_inlink" \t "https://baike.baidu.com/_blank" </w:instrText>
                  </w:r>
                  <w:r>
                    <w:fldChar w:fldCharType="separate"/>
                  </w:r>
                  <w:r>
                    <w:rPr>
                      <w:szCs w:val="21"/>
                      <w:shd w:val="clear" w:color="auto" w:fill="FFFFFF"/>
                    </w:rPr>
                    <w:t>有机溶剂</w:t>
                  </w:r>
                  <w:r>
                    <w:rPr>
                      <w:szCs w:val="21"/>
                      <w:shd w:val="clear" w:color="auto" w:fill="FFFFFF"/>
                    </w:rPr>
                    <w:fldChar w:fldCharType="end"/>
                  </w:r>
                  <w:r>
                    <w:rPr>
                      <w:szCs w:val="21"/>
                      <w:shd w:val="clear" w:color="auto" w:fill="FFFFFF"/>
                    </w:rPr>
                    <w:t>，在土壤中</w:t>
                  </w:r>
                  <w:r>
                    <w:fldChar w:fldCharType="begin"/>
                  </w:r>
                  <w:r>
                    <w:instrText xml:space="preserve"> HYPERLINK "https://baike.baidu.com/item/%E7%A7%BB%E5%8A%A8%E6%80%A7/5934823?fromModule=lemma_inlink" \t "https://baike.baidu.com/_blank" </w:instrText>
                  </w:r>
                  <w:r>
                    <w:fldChar w:fldCharType="separate"/>
                  </w:r>
                  <w:r>
                    <w:rPr>
                      <w:szCs w:val="21"/>
                      <w:shd w:val="clear" w:color="auto" w:fill="FFFFFF"/>
                    </w:rPr>
                    <w:t>移动性</w:t>
                  </w:r>
                  <w:r>
                    <w:rPr>
                      <w:szCs w:val="21"/>
                      <w:shd w:val="clear" w:color="auto" w:fill="FFFFFF"/>
                    </w:rPr>
                    <w:fldChar w:fldCharType="end"/>
                  </w:r>
                  <w:r>
                    <w:rPr>
                      <w:szCs w:val="21"/>
                      <w:shd w:val="clear" w:color="auto" w:fill="FFFFFF"/>
                    </w:rPr>
                    <w:t>小，降解缓慢。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widowControl/>
                    <w:jc w:val="center"/>
                    <w:textAlignment w:val="center"/>
                    <w:rPr>
                      <w:kern w:val="0"/>
                      <w:szCs w:val="21"/>
                      <w:lang w:bidi="ar"/>
                    </w:rPr>
                  </w:pPr>
                  <w:r>
                    <w:fldChar w:fldCharType="begin"/>
                  </w:r>
                  <w:r>
                    <w:instrText xml:space="preserve"> HYPERLINK \l "'宇龙美赛（嘧环.咯菌腈）'!A1" </w:instrText>
                  </w:r>
                  <w:r>
                    <w:fldChar w:fldCharType="separate"/>
                  </w:r>
                  <w:r>
                    <w:rPr>
                      <w:rStyle w:val="30"/>
                      <w:color w:val="auto"/>
                      <w:szCs w:val="21"/>
                      <w:u w:val="none"/>
                    </w:rPr>
                    <w:t>嘧环.咯菌腈</w:t>
                  </w:r>
                  <w:r>
                    <w:rPr>
                      <w:rStyle w:val="30"/>
                      <w:color w:val="auto"/>
                      <w:szCs w:val="21"/>
                      <w:u w:val="none"/>
                    </w:rPr>
                    <w:fldChar w:fldCharType="end"/>
                  </w:r>
                </w:p>
              </w:tc>
              <w:tc>
                <w:tcPr>
                  <w:tcW w:w="3648" w:type="pct"/>
                  <w:vAlign w:val="center"/>
                </w:tcPr>
                <w:p>
                  <w:pPr>
                    <w:spacing w:before="31"/>
                    <w:ind w:right="82"/>
                    <w:rPr>
                      <w:spacing w:val="-2"/>
                      <w:szCs w:val="21"/>
                    </w:rPr>
                  </w:pPr>
                  <w:r>
                    <w:rPr>
                      <w:spacing w:val="-2"/>
                      <w:szCs w:val="21"/>
                    </w:rPr>
                    <w:t>是一种新型的非内吸性苯基吡咯类复合杀菌剂。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widowControl/>
                    <w:jc w:val="center"/>
                    <w:textAlignment w:val="center"/>
                    <w:rPr>
                      <w:kern w:val="0"/>
                      <w:szCs w:val="21"/>
                      <w:lang w:bidi="ar"/>
                    </w:rPr>
                  </w:pPr>
                  <w:r>
                    <w:rPr>
                      <w:kern w:val="0"/>
                      <w:szCs w:val="21"/>
                      <w:lang w:bidi="ar"/>
                    </w:rPr>
                    <w:t>甲烷</w:t>
                  </w:r>
                </w:p>
              </w:tc>
              <w:tc>
                <w:tcPr>
                  <w:tcW w:w="3648" w:type="pct"/>
                  <w:vAlign w:val="center"/>
                </w:tcPr>
                <w:p>
                  <w:pPr>
                    <w:spacing w:before="31"/>
                    <w:ind w:right="82" w:firstLine="420" w:firstLineChars="200"/>
                    <w:rPr>
                      <w:szCs w:val="21"/>
                      <w:shd w:val="clear" w:color="auto" w:fill="FFFFFF"/>
                    </w:rPr>
                  </w:pPr>
                  <w:r>
                    <w:rPr>
                      <w:szCs w:val="21"/>
                      <w:shd w:val="clear" w:color="auto" w:fill="FFFFFF"/>
                    </w:rPr>
                    <w:t>化学式CH</w:t>
                  </w:r>
                  <w:r>
                    <w:rPr>
                      <w:szCs w:val="21"/>
                      <w:shd w:val="clear" w:color="auto" w:fill="FFFFFF"/>
                      <w:vertAlign w:val="subscript"/>
                    </w:rPr>
                    <w:t>4</w:t>
                  </w:r>
                  <w:r>
                    <w:rPr>
                      <w:szCs w:val="21"/>
                      <w:shd w:val="clear" w:color="auto" w:fill="FFFFFF"/>
                    </w:rPr>
                    <w:t>，在标准状态下甲烷是一无色无味气体。通常情况下，甲烷比较稳定，与高锰酸钾等强氧化剂不反应，与强酸、强碱也不反应。但是在特定条件下，甲烷也会发生某些反应。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51" w:type="pct"/>
                  <w:vAlign w:val="center"/>
                </w:tcPr>
                <w:p>
                  <w:pPr>
                    <w:widowControl/>
                    <w:jc w:val="center"/>
                    <w:textAlignment w:val="center"/>
                    <w:rPr>
                      <w:kern w:val="0"/>
                      <w:szCs w:val="21"/>
                      <w:lang w:bidi="ar"/>
                    </w:rPr>
                  </w:pPr>
                  <w:r>
                    <w:rPr>
                      <w:kern w:val="0"/>
                      <w:szCs w:val="21"/>
                      <w:lang w:bidi="ar"/>
                    </w:rPr>
                    <w:t>制冷剂（R404A）</w:t>
                  </w:r>
                </w:p>
              </w:tc>
              <w:tc>
                <w:tcPr>
                  <w:tcW w:w="3648" w:type="pct"/>
                  <w:vAlign w:val="center"/>
                </w:tcPr>
                <w:p>
                  <w:pPr>
                    <w:spacing w:before="31"/>
                    <w:ind w:right="82" w:firstLine="420" w:firstLineChars="200"/>
                    <w:rPr>
                      <w:szCs w:val="21"/>
                      <w:shd w:val="clear" w:color="auto" w:fill="FFFFFF"/>
                    </w:rPr>
                  </w:pPr>
                  <w:r>
                    <w:rPr>
                      <w:szCs w:val="21"/>
                      <w:shd w:val="clear" w:color="auto" w:fill="FFFFFF"/>
                    </w:rPr>
                    <w:t>五氟乙烷/三氟乙烷/</w:t>
                  </w:r>
                  <w:r>
                    <w:fldChar w:fldCharType="begin"/>
                  </w:r>
                  <w:r>
                    <w:instrText xml:space="preserve"> HYPERLINK "https://baike.sogou.com/lemma/ShowInnerLink.htm?lemmaId=1714166&amp;ss_c=ssc.citiao.link" \t "https://baike.sogou.com/_blank" </w:instrText>
                  </w:r>
                  <w:r>
                    <w:fldChar w:fldCharType="separate"/>
                  </w:r>
                  <w:r>
                    <w:rPr>
                      <w:szCs w:val="21"/>
                      <w:shd w:val="clear" w:color="auto" w:fill="FFFFFF"/>
                    </w:rPr>
                    <w:t>四氟乙烷</w:t>
                  </w:r>
                  <w:r>
                    <w:rPr>
                      <w:szCs w:val="21"/>
                      <w:shd w:val="clear" w:color="auto" w:fill="FFFFFF"/>
                    </w:rPr>
                    <w:fldChar w:fldCharType="end"/>
                  </w:r>
                  <w:r>
                    <w:rPr>
                      <w:szCs w:val="21"/>
                      <w:shd w:val="clear" w:color="auto" w:fill="FFFFFF"/>
                    </w:rPr>
                    <w:t> 混合物。在常温下为无色气体，在自身压力下为无色透明液体，R-404A适用于中低温的新型商用制冷设备、交通运输制冷设备或更新设备。最接近于R-502，该制冷剂适用于所有R-502可正常运作的环境。</w:t>
                  </w:r>
                </w:p>
              </w:tc>
            </w:tr>
          </w:tbl>
          <w:p>
            <w:pPr>
              <w:numPr>
                <w:ilvl w:val="0"/>
                <w:numId w:val="3"/>
              </w:numPr>
              <w:autoSpaceDE w:val="0"/>
              <w:autoSpaceDN w:val="0"/>
              <w:spacing w:before="156" w:beforeLines="50" w:line="360" w:lineRule="auto"/>
              <w:ind w:firstLine="480" w:firstLineChars="200"/>
              <w:rPr>
                <w:sz w:val="24"/>
              </w:rPr>
            </w:pPr>
            <w:r>
              <w:rPr>
                <w:sz w:val="24"/>
              </w:rPr>
              <w:t>天然气主要成分</w:t>
            </w:r>
          </w:p>
          <w:p>
            <w:pPr>
              <w:autoSpaceDE w:val="0"/>
              <w:autoSpaceDN w:val="0"/>
              <w:spacing w:before="156" w:beforeLines="50" w:line="360" w:lineRule="auto"/>
              <w:ind w:firstLine="480" w:firstLineChars="200"/>
              <w:rPr>
                <w:sz w:val="24"/>
              </w:rPr>
            </w:pPr>
            <w:r>
              <w:rPr>
                <w:sz w:val="24"/>
              </w:rPr>
              <w:t>项目采用天然气作为燃料，天然气是一种洁净环保的优质能源，主要成分是甲烷，几乎不含硫、粉尘和其他有害物质，比重约0.65，比空气轻，具有无色、无味、无毒之特性，高位热值为35.5MJ/m</w:t>
            </w:r>
            <w:r>
              <w:rPr>
                <w:sz w:val="24"/>
                <w:vertAlign w:val="superscript"/>
              </w:rPr>
              <w:t>3</w:t>
            </w:r>
            <w:r>
              <w:rPr>
                <w:sz w:val="24"/>
              </w:rPr>
              <w:t>（8500大卡），低位热值为33.4MJ/m</w:t>
            </w:r>
            <w:r>
              <w:rPr>
                <w:sz w:val="24"/>
                <w:vertAlign w:val="superscript"/>
              </w:rPr>
              <w:t>3</w:t>
            </w:r>
            <w:r>
              <w:rPr>
                <w:sz w:val="24"/>
              </w:rPr>
              <w:t>（8000大卡）。</w:t>
            </w:r>
            <w:r>
              <w:rPr>
                <w:kern w:val="0"/>
                <w:sz w:val="24"/>
              </w:rPr>
              <w:t>根据云南省燃气计量所《测试报告》（ZBG-QZ-J-003）见附件8，天然气主要成分如下表：</w:t>
            </w:r>
          </w:p>
          <w:p>
            <w:pPr>
              <w:pStyle w:val="25"/>
              <w:spacing w:line="360" w:lineRule="auto"/>
              <w:ind w:left="0" w:leftChars="0" w:firstLine="0" w:firstLineChars="0"/>
              <w:jc w:val="center"/>
              <w:rPr>
                <w:b/>
                <w:bCs/>
                <w:kern w:val="2"/>
                <w:szCs w:val="24"/>
              </w:rPr>
            </w:pPr>
            <w:r>
              <w:rPr>
                <w:b/>
                <w:bCs/>
                <w:kern w:val="2"/>
                <w:szCs w:val="24"/>
              </w:rPr>
              <w:t>表2-5 天然气主要成分</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2537"/>
              <w:gridCol w:w="2556"/>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3" w:type="pct"/>
                  <w:vAlign w:val="center"/>
                </w:tcPr>
                <w:p>
                  <w:pPr>
                    <w:jc w:val="center"/>
                    <w:rPr>
                      <w:b/>
                      <w:bCs/>
                      <w:kern w:val="0"/>
                      <w:szCs w:val="21"/>
                    </w:rPr>
                  </w:pPr>
                  <w:r>
                    <w:rPr>
                      <w:b/>
                      <w:bCs/>
                      <w:kern w:val="0"/>
                      <w:szCs w:val="21"/>
                    </w:rPr>
                    <w:t>序号</w:t>
                  </w:r>
                </w:p>
              </w:tc>
              <w:tc>
                <w:tcPr>
                  <w:tcW w:w="1435" w:type="pct"/>
                  <w:vAlign w:val="center"/>
                </w:tcPr>
                <w:p>
                  <w:pPr>
                    <w:jc w:val="center"/>
                    <w:rPr>
                      <w:b/>
                      <w:bCs/>
                      <w:kern w:val="0"/>
                      <w:szCs w:val="21"/>
                    </w:rPr>
                  </w:pPr>
                  <w:r>
                    <w:rPr>
                      <w:b/>
                      <w:bCs/>
                      <w:kern w:val="0"/>
                      <w:szCs w:val="21"/>
                    </w:rPr>
                    <w:t>名称</w:t>
                  </w:r>
                </w:p>
              </w:tc>
              <w:tc>
                <w:tcPr>
                  <w:tcW w:w="1445" w:type="pct"/>
                  <w:vAlign w:val="center"/>
                </w:tcPr>
                <w:p>
                  <w:pPr>
                    <w:jc w:val="center"/>
                    <w:rPr>
                      <w:b/>
                      <w:bCs/>
                      <w:kern w:val="0"/>
                      <w:szCs w:val="21"/>
                    </w:rPr>
                  </w:pPr>
                  <w:r>
                    <w:rPr>
                      <w:b/>
                      <w:bCs/>
                      <w:kern w:val="0"/>
                      <w:szCs w:val="21"/>
                    </w:rPr>
                    <w:t>分子式</w:t>
                  </w:r>
                </w:p>
              </w:tc>
              <w:tc>
                <w:tcPr>
                  <w:tcW w:w="1445" w:type="pct"/>
                  <w:vAlign w:val="center"/>
                </w:tcPr>
                <w:p>
                  <w:pPr>
                    <w:jc w:val="center"/>
                    <w:rPr>
                      <w:b/>
                      <w:bCs/>
                      <w:kern w:val="0"/>
                      <w:szCs w:val="21"/>
                    </w:rPr>
                  </w:pPr>
                  <w:r>
                    <w:rPr>
                      <w:b/>
                      <w:bCs/>
                      <w:kern w:val="0"/>
                      <w:szCs w:val="21"/>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3" w:type="pct"/>
                  <w:vAlign w:val="center"/>
                </w:tcPr>
                <w:p>
                  <w:pPr>
                    <w:jc w:val="center"/>
                    <w:rPr>
                      <w:kern w:val="0"/>
                      <w:szCs w:val="21"/>
                    </w:rPr>
                  </w:pPr>
                  <w:r>
                    <w:rPr>
                      <w:kern w:val="0"/>
                      <w:szCs w:val="21"/>
                    </w:rPr>
                    <w:t>1</w:t>
                  </w:r>
                </w:p>
              </w:tc>
              <w:tc>
                <w:tcPr>
                  <w:tcW w:w="1435" w:type="pct"/>
                  <w:vAlign w:val="center"/>
                </w:tcPr>
                <w:p>
                  <w:pPr>
                    <w:jc w:val="center"/>
                    <w:rPr>
                      <w:kern w:val="0"/>
                      <w:szCs w:val="21"/>
                    </w:rPr>
                  </w:pPr>
                  <w:r>
                    <w:rPr>
                      <w:kern w:val="0"/>
                      <w:szCs w:val="21"/>
                    </w:rPr>
                    <w:t>甲烷</w:t>
                  </w:r>
                </w:p>
              </w:tc>
              <w:tc>
                <w:tcPr>
                  <w:tcW w:w="1445" w:type="pct"/>
                  <w:vAlign w:val="center"/>
                </w:tcPr>
                <w:p>
                  <w:pPr>
                    <w:jc w:val="center"/>
                    <w:rPr>
                      <w:kern w:val="0"/>
                      <w:szCs w:val="21"/>
                    </w:rPr>
                  </w:pPr>
                  <w:r>
                    <w:rPr>
                      <w:kern w:val="0"/>
                      <w:szCs w:val="21"/>
                    </w:rPr>
                    <w:t>CH</w:t>
                  </w:r>
                  <w:r>
                    <w:rPr>
                      <w:kern w:val="0"/>
                      <w:szCs w:val="21"/>
                      <w:vertAlign w:val="subscript"/>
                    </w:rPr>
                    <w:t>4</w:t>
                  </w:r>
                </w:p>
              </w:tc>
              <w:tc>
                <w:tcPr>
                  <w:tcW w:w="1445" w:type="pct"/>
                  <w:vAlign w:val="center"/>
                </w:tcPr>
                <w:p>
                  <w:pPr>
                    <w:jc w:val="center"/>
                    <w:rPr>
                      <w:kern w:val="0"/>
                      <w:szCs w:val="21"/>
                    </w:rPr>
                  </w:pPr>
                  <w:r>
                    <w:rPr>
                      <w:kern w:val="0"/>
                      <w:szCs w:val="21"/>
                    </w:rPr>
                    <w:t>99.07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73" w:type="pct"/>
                  <w:vAlign w:val="center"/>
                </w:tcPr>
                <w:p>
                  <w:pPr>
                    <w:jc w:val="center"/>
                    <w:rPr>
                      <w:kern w:val="0"/>
                      <w:szCs w:val="21"/>
                    </w:rPr>
                  </w:pPr>
                  <w:r>
                    <w:rPr>
                      <w:kern w:val="0"/>
                      <w:szCs w:val="21"/>
                    </w:rPr>
                    <w:t>2</w:t>
                  </w:r>
                </w:p>
              </w:tc>
              <w:tc>
                <w:tcPr>
                  <w:tcW w:w="1435" w:type="pct"/>
                  <w:vAlign w:val="center"/>
                </w:tcPr>
                <w:p>
                  <w:pPr>
                    <w:jc w:val="center"/>
                    <w:rPr>
                      <w:kern w:val="0"/>
                      <w:szCs w:val="21"/>
                    </w:rPr>
                  </w:pPr>
                  <w:r>
                    <w:rPr>
                      <w:kern w:val="0"/>
                      <w:szCs w:val="21"/>
                    </w:rPr>
                    <w:t>乙烷</w:t>
                  </w:r>
                </w:p>
              </w:tc>
              <w:tc>
                <w:tcPr>
                  <w:tcW w:w="1445" w:type="pct"/>
                  <w:vAlign w:val="center"/>
                </w:tcPr>
                <w:p>
                  <w:pPr>
                    <w:jc w:val="center"/>
                    <w:rPr>
                      <w:kern w:val="0"/>
                      <w:szCs w:val="21"/>
                    </w:rPr>
                  </w:pPr>
                  <w:r>
                    <w:rPr>
                      <w:kern w:val="0"/>
                      <w:szCs w:val="21"/>
                    </w:rPr>
                    <w:t>C</w:t>
                  </w:r>
                  <w:r>
                    <w:rPr>
                      <w:kern w:val="0"/>
                      <w:szCs w:val="21"/>
                      <w:vertAlign w:val="subscript"/>
                    </w:rPr>
                    <w:t>2</w:t>
                  </w:r>
                  <w:r>
                    <w:rPr>
                      <w:kern w:val="0"/>
                      <w:szCs w:val="21"/>
                    </w:rPr>
                    <w:t>H</w:t>
                  </w:r>
                  <w:r>
                    <w:rPr>
                      <w:kern w:val="0"/>
                      <w:szCs w:val="21"/>
                      <w:vertAlign w:val="subscript"/>
                    </w:rPr>
                    <w:t>6</w:t>
                  </w:r>
                </w:p>
              </w:tc>
              <w:tc>
                <w:tcPr>
                  <w:tcW w:w="1445" w:type="pct"/>
                  <w:vAlign w:val="center"/>
                </w:tcPr>
                <w:p>
                  <w:pPr>
                    <w:jc w:val="center"/>
                    <w:rPr>
                      <w:kern w:val="0"/>
                      <w:szCs w:val="21"/>
                    </w:rPr>
                  </w:pPr>
                  <w:r>
                    <w:rPr>
                      <w:kern w:val="0"/>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73" w:type="pct"/>
                  <w:vAlign w:val="center"/>
                </w:tcPr>
                <w:p>
                  <w:pPr>
                    <w:jc w:val="center"/>
                    <w:rPr>
                      <w:kern w:val="0"/>
                      <w:szCs w:val="21"/>
                    </w:rPr>
                  </w:pPr>
                  <w:r>
                    <w:rPr>
                      <w:kern w:val="0"/>
                      <w:szCs w:val="21"/>
                    </w:rPr>
                    <w:t>3</w:t>
                  </w:r>
                </w:p>
              </w:tc>
              <w:tc>
                <w:tcPr>
                  <w:tcW w:w="1435" w:type="pct"/>
                  <w:vAlign w:val="center"/>
                </w:tcPr>
                <w:p>
                  <w:pPr>
                    <w:jc w:val="center"/>
                    <w:rPr>
                      <w:kern w:val="0"/>
                      <w:szCs w:val="21"/>
                    </w:rPr>
                  </w:pPr>
                  <w:r>
                    <w:rPr>
                      <w:kern w:val="0"/>
                      <w:szCs w:val="21"/>
                    </w:rPr>
                    <w:t>丙烷</w:t>
                  </w:r>
                </w:p>
              </w:tc>
              <w:tc>
                <w:tcPr>
                  <w:tcW w:w="1445" w:type="pct"/>
                  <w:vAlign w:val="center"/>
                </w:tcPr>
                <w:p>
                  <w:pPr>
                    <w:jc w:val="center"/>
                    <w:rPr>
                      <w:kern w:val="0"/>
                      <w:szCs w:val="21"/>
                    </w:rPr>
                  </w:pPr>
                  <w:r>
                    <w:rPr>
                      <w:kern w:val="0"/>
                      <w:szCs w:val="21"/>
                    </w:rPr>
                    <w:t>C</w:t>
                  </w:r>
                  <w:r>
                    <w:rPr>
                      <w:kern w:val="0"/>
                      <w:szCs w:val="21"/>
                      <w:vertAlign w:val="subscript"/>
                    </w:rPr>
                    <w:t>3</w:t>
                  </w:r>
                  <w:r>
                    <w:rPr>
                      <w:kern w:val="0"/>
                      <w:szCs w:val="21"/>
                    </w:rPr>
                    <w:t>H</w:t>
                  </w:r>
                  <w:r>
                    <w:rPr>
                      <w:kern w:val="0"/>
                      <w:szCs w:val="21"/>
                      <w:vertAlign w:val="subscript"/>
                    </w:rPr>
                    <w:t>8</w:t>
                  </w:r>
                </w:p>
              </w:tc>
              <w:tc>
                <w:tcPr>
                  <w:tcW w:w="1445" w:type="pct"/>
                  <w:vAlign w:val="center"/>
                </w:tcPr>
                <w:p>
                  <w:pPr>
                    <w:jc w:val="center"/>
                    <w:rPr>
                      <w:kern w:val="0"/>
                      <w:szCs w:val="21"/>
                    </w:rPr>
                  </w:pPr>
                  <w:r>
                    <w:rPr>
                      <w:kern w:val="0"/>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3" w:type="pct"/>
                  <w:vAlign w:val="center"/>
                </w:tcPr>
                <w:p>
                  <w:pPr>
                    <w:jc w:val="center"/>
                    <w:rPr>
                      <w:kern w:val="0"/>
                      <w:szCs w:val="21"/>
                    </w:rPr>
                  </w:pPr>
                  <w:r>
                    <w:rPr>
                      <w:kern w:val="0"/>
                      <w:szCs w:val="21"/>
                    </w:rPr>
                    <w:t>4</w:t>
                  </w:r>
                </w:p>
              </w:tc>
              <w:tc>
                <w:tcPr>
                  <w:tcW w:w="1435" w:type="pct"/>
                  <w:vAlign w:val="center"/>
                </w:tcPr>
                <w:p>
                  <w:pPr>
                    <w:jc w:val="center"/>
                    <w:rPr>
                      <w:kern w:val="0"/>
                      <w:szCs w:val="21"/>
                    </w:rPr>
                  </w:pPr>
                  <w:r>
                    <w:rPr>
                      <w:kern w:val="0"/>
                      <w:szCs w:val="21"/>
                    </w:rPr>
                    <w:t>异丁烷</w:t>
                  </w:r>
                </w:p>
              </w:tc>
              <w:tc>
                <w:tcPr>
                  <w:tcW w:w="1445" w:type="pct"/>
                  <w:vAlign w:val="center"/>
                </w:tcPr>
                <w:p>
                  <w:pPr>
                    <w:jc w:val="center"/>
                    <w:rPr>
                      <w:kern w:val="0"/>
                      <w:szCs w:val="21"/>
                    </w:rPr>
                  </w:pPr>
                  <w:r>
                    <w:rPr>
                      <w:kern w:val="0"/>
                      <w:szCs w:val="21"/>
                    </w:rPr>
                    <w:t>I-C</w:t>
                  </w:r>
                  <w:r>
                    <w:rPr>
                      <w:kern w:val="0"/>
                      <w:szCs w:val="21"/>
                      <w:vertAlign w:val="subscript"/>
                    </w:rPr>
                    <w:t>4</w:t>
                  </w:r>
                  <w:r>
                    <w:rPr>
                      <w:kern w:val="0"/>
                      <w:szCs w:val="21"/>
                    </w:rPr>
                    <w:t>H</w:t>
                  </w:r>
                  <w:r>
                    <w:rPr>
                      <w:kern w:val="0"/>
                      <w:szCs w:val="21"/>
                      <w:vertAlign w:val="subscript"/>
                    </w:rPr>
                    <w:t>10</w:t>
                  </w:r>
                </w:p>
              </w:tc>
              <w:tc>
                <w:tcPr>
                  <w:tcW w:w="1445" w:type="pct"/>
                  <w:vAlign w:val="center"/>
                </w:tcPr>
                <w:p>
                  <w:pPr>
                    <w:jc w:val="center"/>
                    <w:rPr>
                      <w:kern w:val="0"/>
                      <w:szCs w:val="21"/>
                    </w:rPr>
                  </w:pPr>
                  <w:r>
                    <w:rPr>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3" w:type="pct"/>
                  <w:vAlign w:val="center"/>
                </w:tcPr>
                <w:p>
                  <w:pPr>
                    <w:jc w:val="center"/>
                    <w:rPr>
                      <w:kern w:val="0"/>
                      <w:szCs w:val="21"/>
                    </w:rPr>
                  </w:pPr>
                  <w:r>
                    <w:rPr>
                      <w:kern w:val="0"/>
                      <w:szCs w:val="21"/>
                    </w:rPr>
                    <w:t>5</w:t>
                  </w:r>
                </w:p>
              </w:tc>
              <w:tc>
                <w:tcPr>
                  <w:tcW w:w="1435" w:type="pct"/>
                  <w:vAlign w:val="center"/>
                </w:tcPr>
                <w:p>
                  <w:pPr>
                    <w:jc w:val="center"/>
                    <w:rPr>
                      <w:kern w:val="0"/>
                      <w:szCs w:val="21"/>
                    </w:rPr>
                  </w:pPr>
                  <w:r>
                    <w:rPr>
                      <w:kern w:val="0"/>
                      <w:szCs w:val="21"/>
                    </w:rPr>
                    <w:t>壬烷以上重烷</w:t>
                  </w:r>
                </w:p>
              </w:tc>
              <w:tc>
                <w:tcPr>
                  <w:tcW w:w="1445" w:type="pct"/>
                  <w:vAlign w:val="center"/>
                </w:tcPr>
                <w:p>
                  <w:pPr>
                    <w:jc w:val="center"/>
                    <w:rPr>
                      <w:kern w:val="0"/>
                      <w:szCs w:val="21"/>
                    </w:rPr>
                  </w:pPr>
                  <w:r>
                    <w:rPr>
                      <w:kern w:val="0"/>
                      <w:szCs w:val="21"/>
                    </w:rPr>
                    <w:t>C</w:t>
                  </w:r>
                  <w:r>
                    <w:rPr>
                      <w:kern w:val="0"/>
                      <w:szCs w:val="21"/>
                      <w:vertAlign w:val="subscript"/>
                    </w:rPr>
                    <w:t>9</w:t>
                  </w:r>
                  <w:r>
                    <w:rPr>
                      <w:kern w:val="0"/>
                      <w:szCs w:val="21"/>
                    </w:rPr>
                    <w:t>H</w:t>
                  </w:r>
                  <w:r>
                    <w:rPr>
                      <w:kern w:val="0"/>
                      <w:szCs w:val="21"/>
                      <w:vertAlign w:val="subscript"/>
                    </w:rPr>
                    <w:t>20</w:t>
                  </w:r>
                  <w:r>
                    <w:rPr>
                      <w:kern w:val="0"/>
                      <w:szCs w:val="21"/>
                    </w:rPr>
                    <w:t>+</w:t>
                  </w:r>
                </w:p>
              </w:tc>
              <w:tc>
                <w:tcPr>
                  <w:tcW w:w="1445" w:type="pct"/>
                  <w:vAlign w:val="center"/>
                </w:tcPr>
                <w:p>
                  <w:pPr>
                    <w:jc w:val="center"/>
                    <w:rPr>
                      <w:kern w:val="0"/>
                      <w:szCs w:val="21"/>
                    </w:rPr>
                  </w:pPr>
                  <w:r>
                    <w:rPr>
                      <w:kern w:val="0"/>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3" w:type="pct"/>
                  <w:vAlign w:val="center"/>
                </w:tcPr>
                <w:p>
                  <w:pPr>
                    <w:jc w:val="center"/>
                    <w:rPr>
                      <w:kern w:val="0"/>
                      <w:szCs w:val="21"/>
                    </w:rPr>
                  </w:pPr>
                  <w:r>
                    <w:rPr>
                      <w:kern w:val="0"/>
                      <w:szCs w:val="21"/>
                    </w:rPr>
                    <w:t>6</w:t>
                  </w:r>
                </w:p>
              </w:tc>
              <w:tc>
                <w:tcPr>
                  <w:tcW w:w="1435" w:type="pct"/>
                  <w:vAlign w:val="center"/>
                </w:tcPr>
                <w:p>
                  <w:pPr>
                    <w:jc w:val="center"/>
                    <w:rPr>
                      <w:kern w:val="0"/>
                      <w:szCs w:val="21"/>
                    </w:rPr>
                  </w:pPr>
                  <w:r>
                    <w:rPr>
                      <w:kern w:val="0"/>
                      <w:szCs w:val="21"/>
                    </w:rPr>
                    <w:t>水</w:t>
                  </w:r>
                </w:p>
              </w:tc>
              <w:tc>
                <w:tcPr>
                  <w:tcW w:w="1445" w:type="pct"/>
                  <w:vAlign w:val="center"/>
                </w:tcPr>
                <w:p>
                  <w:pPr>
                    <w:jc w:val="center"/>
                    <w:rPr>
                      <w:kern w:val="0"/>
                      <w:szCs w:val="21"/>
                    </w:rPr>
                  </w:pPr>
                  <w:r>
                    <w:rPr>
                      <w:kern w:val="0"/>
                      <w:szCs w:val="21"/>
                    </w:rPr>
                    <w:t>H</w:t>
                  </w:r>
                  <w:r>
                    <w:rPr>
                      <w:kern w:val="0"/>
                      <w:szCs w:val="21"/>
                      <w:vertAlign w:val="subscript"/>
                    </w:rPr>
                    <w:t>2</w:t>
                  </w:r>
                  <w:r>
                    <w:rPr>
                      <w:kern w:val="0"/>
                      <w:szCs w:val="21"/>
                    </w:rPr>
                    <w:t>O</w:t>
                  </w:r>
                </w:p>
              </w:tc>
              <w:tc>
                <w:tcPr>
                  <w:tcW w:w="1445" w:type="pct"/>
                  <w:vAlign w:val="center"/>
                </w:tcPr>
                <w:p>
                  <w:pPr>
                    <w:jc w:val="center"/>
                    <w:rPr>
                      <w:kern w:val="0"/>
                      <w:szCs w:val="21"/>
                    </w:rPr>
                  </w:pPr>
                  <w:r>
                    <w:rPr>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3" w:type="pct"/>
                  <w:vAlign w:val="center"/>
                </w:tcPr>
                <w:p>
                  <w:pPr>
                    <w:jc w:val="center"/>
                    <w:rPr>
                      <w:kern w:val="0"/>
                      <w:szCs w:val="21"/>
                    </w:rPr>
                  </w:pPr>
                  <w:r>
                    <w:rPr>
                      <w:kern w:val="0"/>
                      <w:szCs w:val="21"/>
                    </w:rPr>
                    <w:t>7</w:t>
                  </w:r>
                </w:p>
              </w:tc>
              <w:tc>
                <w:tcPr>
                  <w:tcW w:w="1435" w:type="pct"/>
                  <w:vAlign w:val="center"/>
                </w:tcPr>
                <w:p>
                  <w:pPr>
                    <w:jc w:val="center"/>
                    <w:rPr>
                      <w:kern w:val="0"/>
                      <w:szCs w:val="21"/>
                    </w:rPr>
                  </w:pPr>
                  <w:r>
                    <w:rPr>
                      <w:kern w:val="0"/>
                      <w:szCs w:val="21"/>
                    </w:rPr>
                    <w:t>二氧化碳</w:t>
                  </w:r>
                </w:p>
              </w:tc>
              <w:tc>
                <w:tcPr>
                  <w:tcW w:w="1445" w:type="pct"/>
                  <w:vAlign w:val="center"/>
                </w:tcPr>
                <w:p>
                  <w:pPr>
                    <w:jc w:val="center"/>
                    <w:rPr>
                      <w:kern w:val="0"/>
                      <w:szCs w:val="21"/>
                    </w:rPr>
                  </w:pPr>
                  <w:r>
                    <w:rPr>
                      <w:kern w:val="0"/>
                      <w:szCs w:val="21"/>
                    </w:rPr>
                    <w:t>CO</w:t>
                  </w:r>
                  <w:r>
                    <w:rPr>
                      <w:kern w:val="0"/>
                      <w:szCs w:val="21"/>
                      <w:vertAlign w:val="subscript"/>
                    </w:rPr>
                    <w:t>2</w:t>
                  </w:r>
                </w:p>
              </w:tc>
              <w:tc>
                <w:tcPr>
                  <w:tcW w:w="1445" w:type="pct"/>
                  <w:vAlign w:val="center"/>
                </w:tcPr>
                <w:p>
                  <w:pPr>
                    <w:jc w:val="center"/>
                    <w:rPr>
                      <w:kern w:val="0"/>
                      <w:szCs w:val="21"/>
                    </w:rPr>
                  </w:pPr>
                  <w:r>
                    <w:rPr>
                      <w:kern w:val="0"/>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3" w:type="pct"/>
                  <w:vAlign w:val="center"/>
                </w:tcPr>
                <w:p>
                  <w:pPr>
                    <w:jc w:val="center"/>
                    <w:rPr>
                      <w:kern w:val="0"/>
                      <w:szCs w:val="21"/>
                    </w:rPr>
                  </w:pPr>
                  <w:r>
                    <w:rPr>
                      <w:kern w:val="0"/>
                      <w:szCs w:val="21"/>
                    </w:rPr>
                    <w:t>8</w:t>
                  </w:r>
                </w:p>
              </w:tc>
              <w:tc>
                <w:tcPr>
                  <w:tcW w:w="1435" w:type="pct"/>
                  <w:vAlign w:val="center"/>
                </w:tcPr>
                <w:p>
                  <w:pPr>
                    <w:jc w:val="center"/>
                    <w:rPr>
                      <w:kern w:val="0"/>
                      <w:szCs w:val="21"/>
                    </w:rPr>
                  </w:pPr>
                  <w:r>
                    <w:rPr>
                      <w:kern w:val="0"/>
                      <w:szCs w:val="21"/>
                    </w:rPr>
                    <w:t>氮气</w:t>
                  </w:r>
                </w:p>
              </w:tc>
              <w:tc>
                <w:tcPr>
                  <w:tcW w:w="1445" w:type="pct"/>
                  <w:vAlign w:val="center"/>
                </w:tcPr>
                <w:p>
                  <w:pPr>
                    <w:jc w:val="center"/>
                    <w:rPr>
                      <w:kern w:val="0"/>
                      <w:szCs w:val="21"/>
                    </w:rPr>
                  </w:pPr>
                  <w:r>
                    <w:rPr>
                      <w:kern w:val="0"/>
                      <w:szCs w:val="21"/>
                    </w:rPr>
                    <w:t>N</w:t>
                  </w:r>
                  <w:r>
                    <w:rPr>
                      <w:kern w:val="0"/>
                      <w:szCs w:val="21"/>
                      <w:vertAlign w:val="subscript"/>
                    </w:rPr>
                    <w:t>2</w:t>
                  </w:r>
                </w:p>
              </w:tc>
              <w:tc>
                <w:tcPr>
                  <w:tcW w:w="1445" w:type="pct"/>
                  <w:vAlign w:val="center"/>
                </w:tcPr>
                <w:p>
                  <w:pPr>
                    <w:jc w:val="center"/>
                    <w:rPr>
                      <w:kern w:val="0"/>
                      <w:szCs w:val="21"/>
                    </w:rPr>
                  </w:pPr>
                  <w:r>
                    <w:rPr>
                      <w:kern w:val="0"/>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554" w:type="pct"/>
                  <w:gridSpan w:val="3"/>
                  <w:vAlign w:val="center"/>
                </w:tcPr>
                <w:p>
                  <w:pPr>
                    <w:jc w:val="center"/>
                    <w:rPr>
                      <w:kern w:val="0"/>
                      <w:szCs w:val="21"/>
                    </w:rPr>
                  </w:pPr>
                  <w:r>
                    <w:rPr>
                      <w:kern w:val="0"/>
                      <w:szCs w:val="21"/>
                    </w:rPr>
                    <w:t>合计</w:t>
                  </w:r>
                </w:p>
              </w:tc>
              <w:tc>
                <w:tcPr>
                  <w:tcW w:w="1445" w:type="pct"/>
                  <w:vAlign w:val="center"/>
                </w:tcPr>
                <w:p>
                  <w:pPr>
                    <w:jc w:val="center"/>
                    <w:rPr>
                      <w:kern w:val="0"/>
                      <w:szCs w:val="21"/>
                    </w:rPr>
                  </w:pPr>
                  <w:r>
                    <w:rPr>
                      <w:kern w:val="0"/>
                      <w:szCs w:val="21"/>
                    </w:rPr>
                    <w:t>100</w:t>
                  </w:r>
                </w:p>
              </w:tc>
            </w:tr>
          </w:tbl>
          <w:p>
            <w:pPr>
              <w:spacing w:before="156" w:beforeLines="50" w:line="360" w:lineRule="auto"/>
              <w:ind w:firstLine="480" w:firstLineChars="200"/>
              <w:rPr>
                <w:sz w:val="24"/>
              </w:rPr>
            </w:pPr>
            <w:r>
              <w:rPr>
                <w:sz w:val="24"/>
              </w:rPr>
              <w:t>（2）生物质成型颗粒主要成分</w:t>
            </w:r>
          </w:p>
          <w:p>
            <w:pPr>
              <w:spacing w:before="156" w:beforeLines="50" w:line="360" w:lineRule="auto"/>
              <w:ind w:firstLine="480" w:firstLineChars="200"/>
              <w:rPr>
                <w:sz w:val="24"/>
              </w:rPr>
            </w:pPr>
            <w:r>
              <w:rPr>
                <w:sz w:val="24"/>
              </w:rPr>
              <w:t>项目采用生物质成型颗粒作为燃料。</w:t>
            </w:r>
            <w:r>
              <w:fldChar w:fldCharType="begin"/>
            </w:r>
            <w:r>
              <w:instrText xml:space="preserve"> HYPERLINK "https://baike.sogou.com/lemma/ShowInnerLink.htm?lemmaId=7741440&amp;ss_c=ssc.citiao.link" \t "https://baike.sogou.com/_blank" </w:instrText>
            </w:r>
            <w:r>
              <w:fldChar w:fldCharType="separate"/>
            </w:r>
            <w:r>
              <w:rPr>
                <w:sz w:val="24"/>
              </w:rPr>
              <w:t>生物质燃料</w:t>
            </w:r>
            <w:r>
              <w:rPr>
                <w:sz w:val="24"/>
              </w:rPr>
              <w:fldChar w:fldCharType="end"/>
            </w:r>
            <w:r>
              <w:rPr>
                <w:sz w:val="24"/>
              </w:rPr>
              <w:t>由秸秆、稻草、稻壳、</w:t>
            </w:r>
            <w:r>
              <w:fldChar w:fldCharType="begin"/>
            </w:r>
            <w:r>
              <w:instrText xml:space="preserve"> HYPERLINK "https://baike.sogou.com/lemma/ShowInnerLink.htm?lemmaId=165745&amp;ss_c=ssc.citiao.link" \t "https://baike.sogou.com/_blank" </w:instrText>
            </w:r>
            <w:r>
              <w:fldChar w:fldCharType="separate"/>
            </w:r>
            <w:r>
              <w:rPr>
                <w:sz w:val="24"/>
              </w:rPr>
              <w:t>花生壳</w:t>
            </w:r>
            <w:r>
              <w:rPr>
                <w:sz w:val="24"/>
              </w:rPr>
              <w:fldChar w:fldCharType="end"/>
            </w:r>
            <w:r>
              <w:rPr>
                <w:sz w:val="24"/>
              </w:rPr>
              <w:t>、</w:t>
            </w:r>
            <w:r>
              <w:fldChar w:fldCharType="begin"/>
            </w:r>
            <w:r>
              <w:instrText xml:space="preserve"> HYPERLINK "https://baike.sogou.com/lemma/ShowInnerLink.htm?lemmaId=7635467&amp;ss_c=ssc.citiao.link" \t "https://baike.sogou.com/_blank" </w:instrText>
            </w:r>
            <w:r>
              <w:fldChar w:fldCharType="separate"/>
            </w:r>
            <w:r>
              <w:rPr>
                <w:sz w:val="24"/>
              </w:rPr>
              <w:t>玉米芯</w:t>
            </w:r>
            <w:r>
              <w:rPr>
                <w:sz w:val="24"/>
              </w:rPr>
              <w:fldChar w:fldCharType="end"/>
            </w:r>
            <w:r>
              <w:rPr>
                <w:sz w:val="24"/>
              </w:rPr>
              <w:t>、油茶壳、</w:t>
            </w:r>
            <w:r>
              <w:fldChar w:fldCharType="begin"/>
            </w:r>
            <w:r>
              <w:instrText xml:space="preserve"> HYPERLINK "https://baike.sogou.com/lemma/ShowInnerLink.htm?lemmaId=8906549&amp;ss_c=ssc.citiao.link" \t "https://baike.sogou.com/_blank" </w:instrText>
            </w:r>
            <w:r>
              <w:fldChar w:fldCharType="separate"/>
            </w:r>
            <w:r>
              <w:rPr>
                <w:sz w:val="24"/>
              </w:rPr>
              <w:t>棉籽壳</w:t>
            </w:r>
            <w:r>
              <w:rPr>
                <w:sz w:val="24"/>
              </w:rPr>
              <w:fldChar w:fldCharType="end"/>
            </w:r>
            <w:r>
              <w:rPr>
                <w:sz w:val="24"/>
              </w:rPr>
              <w:t>等以及“三剩物”经过加工产生的块状环保新能源。生物质颗粒燃料纯度高，不含其他不产生热量的杂物，其含碳量</w:t>
            </w:r>
            <w:r>
              <w:rPr>
                <w:rFonts w:hint="eastAsia"/>
                <w:sz w:val="24"/>
              </w:rPr>
              <w:t>75%—85%</w:t>
            </w:r>
            <w:r>
              <w:rPr>
                <w:sz w:val="24"/>
              </w:rPr>
              <w:t>，灰分</w:t>
            </w:r>
            <w:r>
              <w:rPr>
                <w:rFonts w:hint="eastAsia"/>
                <w:sz w:val="24"/>
              </w:rPr>
              <w:t>3%—6%</w:t>
            </w:r>
            <w:r>
              <w:rPr>
                <w:sz w:val="24"/>
              </w:rPr>
              <w:t>，含水量</w:t>
            </w:r>
            <w:r>
              <w:rPr>
                <w:rFonts w:hint="eastAsia"/>
                <w:sz w:val="24"/>
              </w:rPr>
              <w:t>1%—3%</w:t>
            </w:r>
            <w:r>
              <w:rPr>
                <w:sz w:val="24"/>
              </w:rPr>
              <w:t>，绝对不含</w:t>
            </w:r>
            <w:r>
              <w:fldChar w:fldCharType="begin"/>
            </w:r>
            <w:r>
              <w:instrText xml:space="preserve">HYPERLINK "https://baike.sogou.com/lemma/ShowInnerLink.htm?lemmaId=43690&amp;ss_c=ssc.citiao.link" \t "https://baike.sogou.com/_blank"</w:instrText>
            </w:r>
            <w:r>
              <w:fldChar w:fldCharType="separate"/>
            </w:r>
            <w:r>
              <w:rPr>
                <w:sz w:val="24"/>
              </w:rPr>
              <w:t>煤矸石</w:t>
            </w:r>
            <w:r>
              <w:rPr>
                <w:sz w:val="24"/>
              </w:rPr>
              <w:fldChar w:fldCharType="end"/>
            </w:r>
            <w:r>
              <w:rPr>
                <w:sz w:val="24"/>
              </w:rPr>
              <w:t>，石头等不发热反而耗热的杂质，将直接为企业降低成本。发热量在</w:t>
            </w:r>
            <w:r>
              <w:rPr>
                <w:rFonts w:hint="eastAsia"/>
                <w:sz w:val="24"/>
              </w:rPr>
              <w:t>4200千~4700千</w:t>
            </w:r>
            <w:r>
              <w:rPr>
                <w:sz w:val="24"/>
              </w:rPr>
              <w:t>卡/kg左右，经炭化后的发热量高达</w:t>
            </w:r>
            <w:r>
              <w:rPr>
                <w:rFonts w:hint="eastAsia"/>
                <w:sz w:val="24"/>
              </w:rPr>
              <w:t>7000千—8000千</w:t>
            </w:r>
            <w:r>
              <w:rPr>
                <w:sz w:val="24"/>
              </w:rPr>
              <w:t>卡/kg。根据云南盈森生物能源</w:t>
            </w:r>
            <w:r>
              <w:rPr>
                <w:rFonts w:hint="eastAsia"/>
                <w:sz w:val="24"/>
              </w:rPr>
              <w:t>有限责任公司</w:t>
            </w:r>
            <w:r>
              <w:rPr>
                <w:sz w:val="24"/>
              </w:rPr>
              <w:t>《固体生物质燃料检验检测报告》（2022-0252）见附件9，其成分见下表。</w:t>
            </w:r>
          </w:p>
          <w:p>
            <w:pPr>
              <w:pStyle w:val="13"/>
              <w:spacing w:line="360" w:lineRule="auto"/>
              <w:jc w:val="center"/>
              <w:rPr>
                <w:rFonts w:ascii="Times New Roman" w:hAnsi="Times New Roman"/>
                <w:sz w:val="24"/>
              </w:rPr>
            </w:pPr>
            <w:r>
              <w:rPr>
                <w:rFonts w:ascii="Times New Roman" w:hAnsi="Times New Roman"/>
                <w:b/>
                <w:bCs/>
                <w:sz w:val="24"/>
              </w:rPr>
              <w:t>表2-6 固体生物质燃料主要成分</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3557"/>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80" w:type="pct"/>
                  <w:vAlign w:val="center"/>
                </w:tcPr>
                <w:p>
                  <w:pPr>
                    <w:jc w:val="center"/>
                    <w:rPr>
                      <w:b/>
                      <w:bCs/>
                      <w:kern w:val="0"/>
                      <w:szCs w:val="21"/>
                    </w:rPr>
                  </w:pPr>
                  <w:r>
                    <w:rPr>
                      <w:b/>
                      <w:bCs/>
                      <w:kern w:val="0"/>
                      <w:szCs w:val="21"/>
                    </w:rPr>
                    <w:t>序号</w:t>
                  </w:r>
                </w:p>
              </w:tc>
              <w:tc>
                <w:tcPr>
                  <w:tcW w:w="2012" w:type="pct"/>
                  <w:vAlign w:val="center"/>
                </w:tcPr>
                <w:p>
                  <w:pPr>
                    <w:jc w:val="center"/>
                    <w:rPr>
                      <w:b/>
                      <w:bCs/>
                      <w:kern w:val="0"/>
                      <w:szCs w:val="21"/>
                    </w:rPr>
                  </w:pPr>
                  <w:r>
                    <w:rPr>
                      <w:b/>
                      <w:bCs/>
                      <w:kern w:val="0"/>
                      <w:szCs w:val="21"/>
                    </w:rPr>
                    <w:t>名称</w:t>
                  </w:r>
                </w:p>
              </w:tc>
              <w:tc>
                <w:tcPr>
                  <w:tcW w:w="2008" w:type="pct"/>
                  <w:vAlign w:val="center"/>
                </w:tcPr>
                <w:p>
                  <w:pPr>
                    <w:jc w:val="center"/>
                    <w:rPr>
                      <w:b/>
                      <w:bCs/>
                      <w:kern w:val="0"/>
                      <w:szCs w:val="21"/>
                    </w:rPr>
                  </w:pPr>
                  <w:r>
                    <w:rPr>
                      <w:b/>
                      <w:bCs/>
                      <w:kern w:val="0"/>
                      <w:szCs w:val="21"/>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80" w:type="pct"/>
                  <w:vAlign w:val="center"/>
                </w:tcPr>
                <w:p>
                  <w:pPr>
                    <w:jc w:val="center"/>
                    <w:rPr>
                      <w:kern w:val="0"/>
                      <w:szCs w:val="21"/>
                    </w:rPr>
                  </w:pPr>
                  <w:r>
                    <w:rPr>
                      <w:kern w:val="0"/>
                      <w:szCs w:val="21"/>
                    </w:rPr>
                    <w:t>1</w:t>
                  </w:r>
                </w:p>
              </w:tc>
              <w:tc>
                <w:tcPr>
                  <w:tcW w:w="2012" w:type="pct"/>
                  <w:vAlign w:val="center"/>
                </w:tcPr>
                <w:p>
                  <w:pPr>
                    <w:jc w:val="center"/>
                    <w:rPr>
                      <w:kern w:val="0"/>
                      <w:szCs w:val="21"/>
                    </w:rPr>
                  </w:pPr>
                  <w:r>
                    <w:rPr>
                      <w:kern w:val="0"/>
                      <w:szCs w:val="21"/>
                    </w:rPr>
                    <w:t>全水分</w:t>
                  </w:r>
                </w:p>
              </w:tc>
              <w:tc>
                <w:tcPr>
                  <w:tcW w:w="2008" w:type="pct"/>
                  <w:vAlign w:val="center"/>
                </w:tcPr>
                <w:p>
                  <w:pPr>
                    <w:jc w:val="center"/>
                    <w:rPr>
                      <w:kern w:val="0"/>
                      <w:szCs w:val="21"/>
                    </w:rPr>
                  </w:pPr>
                  <w:r>
                    <w:rPr>
                      <w:kern w:val="0"/>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80" w:type="pct"/>
                  <w:vAlign w:val="center"/>
                </w:tcPr>
                <w:p>
                  <w:pPr>
                    <w:jc w:val="center"/>
                    <w:rPr>
                      <w:kern w:val="0"/>
                      <w:szCs w:val="21"/>
                    </w:rPr>
                  </w:pPr>
                  <w:r>
                    <w:rPr>
                      <w:kern w:val="0"/>
                      <w:szCs w:val="21"/>
                    </w:rPr>
                    <w:t>2</w:t>
                  </w:r>
                </w:p>
              </w:tc>
              <w:tc>
                <w:tcPr>
                  <w:tcW w:w="2012" w:type="pct"/>
                  <w:vAlign w:val="center"/>
                </w:tcPr>
                <w:p>
                  <w:pPr>
                    <w:jc w:val="center"/>
                    <w:rPr>
                      <w:kern w:val="0"/>
                      <w:szCs w:val="21"/>
                    </w:rPr>
                  </w:pPr>
                  <w:r>
                    <w:rPr>
                      <w:kern w:val="0"/>
                      <w:szCs w:val="21"/>
                    </w:rPr>
                    <w:t>空气干燥基水分</w:t>
                  </w:r>
                </w:p>
              </w:tc>
              <w:tc>
                <w:tcPr>
                  <w:tcW w:w="2008" w:type="pct"/>
                  <w:vAlign w:val="center"/>
                </w:tcPr>
                <w:p>
                  <w:pPr>
                    <w:jc w:val="center"/>
                    <w:rPr>
                      <w:kern w:val="0"/>
                      <w:szCs w:val="21"/>
                    </w:rPr>
                  </w:pPr>
                  <w:r>
                    <w:rPr>
                      <w:kern w:val="0"/>
                      <w:szCs w:val="21"/>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80" w:type="pct"/>
                  <w:vAlign w:val="center"/>
                </w:tcPr>
                <w:p>
                  <w:pPr>
                    <w:jc w:val="center"/>
                    <w:rPr>
                      <w:kern w:val="0"/>
                      <w:szCs w:val="21"/>
                    </w:rPr>
                  </w:pPr>
                  <w:r>
                    <w:rPr>
                      <w:kern w:val="0"/>
                      <w:szCs w:val="21"/>
                    </w:rPr>
                    <w:t>3</w:t>
                  </w:r>
                </w:p>
              </w:tc>
              <w:tc>
                <w:tcPr>
                  <w:tcW w:w="2012" w:type="pct"/>
                  <w:vAlign w:val="center"/>
                </w:tcPr>
                <w:p>
                  <w:pPr>
                    <w:jc w:val="center"/>
                    <w:rPr>
                      <w:kern w:val="0"/>
                      <w:szCs w:val="21"/>
                    </w:rPr>
                  </w:pPr>
                  <w:r>
                    <w:rPr>
                      <w:kern w:val="0"/>
                      <w:szCs w:val="21"/>
                    </w:rPr>
                    <w:t>空气干燥基灰分</w:t>
                  </w:r>
                </w:p>
              </w:tc>
              <w:tc>
                <w:tcPr>
                  <w:tcW w:w="2008" w:type="pct"/>
                  <w:vAlign w:val="center"/>
                </w:tcPr>
                <w:p>
                  <w:pPr>
                    <w:jc w:val="center"/>
                    <w:rPr>
                      <w:kern w:val="0"/>
                      <w:szCs w:val="21"/>
                    </w:rPr>
                  </w:pPr>
                  <w:r>
                    <w:rPr>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80" w:type="pct"/>
                  <w:vAlign w:val="center"/>
                </w:tcPr>
                <w:p>
                  <w:pPr>
                    <w:jc w:val="center"/>
                    <w:rPr>
                      <w:kern w:val="0"/>
                      <w:szCs w:val="21"/>
                    </w:rPr>
                  </w:pPr>
                  <w:r>
                    <w:rPr>
                      <w:kern w:val="0"/>
                      <w:szCs w:val="21"/>
                    </w:rPr>
                    <w:t>4</w:t>
                  </w:r>
                </w:p>
              </w:tc>
              <w:tc>
                <w:tcPr>
                  <w:tcW w:w="2012" w:type="pct"/>
                  <w:vAlign w:val="center"/>
                </w:tcPr>
                <w:p>
                  <w:pPr>
                    <w:jc w:val="center"/>
                    <w:rPr>
                      <w:kern w:val="0"/>
                      <w:szCs w:val="21"/>
                    </w:rPr>
                  </w:pPr>
                  <w:r>
                    <w:rPr>
                      <w:kern w:val="0"/>
                      <w:szCs w:val="21"/>
                    </w:rPr>
                    <w:t>空气干燥基挥发分</w:t>
                  </w:r>
                </w:p>
              </w:tc>
              <w:tc>
                <w:tcPr>
                  <w:tcW w:w="2008" w:type="pct"/>
                  <w:vAlign w:val="center"/>
                </w:tcPr>
                <w:p>
                  <w:pPr>
                    <w:jc w:val="center"/>
                    <w:rPr>
                      <w:kern w:val="0"/>
                      <w:szCs w:val="21"/>
                    </w:rPr>
                  </w:pPr>
                  <w:r>
                    <w:rPr>
                      <w:kern w:val="0"/>
                      <w:szCs w:val="21"/>
                    </w:rPr>
                    <w:t>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80" w:type="pct"/>
                  <w:vAlign w:val="center"/>
                </w:tcPr>
                <w:p>
                  <w:pPr>
                    <w:jc w:val="center"/>
                    <w:rPr>
                      <w:kern w:val="0"/>
                      <w:szCs w:val="21"/>
                    </w:rPr>
                  </w:pPr>
                  <w:r>
                    <w:rPr>
                      <w:kern w:val="0"/>
                      <w:szCs w:val="21"/>
                    </w:rPr>
                    <w:t>5</w:t>
                  </w:r>
                </w:p>
              </w:tc>
              <w:tc>
                <w:tcPr>
                  <w:tcW w:w="2012" w:type="pct"/>
                  <w:vAlign w:val="center"/>
                </w:tcPr>
                <w:p>
                  <w:pPr>
                    <w:jc w:val="center"/>
                    <w:rPr>
                      <w:kern w:val="0"/>
                      <w:szCs w:val="21"/>
                    </w:rPr>
                  </w:pPr>
                  <w:r>
                    <w:rPr>
                      <w:kern w:val="0"/>
                      <w:szCs w:val="21"/>
                    </w:rPr>
                    <w:t>空气干燥基固定碳</w:t>
                  </w:r>
                </w:p>
              </w:tc>
              <w:tc>
                <w:tcPr>
                  <w:tcW w:w="2008" w:type="pct"/>
                  <w:vAlign w:val="center"/>
                </w:tcPr>
                <w:p>
                  <w:pPr>
                    <w:jc w:val="center"/>
                    <w:rPr>
                      <w:kern w:val="0"/>
                      <w:szCs w:val="21"/>
                    </w:rPr>
                  </w:pPr>
                  <w:r>
                    <w:rPr>
                      <w:kern w:val="0"/>
                      <w:szCs w:val="21"/>
                    </w:rPr>
                    <w:t>15.62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80" w:type="pct"/>
                  <w:vAlign w:val="center"/>
                </w:tcPr>
                <w:p>
                  <w:pPr>
                    <w:jc w:val="center"/>
                    <w:rPr>
                      <w:kern w:val="0"/>
                      <w:szCs w:val="21"/>
                    </w:rPr>
                  </w:pPr>
                  <w:r>
                    <w:rPr>
                      <w:kern w:val="0"/>
                      <w:szCs w:val="21"/>
                    </w:rPr>
                    <w:t>6</w:t>
                  </w:r>
                </w:p>
              </w:tc>
              <w:tc>
                <w:tcPr>
                  <w:tcW w:w="2012" w:type="pct"/>
                  <w:vAlign w:val="center"/>
                </w:tcPr>
                <w:p>
                  <w:pPr>
                    <w:jc w:val="center"/>
                    <w:rPr>
                      <w:kern w:val="0"/>
                      <w:szCs w:val="21"/>
                    </w:rPr>
                  </w:pPr>
                  <w:r>
                    <w:rPr>
                      <w:kern w:val="0"/>
                      <w:szCs w:val="21"/>
                    </w:rPr>
                    <w:t>空气干燥基弹筒发热量</w:t>
                  </w:r>
                </w:p>
              </w:tc>
              <w:tc>
                <w:tcPr>
                  <w:tcW w:w="2008" w:type="pct"/>
                  <w:vAlign w:val="center"/>
                </w:tcPr>
                <w:p>
                  <w:pPr>
                    <w:jc w:val="center"/>
                    <w:rPr>
                      <w:kern w:val="0"/>
                      <w:szCs w:val="21"/>
                    </w:rPr>
                  </w:pPr>
                  <w:r>
                    <w:rPr>
                      <w:kern w:val="0"/>
                      <w:szCs w:val="21"/>
                    </w:rPr>
                    <w:t>19.43 MJ/kg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80" w:type="pct"/>
                  <w:vAlign w:val="center"/>
                </w:tcPr>
                <w:p>
                  <w:pPr>
                    <w:jc w:val="center"/>
                    <w:rPr>
                      <w:kern w:val="0"/>
                      <w:szCs w:val="21"/>
                    </w:rPr>
                  </w:pPr>
                  <w:r>
                    <w:rPr>
                      <w:kern w:val="0"/>
                      <w:szCs w:val="21"/>
                    </w:rPr>
                    <w:t>7</w:t>
                  </w:r>
                </w:p>
              </w:tc>
              <w:tc>
                <w:tcPr>
                  <w:tcW w:w="2012" w:type="pct"/>
                  <w:vAlign w:val="center"/>
                </w:tcPr>
                <w:p>
                  <w:pPr>
                    <w:jc w:val="center"/>
                    <w:rPr>
                      <w:kern w:val="0"/>
                      <w:szCs w:val="21"/>
                    </w:rPr>
                  </w:pPr>
                  <w:r>
                    <w:rPr>
                      <w:kern w:val="0"/>
                      <w:szCs w:val="21"/>
                    </w:rPr>
                    <w:t>空气干燥基高位发热量</w:t>
                  </w:r>
                </w:p>
              </w:tc>
              <w:tc>
                <w:tcPr>
                  <w:tcW w:w="2008" w:type="pct"/>
                  <w:vAlign w:val="center"/>
                </w:tcPr>
                <w:p>
                  <w:pPr>
                    <w:jc w:val="center"/>
                    <w:rPr>
                      <w:kern w:val="0"/>
                      <w:szCs w:val="21"/>
                    </w:rPr>
                  </w:pPr>
                  <w:r>
                    <w:rPr>
                      <w:kern w:val="0"/>
                      <w:szCs w:val="21"/>
                    </w:rPr>
                    <w:t>19.40 MJ/kg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80" w:type="pct"/>
                  <w:vAlign w:val="center"/>
                </w:tcPr>
                <w:p>
                  <w:pPr>
                    <w:jc w:val="center"/>
                    <w:rPr>
                      <w:kern w:val="0"/>
                      <w:szCs w:val="21"/>
                    </w:rPr>
                  </w:pPr>
                  <w:r>
                    <w:rPr>
                      <w:kern w:val="0"/>
                      <w:szCs w:val="21"/>
                    </w:rPr>
                    <w:t>8</w:t>
                  </w:r>
                </w:p>
              </w:tc>
              <w:tc>
                <w:tcPr>
                  <w:tcW w:w="2012" w:type="pct"/>
                  <w:vAlign w:val="center"/>
                </w:tcPr>
                <w:p>
                  <w:pPr>
                    <w:jc w:val="center"/>
                    <w:rPr>
                      <w:kern w:val="0"/>
                      <w:szCs w:val="21"/>
                    </w:rPr>
                  </w:pPr>
                  <w:r>
                    <w:rPr>
                      <w:kern w:val="0"/>
                      <w:szCs w:val="21"/>
                    </w:rPr>
                    <w:t>收到基恒容低位发热量</w:t>
                  </w:r>
                </w:p>
              </w:tc>
              <w:tc>
                <w:tcPr>
                  <w:tcW w:w="2008" w:type="pct"/>
                  <w:vAlign w:val="center"/>
                </w:tcPr>
                <w:p>
                  <w:pPr>
                    <w:jc w:val="center"/>
                    <w:rPr>
                      <w:kern w:val="0"/>
                      <w:szCs w:val="21"/>
                    </w:rPr>
                  </w:pPr>
                  <w:r>
                    <w:rPr>
                      <w:kern w:val="0"/>
                      <w:szCs w:val="21"/>
                    </w:rPr>
                    <w:t>17.70 MJ/kg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80" w:type="pct"/>
                  <w:vAlign w:val="center"/>
                </w:tcPr>
                <w:p>
                  <w:pPr>
                    <w:jc w:val="center"/>
                    <w:rPr>
                      <w:kern w:val="0"/>
                      <w:szCs w:val="21"/>
                    </w:rPr>
                  </w:pPr>
                  <w:r>
                    <w:rPr>
                      <w:kern w:val="0"/>
                      <w:szCs w:val="21"/>
                    </w:rPr>
                    <w:t>9</w:t>
                  </w:r>
                </w:p>
              </w:tc>
              <w:tc>
                <w:tcPr>
                  <w:tcW w:w="2012" w:type="pct"/>
                  <w:vAlign w:val="center"/>
                </w:tcPr>
                <w:p>
                  <w:pPr>
                    <w:jc w:val="center"/>
                    <w:rPr>
                      <w:kern w:val="0"/>
                      <w:szCs w:val="21"/>
                    </w:rPr>
                  </w:pPr>
                  <w:r>
                    <w:rPr>
                      <w:kern w:val="0"/>
                      <w:szCs w:val="21"/>
                    </w:rPr>
                    <w:t>空气干燥基全硫</w:t>
                  </w:r>
                </w:p>
              </w:tc>
              <w:tc>
                <w:tcPr>
                  <w:tcW w:w="2008" w:type="pct"/>
                  <w:vAlign w:val="center"/>
                </w:tcPr>
                <w:p>
                  <w:pPr>
                    <w:jc w:val="center"/>
                    <w:rPr>
                      <w:kern w:val="0"/>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80" w:type="pct"/>
                  <w:vAlign w:val="center"/>
                </w:tcPr>
                <w:p>
                  <w:pPr>
                    <w:jc w:val="center"/>
                    <w:rPr>
                      <w:kern w:val="0"/>
                      <w:szCs w:val="21"/>
                    </w:rPr>
                  </w:pPr>
                  <w:r>
                    <w:rPr>
                      <w:kern w:val="0"/>
                      <w:szCs w:val="21"/>
                    </w:rPr>
                    <w:t>10</w:t>
                  </w:r>
                </w:p>
              </w:tc>
              <w:tc>
                <w:tcPr>
                  <w:tcW w:w="2012" w:type="pct"/>
                  <w:vAlign w:val="center"/>
                </w:tcPr>
                <w:p>
                  <w:pPr>
                    <w:jc w:val="center"/>
                    <w:rPr>
                      <w:kern w:val="0"/>
                      <w:szCs w:val="21"/>
                    </w:rPr>
                  </w:pPr>
                  <w:r>
                    <w:rPr>
                      <w:kern w:val="0"/>
                      <w:szCs w:val="21"/>
                    </w:rPr>
                    <w:t>空气干燥基氢元素</w:t>
                  </w:r>
                </w:p>
              </w:tc>
              <w:tc>
                <w:tcPr>
                  <w:tcW w:w="2008" w:type="pct"/>
                  <w:vAlign w:val="center"/>
                </w:tcPr>
                <w:p>
                  <w:pPr>
                    <w:jc w:val="center"/>
                    <w:rPr>
                      <w:kern w:val="0"/>
                      <w:szCs w:val="21"/>
                    </w:rPr>
                  </w:pPr>
                  <w:r>
                    <w:rPr>
                      <w:kern w:val="0"/>
                      <w:szCs w:val="21"/>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992" w:type="pct"/>
                  <w:gridSpan w:val="2"/>
                  <w:vAlign w:val="center"/>
                </w:tcPr>
                <w:p>
                  <w:pPr>
                    <w:jc w:val="center"/>
                    <w:rPr>
                      <w:kern w:val="0"/>
                      <w:szCs w:val="21"/>
                    </w:rPr>
                  </w:pPr>
                  <w:r>
                    <w:rPr>
                      <w:kern w:val="0"/>
                      <w:szCs w:val="21"/>
                    </w:rPr>
                    <w:t>合计</w:t>
                  </w:r>
                </w:p>
              </w:tc>
              <w:tc>
                <w:tcPr>
                  <w:tcW w:w="2008" w:type="pct"/>
                  <w:vAlign w:val="center"/>
                </w:tcPr>
                <w:p>
                  <w:pPr>
                    <w:jc w:val="center"/>
                    <w:rPr>
                      <w:kern w:val="0"/>
                      <w:szCs w:val="21"/>
                    </w:rPr>
                  </w:pPr>
                  <w:r>
                    <w:rPr>
                      <w:kern w:val="0"/>
                      <w:szCs w:val="21"/>
                    </w:rPr>
                    <w:t>100</w:t>
                  </w:r>
                </w:p>
              </w:tc>
            </w:tr>
          </w:tbl>
          <w:p>
            <w:pPr>
              <w:spacing w:before="156" w:beforeLines="50" w:line="360" w:lineRule="auto"/>
              <w:ind w:firstLine="480" w:firstLineChars="200"/>
              <w:jc w:val="left"/>
              <w:outlineLvl w:val="0"/>
              <w:rPr>
                <w:sz w:val="24"/>
              </w:rPr>
            </w:pPr>
            <w:bookmarkStart w:id="197" w:name="_Toc7124"/>
            <w:bookmarkStart w:id="198" w:name="_Toc144148018"/>
            <w:bookmarkStart w:id="199" w:name="_Toc19018"/>
            <w:bookmarkStart w:id="200" w:name="_Toc11522"/>
            <w:bookmarkStart w:id="201" w:name="_Toc7361"/>
            <w:r>
              <w:rPr>
                <w:sz w:val="24"/>
              </w:rPr>
              <w:t>（3）制冷剂（404A）</w:t>
            </w:r>
            <w:bookmarkEnd w:id="197"/>
            <w:bookmarkEnd w:id="198"/>
          </w:p>
          <w:p>
            <w:pPr>
              <w:spacing w:before="156" w:beforeLines="50" w:line="360" w:lineRule="auto"/>
              <w:ind w:firstLine="480" w:firstLineChars="200"/>
              <w:jc w:val="left"/>
              <w:outlineLvl w:val="0"/>
              <w:rPr>
                <w:b/>
                <w:bCs/>
                <w:sz w:val="24"/>
              </w:rPr>
            </w:pPr>
            <w:bookmarkStart w:id="202" w:name="_Toc144148019"/>
            <w:bookmarkStart w:id="203" w:name="_Toc29053"/>
            <w:r>
              <w:rPr>
                <w:sz w:val="24"/>
              </w:rPr>
              <w:t>制冷剂R404A，别名R404A，商品名称有SUVA HP62、SUVA 404A、Genetron 404A等。由于R404A属于HFC型非</w:t>
            </w:r>
            <w:r>
              <w:fldChar w:fldCharType="begin"/>
            </w:r>
            <w:r>
              <w:instrText xml:space="preserve">HYPERLINK "https://baike.sogou.com/lemma/ShowInnerLink.htm?lemmaId=8487730&amp;ss_c=ssc.citiao.link" \t "https://baike.sogou.com/_blank"</w:instrText>
            </w:r>
            <w:r>
              <w:fldChar w:fldCharType="separate"/>
            </w:r>
            <w:r>
              <w:rPr>
                <w:sz w:val="24"/>
              </w:rPr>
              <w:t>共沸</w:t>
            </w:r>
            <w:r>
              <w:rPr>
                <w:sz w:val="24"/>
              </w:rPr>
              <w:fldChar w:fldCharType="end"/>
            </w:r>
            <w:r>
              <w:fldChar w:fldCharType="begin"/>
            </w:r>
            <w:r>
              <w:instrText xml:space="preserve"> HYPERLINK "https://baike.sogou.com/lemma/ShowInnerLink.htm?lemmaId=61682149&amp;ss_c=ssc.citiao.link" \t "https://baike.sogou.com/_blank" </w:instrText>
            </w:r>
            <w:r>
              <w:fldChar w:fldCharType="separate"/>
            </w:r>
            <w:r>
              <w:rPr>
                <w:sz w:val="24"/>
              </w:rPr>
              <w:t>环保制冷剂</w:t>
            </w:r>
            <w:r>
              <w:rPr>
                <w:sz w:val="24"/>
              </w:rPr>
              <w:fldChar w:fldCharType="end"/>
            </w:r>
            <w:r>
              <w:rPr>
                <w:sz w:val="24"/>
              </w:rPr>
              <w:t>（完全不含</w:t>
            </w:r>
            <w:r>
              <w:fldChar w:fldCharType="begin"/>
            </w:r>
            <w:r>
              <w:instrText xml:space="preserve">HYPERLINK "https://baike.sogou.com/lemma/ShowInnerLink.htm?lemmaId=10054488&amp;ss_c=ssc.citiao.link" \t "https://baike.sogou.com/_blank"</w:instrText>
            </w:r>
            <w:r>
              <w:fldChar w:fldCharType="separate"/>
            </w:r>
            <w:r>
              <w:rPr>
                <w:sz w:val="24"/>
              </w:rPr>
              <w:t>破坏臭氧层</w:t>
            </w:r>
            <w:r>
              <w:rPr>
                <w:sz w:val="24"/>
              </w:rPr>
              <w:fldChar w:fldCharType="end"/>
            </w:r>
            <w:r>
              <w:rPr>
                <w:sz w:val="24"/>
              </w:rPr>
              <w:t>的CFC、HCFC），得到目前世界绝大多数国家的认可并推荐的主流低温环保制冷剂，广泛用于新冷冻设备上的初装和维修过程中的再添加。符合美国环保组织EPA、SNAP和UL的标准，符合美国采暖、制冷</w:t>
            </w:r>
            <w:r>
              <w:fldChar w:fldCharType="begin"/>
            </w:r>
            <w:r>
              <w:instrText xml:space="preserve">HYPERLINK "https://baike.sogou.com/lemma/ShowInnerLink.htm?lemmaId=8402436&amp;ss_c=ssc.citiao.link" \t "https://baike.sogou.com/_blank"</w:instrText>
            </w:r>
            <w:r>
              <w:fldChar w:fldCharType="separate"/>
            </w:r>
            <w:r>
              <w:rPr>
                <w:sz w:val="24"/>
              </w:rPr>
              <w:t>空调工程师</w:t>
            </w:r>
            <w:r>
              <w:rPr>
                <w:sz w:val="24"/>
              </w:rPr>
              <w:fldChar w:fldCharType="end"/>
            </w:r>
            <w:r>
              <w:rPr>
                <w:sz w:val="24"/>
              </w:rPr>
              <w:t>协会（ASHRAE）的A1安全等级类别（这是最高的级别，对人身体无害）。本项目选用高品质且有一定厚度的铝排，采用钨极脉冲氩弧熔焊工艺熔焊铝排，整个铝排产品气密性极佳，不易发生制冷剂泄漏。在使用冷库过程中也会定期安排值班人员检查维修，避免因年久未修使设备老化而引起泄漏事故。</w:t>
            </w:r>
            <w:bookmarkEnd w:id="202"/>
          </w:p>
          <w:p>
            <w:pPr>
              <w:spacing w:before="156" w:beforeLines="50" w:line="360" w:lineRule="auto"/>
              <w:ind w:firstLine="480" w:firstLineChars="200"/>
              <w:jc w:val="left"/>
              <w:outlineLvl w:val="0"/>
              <w:rPr>
                <w:sz w:val="24"/>
              </w:rPr>
            </w:pPr>
            <w:bookmarkStart w:id="204" w:name="_Toc144148020"/>
            <w:r>
              <w:rPr>
                <w:sz w:val="24"/>
              </w:rPr>
              <w:t>根据我国政府批准加入的《关于消耗臭氧层物质的蒙特利尔议定书》（以下简称《议定书》）及其有关修正案，除特殊用途外，我国已淘汰受控用途的哈龙、全氯氟烃、四氯化碳、甲基氯仿和甲基溴等消耗臭氧层物质的生产和使用，正在逐步削减受控用途的含氢氯氟烃的生产和使用。本项目使用制冷剂R404A为环保制冷剂，不破坏臭氧层，不属于《中国受控消耗臭氧层物质清单》中物质</w:t>
            </w:r>
            <w:r>
              <w:rPr>
                <w:rFonts w:hint="eastAsia"/>
                <w:sz w:val="24"/>
              </w:rPr>
              <w:t>，符合相关环保要求</w:t>
            </w:r>
            <w:r>
              <w:rPr>
                <w:sz w:val="24"/>
              </w:rPr>
              <w:t>。</w:t>
            </w:r>
            <w:bookmarkEnd w:id="204"/>
          </w:p>
          <w:bookmarkEnd w:id="203"/>
          <w:p>
            <w:pPr>
              <w:spacing w:before="156" w:beforeLines="50" w:line="360" w:lineRule="auto"/>
              <w:jc w:val="left"/>
              <w:outlineLvl w:val="0"/>
              <w:rPr>
                <w:b/>
                <w:bCs/>
                <w:sz w:val="24"/>
              </w:rPr>
            </w:pPr>
            <w:bookmarkStart w:id="205" w:name="_Toc19394"/>
            <w:bookmarkStart w:id="206" w:name="_Toc144148021"/>
            <w:r>
              <w:rPr>
                <w:b/>
                <w:bCs/>
                <w:sz w:val="24"/>
              </w:rPr>
              <w:t>5、生产规模及产品方案</w:t>
            </w:r>
            <w:bookmarkEnd w:id="199"/>
            <w:bookmarkEnd w:id="200"/>
            <w:bookmarkEnd w:id="201"/>
            <w:bookmarkEnd w:id="205"/>
            <w:bookmarkEnd w:id="206"/>
          </w:p>
          <w:p>
            <w:pPr>
              <w:adjustRightInd w:val="0"/>
              <w:snapToGrid w:val="0"/>
              <w:spacing w:line="360" w:lineRule="auto"/>
              <w:ind w:firstLine="480" w:firstLineChars="200"/>
              <w:jc w:val="left"/>
              <w:rPr>
                <w:b/>
                <w:sz w:val="24"/>
              </w:rPr>
            </w:pPr>
            <w:r>
              <w:rPr>
                <w:sz w:val="24"/>
              </w:rPr>
              <w:t>项目生产规模及产品方案见表2-7。</w:t>
            </w:r>
            <w:bookmarkStart w:id="207" w:name="_Toc26415_WPSOffice_Level2"/>
          </w:p>
          <w:p>
            <w:pPr>
              <w:autoSpaceDE w:val="0"/>
              <w:autoSpaceDN w:val="0"/>
              <w:spacing w:before="156" w:beforeLines="50" w:line="360" w:lineRule="auto"/>
              <w:jc w:val="center"/>
              <w:outlineLvl w:val="0"/>
              <w:rPr>
                <w:b/>
                <w:sz w:val="24"/>
              </w:rPr>
            </w:pPr>
            <w:bookmarkStart w:id="208" w:name="_Toc144148022"/>
            <w:bookmarkStart w:id="209" w:name="_Toc9104"/>
            <w:bookmarkStart w:id="210" w:name="_Toc21735"/>
            <w:bookmarkStart w:id="211" w:name="_Toc15085"/>
            <w:bookmarkStart w:id="212" w:name="_Toc13413"/>
            <w:r>
              <w:rPr>
                <w:b/>
                <w:sz w:val="24"/>
              </w:rPr>
              <w:t xml:space="preserve">表2-7 </w:t>
            </w:r>
            <w:bookmarkEnd w:id="207"/>
            <w:r>
              <w:rPr>
                <w:b/>
                <w:sz w:val="24"/>
              </w:rPr>
              <w:t>项目生产规模及产品方案</w:t>
            </w:r>
            <w:bookmarkEnd w:id="208"/>
            <w:bookmarkEnd w:id="209"/>
            <w:bookmarkEnd w:id="210"/>
            <w:bookmarkEnd w:id="211"/>
            <w:bookmarkEnd w:id="212"/>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3211"/>
              <w:gridCol w:w="1609"/>
              <w:gridCol w:w="2263"/>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35" w:type="pct"/>
                  <w:vAlign w:val="center"/>
                </w:tcPr>
                <w:p>
                  <w:pPr>
                    <w:jc w:val="center"/>
                    <w:outlineLvl w:val="0"/>
                    <w:rPr>
                      <w:b/>
                      <w:bCs/>
                      <w:szCs w:val="21"/>
                    </w:rPr>
                  </w:pPr>
                  <w:bookmarkStart w:id="213" w:name="_Toc8470"/>
                  <w:bookmarkStart w:id="214" w:name="_Toc29298"/>
                  <w:bookmarkStart w:id="215" w:name="_Toc144148023"/>
                  <w:bookmarkStart w:id="216" w:name="_Toc27129"/>
                  <w:bookmarkStart w:id="217" w:name="_Toc13453"/>
                  <w:r>
                    <w:rPr>
                      <w:b/>
                      <w:bCs/>
                      <w:szCs w:val="21"/>
                    </w:rPr>
                    <w:t>序号</w:t>
                  </w:r>
                  <w:bookmarkEnd w:id="213"/>
                  <w:bookmarkEnd w:id="214"/>
                  <w:bookmarkEnd w:id="215"/>
                  <w:bookmarkEnd w:id="216"/>
                  <w:bookmarkEnd w:id="217"/>
                </w:p>
              </w:tc>
              <w:tc>
                <w:tcPr>
                  <w:tcW w:w="1816" w:type="pct"/>
                  <w:vAlign w:val="center"/>
                </w:tcPr>
                <w:p>
                  <w:pPr>
                    <w:spacing w:before="90"/>
                    <w:rPr>
                      <w:b/>
                      <w:bCs/>
                      <w:szCs w:val="21"/>
                    </w:rPr>
                  </w:pPr>
                  <w:r>
                    <w:rPr>
                      <w:b/>
                      <w:bCs/>
                      <w:spacing w:val="-4"/>
                      <w:szCs w:val="21"/>
                    </w:rPr>
                    <w:t>工程名称（生产线或生产车间）</w:t>
                  </w:r>
                </w:p>
              </w:tc>
              <w:tc>
                <w:tcPr>
                  <w:tcW w:w="910" w:type="pct"/>
                  <w:vAlign w:val="center"/>
                </w:tcPr>
                <w:p>
                  <w:pPr>
                    <w:spacing w:before="90"/>
                    <w:jc w:val="center"/>
                    <w:rPr>
                      <w:b/>
                      <w:bCs/>
                      <w:szCs w:val="21"/>
                    </w:rPr>
                  </w:pPr>
                  <w:r>
                    <w:rPr>
                      <w:b/>
                      <w:bCs/>
                      <w:spacing w:val="-1"/>
                      <w:szCs w:val="21"/>
                    </w:rPr>
                    <w:t>产品名称</w:t>
                  </w:r>
                </w:p>
              </w:tc>
              <w:tc>
                <w:tcPr>
                  <w:tcW w:w="1280" w:type="pct"/>
                  <w:vAlign w:val="center"/>
                </w:tcPr>
                <w:p>
                  <w:pPr>
                    <w:spacing w:before="90"/>
                    <w:rPr>
                      <w:b/>
                      <w:bCs/>
                      <w:szCs w:val="21"/>
                    </w:rPr>
                  </w:pPr>
                  <w:r>
                    <w:rPr>
                      <w:b/>
                      <w:bCs/>
                      <w:spacing w:val="-2"/>
                      <w:szCs w:val="21"/>
                    </w:rPr>
                    <w:t>设计能力（单位/年）</w:t>
                  </w:r>
                </w:p>
              </w:tc>
              <w:tc>
                <w:tcPr>
                  <w:tcW w:w="557" w:type="pct"/>
                  <w:vAlign w:val="center"/>
                </w:tcPr>
                <w:p>
                  <w:pPr>
                    <w:spacing w:before="90"/>
                    <w:jc w:val="center"/>
                    <w:rPr>
                      <w:b/>
                      <w:bCs/>
                      <w:szCs w:val="21"/>
                    </w:rPr>
                  </w:pPr>
                  <w:r>
                    <w:rPr>
                      <w:b/>
                      <w:bCs/>
                      <w:szCs w:val="21"/>
                    </w:rPr>
                    <w:drawing>
                      <wp:anchor distT="0" distB="0" distL="114300" distR="114300" simplePos="0" relativeHeight="251660288" behindDoc="0" locked="0" layoutInCell="1" allowOverlap="1">
                        <wp:simplePos x="0" y="0"/>
                        <wp:positionH relativeFrom="page">
                          <wp:posOffset>7165340</wp:posOffset>
                        </wp:positionH>
                        <wp:positionV relativeFrom="page">
                          <wp:posOffset>1781810</wp:posOffset>
                        </wp:positionV>
                        <wp:extent cx="6350" cy="252730"/>
                        <wp:effectExtent l="0" t="0" r="12700" b="13970"/>
                        <wp:wrapNone/>
                        <wp:docPr id="3" name="IM 30"/>
                        <wp:cNvGraphicFramePr/>
                        <a:graphic xmlns:a="http://schemas.openxmlformats.org/drawingml/2006/main">
                          <a:graphicData uri="http://schemas.openxmlformats.org/drawingml/2006/picture">
                            <pic:pic xmlns:pic="http://schemas.openxmlformats.org/drawingml/2006/picture">
                              <pic:nvPicPr>
                                <pic:cNvPr id="3" name="IM 30"/>
                                <pic:cNvPicPr/>
                              </pic:nvPicPr>
                              <pic:blipFill>
                                <a:blip r:embed="rId5"/>
                                <a:stretch>
                                  <a:fillRect/>
                                </a:stretch>
                              </pic:blipFill>
                              <pic:spPr>
                                <a:xfrm>
                                  <a:off x="0" y="0"/>
                                  <a:ext cx="6350" cy="252730"/>
                                </a:xfrm>
                                <a:prstGeom prst="rect">
                                  <a:avLst/>
                                </a:prstGeom>
                                <a:noFill/>
                                <a:ln>
                                  <a:noFill/>
                                </a:ln>
                              </pic:spPr>
                            </pic:pic>
                          </a:graphicData>
                        </a:graphic>
                      </wp:anchor>
                    </w:drawing>
                  </w:r>
                  <w:r>
                    <w:rPr>
                      <w:b/>
                      <w:bCs/>
                      <w:spacing w:val="-2"/>
                      <w:szCs w:val="21"/>
                    </w:rPr>
                    <w:t>年运行时数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35" w:type="pct"/>
                  <w:vAlign w:val="center"/>
                </w:tcPr>
                <w:p>
                  <w:pPr>
                    <w:jc w:val="center"/>
                    <w:outlineLvl w:val="0"/>
                    <w:rPr>
                      <w:szCs w:val="21"/>
                    </w:rPr>
                  </w:pPr>
                  <w:bookmarkStart w:id="218" w:name="_Toc8439"/>
                  <w:bookmarkStart w:id="219" w:name="_Toc28253"/>
                  <w:bookmarkStart w:id="220" w:name="_Toc30370"/>
                  <w:bookmarkStart w:id="221" w:name="_Toc7055"/>
                  <w:bookmarkStart w:id="222" w:name="_Toc144148024"/>
                  <w:r>
                    <w:rPr>
                      <w:szCs w:val="21"/>
                    </w:rPr>
                    <w:t>1</w:t>
                  </w:r>
                  <w:bookmarkEnd w:id="218"/>
                  <w:bookmarkEnd w:id="219"/>
                  <w:bookmarkEnd w:id="220"/>
                  <w:bookmarkEnd w:id="221"/>
                  <w:bookmarkEnd w:id="222"/>
                </w:p>
              </w:tc>
              <w:tc>
                <w:tcPr>
                  <w:tcW w:w="1816" w:type="pct"/>
                  <w:vAlign w:val="center"/>
                </w:tcPr>
                <w:p>
                  <w:pPr>
                    <w:spacing w:before="93"/>
                    <w:jc w:val="center"/>
                    <w:rPr>
                      <w:szCs w:val="21"/>
                    </w:rPr>
                  </w:pPr>
                  <w:r>
                    <w:rPr>
                      <w:szCs w:val="21"/>
                    </w:rPr>
                    <w:t>玫瑰花种植</w:t>
                  </w:r>
                </w:p>
              </w:tc>
              <w:tc>
                <w:tcPr>
                  <w:tcW w:w="910" w:type="pct"/>
                  <w:vAlign w:val="center"/>
                </w:tcPr>
                <w:p>
                  <w:pPr>
                    <w:spacing w:before="93"/>
                    <w:jc w:val="center"/>
                    <w:rPr>
                      <w:szCs w:val="21"/>
                    </w:rPr>
                  </w:pPr>
                  <w:r>
                    <w:rPr>
                      <w:spacing w:val="-2"/>
                      <w:szCs w:val="21"/>
                    </w:rPr>
                    <w:t>玫瑰</w:t>
                  </w:r>
                </w:p>
              </w:tc>
              <w:tc>
                <w:tcPr>
                  <w:tcW w:w="1280" w:type="pct"/>
                  <w:vAlign w:val="center"/>
                </w:tcPr>
                <w:p>
                  <w:pPr>
                    <w:spacing w:before="93"/>
                    <w:jc w:val="center"/>
                    <w:rPr>
                      <w:szCs w:val="21"/>
                    </w:rPr>
                  </w:pPr>
                  <w:r>
                    <w:rPr>
                      <w:spacing w:val="-3"/>
                      <w:szCs w:val="21"/>
                    </w:rPr>
                    <w:t>840吨</w:t>
                  </w:r>
                </w:p>
              </w:tc>
              <w:tc>
                <w:tcPr>
                  <w:tcW w:w="557" w:type="pct"/>
                  <w:vAlign w:val="center"/>
                </w:tcPr>
                <w:p>
                  <w:pPr>
                    <w:spacing w:before="93"/>
                    <w:jc w:val="center"/>
                    <w:rPr>
                      <w:szCs w:val="21"/>
                    </w:rPr>
                  </w:pPr>
                  <w:r>
                    <w:rPr>
                      <w:spacing w:val="-3"/>
                      <w:szCs w:val="21"/>
                    </w:rPr>
                    <w:t>365d</w:t>
                  </w:r>
                </w:p>
              </w:tc>
            </w:tr>
          </w:tbl>
          <w:p>
            <w:pPr>
              <w:spacing w:before="156" w:beforeLines="50" w:line="360" w:lineRule="auto"/>
              <w:rPr>
                <w:b/>
                <w:sz w:val="24"/>
              </w:rPr>
            </w:pPr>
            <w:r>
              <w:rPr>
                <w:b/>
                <w:sz w:val="24"/>
              </w:rPr>
              <w:t>6、项目平面布置</w:t>
            </w:r>
          </w:p>
          <w:p>
            <w:pPr>
              <w:spacing w:line="360" w:lineRule="auto"/>
              <w:ind w:firstLine="480" w:firstLineChars="200"/>
              <w:rPr>
                <w:sz w:val="24"/>
              </w:rPr>
            </w:pPr>
            <w:r>
              <w:rPr>
                <w:sz w:val="24"/>
              </w:rPr>
              <w:t>项目平面布置满足各项功能要求，布局合理。厂区内主要设置有1#温室大棚、2#温室大棚、加工车间、办公室、食堂、宿舍等，1#温室大棚、2#温室大棚位于项目区西部，办公室位于项目区东侧，食堂位于办公室北侧，宿舍位于厂房东南侧临近厂内运输道路以及大门。锅炉房位于水肥间，距离大棚较近，方便供暖，员工食宿区位于锅炉房上风向，产生影响较小。隔油池在食堂北侧，化粪池在宿舍楼下，便于收集处理。</w:t>
            </w:r>
            <w:r>
              <w:rPr>
                <w:rFonts w:hint="eastAsia"/>
                <w:sz w:val="24"/>
              </w:rPr>
              <w:t>生物质锅炉烟气采用“湿式脱硫+布袋除尘”进行处理后通过</w:t>
            </w:r>
            <w:r>
              <w:rPr>
                <w:sz w:val="24"/>
              </w:rPr>
              <w:t>30m高排气筒</w:t>
            </w:r>
            <w:r>
              <w:rPr>
                <w:rFonts w:hint="eastAsia"/>
                <w:sz w:val="24"/>
              </w:rPr>
              <w:t>排放；天然气锅炉烟气通过1</w:t>
            </w:r>
            <w:r>
              <w:rPr>
                <w:sz w:val="24"/>
              </w:rPr>
              <w:t>5</w:t>
            </w:r>
            <w:r>
              <w:rPr>
                <w:rFonts w:hint="eastAsia"/>
                <w:sz w:val="24"/>
              </w:rPr>
              <w:t>m高排气筒排放。</w:t>
            </w:r>
            <w:r>
              <w:rPr>
                <w:sz w:val="24"/>
              </w:rPr>
              <w:t>食堂灶房安装一台油烟净化器</w:t>
            </w:r>
            <w:r>
              <w:rPr>
                <w:rFonts w:hint="eastAsia"/>
                <w:sz w:val="24"/>
              </w:rPr>
              <w:t>。平面布局合理。</w:t>
            </w:r>
          </w:p>
          <w:p>
            <w:pPr>
              <w:spacing w:line="360" w:lineRule="auto"/>
              <w:ind w:firstLine="480" w:firstLineChars="200"/>
              <w:rPr>
                <w:sz w:val="24"/>
              </w:rPr>
            </w:pPr>
            <w:r>
              <w:rPr>
                <w:sz w:val="24"/>
              </w:rPr>
              <w:t>项目平面布置见附图1。</w:t>
            </w:r>
          </w:p>
          <w:p>
            <w:pPr>
              <w:spacing w:before="156" w:beforeLines="50" w:line="360" w:lineRule="auto"/>
              <w:rPr>
                <w:b/>
                <w:sz w:val="24"/>
              </w:rPr>
            </w:pPr>
            <w:r>
              <w:rPr>
                <w:b/>
                <w:sz w:val="24"/>
              </w:rPr>
              <w:t>7、劳动定员及生产制度</w:t>
            </w:r>
          </w:p>
          <w:p>
            <w:pPr>
              <w:spacing w:line="360" w:lineRule="auto"/>
              <w:ind w:firstLine="480" w:firstLineChars="200"/>
              <w:rPr>
                <w:sz w:val="24"/>
              </w:rPr>
            </w:pPr>
            <w:r>
              <w:rPr>
                <w:sz w:val="24"/>
              </w:rPr>
              <w:t>本项目劳动定员35人，皆在项目区内食宿，全年生产运行365天，每天实行1班制，每班工作8小时。</w:t>
            </w:r>
          </w:p>
          <w:p>
            <w:pPr>
              <w:spacing w:before="156" w:beforeLines="50" w:line="360" w:lineRule="auto"/>
              <w:rPr>
                <w:b/>
                <w:sz w:val="24"/>
              </w:rPr>
            </w:pPr>
            <w:r>
              <w:rPr>
                <w:b/>
                <w:sz w:val="24"/>
              </w:rPr>
              <w:t>8、环保投资</w:t>
            </w:r>
          </w:p>
          <w:p>
            <w:pPr>
              <w:spacing w:line="360" w:lineRule="auto"/>
              <w:ind w:firstLine="480" w:firstLineChars="200"/>
              <w:rPr>
                <w:sz w:val="24"/>
              </w:rPr>
            </w:pPr>
            <w:r>
              <w:rPr>
                <w:sz w:val="24"/>
              </w:rPr>
              <w:t>项目总投资2500万元，其中锅炉房投资130万元，环保投资</w:t>
            </w:r>
            <w:r>
              <w:rPr>
                <w:rFonts w:hint="eastAsia"/>
                <w:sz w:val="24"/>
              </w:rPr>
              <w:t>为</w:t>
            </w:r>
            <w:r>
              <w:rPr>
                <w:sz w:val="24"/>
              </w:rPr>
              <w:t>60.60万元，占</w:t>
            </w:r>
            <w:r>
              <w:rPr>
                <w:rFonts w:hint="eastAsia"/>
                <w:sz w:val="24"/>
              </w:rPr>
              <w:t>总投资的</w:t>
            </w:r>
            <w:r>
              <w:rPr>
                <w:sz w:val="24"/>
              </w:rPr>
              <w:t>2.42</w:t>
            </w:r>
            <w:r>
              <w:rPr>
                <w:rFonts w:hint="eastAsia"/>
                <w:sz w:val="24"/>
              </w:rPr>
              <w:t>%，锅炉房</w:t>
            </w:r>
            <w:r>
              <w:rPr>
                <w:sz w:val="24"/>
              </w:rPr>
              <w:t>投资的46.62%。本项目环保投资主要包括污水处理设施、废气治理设施、噪声防治设施、垃圾收集设施等。项目环保投资见表2-8。</w:t>
            </w:r>
          </w:p>
          <w:p>
            <w:pPr>
              <w:autoSpaceDE w:val="0"/>
              <w:autoSpaceDN w:val="0"/>
              <w:spacing w:before="156" w:beforeLines="50" w:line="360" w:lineRule="auto"/>
              <w:jc w:val="center"/>
              <w:outlineLvl w:val="0"/>
              <w:rPr>
                <w:b/>
                <w:sz w:val="24"/>
              </w:rPr>
            </w:pPr>
            <w:bookmarkStart w:id="223" w:name="_Toc30356"/>
            <w:bookmarkStart w:id="224" w:name="_Toc12060"/>
            <w:bookmarkStart w:id="225" w:name="_Toc13465"/>
            <w:bookmarkStart w:id="226" w:name="_Toc144148025"/>
            <w:bookmarkStart w:id="227" w:name="_Toc30816"/>
            <w:r>
              <w:rPr>
                <w:b/>
                <w:sz w:val="24"/>
              </w:rPr>
              <w:t>表2-8  项目环保投资一览表（单位：万元）</w:t>
            </w:r>
            <w:bookmarkEnd w:id="223"/>
            <w:bookmarkEnd w:id="224"/>
            <w:bookmarkEnd w:id="225"/>
            <w:bookmarkEnd w:id="226"/>
            <w:bookmarkEnd w:id="227"/>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327"/>
              <w:gridCol w:w="2690"/>
              <w:gridCol w:w="195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pPr>
                    <w:wordWrap w:val="0"/>
                    <w:adjustRightInd w:val="0"/>
                    <w:snapToGrid w:val="0"/>
                    <w:ind w:right="120"/>
                    <w:jc w:val="center"/>
                    <w:rPr>
                      <w:b/>
                      <w:bCs/>
                      <w:szCs w:val="21"/>
                    </w:rPr>
                  </w:pPr>
                  <w:r>
                    <w:rPr>
                      <w:b/>
                      <w:bCs/>
                      <w:szCs w:val="21"/>
                    </w:rPr>
                    <w:t>阶段</w:t>
                  </w:r>
                </w:p>
              </w:tc>
              <w:tc>
                <w:tcPr>
                  <w:tcW w:w="751" w:type="pct"/>
                  <w:vAlign w:val="center"/>
                </w:tcPr>
                <w:p>
                  <w:pPr>
                    <w:wordWrap w:val="0"/>
                    <w:adjustRightInd w:val="0"/>
                    <w:snapToGrid w:val="0"/>
                    <w:ind w:left="120" w:right="120"/>
                    <w:jc w:val="center"/>
                    <w:rPr>
                      <w:b/>
                      <w:bCs/>
                      <w:szCs w:val="21"/>
                    </w:rPr>
                  </w:pPr>
                  <w:r>
                    <w:rPr>
                      <w:b/>
                      <w:bCs/>
                      <w:szCs w:val="21"/>
                    </w:rPr>
                    <w:t>污染源</w:t>
                  </w:r>
                </w:p>
              </w:tc>
              <w:tc>
                <w:tcPr>
                  <w:tcW w:w="1521" w:type="pct"/>
                  <w:vAlign w:val="center"/>
                </w:tcPr>
                <w:p>
                  <w:pPr>
                    <w:wordWrap w:val="0"/>
                    <w:adjustRightInd w:val="0"/>
                    <w:snapToGrid w:val="0"/>
                    <w:ind w:left="120" w:right="120"/>
                    <w:jc w:val="center"/>
                    <w:rPr>
                      <w:b/>
                      <w:bCs/>
                      <w:szCs w:val="21"/>
                    </w:rPr>
                  </w:pPr>
                  <w:r>
                    <w:rPr>
                      <w:b/>
                      <w:bCs/>
                      <w:szCs w:val="21"/>
                    </w:rPr>
                    <w:t>环保设施</w:t>
                  </w:r>
                </w:p>
              </w:tc>
              <w:tc>
                <w:tcPr>
                  <w:tcW w:w="1107" w:type="pct"/>
                  <w:vAlign w:val="center"/>
                </w:tcPr>
                <w:p>
                  <w:pPr>
                    <w:wordWrap w:val="0"/>
                    <w:adjustRightInd w:val="0"/>
                    <w:snapToGrid w:val="0"/>
                    <w:ind w:left="120" w:right="120"/>
                    <w:jc w:val="center"/>
                    <w:rPr>
                      <w:b/>
                      <w:bCs/>
                      <w:szCs w:val="21"/>
                    </w:rPr>
                  </w:pPr>
                  <w:r>
                    <w:rPr>
                      <w:b/>
                      <w:bCs/>
                      <w:szCs w:val="21"/>
                    </w:rPr>
                    <w:t>规模</w:t>
                  </w:r>
                </w:p>
              </w:tc>
              <w:tc>
                <w:tcPr>
                  <w:tcW w:w="1107" w:type="pct"/>
                  <w:vAlign w:val="center"/>
                </w:tcPr>
                <w:p>
                  <w:pPr>
                    <w:wordWrap w:val="0"/>
                    <w:adjustRightInd w:val="0"/>
                    <w:snapToGrid w:val="0"/>
                    <w:ind w:left="120" w:right="120"/>
                    <w:jc w:val="center"/>
                    <w:rPr>
                      <w:b/>
                      <w:bCs/>
                      <w:szCs w:val="21"/>
                    </w:rPr>
                  </w:pPr>
                  <w:r>
                    <w:rPr>
                      <w:b/>
                      <w:bCs/>
                      <w:szCs w:val="21"/>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Merge w:val="restart"/>
                  <w:vAlign w:val="center"/>
                </w:tcPr>
                <w:p>
                  <w:pPr>
                    <w:wordWrap w:val="0"/>
                    <w:adjustRightInd w:val="0"/>
                    <w:snapToGrid w:val="0"/>
                    <w:ind w:left="120" w:right="120"/>
                    <w:jc w:val="center"/>
                    <w:rPr>
                      <w:szCs w:val="21"/>
                    </w:rPr>
                  </w:pPr>
                  <w:r>
                    <w:rPr>
                      <w:szCs w:val="21"/>
                    </w:rPr>
                    <w:t>运营期</w:t>
                  </w:r>
                </w:p>
              </w:tc>
              <w:tc>
                <w:tcPr>
                  <w:tcW w:w="751" w:type="pct"/>
                  <w:vMerge w:val="restart"/>
                  <w:vAlign w:val="center"/>
                </w:tcPr>
                <w:p>
                  <w:pPr>
                    <w:wordWrap w:val="0"/>
                    <w:adjustRightInd w:val="0"/>
                    <w:snapToGrid w:val="0"/>
                    <w:ind w:left="120" w:right="120"/>
                    <w:jc w:val="center"/>
                    <w:rPr>
                      <w:szCs w:val="21"/>
                    </w:rPr>
                  </w:pPr>
                  <w:r>
                    <w:rPr>
                      <w:szCs w:val="21"/>
                    </w:rPr>
                    <w:t>废水</w:t>
                  </w:r>
                </w:p>
              </w:tc>
              <w:tc>
                <w:tcPr>
                  <w:tcW w:w="1521" w:type="pct"/>
                  <w:vAlign w:val="center"/>
                </w:tcPr>
                <w:p>
                  <w:pPr>
                    <w:wordWrap w:val="0"/>
                    <w:ind w:left="120" w:right="120"/>
                    <w:jc w:val="center"/>
                    <w:rPr>
                      <w:szCs w:val="21"/>
                    </w:rPr>
                  </w:pPr>
                  <w:r>
                    <w:rPr>
                      <w:szCs w:val="21"/>
                    </w:rPr>
                    <w:t>污水处理站</w:t>
                  </w:r>
                </w:p>
              </w:tc>
              <w:tc>
                <w:tcPr>
                  <w:tcW w:w="1107" w:type="pct"/>
                  <w:vAlign w:val="center"/>
                </w:tcPr>
                <w:p>
                  <w:pPr>
                    <w:wordWrap w:val="0"/>
                    <w:ind w:left="120" w:right="120"/>
                    <w:jc w:val="center"/>
                    <w:rPr>
                      <w:szCs w:val="21"/>
                    </w:rPr>
                  </w:pPr>
                  <w:r>
                    <w:rPr>
                      <w:szCs w:val="21"/>
                    </w:rPr>
                    <w:t>5m</w:t>
                  </w:r>
                  <w:r>
                    <w:rPr>
                      <w:szCs w:val="21"/>
                      <w:vertAlign w:val="superscript"/>
                    </w:rPr>
                    <w:t>3</w:t>
                  </w:r>
                </w:p>
              </w:tc>
              <w:tc>
                <w:tcPr>
                  <w:tcW w:w="1107" w:type="pct"/>
                  <w:vAlign w:val="center"/>
                </w:tcPr>
                <w:p>
                  <w:pPr>
                    <w:wordWrap w:val="0"/>
                    <w:ind w:left="120" w:right="120"/>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Merge w:val="continue"/>
                  <w:vAlign w:val="center"/>
                </w:tcPr>
                <w:p>
                  <w:pPr>
                    <w:wordWrap w:val="0"/>
                    <w:adjustRightInd w:val="0"/>
                    <w:snapToGrid w:val="0"/>
                    <w:ind w:left="120" w:right="120"/>
                    <w:jc w:val="center"/>
                    <w:rPr>
                      <w:szCs w:val="21"/>
                    </w:rPr>
                  </w:pPr>
                </w:p>
              </w:tc>
              <w:tc>
                <w:tcPr>
                  <w:tcW w:w="751" w:type="pct"/>
                  <w:vMerge w:val="continue"/>
                  <w:vAlign w:val="center"/>
                </w:tcPr>
                <w:p>
                  <w:pPr>
                    <w:wordWrap w:val="0"/>
                    <w:adjustRightInd w:val="0"/>
                    <w:snapToGrid w:val="0"/>
                    <w:ind w:left="120" w:right="120"/>
                    <w:jc w:val="center"/>
                    <w:rPr>
                      <w:szCs w:val="21"/>
                    </w:rPr>
                  </w:pPr>
                </w:p>
              </w:tc>
              <w:tc>
                <w:tcPr>
                  <w:tcW w:w="1521" w:type="pct"/>
                  <w:vAlign w:val="center"/>
                </w:tcPr>
                <w:p>
                  <w:pPr>
                    <w:wordWrap w:val="0"/>
                    <w:ind w:left="120" w:right="120"/>
                    <w:jc w:val="center"/>
                    <w:rPr>
                      <w:szCs w:val="21"/>
                    </w:rPr>
                  </w:pPr>
                  <w:r>
                    <w:rPr>
                      <w:szCs w:val="21"/>
                    </w:rPr>
                    <w:t>隔油池</w:t>
                  </w:r>
                </w:p>
              </w:tc>
              <w:tc>
                <w:tcPr>
                  <w:tcW w:w="1107" w:type="pct"/>
                  <w:vAlign w:val="center"/>
                </w:tcPr>
                <w:p>
                  <w:pPr>
                    <w:wordWrap w:val="0"/>
                    <w:ind w:left="120" w:right="120"/>
                    <w:jc w:val="center"/>
                    <w:rPr>
                      <w:szCs w:val="21"/>
                    </w:rPr>
                  </w:pPr>
                  <w:r>
                    <w:rPr>
                      <w:szCs w:val="21"/>
                    </w:rPr>
                    <w:t>1.5m</w:t>
                  </w:r>
                  <w:r>
                    <w:rPr>
                      <w:szCs w:val="21"/>
                      <w:vertAlign w:val="superscript"/>
                    </w:rPr>
                    <w:t>3</w:t>
                  </w:r>
                </w:p>
              </w:tc>
              <w:tc>
                <w:tcPr>
                  <w:tcW w:w="1107" w:type="pct"/>
                  <w:vAlign w:val="center"/>
                </w:tcPr>
                <w:p>
                  <w:pPr>
                    <w:wordWrap w:val="0"/>
                    <w:ind w:left="120" w:right="120"/>
                    <w:jc w:val="center"/>
                    <w:rPr>
                      <w:szCs w:val="21"/>
                    </w:rPr>
                  </w:pPr>
                  <w:r>
                    <w:rPr>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Merge w:val="continue"/>
                  <w:vAlign w:val="center"/>
                </w:tcPr>
                <w:p>
                  <w:pPr>
                    <w:wordWrap w:val="0"/>
                    <w:adjustRightInd w:val="0"/>
                    <w:snapToGrid w:val="0"/>
                    <w:ind w:left="120" w:right="120"/>
                    <w:jc w:val="center"/>
                    <w:rPr>
                      <w:szCs w:val="21"/>
                    </w:rPr>
                  </w:pPr>
                </w:p>
              </w:tc>
              <w:tc>
                <w:tcPr>
                  <w:tcW w:w="751" w:type="pct"/>
                  <w:vMerge w:val="continue"/>
                  <w:vAlign w:val="center"/>
                </w:tcPr>
                <w:p>
                  <w:pPr>
                    <w:wordWrap w:val="0"/>
                    <w:adjustRightInd w:val="0"/>
                    <w:snapToGrid w:val="0"/>
                    <w:ind w:left="120" w:right="120"/>
                    <w:jc w:val="center"/>
                    <w:rPr>
                      <w:szCs w:val="21"/>
                    </w:rPr>
                  </w:pPr>
                </w:p>
              </w:tc>
              <w:tc>
                <w:tcPr>
                  <w:tcW w:w="1521" w:type="pct"/>
                  <w:vAlign w:val="center"/>
                </w:tcPr>
                <w:p>
                  <w:pPr>
                    <w:wordWrap w:val="0"/>
                    <w:ind w:left="120" w:right="120"/>
                    <w:jc w:val="center"/>
                    <w:rPr>
                      <w:szCs w:val="21"/>
                    </w:rPr>
                  </w:pPr>
                  <w:r>
                    <w:rPr>
                      <w:szCs w:val="21"/>
                    </w:rPr>
                    <w:t>沉淀池（施工期）</w:t>
                  </w:r>
                </w:p>
              </w:tc>
              <w:tc>
                <w:tcPr>
                  <w:tcW w:w="1107" w:type="pct"/>
                  <w:vAlign w:val="center"/>
                </w:tcPr>
                <w:p>
                  <w:pPr>
                    <w:wordWrap w:val="0"/>
                    <w:ind w:left="120" w:right="120"/>
                    <w:jc w:val="center"/>
                    <w:rPr>
                      <w:szCs w:val="21"/>
                    </w:rPr>
                  </w:pPr>
                  <w:r>
                    <w:rPr>
                      <w:szCs w:val="21"/>
                    </w:rPr>
                    <w:t>3m</w:t>
                  </w:r>
                  <w:r>
                    <w:rPr>
                      <w:szCs w:val="21"/>
                      <w:vertAlign w:val="superscript"/>
                    </w:rPr>
                    <w:t>3</w:t>
                  </w:r>
                </w:p>
              </w:tc>
              <w:tc>
                <w:tcPr>
                  <w:tcW w:w="1107" w:type="pct"/>
                  <w:vAlign w:val="center"/>
                </w:tcPr>
                <w:p>
                  <w:pPr>
                    <w:wordWrap w:val="0"/>
                    <w:ind w:left="120" w:right="120"/>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Merge w:val="continue"/>
                  <w:vAlign w:val="center"/>
                </w:tcPr>
                <w:p>
                  <w:pPr>
                    <w:wordWrap w:val="0"/>
                    <w:adjustRightInd w:val="0"/>
                    <w:snapToGrid w:val="0"/>
                    <w:ind w:left="120" w:right="120"/>
                    <w:jc w:val="center"/>
                    <w:rPr>
                      <w:szCs w:val="21"/>
                    </w:rPr>
                  </w:pPr>
                </w:p>
              </w:tc>
              <w:tc>
                <w:tcPr>
                  <w:tcW w:w="751" w:type="pct"/>
                  <w:vMerge w:val="continue"/>
                  <w:vAlign w:val="center"/>
                </w:tcPr>
                <w:p>
                  <w:pPr>
                    <w:wordWrap w:val="0"/>
                    <w:adjustRightInd w:val="0"/>
                    <w:snapToGrid w:val="0"/>
                    <w:ind w:left="120" w:right="120"/>
                    <w:jc w:val="center"/>
                    <w:rPr>
                      <w:szCs w:val="21"/>
                    </w:rPr>
                  </w:pPr>
                </w:p>
              </w:tc>
              <w:tc>
                <w:tcPr>
                  <w:tcW w:w="1521" w:type="pct"/>
                  <w:vAlign w:val="center"/>
                </w:tcPr>
                <w:p>
                  <w:pPr>
                    <w:wordWrap w:val="0"/>
                    <w:ind w:left="120" w:right="120"/>
                    <w:jc w:val="center"/>
                    <w:rPr>
                      <w:szCs w:val="21"/>
                    </w:rPr>
                  </w:pPr>
                  <w:r>
                    <w:rPr>
                      <w:szCs w:val="21"/>
                    </w:rPr>
                    <w:t>沉淀池（运营期）</w:t>
                  </w:r>
                </w:p>
              </w:tc>
              <w:tc>
                <w:tcPr>
                  <w:tcW w:w="1107" w:type="pct"/>
                  <w:vAlign w:val="center"/>
                </w:tcPr>
                <w:p>
                  <w:pPr>
                    <w:wordWrap w:val="0"/>
                    <w:ind w:left="120" w:right="120"/>
                    <w:jc w:val="center"/>
                    <w:rPr>
                      <w:szCs w:val="21"/>
                    </w:rPr>
                  </w:pPr>
                  <w:r>
                    <w:rPr>
                      <w:szCs w:val="21"/>
                    </w:rPr>
                    <w:t>4m</w:t>
                  </w:r>
                  <w:r>
                    <w:rPr>
                      <w:szCs w:val="21"/>
                      <w:vertAlign w:val="superscript"/>
                    </w:rPr>
                    <w:t>3</w:t>
                  </w:r>
                </w:p>
              </w:tc>
              <w:tc>
                <w:tcPr>
                  <w:tcW w:w="1107" w:type="pct"/>
                  <w:vAlign w:val="center"/>
                </w:tcPr>
                <w:p>
                  <w:pPr>
                    <w:wordWrap w:val="0"/>
                    <w:ind w:left="120" w:right="120"/>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Merge w:val="continue"/>
                  <w:vAlign w:val="center"/>
                </w:tcPr>
                <w:p>
                  <w:pPr>
                    <w:wordWrap w:val="0"/>
                    <w:adjustRightInd w:val="0"/>
                    <w:snapToGrid w:val="0"/>
                    <w:ind w:left="120" w:right="120"/>
                    <w:jc w:val="center"/>
                    <w:rPr>
                      <w:szCs w:val="21"/>
                    </w:rPr>
                  </w:pPr>
                </w:p>
              </w:tc>
              <w:tc>
                <w:tcPr>
                  <w:tcW w:w="751" w:type="pct"/>
                  <w:vMerge w:val="continue"/>
                  <w:vAlign w:val="center"/>
                </w:tcPr>
                <w:p>
                  <w:pPr>
                    <w:wordWrap w:val="0"/>
                    <w:adjustRightInd w:val="0"/>
                    <w:snapToGrid w:val="0"/>
                    <w:ind w:left="120" w:right="120"/>
                    <w:jc w:val="center"/>
                    <w:rPr>
                      <w:szCs w:val="21"/>
                    </w:rPr>
                  </w:pPr>
                </w:p>
              </w:tc>
              <w:tc>
                <w:tcPr>
                  <w:tcW w:w="1521" w:type="pct"/>
                  <w:vAlign w:val="center"/>
                </w:tcPr>
                <w:p>
                  <w:pPr>
                    <w:wordWrap w:val="0"/>
                    <w:ind w:left="120" w:right="120"/>
                    <w:jc w:val="center"/>
                    <w:rPr>
                      <w:szCs w:val="21"/>
                    </w:rPr>
                  </w:pPr>
                  <w:r>
                    <w:rPr>
                      <w:szCs w:val="21"/>
                    </w:rPr>
                    <w:t>初期雨水沉淀池</w:t>
                  </w:r>
                </w:p>
              </w:tc>
              <w:tc>
                <w:tcPr>
                  <w:tcW w:w="1107" w:type="pct"/>
                  <w:vAlign w:val="center"/>
                </w:tcPr>
                <w:p>
                  <w:pPr>
                    <w:wordWrap w:val="0"/>
                    <w:ind w:left="120" w:right="120"/>
                    <w:jc w:val="center"/>
                    <w:rPr>
                      <w:szCs w:val="21"/>
                    </w:rPr>
                  </w:pPr>
                  <w:r>
                    <w:rPr>
                      <w:szCs w:val="21"/>
                    </w:rPr>
                    <w:t>950m</w:t>
                  </w:r>
                  <w:r>
                    <w:rPr>
                      <w:szCs w:val="21"/>
                      <w:vertAlign w:val="superscript"/>
                    </w:rPr>
                    <w:t>3</w:t>
                  </w:r>
                </w:p>
              </w:tc>
              <w:tc>
                <w:tcPr>
                  <w:tcW w:w="1107" w:type="pct"/>
                  <w:vAlign w:val="center"/>
                </w:tcPr>
                <w:p>
                  <w:pPr>
                    <w:wordWrap w:val="0"/>
                    <w:ind w:left="120" w:right="120"/>
                    <w:jc w:val="center"/>
                    <w:rPr>
                      <w:szCs w:val="21"/>
                    </w:rPr>
                  </w:pPr>
                  <w:r>
                    <w:rPr>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12" w:type="pct"/>
                  <w:vMerge w:val="continue"/>
                  <w:vAlign w:val="center"/>
                </w:tcPr>
                <w:p>
                  <w:pPr>
                    <w:wordWrap w:val="0"/>
                    <w:adjustRightInd w:val="0"/>
                    <w:snapToGrid w:val="0"/>
                    <w:ind w:left="120" w:right="120"/>
                    <w:jc w:val="center"/>
                    <w:rPr>
                      <w:szCs w:val="21"/>
                    </w:rPr>
                  </w:pPr>
                </w:p>
              </w:tc>
              <w:tc>
                <w:tcPr>
                  <w:tcW w:w="751" w:type="pct"/>
                  <w:vMerge w:val="continue"/>
                  <w:vAlign w:val="center"/>
                </w:tcPr>
                <w:p>
                  <w:pPr>
                    <w:wordWrap w:val="0"/>
                    <w:adjustRightInd w:val="0"/>
                    <w:snapToGrid w:val="0"/>
                    <w:ind w:left="120" w:right="120"/>
                    <w:jc w:val="center"/>
                    <w:rPr>
                      <w:szCs w:val="21"/>
                    </w:rPr>
                  </w:pPr>
                </w:p>
              </w:tc>
              <w:tc>
                <w:tcPr>
                  <w:tcW w:w="1521" w:type="pct"/>
                  <w:vAlign w:val="center"/>
                </w:tcPr>
                <w:p>
                  <w:pPr>
                    <w:wordWrap w:val="0"/>
                    <w:ind w:left="120" w:right="120"/>
                    <w:jc w:val="center"/>
                    <w:rPr>
                      <w:szCs w:val="21"/>
                    </w:rPr>
                  </w:pPr>
                  <w:r>
                    <w:rPr>
                      <w:szCs w:val="21"/>
                    </w:rPr>
                    <w:t>化粪池</w:t>
                  </w:r>
                </w:p>
              </w:tc>
              <w:tc>
                <w:tcPr>
                  <w:tcW w:w="1107" w:type="pct"/>
                  <w:vAlign w:val="center"/>
                </w:tcPr>
                <w:p>
                  <w:pPr>
                    <w:wordWrap w:val="0"/>
                    <w:ind w:left="120" w:right="120"/>
                    <w:jc w:val="center"/>
                    <w:rPr>
                      <w:szCs w:val="21"/>
                    </w:rPr>
                  </w:pPr>
                  <w:r>
                    <w:rPr>
                      <w:szCs w:val="21"/>
                    </w:rPr>
                    <w:t>10m</w:t>
                  </w:r>
                  <w:r>
                    <w:rPr>
                      <w:szCs w:val="21"/>
                      <w:vertAlign w:val="superscript"/>
                    </w:rPr>
                    <w:t>3</w:t>
                  </w:r>
                </w:p>
              </w:tc>
              <w:tc>
                <w:tcPr>
                  <w:tcW w:w="1107" w:type="pct"/>
                  <w:vAlign w:val="center"/>
                </w:tcPr>
                <w:p>
                  <w:pPr>
                    <w:wordWrap w:val="0"/>
                    <w:ind w:left="120" w:right="120"/>
                    <w:jc w:val="center"/>
                    <w:rPr>
                      <w:szCs w:val="21"/>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12" w:type="pct"/>
                  <w:vMerge w:val="continue"/>
                  <w:vAlign w:val="center"/>
                </w:tcPr>
                <w:p>
                  <w:pPr>
                    <w:wordWrap w:val="0"/>
                    <w:adjustRightInd w:val="0"/>
                    <w:snapToGrid w:val="0"/>
                    <w:ind w:left="120" w:right="120"/>
                    <w:jc w:val="center"/>
                    <w:rPr>
                      <w:szCs w:val="21"/>
                    </w:rPr>
                  </w:pPr>
                </w:p>
              </w:tc>
              <w:tc>
                <w:tcPr>
                  <w:tcW w:w="751" w:type="pct"/>
                  <w:vMerge w:val="continue"/>
                  <w:vAlign w:val="center"/>
                </w:tcPr>
                <w:p>
                  <w:pPr>
                    <w:wordWrap w:val="0"/>
                    <w:adjustRightInd w:val="0"/>
                    <w:snapToGrid w:val="0"/>
                    <w:ind w:left="120" w:right="120"/>
                    <w:jc w:val="center"/>
                    <w:rPr>
                      <w:szCs w:val="21"/>
                    </w:rPr>
                  </w:pPr>
                </w:p>
              </w:tc>
              <w:tc>
                <w:tcPr>
                  <w:tcW w:w="1521" w:type="pct"/>
                  <w:vAlign w:val="center"/>
                </w:tcPr>
                <w:p>
                  <w:pPr>
                    <w:wordWrap w:val="0"/>
                    <w:ind w:left="120" w:right="120"/>
                    <w:jc w:val="center"/>
                    <w:rPr>
                      <w:szCs w:val="21"/>
                    </w:rPr>
                  </w:pPr>
                  <w:r>
                    <w:rPr>
                      <w:szCs w:val="21"/>
                    </w:rPr>
                    <w:t>化粪池</w:t>
                  </w:r>
                </w:p>
              </w:tc>
              <w:tc>
                <w:tcPr>
                  <w:tcW w:w="1107" w:type="pct"/>
                  <w:vAlign w:val="center"/>
                </w:tcPr>
                <w:p>
                  <w:pPr>
                    <w:wordWrap w:val="0"/>
                    <w:ind w:left="120" w:right="120"/>
                    <w:jc w:val="center"/>
                    <w:rPr>
                      <w:szCs w:val="21"/>
                    </w:rPr>
                  </w:pPr>
                  <w:r>
                    <w:rPr>
                      <w:szCs w:val="21"/>
                    </w:rPr>
                    <w:t>20m</w:t>
                  </w:r>
                  <w:r>
                    <w:rPr>
                      <w:szCs w:val="21"/>
                      <w:vertAlign w:val="superscript"/>
                    </w:rPr>
                    <w:t>3</w:t>
                  </w:r>
                </w:p>
              </w:tc>
              <w:tc>
                <w:tcPr>
                  <w:tcW w:w="1107" w:type="pct"/>
                  <w:vAlign w:val="center"/>
                </w:tcPr>
                <w:p>
                  <w:pPr>
                    <w:wordWrap w:val="0"/>
                    <w:ind w:left="120" w:right="120"/>
                    <w:jc w:val="center"/>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512" w:type="pct"/>
                  <w:vMerge w:val="continue"/>
                  <w:vAlign w:val="center"/>
                </w:tcPr>
                <w:p>
                  <w:pPr>
                    <w:wordWrap w:val="0"/>
                    <w:adjustRightInd w:val="0"/>
                    <w:snapToGrid w:val="0"/>
                    <w:ind w:left="120" w:right="120"/>
                    <w:jc w:val="center"/>
                    <w:rPr>
                      <w:szCs w:val="21"/>
                    </w:rPr>
                  </w:pPr>
                </w:p>
              </w:tc>
              <w:tc>
                <w:tcPr>
                  <w:tcW w:w="751" w:type="pct"/>
                  <w:vMerge w:val="restart"/>
                  <w:vAlign w:val="center"/>
                </w:tcPr>
                <w:p>
                  <w:pPr>
                    <w:wordWrap w:val="0"/>
                    <w:adjustRightInd w:val="0"/>
                    <w:snapToGrid w:val="0"/>
                    <w:ind w:left="120" w:right="120"/>
                    <w:jc w:val="center"/>
                    <w:rPr>
                      <w:szCs w:val="21"/>
                    </w:rPr>
                  </w:pPr>
                  <w:r>
                    <w:rPr>
                      <w:szCs w:val="21"/>
                    </w:rPr>
                    <w:t>废气</w:t>
                  </w:r>
                </w:p>
              </w:tc>
              <w:tc>
                <w:tcPr>
                  <w:tcW w:w="1521" w:type="pct"/>
                  <w:vAlign w:val="center"/>
                </w:tcPr>
                <w:p>
                  <w:pPr>
                    <w:wordWrap w:val="0"/>
                    <w:ind w:left="120" w:right="120"/>
                    <w:jc w:val="center"/>
                    <w:rPr>
                      <w:szCs w:val="21"/>
                    </w:rPr>
                  </w:pPr>
                  <w:r>
                    <w:rPr>
                      <w:szCs w:val="21"/>
                    </w:rPr>
                    <w:t>食堂油烟净化器</w:t>
                  </w:r>
                </w:p>
              </w:tc>
              <w:tc>
                <w:tcPr>
                  <w:tcW w:w="1107" w:type="pct"/>
                  <w:vAlign w:val="center"/>
                </w:tcPr>
                <w:p>
                  <w:pPr>
                    <w:wordWrap w:val="0"/>
                    <w:ind w:left="120" w:right="120"/>
                    <w:jc w:val="center"/>
                    <w:rPr>
                      <w:szCs w:val="21"/>
                    </w:rPr>
                  </w:pPr>
                  <w:r>
                    <w:rPr>
                      <w:szCs w:val="21"/>
                    </w:rPr>
                    <w:t>/</w:t>
                  </w:r>
                </w:p>
              </w:tc>
              <w:tc>
                <w:tcPr>
                  <w:tcW w:w="1107" w:type="pct"/>
                  <w:vAlign w:val="center"/>
                </w:tcPr>
                <w:p>
                  <w:pPr>
                    <w:wordWrap w:val="0"/>
                    <w:ind w:left="120" w:right="120"/>
                    <w:jc w:val="center"/>
                    <w:rPr>
                      <w:szCs w:val="21"/>
                    </w:rPr>
                  </w:pPr>
                  <w:r>
                    <w:rPr>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512" w:type="pct"/>
                  <w:vMerge w:val="continue"/>
                  <w:vAlign w:val="center"/>
                </w:tcPr>
                <w:p>
                  <w:pPr>
                    <w:wordWrap w:val="0"/>
                    <w:adjustRightInd w:val="0"/>
                    <w:snapToGrid w:val="0"/>
                    <w:ind w:left="120" w:right="120"/>
                    <w:jc w:val="center"/>
                    <w:rPr>
                      <w:szCs w:val="21"/>
                    </w:rPr>
                  </w:pPr>
                </w:p>
              </w:tc>
              <w:tc>
                <w:tcPr>
                  <w:tcW w:w="751" w:type="pct"/>
                  <w:vMerge w:val="continue"/>
                  <w:vAlign w:val="center"/>
                </w:tcPr>
                <w:p>
                  <w:pPr>
                    <w:wordWrap w:val="0"/>
                    <w:adjustRightInd w:val="0"/>
                    <w:snapToGrid w:val="0"/>
                    <w:ind w:left="120" w:right="120"/>
                    <w:jc w:val="center"/>
                    <w:rPr>
                      <w:szCs w:val="21"/>
                    </w:rPr>
                  </w:pPr>
                </w:p>
              </w:tc>
              <w:tc>
                <w:tcPr>
                  <w:tcW w:w="1521" w:type="pct"/>
                  <w:vAlign w:val="center"/>
                </w:tcPr>
                <w:p>
                  <w:pPr>
                    <w:wordWrap w:val="0"/>
                    <w:ind w:left="120" w:right="120"/>
                    <w:jc w:val="center"/>
                    <w:rPr>
                      <w:szCs w:val="21"/>
                    </w:rPr>
                  </w:pPr>
                  <w:r>
                    <w:rPr>
                      <w:rFonts w:hint="eastAsia"/>
                      <w:szCs w:val="21"/>
                    </w:rPr>
                    <w:t>湿式脱硫+布袋除尘+</w:t>
                  </w:r>
                  <w:r>
                    <w:rPr>
                      <w:szCs w:val="21"/>
                    </w:rPr>
                    <w:t>30</w:t>
                  </w:r>
                  <w:r>
                    <w:rPr>
                      <w:rFonts w:hint="eastAsia"/>
                      <w:szCs w:val="21"/>
                    </w:rPr>
                    <w:t>m高排气筒</w:t>
                  </w:r>
                </w:p>
              </w:tc>
              <w:tc>
                <w:tcPr>
                  <w:tcW w:w="1107" w:type="pct"/>
                  <w:vAlign w:val="center"/>
                </w:tcPr>
                <w:p>
                  <w:pPr>
                    <w:wordWrap w:val="0"/>
                    <w:ind w:left="120" w:right="120"/>
                    <w:jc w:val="center"/>
                    <w:rPr>
                      <w:szCs w:val="21"/>
                    </w:rPr>
                  </w:pPr>
                  <w:r>
                    <w:rPr>
                      <w:szCs w:val="21"/>
                    </w:rPr>
                    <w:t>/</w:t>
                  </w:r>
                </w:p>
              </w:tc>
              <w:tc>
                <w:tcPr>
                  <w:tcW w:w="1107" w:type="pct"/>
                  <w:vAlign w:val="center"/>
                </w:tcPr>
                <w:p>
                  <w:pPr>
                    <w:wordWrap w:val="0"/>
                    <w:ind w:left="120" w:right="120"/>
                    <w:jc w:val="center"/>
                    <w:rPr>
                      <w:szCs w:val="21"/>
                    </w:rPr>
                  </w:pPr>
                  <w:r>
                    <w:rPr>
                      <w:rFonts w:hint="eastAsia"/>
                      <w:szCs w:val="21"/>
                    </w:rPr>
                    <w:t>1</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12" w:type="pct"/>
                  <w:vMerge w:val="continue"/>
                  <w:vAlign w:val="center"/>
                </w:tcPr>
                <w:p>
                  <w:pPr>
                    <w:wordWrap w:val="0"/>
                    <w:adjustRightInd w:val="0"/>
                    <w:snapToGrid w:val="0"/>
                    <w:ind w:left="120" w:right="120"/>
                    <w:jc w:val="center"/>
                    <w:rPr>
                      <w:szCs w:val="21"/>
                    </w:rPr>
                  </w:pPr>
                </w:p>
              </w:tc>
              <w:tc>
                <w:tcPr>
                  <w:tcW w:w="751" w:type="pct"/>
                  <w:vMerge w:val="continue"/>
                  <w:vAlign w:val="center"/>
                </w:tcPr>
                <w:p>
                  <w:pPr>
                    <w:wordWrap w:val="0"/>
                    <w:adjustRightInd w:val="0"/>
                    <w:snapToGrid w:val="0"/>
                    <w:ind w:left="120" w:right="120"/>
                    <w:jc w:val="center"/>
                    <w:rPr>
                      <w:szCs w:val="21"/>
                    </w:rPr>
                  </w:pPr>
                </w:p>
              </w:tc>
              <w:tc>
                <w:tcPr>
                  <w:tcW w:w="1521" w:type="pct"/>
                  <w:vAlign w:val="center"/>
                </w:tcPr>
                <w:p>
                  <w:pPr>
                    <w:wordWrap w:val="0"/>
                    <w:ind w:left="120" w:right="120"/>
                    <w:jc w:val="center"/>
                    <w:rPr>
                      <w:szCs w:val="21"/>
                    </w:rPr>
                  </w:pPr>
                  <w:r>
                    <w:rPr>
                      <w:rFonts w:hint="eastAsia"/>
                      <w:szCs w:val="21"/>
                    </w:rPr>
                    <w:t>1</w:t>
                  </w:r>
                  <w:r>
                    <w:rPr>
                      <w:szCs w:val="21"/>
                    </w:rPr>
                    <w:t>5</w:t>
                  </w:r>
                  <w:r>
                    <w:rPr>
                      <w:rFonts w:hint="eastAsia"/>
                      <w:szCs w:val="21"/>
                    </w:rPr>
                    <w:t>m高排气筒</w:t>
                  </w:r>
                </w:p>
              </w:tc>
              <w:tc>
                <w:tcPr>
                  <w:tcW w:w="1107" w:type="pct"/>
                  <w:vAlign w:val="center"/>
                </w:tcPr>
                <w:p>
                  <w:pPr>
                    <w:wordWrap w:val="0"/>
                    <w:ind w:left="120" w:right="120"/>
                    <w:jc w:val="center"/>
                    <w:rPr>
                      <w:szCs w:val="21"/>
                    </w:rPr>
                  </w:pPr>
                  <w:r>
                    <w:rPr>
                      <w:rFonts w:hint="eastAsia"/>
                      <w:szCs w:val="21"/>
                    </w:rPr>
                    <w:t>/</w:t>
                  </w:r>
                </w:p>
              </w:tc>
              <w:tc>
                <w:tcPr>
                  <w:tcW w:w="1107" w:type="pct"/>
                  <w:vAlign w:val="center"/>
                </w:tcPr>
                <w:p>
                  <w:pPr>
                    <w:wordWrap w:val="0"/>
                    <w:ind w:left="120" w:right="120"/>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Merge w:val="continue"/>
                  <w:vAlign w:val="center"/>
                </w:tcPr>
                <w:p>
                  <w:pPr>
                    <w:wordWrap w:val="0"/>
                    <w:adjustRightInd w:val="0"/>
                    <w:snapToGrid w:val="0"/>
                    <w:ind w:left="120" w:right="120"/>
                    <w:jc w:val="center"/>
                    <w:rPr>
                      <w:szCs w:val="21"/>
                    </w:rPr>
                  </w:pPr>
                </w:p>
              </w:tc>
              <w:tc>
                <w:tcPr>
                  <w:tcW w:w="751" w:type="pct"/>
                  <w:vAlign w:val="center"/>
                </w:tcPr>
                <w:p>
                  <w:pPr>
                    <w:wordWrap w:val="0"/>
                    <w:adjustRightInd w:val="0"/>
                    <w:snapToGrid w:val="0"/>
                    <w:ind w:right="120"/>
                    <w:jc w:val="center"/>
                    <w:rPr>
                      <w:szCs w:val="21"/>
                    </w:rPr>
                  </w:pPr>
                  <w:r>
                    <w:rPr>
                      <w:szCs w:val="21"/>
                    </w:rPr>
                    <w:t>设备噪声</w:t>
                  </w:r>
                </w:p>
              </w:tc>
              <w:tc>
                <w:tcPr>
                  <w:tcW w:w="1521" w:type="pct"/>
                  <w:vAlign w:val="center"/>
                </w:tcPr>
                <w:p>
                  <w:pPr>
                    <w:wordWrap w:val="0"/>
                    <w:ind w:left="120" w:right="120"/>
                    <w:jc w:val="center"/>
                    <w:rPr>
                      <w:szCs w:val="21"/>
                    </w:rPr>
                  </w:pPr>
                  <w:r>
                    <w:rPr>
                      <w:szCs w:val="21"/>
                    </w:rPr>
                    <w:t>隔音、减振</w:t>
                  </w:r>
                </w:p>
              </w:tc>
              <w:tc>
                <w:tcPr>
                  <w:tcW w:w="1107" w:type="pct"/>
                  <w:vAlign w:val="center"/>
                </w:tcPr>
                <w:p>
                  <w:pPr>
                    <w:wordWrap w:val="0"/>
                    <w:ind w:left="120" w:right="120"/>
                    <w:jc w:val="center"/>
                    <w:rPr>
                      <w:szCs w:val="21"/>
                    </w:rPr>
                  </w:pPr>
                  <w:r>
                    <w:rPr>
                      <w:szCs w:val="21"/>
                    </w:rPr>
                    <w:t>若干</w:t>
                  </w:r>
                </w:p>
              </w:tc>
              <w:tc>
                <w:tcPr>
                  <w:tcW w:w="1107" w:type="pct"/>
                  <w:vAlign w:val="center"/>
                </w:tcPr>
                <w:p>
                  <w:pPr>
                    <w:wordWrap w:val="0"/>
                    <w:ind w:left="120" w:right="120"/>
                    <w:jc w:val="center"/>
                    <w:rPr>
                      <w:szCs w:val="21"/>
                    </w:rPr>
                  </w:pPr>
                  <w:r>
                    <w:rPr>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Merge w:val="continue"/>
                  <w:vAlign w:val="center"/>
                </w:tcPr>
                <w:p>
                  <w:pPr>
                    <w:wordWrap w:val="0"/>
                    <w:adjustRightInd w:val="0"/>
                    <w:snapToGrid w:val="0"/>
                    <w:ind w:left="120" w:right="120"/>
                    <w:jc w:val="center"/>
                    <w:rPr>
                      <w:szCs w:val="21"/>
                    </w:rPr>
                  </w:pPr>
                </w:p>
              </w:tc>
              <w:tc>
                <w:tcPr>
                  <w:tcW w:w="751" w:type="pct"/>
                  <w:vMerge w:val="restart"/>
                  <w:vAlign w:val="center"/>
                </w:tcPr>
                <w:p>
                  <w:pPr>
                    <w:wordWrap w:val="0"/>
                    <w:adjustRightInd w:val="0"/>
                    <w:snapToGrid w:val="0"/>
                    <w:ind w:left="120" w:right="120"/>
                    <w:jc w:val="center"/>
                    <w:rPr>
                      <w:szCs w:val="21"/>
                    </w:rPr>
                  </w:pPr>
                  <w:r>
                    <w:rPr>
                      <w:szCs w:val="21"/>
                    </w:rPr>
                    <w:t>固废</w:t>
                  </w:r>
                </w:p>
              </w:tc>
              <w:tc>
                <w:tcPr>
                  <w:tcW w:w="1521" w:type="pct"/>
                  <w:vAlign w:val="center"/>
                </w:tcPr>
                <w:p>
                  <w:pPr>
                    <w:wordWrap w:val="0"/>
                    <w:ind w:left="120" w:right="120"/>
                    <w:jc w:val="center"/>
                    <w:rPr>
                      <w:szCs w:val="21"/>
                    </w:rPr>
                  </w:pPr>
                  <w:r>
                    <w:rPr>
                      <w:rFonts w:hint="eastAsia"/>
                      <w:szCs w:val="21"/>
                    </w:rPr>
                    <w:t>危险废物贮存库</w:t>
                  </w:r>
                </w:p>
              </w:tc>
              <w:tc>
                <w:tcPr>
                  <w:tcW w:w="1107" w:type="pct"/>
                  <w:vAlign w:val="center"/>
                </w:tcPr>
                <w:p>
                  <w:pPr>
                    <w:wordWrap w:val="0"/>
                    <w:ind w:left="120" w:right="120"/>
                    <w:jc w:val="center"/>
                    <w:rPr>
                      <w:szCs w:val="21"/>
                    </w:rPr>
                  </w:pPr>
                  <w:r>
                    <w:rPr>
                      <w:szCs w:val="21"/>
                    </w:rPr>
                    <w:t>15m</w:t>
                  </w:r>
                  <w:r>
                    <w:rPr>
                      <w:szCs w:val="21"/>
                      <w:vertAlign w:val="superscript"/>
                    </w:rPr>
                    <w:t>2</w:t>
                  </w:r>
                </w:p>
              </w:tc>
              <w:tc>
                <w:tcPr>
                  <w:tcW w:w="1107" w:type="pct"/>
                  <w:vAlign w:val="center"/>
                </w:tcPr>
                <w:p>
                  <w:pPr>
                    <w:wordWrap w:val="0"/>
                    <w:ind w:left="120" w:right="120"/>
                    <w:jc w:val="center"/>
                    <w:rPr>
                      <w:szCs w:val="21"/>
                    </w:rPr>
                  </w:pPr>
                  <w:r>
                    <w:rPr>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Merge w:val="continue"/>
                  <w:vAlign w:val="center"/>
                </w:tcPr>
                <w:p>
                  <w:pPr>
                    <w:wordWrap w:val="0"/>
                    <w:adjustRightInd w:val="0"/>
                    <w:snapToGrid w:val="0"/>
                    <w:ind w:left="120" w:right="120"/>
                    <w:jc w:val="center"/>
                    <w:rPr>
                      <w:szCs w:val="21"/>
                    </w:rPr>
                  </w:pPr>
                </w:p>
              </w:tc>
              <w:tc>
                <w:tcPr>
                  <w:tcW w:w="751" w:type="pct"/>
                  <w:vMerge w:val="continue"/>
                  <w:vAlign w:val="center"/>
                </w:tcPr>
                <w:p>
                  <w:pPr>
                    <w:wordWrap w:val="0"/>
                    <w:adjustRightInd w:val="0"/>
                    <w:snapToGrid w:val="0"/>
                    <w:ind w:left="120" w:right="120"/>
                    <w:jc w:val="center"/>
                    <w:rPr>
                      <w:szCs w:val="21"/>
                    </w:rPr>
                  </w:pPr>
                </w:p>
              </w:tc>
              <w:tc>
                <w:tcPr>
                  <w:tcW w:w="1521" w:type="pct"/>
                  <w:vAlign w:val="center"/>
                </w:tcPr>
                <w:p>
                  <w:pPr>
                    <w:wordWrap w:val="0"/>
                    <w:ind w:left="120" w:right="120"/>
                    <w:jc w:val="center"/>
                    <w:rPr>
                      <w:szCs w:val="21"/>
                    </w:rPr>
                  </w:pPr>
                  <w:r>
                    <w:rPr>
                      <w:szCs w:val="21"/>
                    </w:rPr>
                    <w:t>垃圾桶</w:t>
                  </w:r>
                </w:p>
              </w:tc>
              <w:tc>
                <w:tcPr>
                  <w:tcW w:w="1107" w:type="pct"/>
                  <w:vAlign w:val="center"/>
                </w:tcPr>
                <w:p>
                  <w:pPr>
                    <w:wordWrap w:val="0"/>
                    <w:ind w:left="120" w:right="120"/>
                    <w:jc w:val="center"/>
                    <w:rPr>
                      <w:szCs w:val="21"/>
                    </w:rPr>
                  </w:pPr>
                  <w:r>
                    <w:rPr>
                      <w:szCs w:val="21"/>
                    </w:rPr>
                    <w:t>若干</w:t>
                  </w:r>
                </w:p>
              </w:tc>
              <w:tc>
                <w:tcPr>
                  <w:tcW w:w="1107" w:type="pct"/>
                  <w:vAlign w:val="center"/>
                </w:tcPr>
                <w:p>
                  <w:pPr>
                    <w:wordWrap w:val="0"/>
                    <w:ind w:left="120" w:right="120"/>
                    <w:jc w:val="center"/>
                    <w:rPr>
                      <w:szCs w:val="21"/>
                    </w:rPr>
                  </w:pPr>
                  <w:r>
                    <w:rPr>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Merge w:val="continue"/>
                  <w:vAlign w:val="center"/>
                </w:tcPr>
                <w:p>
                  <w:pPr>
                    <w:wordWrap w:val="0"/>
                    <w:adjustRightInd w:val="0"/>
                    <w:snapToGrid w:val="0"/>
                    <w:ind w:left="120" w:right="120"/>
                    <w:jc w:val="center"/>
                    <w:rPr>
                      <w:szCs w:val="21"/>
                    </w:rPr>
                  </w:pPr>
                </w:p>
              </w:tc>
              <w:tc>
                <w:tcPr>
                  <w:tcW w:w="751" w:type="pct"/>
                  <w:vMerge w:val="continue"/>
                  <w:vAlign w:val="center"/>
                </w:tcPr>
                <w:p>
                  <w:pPr>
                    <w:wordWrap w:val="0"/>
                    <w:adjustRightInd w:val="0"/>
                    <w:snapToGrid w:val="0"/>
                    <w:ind w:left="120" w:right="120"/>
                    <w:jc w:val="center"/>
                    <w:rPr>
                      <w:szCs w:val="21"/>
                    </w:rPr>
                  </w:pPr>
                </w:p>
              </w:tc>
              <w:tc>
                <w:tcPr>
                  <w:tcW w:w="1521" w:type="pct"/>
                  <w:vAlign w:val="center"/>
                </w:tcPr>
                <w:p>
                  <w:pPr>
                    <w:wordWrap w:val="0"/>
                    <w:ind w:left="120" w:right="120"/>
                    <w:jc w:val="center"/>
                    <w:rPr>
                      <w:szCs w:val="21"/>
                    </w:rPr>
                  </w:pPr>
                  <w:r>
                    <w:rPr>
                      <w:szCs w:val="21"/>
                    </w:rPr>
                    <w:t>危险化学品储存间</w:t>
                  </w:r>
                </w:p>
              </w:tc>
              <w:tc>
                <w:tcPr>
                  <w:tcW w:w="1107" w:type="pct"/>
                  <w:vAlign w:val="center"/>
                </w:tcPr>
                <w:p>
                  <w:pPr>
                    <w:wordWrap w:val="0"/>
                    <w:ind w:left="120" w:right="120"/>
                    <w:jc w:val="center"/>
                    <w:rPr>
                      <w:szCs w:val="21"/>
                    </w:rPr>
                  </w:pPr>
                  <w:r>
                    <w:rPr>
                      <w:szCs w:val="21"/>
                    </w:rPr>
                    <w:t>10m</w:t>
                  </w:r>
                  <w:r>
                    <w:rPr>
                      <w:szCs w:val="21"/>
                      <w:vertAlign w:val="superscript"/>
                    </w:rPr>
                    <w:t>2</w:t>
                  </w:r>
                </w:p>
              </w:tc>
              <w:tc>
                <w:tcPr>
                  <w:tcW w:w="1107" w:type="pct"/>
                  <w:vAlign w:val="center"/>
                </w:tcPr>
                <w:p>
                  <w:pPr>
                    <w:wordWrap w:val="0"/>
                    <w:ind w:left="120" w:right="120"/>
                    <w:jc w:val="center"/>
                    <w:rPr>
                      <w:szCs w:val="21"/>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5" w:type="pct"/>
                  <w:gridSpan w:val="3"/>
                  <w:vAlign w:val="center"/>
                </w:tcPr>
                <w:p>
                  <w:pPr>
                    <w:wordWrap w:val="0"/>
                    <w:adjustRightInd w:val="0"/>
                    <w:snapToGrid w:val="0"/>
                    <w:ind w:left="120" w:right="120"/>
                    <w:jc w:val="center"/>
                    <w:rPr>
                      <w:szCs w:val="21"/>
                    </w:rPr>
                  </w:pPr>
                  <w:r>
                    <w:rPr>
                      <w:szCs w:val="21"/>
                    </w:rPr>
                    <w:t>合计</w:t>
                  </w:r>
                </w:p>
              </w:tc>
              <w:tc>
                <w:tcPr>
                  <w:tcW w:w="1107" w:type="pct"/>
                  <w:vAlign w:val="center"/>
                </w:tcPr>
                <w:p>
                  <w:pPr>
                    <w:wordWrap w:val="0"/>
                    <w:ind w:left="120" w:right="120"/>
                    <w:jc w:val="center"/>
                    <w:rPr>
                      <w:szCs w:val="21"/>
                    </w:rPr>
                  </w:pPr>
                </w:p>
              </w:tc>
              <w:tc>
                <w:tcPr>
                  <w:tcW w:w="1107" w:type="pct"/>
                  <w:vAlign w:val="center"/>
                </w:tcPr>
                <w:p>
                  <w:pPr>
                    <w:wordWrap w:val="0"/>
                    <w:ind w:left="120" w:right="120"/>
                    <w:jc w:val="center"/>
                    <w:rPr>
                      <w:szCs w:val="21"/>
                    </w:rPr>
                  </w:pPr>
                  <w:r>
                    <w:rPr>
                      <w:szCs w:val="21"/>
                    </w:rPr>
                    <w:t>60.60</w:t>
                  </w:r>
                </w:p>
              </w:tc>
            </w:tr>
          </w:tbl>
          <w:p>
            <w:pPr>
              <w:pStyle w:val="23"/>
              <w:spacing w:line="360" w:lineRule="auto"/>
              <w:jc w:val="both"/>
              <w:outlineLvl w:val="0"/>
              <w:rPr>
                <w:rFonts w:ascii="Times New Roman" w:hAnsi="Times New Roman" w:eastAsiaTheme="majorEastAsia"/>
                <w:b/>
                <w:bCs/>
                <w:snapToGrid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pStyle w:val="23"/>
              <w:spacing w:line="360" w:lineRule="auto"/>
              <w:jc w:val="both"/>
              <w:outlineLvl w:val="0"/>
              <w:rPr>
                <w:rFonts w:ascii="Times New Roman" w:hAnsi="Times New Roman" w:eastAsiaTheme="majorEastAsia"/>
                <w:b/>
                <w:bCs/>
                <w:snapToGrid w:val="0"/>
                <w:sz w:val="30"/>
                <w:szCs w:val="30"/>
              </w:rPr>
            </w:pPr>
            <w:bookmarkStart w:id="228" w:name="_Toc19303"/>
            <w:bookmarkStart w:id="229" w:name="_Toc144148026"/>
            <w:r>
              <w:rPr>
                <w:rFonts w:ascii="Times New Roman" w:hAnsi="Times New Roman"/>
                <w:szCs w:val="24"/>
              </w:rPr>
              <w:t>工艺流程和产排污环节</w:t>
            </w:r>
            <w:bookmarkEnd w:id="228"/>
            <w:bookmarkEnd w:id="229"/>
          </w:p>
        </w:tc>
        <w:tc>
          <w:tcPr>
            <w:tcW w:w="8953" w:type="dxa"/>
            <w:vAlign w:val="center"/>
          </w:tcPr>
          <w:p>
            <w:pPr>
              <w:spacing w:line="360" w:lineRule="auto"/>
              <w:rPr>
                <w:b/>
                <w:bCs/>
                <w:sz w:val="24"/>
              </w:rPr>
            </w:pPr>
            <w:r>
              <w:rPr>
                <w:rFonts w:hint="eastAsia"/>
                <w:b/>
                <w:bCs/>
                <w:sz w:val="24"/>
              </w:rPr>
              <w:t>1、</w:t>
            </w:r>
            <w:r>
              <w:rPr>
                <w:b/>
                <w:bCs/>
                <w:sz w:val="24"/>
              </w:rPr>
              <w:t>施工期工艺流程简述</w:t>
            </w:r>
          </w:p>
          <w:p>
            <w:pPr>
              <w:spacing w:line="360" w:lineRule="auto"/>
              <w:ind w:firstLine="480" w:firstLineChars="200"/>
              <w:rPr>
                <w:sz w:val="24"/>
              </w:rPr>
            </w:pPr>
            <w:r>
              <w:rPr>
                <w:sz w:val="24"/>
              </w:rPr>
              <w:t>本项目位于云南省楚雄州姚安县光禄镇旧城村，花卉种植大棚年产840吨的玫瑰花。</w:t>
            </w:r>
            <w:r>
              <w:rPr>
                <w:rFonts w:hint="eastAsia"/>
                <w:sz w:val="24"/>
              </w:rPr>
              <w:t>项目新建花卉种植大棚，</w:t>
            </w:r>
            <w:r>
              <w:rPr>
                <w:sz w:val="24"/>
              </w:rPr>
              <w:t>一台4t的天然气锅炉和一台2t生物质锅炉及其附属设施，以及新增部分环保设施，工程量较小，主要涉及锅炉的安装、花卉种植大棚、宿舍和食堂等的修建，施工过程中会产生少量施工废水、建筑垃圾及设备安装时的噪声。</w:t>
            </w:r>
          </w:p>
          <w:p>
            <w:pPr>
              <w:adjustRightInd w:val="0"/>
              <w:snapToGrid w:val="0"/>
              <w:spacing w:line="360" w:lineRule="auto"/>
              <w:ind w:firstLine="480" w:firstLineChars="200"/>
              <w:rPr>
                <w:sz w:val="24"/>
              </w:rPr>
            </w:pPr>
            <w:r>
              <w:rPr>
                <w:sz w:val="24"/>
              </w:rPr>
              <w:t>本项目施工过程中产生的污染物包括废气、污水、噪声和固废等，项目施工具有施工时间短，对环境的影响随着施工的结束而消失的特点。施工期工艺及污染环节见图2-1。</w:t>
            </w:r>
          </w:p>
          <w:p>
            <w:pPr>
              <w:adjustRightInd w:val="0"/>
              <w:snapToGrid w:val="0"/>
              <w:spacing w:line="360" w:lineRule="auto"/>
              <w:ind w:firstLine="200"/>
              <w:jc w:val="center"/>
              <w:rPr>
                <w:sz w:val="24"/>
              </w:rPr>
            </w:pPr>
            <w:r>
              <w:rPr>
                <w:sz w:val="24"/>
              </w:rPr>
              <mc:AlternateContent>
                <mc:Choice Requires="wpc">
                  <w:drawing>
                    <wp:inline distT="0" distB="0" distL="114300" distR="114300">
                      <wp:extent cx="4669790" cy="3270885"/>
                      <wp:effectExtent l="0" t="0" r="0" b="0"/>
                      <wp:docPr id="91" name="画布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6" name="文本框 64"/>
                              <wps:cNvSpPr txBox="1"/>
                              <wps:spPr>
                                <a:xfrm>
                                  <a:off x="106059" y="791360"/>
                                  <a:ext cx="1332407" cy="295331"/>
                                </a:xfrm>
                                <a:prstGeom prst="rect">
                                  <a:avLst/>
                                </a:prstGeom>
                                <a:noFill/>
                                <a:ln w="9525" cap="flat" cmpd="sng">
                                  <a:solidFill>
                                    <a:srgbClr val="000000"/>
                                  </a:solidFill>
                                  <a:prstDash val="solid"/>
                                  <a:miter/>
                                  <a:headEnd type="none" w="med" len="med"/>
                                  <a:tailEnd type="none" w="med" len="med"/>
                                </a:ln>
                              </wps:spPr>
                              <wps:txbx>
                                <w:txbxContent>
                                  <w:p>
                                    <w:r>
                                      <w:rPr>
                                        <w:rFonts w:hint="eastAsia"/>
                                      </w:rPr>
                                      <w:t>平整场地、道路建设</w:t>
                                    </w:r>
                                  </w:p>
                                </w:txbxContent>
                              </wps:txbx>
                              <wps:bodyPr upright="1"/>
                            </wps:wsp>
                            <wps:wsp>
                              <wps:cNvPr id="287" name="直接连接符 65"/>
                              <wps:cNvCnPr/>
                              <wps:spPr>
                                <a:xfrm flipV="1">
                                  <a:off x="3716515" y="2428701"/>
                                  <a:ext cx="7621" cy="385518"/>
                                </a:xfrm>
                                <a:prstGeom prst="line">
                                  <a:avLst/>
                                </a:prstGeom>
                                <a:ln w="9525" cap="flat" cmpd="sng">
                                  <a:solidFill>
                                    <a:srgbClr val="000000"/>
                                  </a:solidFill>
                                  <a:prstDash val="solid"/>
                                  <a:headEnd type="none" w="med" len="med"/>
                                  <a:tailEnd type="triangle" w="med" len="med"/>
                                </a:ln>
                              </wps:spPr>
                              <wps:bodyPr/>
                            </wps:wsp>
                            <wps:wsp>
                              <wps:cNvPr id="288" name="直接连接符 66"/>
                              <wps:cNvCnPr/>
                              <wps:spPr>
                                <a:xfrm flipH="1" flipV="1">
                                  <a:off x="770993" y="430612"/>
                                  <a:ext cx="635" cy="284534"/>
                                </a:xfrm>
                                <a:prstGeom prst="line">
                                  <a:avLst/>
                                </a:prstGeom>
                                <a:ln w="9525" cap="flat" cmpd="sng">
                                  <a:solidFill>
                                    <a:srgbClr val="000000"/>
                                  </a:solidFill>
                                  <a:prstDash val="dash"/>
                                  <a:headEnd type="none" w="med" len="med"/>
                                  <a:tailEnd type="triangle" w="med" len="med"/>
                                </a:ln>
                              </wps:spPr>
                              <wps:bodyPr/>
                            </wps:wsp>
                            <wps:wsp>
                              <wps:cNvPr id="289" name="文本框 67"/>
                              <wps:cNvSpPr txBox="1"/>
                              <wps:spPr>
                                <a:xfrm>
                                  <a:off x="163217" y="167672"/>
                                  <a:ext cx="1495624" cy="297236"/>
                                </a:xfrm>
                                <a:prstGeom prst="rect">
                                  <a:avLst/>
                                </a:prstGeom>
                                <a:noFill/>
                                <a:ln>
                                  <a:noFill/>
                                </a:ln>
                              </wps:spPr>
                              <wps:txbx>
                                <w:txbxContent>
                                  <w:p>
                                    <w:pPr>
                                      <w:jc w:val="center"/>
                                    </w:pPr>
                                    <w:r>
                                      <w:rPr>
                                        <w:rFonts w:hint="eastAsia"/>
                                      </w:rPr>
                                      <w:t>扬尘、噪声</w:t>
                                    </w:r>
                                  </w:p>
                                </w:txbxContent>
                              </wps:txbx>
                              <wps:bodyPr upright="1"/>
                            </wps:wsp>
                            <wps:wsp>
                              <wps:cNvPr id="290" name="文本框 68"/>
                              <wps:cNvSpPr txBox="1"/>
                              <wps:spPr>
                                <a:xfrm>
                                  <a:off x="1562308" y="167672"/>
                                  <a:ext cx="1543890" cy="297236"/>
                                </a:xfrm>
                                <a:prstGeom prst="rect">
                                  <a:avLst/>
                                </a:prstGeom>
                                <a:noFill/>
                                <a:ln>
                                  <a:noFill/>
                                </a:ln>
                              </wps:spPr>
                              <wps:txbx>
                                <w:txbxContent>
                                  <w:p>
                                    <w:pPr>
                                      <w:jc w:val="center"/>
                                    </w:pPr>
                                    <w:r>
                                      <w:rPr>
                                        <w:rFonts w:hint="eastAsia"/>
                                      </w:rPr>
                                      <w:t>扬尘、噪声</w:t>
                                    </w:r>
                                  </w:p>
                                </w:txbxContent>
                              </wps:txbx>
                              <wps:bodyPr upright="1"/>
                            </wps:wsp>
                            <wps:wsp>
                              <wps:cNvPr id="291" name="直接连接符 69"/>
                              <wps:cNvCnPr/>
                              <wps:spPr>
                                <a:xfrm flipV="1">
                                  <a:off x="3782563" y="449030"/>
                                  <a:ext cx="635" cy="342330"/>
                                </a:xfrm>
                                <a:prstGeom prst="line">
                                  <a:avLst/>
                                </a:prstGeom>
                                <a:ln w="9525" cap="flat" cmpd="sng">
                                  <a:solidFill>
                                    <a:srgbClr val="000000"/>
                                  </a:solidFill>
                                  <a:prstDash val="dash"/>
                                  <a:headEnd type="none" w="med" len="med"/>
                                  <a:tailEnd type="triangle" w="med" len="med"/>
                                </a:ln>
                              </wps:spPr>
                              <wps:bodyPr/>
                            </wps:wsp>
                            <wps:wsp>
                              <wps:cNvPr id="292" name="文本框 70"/>
                              <wps:cNvSpPr txBox="1"/>
                              <wps:spPr>
                                <a:xfrm>
                                  <a:off x="3307520" y="98444"/>
                                  <a:ext cx="800206" cy="297236"/>
                                </a:xfrm>
                                <a:prstGeom prst="rect">
                                  <a:avLst/>
                                </a:prstGeom>
                                <a:noFill/>
                                <a:ln>
                                  <a:noFill/>
                                </a:ln>
                              </wps:spPr>
                              <wps:txbx>
                                <w:txbxContent>
                                  <w:p>
                                    <w:pPr>
                                      <w:jc w:val="center"/>
                                    </w:pPr>
                                    <w:r>
                                      <w:rPr>
                                        <w:rFonts w:hint="eastAsia"/>
                                      </w:rPr>
                                      <w:t>扬尘、噪声</w:t>
                                    </w:r>
                                  </w:p>
                                </w:txbxContent>
                              </wps:txbx>
                              <wps:bodyPr upright="1"/>
                            </wps:wsp>
                            <wps:wsp>
                              <wps:cNvPr id="293" name="文本框 71"/>
                              <wps:cNvSpPr txBox="1"/>
                              <wps:spPr>
                                <a:xfrm>
                                  <a:off x="1868419" y="791360"/>
                                  <a:ext cx="1045349" cy="316290"/>
                                </a:xfrm>
                                <a:prstGeom prst="rect">
                                  <a:avLst/>
                                </a:prstGeom>
                                <a:noFill/>
                                <a:ln w="9525" cap="flat" cmpd="sng">
                                  <a:solidFill>
                                    <a:srgbClr val="000000"/>
                                  </a:solidFill>
                                  <a:prstDash val="solid"/>
                                  <a:miter/>
                                  <a:headEnd type="none" w="med" len="med"/>
                                  <a:tailEnd type="none" w="med" len="med"/>
                                </a:ln>
                              </wps:spPr>
                              <wps:txbx>
                                <w:txbxContent>
                                  <w:p>
                                    <w:pPr>
                                      <w:jc w:val="center"/>
                                      <w:rPr>
                                        <w:color w:val="FF0000"/>
                                      </w:rPr>
                                    </w:pPr>
                                    <w:r>
                                      <w:rPr>
                                        <w:rStyle w:val="31"/>
                                        <w:rFonts w:hint="eastAsia"/>
                                        <w:szCs w:val="21"/>
                                      </w:rPr>
                                      <w:t>建筑施工</w:t>
                                    </w:r>
                                  </w:p>
                                </w:txbxContent>
                              </wps:txbx>
                              <wps:bodyPr upright="1"/>
                            </wps:wsp>
                            <wps:wsp>
                              <wps:cNvPr id="294" name="直接连接符 72"/>
                              <wps:cNvCnPr/>
                              <wps:spPr>
                                <a:xfrm flipV="1">
                                  <a:off x="1465775" y="956492"/>
                                  <a:ext cx="440114" cy="8892"/>
                                </a:xfrm>
                                <a:prstGeom prst="line">
                                  <a:avLst/>
                                </a:prstGeom>
                                <a:ln w="9525" cap="flat" cmpd="sng">
                                  <a:solidFill>
                                    <a:srgbClr val="000000"/>
                                  </a:solidFill>
                                  <a:prstDash val="solid"/>
                                  <a:headEnd type="none" w="med" len="med"/>
                                  <a:tailEnd type="triangle" w="med" len="med"/>
                                </a:ln>
                              </wps:spPr>
                              <wps:bodyPr/>
                            </wps:wsp>
                            <wps:wsp>
                              <wps:cNvPr id="295" name="直接连接符 73"/>
                              <wps:cNvCnPr/>
                              <wps:spPr>
                                <a:xfrm flipV="1">
                                  <a:off x="2361879" y="395680"/>
                                  <a:ext cx="635" cy="395680"/>
                                </a:xfrm>
                                <a:prstGeom prst="line">
                                  <a:avLst/>
                                </a:prstGeom>
                                <a:ln w="9525" cap="flat" cmpd="sng">
                                  <a:solidFill>
                                    <a:srgbClr val="000000"/>
                                  </a:solidFill>
                                  <a:prstDash val="dash"/>
                                  <a:headEnd type="none" w="med" len="med"/>
                                  <a:tailEnd type="triangle" w="med" len="med"/>
                                </a:ln>
                              </wps:spPr>
                              <wps:bodyPr/>
                            </wps:wsp>
                            <wps:wsp>
                              <wps:cNvPr id="296" name="文本框 74"/>
                              <wps:cNvSpPr txBox="1"/>
                              <wps:spPr>
                                <a:xfrm>
                                  <a:off x="3297359" y="1328037"/>
                                  <a:ext cx="932304" cy="334709"/>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设备清洗</w:t>
                                    </w:r>
                                  </w:p>
                                </w:txbxContent>
                              </wps:txbx>
                              <wps:bodyPr upright="1"/>
                            </wps:wsp>
                            <wps:wsp>
                              <wps:cNvPr id="297" name="文本框 75"/>
                              <wps:cNvSpPr txBox="1"/>
                              <wps:spPr>
                                <a:xfrm>
                                  <a:off x="3153830" y="2083831"/>
                                  <a:ext cx="1160299" cy="334709"/>
                                </a:xfrm>
                                <a:prstGeom prst="rect">
                                  <a:avLst/>
                                </a:prstGeom>
                                <a:noFill/>
                                <a:ln w="9525" cap="flat" cmpd="sng">
                                  <a:solidFill>
                                    <a:srgbClr val="000000"/>
                                  </a:solidFill>
                                  <a:prstDash val="solid"/>
                                  <a:miter/>
                                  <a:headEnd type="none" w="med" len="med"/>
                                  <a:tailEnd type="none" w="med" len="med"/>
                                </a:ln>
                              </wps:spPr>
                              <wps:txbx>
                                <w:txbxContent>
                                  <w:p>
                                    <w:pPr>
                                      <w:jc w:val="center"/>
                                      <w:rPr>
                                        <w:color w:val="000000"/>
                                        <w:szCs w:val="21"/>
                                      </w:rPr>
                                    </w:pPr>
                                    <w:r>
                                      <w:rPr>
                                        <w:rFonts w:hint="eastAsia" w:hAnsi="宋体"/>
                                        <w:bCs/>
                                        <w:color w:val="000000"/>
                                        <w:szCs w:val="21"/>
                                      </w:rPr>
                                      <w:t>生活污水收集池</w:t>
                                    </w:r>
                                  </w:p>
                                </w:txbxContent>
                              </wps:txbx>
                              <wps:bodyPr upright="1"/>
                            </wps:wsp>
                            <wps:wsp>
                              <wps:cNvPr id="298" name="直接连接符 76"/>
                              <wps:cNvCnPr/>
                              <wps:spPr>
                                <a:xfrm>
                                  <a:off x="3714609" y="1677989"/>
                                  <a:ext cx="635" cy="396315"/>
                                </a:xfrm>
                                <a:prstGeom prst="line">
                                  <a:avLst/>
                                </a:prstGeom>
                                <a:ln w="9525" cap="flat" cmpd="sng">
                                  <a:solidFill>
                                    <a:srgbClr val="000000"/>
                                  </a:solidFill>
                                  <a:prstDash val="solid"/>
                                  <a:headEnd type="none" w="med" len="med"/>
                                  <a:tailEnd type="triangle" w="med" len="med"/>
                                </a:ln>
                              </wps:spPr>
                              <wps:bodyPr/>
                            </wps:wsp>
                            <wps:wsp>
                              <wps:cNvPr id="299" name="文本框 78"/>
                              <wps:cNvSpPr txBox="1"/>
                              <wps:spPr>
                                <a:xfrm>
                                  <a:off x="3325303" y="2823747"/>
                                  <a:ext cx="798936" cy="334709"/>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施工人员</w:t>
                                    </w:r>
                                  </w:p>
                                </w:txbxContent>
                              </wps:txbx>
                              <wps:bodyPr upright="1"/>
                            </wps:wsp>
                            <wps:wsp>
                              <wps:cNvPr id="300" name="文本框 79"/>
                              <wps:cNvSpPr txBox="1"/>
                              <wps:spPr>
                                <a:xfrm>
                                  <a:off x="3685395" y="1710380"/>
                                  <a:ext cx="828785" cy="297236"/>
                                </a:xfrm>
                                <a:prstGeom prst="rect">
                                  <a:avLst/>
                                </a:prstGeom>
                                <a:noFill/>
                                <a:ln>
                                  <a:noFill/>
                                </a:ln>
                              </wps:spPr>
                              <wps:txbx>
                                <w:txbxContent>
                                  <w:p>
                                    <w:pPr>
                                      <w:jc w:val="center"/>
                                    </w:pPr>
                                    <w:r>
                                      <w:rPr>
                                        <w:rFonts w:hint="eastAsia"/>
                                      </w:rPr>
                                      <w:t>清洗废水</w:t>
                                    </w:r>
                                  </w:p>
                                </w:txbxContent>
                              </wps:txbx>
                              <wps:bodyPr upright="1"/>
                            </wps:wsp>
                            <wps:wsp>
                              <wps:cNvPr id="301" name="文本框 80"/>
                              <wps:cNvSpPr txBox="1"/>
                              <wps:spPr>
                                <a:xfrm>
                                  <a:off x="3488519" y="2457917"/>
                                  <a:ext cx="930399" cy="297236"/>
                                </a:xfrm>
                                <a:prstGeom prst="rect">
                                  <a:avLst/>
                                </a:prstGeom>
                                <a:noFill/>
                                <a:ln>
                                  <a:noFill/>
                                </a:ln>
                              </wps:spPr>
                              <wps:txbx>
                                <w:txbxContent>
                                  <w:p>
                                    <w:pPr>
                                      <w:jc w:val="center"/>
                                    </w:pPr>
                                    <w:r>
                                      <w:rPr>
                                        <w:rFonts w:hint="eastAsia"/>
                                      </w:rPr>
                                      <w:t>污水</w:t>
                                    </w:r>
                                  </w:p>
                                </w:txbxContent>
                              </wps:txbx>
                              <wps:bodyPr upright="1"/>
                            </wps:wsp>
                            <wps:wsp>
                              <wps:cNvPr id="302" name="直接连接符 81"/>
                              <wps:cNvCnPr/>
                              <wps:spPr>
                                <a:xfrm flipV="1">
                                  <a:off x="2943617" y="974910"/>
                                  <a:ext cx="363903" cy="8892"/>
                                </a:xfrm>
                                <a:prstGeom prst="line">
                                  <a:avLst/>
                                </a:prstGeom>
                                <a:ln w="9525" cap="flat" cmpd="sng">
                                  <a:solidFill>
                                    <a:srgbClr val="000000"/>
                                  </a:solidFill>
                                  <a:prstDash val="solid"/>
                                  <a:headEnd type="none" w="med" len="med"/>
                                  <a:tailEnd type="triangle" w="med" len="med"/>
                                </a:ln>
                              </wps:spPr>
                              <wps:bodyPr/>
                            </wps:wsp>
                            <wps:wsp>
                              <wps:cNvPr id="303" name="文本框 82"/>
                              <wps:cNvSpPr txBox="1"/>
                              <wps:spPr>
                                <a:xfrm>
                                  <a:off x="3307520" y="791360"/>
                                  <a:ext cx="932304" cy="323276"/>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设备安装</w:t>
                                    </w:r>
                                  </w:p>
                                </w:txbxContent>
                              </wps:txbx>
                              <wps:bodyPr upright="1"/>
                            </wps:wsp>
                            <wps:wsp>
                              <wps:cNvPr id="304" name="直接连接符 88"/>
                              <wps:cNvCnPr/>
                              <wps:spPr>
                                <a:xfrm>
                                  <a:off x="3789549" y="1103840"/>
                                  <a:ext cx="0" cy="228643"/>
                                </a:xfrm>
                                <a:prstGeom prst="line">
                                  <a:avLst/>
                                </a:prstGeom>
                                <a:ln w="9525" cap="flat" cmpd="sng">
                                  <a:solidFill>
                                    <a:srgbClr val="000000"/>
                                  </a:solidFill>
                                  <a:prstDash val="solid"/>
                                  <a:headEnd type="none" w="med" len="med"/>
                                  <a:tailEnd type="triangle" w="med" len="med"/>
                                </a:ln>
                              </wps:spPr>
                              <wps:bodyPr/>
                            </wps:wsp>
                            <wps:wsp>
                              <wps:cNvPr id="305" name="直接连接符 89"/>
                              <wps:cNvCnPr/>
                              <wps:spPr>
                                <a:xfrm flipH="1" flipV="1">
                                  <a:off x="2732769" y="3012377"/>
                                  <a:ext cx="589994" cy="5716"/>
                                </a:xfrm>
                                <a:prstGeom prst="line">
                                  <a:avLst/>
                                </a:prstGeom>
                                <a:ln w="9525" cap="flat" cmpd="sng">
                                  <a:solidFill>
                                    <a:srgbClr val="000000"/>
                                  </a:solidFill>
                                  <a:prstDash val="solid"/>
                                  <a:headEnd type="none" w="med" len="med"/>
                                  <a:tailEnd type="triangle" w="med" len="med"/>
                                </a:ln>
                              </wps:spPr>
                              <wps:bodyPr/>
                            </wps:wsp>
                            <wps:wsp>
                              <wps:cNvPr id="306" name="文本框 90"/>
                              <wps:cNvSpPr txBox="1"/>
                              <wps:spPr>
                                <a:xfrm>
                                  <a:off x="1644015" y="2546350"/>
                                  <a:ext cx="1057275" cy="664210"/>
                                </a:xfrm>
                                <a:prstGeom prst="rect">
                                  <a:avLst/>
                                </a:prstGeom>
                                <a:noFill/>
                                <a:ln w="9525" cap="flat" cmpd="sng">
                                  <a:solidFill>
                                    <a:srgbClr val="000000"/>
                                  </a:solidFill>
                                  <a:prstDash val="dashDot"/>
                                  <a:miter/>
                                  <a:headEnd type="none" w="med" len="med"/>
                                  <a:tailEnd type="none" w="med" len="med"/>
                                </a:ln>
                              </wps:spPr>
                              <wps:txbx>
                                <w:txbxContent>
                                  <w:p>
                                    <w:pPr>
                                      <w:jc w:val="center"/>
                                      <w:rPr>
                                        <w:szCs w:val="21"/>
                                      </w:rPr>
                                    </w:pPr>
                                    <w:r>
                                      <w:rPr>
                                        <w:rFonts w:hint="eastAsia"/>
                                        <w:color w:val="000000"/>
                                        <w:szCs w:val="21"/>
                                      </w:rPr>
                                      <w:t>生活垃圾委托有资质的环卫部门清运</w:t>
                                    </w:r>
                                  </w:p>
                                  <w:p/>
                                </w:txbxContent>
                              </wps:txbx>
                              <wps:bodyPr upright="1"/>
                            </wps:wsp>
                          </wpc:wpc>
                        </a:graphicData>
                      </a:graphic>
                    </wp:inline>
                  </w:drawing>
                </mc:Choice>
                <mc:Fallback>
                  <w:pict>
                    <v:group id="_x0000_s1026" o:spid="_x0000_s1026" o:spt="203" style="height:257.55pt;width:367.7pt;" coordsize="4669790,3270885" editas="canvas" o:gfxdata="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">
                      <o:lock v:ext="edit" aspectratio="f"/>
                      <v:shape id="_x0000_s1026" o:spid="_x0000_s1026" style="position:absolute;left:0;top:0;height:3270885;width:4669790;" filled="f" stroked="f" coordsize="21600,21600" o:gfxdata="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">
                        <v:fill on="f" focussize="0,0"/>
                        <v:stroke on="f"/>
                        <v:imagedata o:title=""/>
                        <o:lock v:ext="edit" aspectratio="t"/>
                      </v:shape>
                      <v:shape id="文本框 64" o:spid="_x0000_s1026" o:spt="202" type="#_x0000_t202" style="position:absolute;left:106059;top:791360;height:295331;width:1332407;" filled="f" stroked="t" coordsize="21600,21600" o:gfxdata="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7Ot3tQAAAAFAQAADwAAAAAAAAAB&#10;ACAAAAAiAAAAZHJzL2Rvd25yZXYueG1sUEsBAhQAFAAAAAgAh07iQEo//zgUAgAAGgQAAA4AAAAA&#10;AAAAAQAgAAAAIwEAAGRycy9lMm9Eb2MueG1sUEsFBgAAAAAGAAYAWQEAAKkFAAAAAA==&#10;">
                        <v:fill on="f" focussize="0,0"/>
                        <v:stroke color="#000000" joinstyle="miter"/>
                        <v:imagedata o:title=""/>
                        <o:lock v:ext="edit" aspectratio="f"/>
                        <v:textbox>
                          <w:txbxContent>
                            <w:p>
                              <w:r>
                                <w:rPr>
                                  <w:rFonts w:hint="eastAsia"/>
                                </w:rPr>
                                <w:t>平整场地、道路建设</w:t>
                              </w:r>
                            </w:p>
                          </w:txbxContent>
                        </v:textbox>
                      </v:shape>
                      <v:line id="直接连接符 65" o:spid="_x0000_s1026" o:spt="20" style="position:absolute;left:3716515;top:2428701;flip:y;height:385518;width:7621;" filled="f" stroked="t" coordsize="21600,21600" o:gfxdata="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vFkgj1wAAAAUBAAAPAAAAAAAAAAEAIAAA&#10;ACIAAABkcnMvZG93bnJldi54bWxQSwECFAAUAAAACACHTuJAu3aeoQ0CAAD3AwAADgAAAAAAAAAB&#10;ACAAAAAmAQAAZHJzL2Uyb0RvYy54bWxQSwUGAAAAAAYABgBZAQAApQUAAAAA&#10;">
                        <v:fill on="f" focussize="0,0"/>
                        <v:stroke color="#000000" joinstyle="round" endarrow="block"/>
                        <v:imagedata o:title=""/>
                        <o:lock v:ext="edit" aspectratio="f"/>
                      </v:line>
                      <v:line id="直接连接符 66" o:spid="_x0000_s1026" o:spt="20" style="position:absolute;left:770993;top:430612;flip:x y;height:284534;width:635;" filled="f" stroked="t" coordsize="21600,21600" o:gfxdata="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222Tc0wAAAAUBAAAPAAAAAAAAAAEAIAAA&#10;ACIAAABkcnMvZG93bnJldi54bWxQSwECFAAUAAAACACHTuJAF5v9GBECAAD9AwAADgAAAAAAAAAB&#10;ACAAAAAiAQAAZHJzL2Uyb0RvYy54bWxQSwUGAAAAAAYABgBZAQAApQUAAAAA&#10;">
                        <v:fill on="f" focussize="0,0"/>
                        <v:stroke color="#000000" joinstyle="round" dashstyle="dash" endarrow="block"/>
                        <v:imagedata o:title=""/>
                        <o:lock v:ext="edit" aspectratio="f"/>
                      </v:line>
                      <v:shape id="文本框 67" o:spid="_x0000_s1026" o:spt="202" type="#_x0000_t202" style="position:absolute;left:163217;top:167672;height:297236;width:1495624;" filled="f" stroked="f" coordsize="21600,21600" o:gfxdata="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bROa3UAAAABQEAAA8AAAAAAAAAAQAgAAAAIgAAAGRycy9kb3ducmV2LnhtbFBLAQIUABQAAAAI&#10;AIdO4kC53aU5uAEAAFsDAAAOAAAAAAAAAAEAIAAAACMBAABkcnMvZTJvRG9jLnhtbFBLBQYAAAAA&#10;BgAGAFkBAABNBQAAAAA=&#10;">
                        <v:fill on="f" focussize="0,0"/>
                        <v:stroke on="f"/>
                        <v:imagedata o:title=""/>
                        <o:lock v:ext="edit" aspectratio="f"/>
                        <v:textbox>
                          <w:txbxContent>
                            <w:p>
                              <w:pPr>
                                <w:jc w:val="center"/>
                              </w:pPr>
                              <w:r>
                                <w:rPr>
                                  <w:rFonts w:hint="eastAsia"/>
                                </w:rPr>
                                <w:t>扬尘、噪声</w:t>
                              </w:r>
                            </w:p>
                          </w:txbxContent>
                        </v:textbox>
                      </v:shape>
                      <v:shape id="文本框 68" o:spid="_x0000_s1026" o:spt="202" type="#_x0000_t202" style="position:absolute;left:1562308;top:167672;height:297236;width:1543890;" filled="f" stroked="f" coordsize="21600,21600" o:gfxdata="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tE5rdQAAAAFAQAADwAAAAAAAAABACAAAAAiAAAAZHJzL2Rvd25yZXYueG1sUEsBAhQAFAAAAAgA&#10;h07iQK7eOLC3AQAAXAMAAA4AAAAAAAAAAQAgAAAAIwEAAGRycy9lMm9Eb2MueG1sUEsFBgAAAAAG&#10;AAYAWQEAAEwFAAAAAA==&#10;">
                        <v:fill on="f" focussize="0,0"/>
                        <v:stroke on="f"/>
                        <v:imagedata o:title=""/>
                        <o:lock v:ext="edit" aspectratio="f"/>
                        <v:textbox>
                          <w:txbxContent>
                            <w:p>
                              <w:pPr>
                                <w:jc w:val="center"/>
                              </w:pPr>
                              <w:r>
                                <w:rPr>
                                  <w:rFonts w:hint="eastAsia"/>
                                </w:rPr>
                                <w:t>扬尘、噪声</w:t>
                              </w:r>
                            </w:p>
                          </w:txbxContent>
                        </v:textbox>
                      </v:shape>
                      <v:line id="直接连接符 69" o:spid="_x0000_s1026" o:spt="20" style="position:absolute;left:3782563;top:449030;flip:y;height:342330;width:635;" filled="f" stroked="t" coordsize="21600,21600" o:gfxdata="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Omm1AAAAAUBAAAPAAAAAAAAAAEAIAAAACIA&#10;AABkcnMvZG93bnJldi54bWxQSwECFAAUAAAACACHTuJAtSlX7Q0CAAD0AwAADgAAAAAAAAABACAA&#10;AAAjAQAAZHJzL2Uyb0RvYy54bWxQSwUGAAAAAAYABgBZAQAAogUAAAAA&#10;">
                        <v:fill on="f" focussize="0,0"/>
                        <v:stroke color="#000000" joinstyle="round" dashstyle="dash" endarrow="block"/>
                        <v:imagedata o:title=""/>
                        <o:lock v:ext="edit" aspectratio="f"/>
                      </v:line>
                      <v:shape id="文本框 70" o:spid="_x0000_s1026" o:spt="202" type="#_x0000_t202" style="position:absolute;left:3307520;top:98444;height:297236;width:800206;" filled="f" stroked="f" coordsize="21600,21600" o:gfxdata="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bROa3UAAAABQEAAA8AAAAAAAAAAQAgAAAAIgAAAGRycy9kb3ducmV2LnhtbFBLAQIUABQAAAAI&#10;AIdO4kA3uUEvuAEAAFoDAAAOAAAAAAAAAAEAIAAAACMBAABkcnMvZTJvRG9jLnhtbFBLBQYAAAAA&#10;BgAGAFkBAABNBQAAAAA=&#10;">
                        <v:fill on="f" focussize="0,0"/>
                        <v:stroke on="f"/>
                        <v:imagedata o:title=""/>
                        <o:lock v:ext="edit" aspectratio="f"/>
                        <v:textbox>
                          <w:txbxContent>
                            <w:p>
                              <w:pPr>
                                <w:jc w:val="center"/>
                              </w:pPr>
                              <w:r>
                                <w:rPr>
                                  <w:rFonts w:hint="eastAsia"/>
                                </w:rPr>
                                <w:t>扬尘、噪声</w:t>
                              </w:r>
                            </w:p>
                          </w:txbxContent>
                        </v:textbox>
                      </v:shape>
                      <v:shape id="文本框 71" o:spid="_x0000_s1026" o:spt="202" type="#_x0000_t202" style="position:absolute;left:1868419;top:791360;height:316290;width:1045349;" filled="f" stroked="t" coordsize="21600,21600" o:gfxdata="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s63e1AAAAAUBAAAPAAAAAAAAAAEA&#10;IAAAACIAAABkcnMvZG93bnJldi54bWxQSwECFAAUAAAACACHTuJAbeE7nhMCAAAbBAAADgAAAAAA&#10;AAABACAAAAAjAQAAZHJzL2Uyb0RvYy54bWxQSwUGAAAAAAYABgBZAQAAqAUAAAAA&#10;">
                        <v:fill on="f" focussize="0,0"/>
                        <v:stroke color="#000000" joinstyle="miter"/>
                        <v:imagedata o:title=""/>
                        <o:lock v:ext="edit" aspectratio="f"/>
                        <v:textbox>
                          <w:txbxContent>
                            <w:p>
                              <w:pPr>
                                <w:jc w:val="center"/>
                                <w:rPr>
                                  <w:color w:val="FF0000"/>
                                </w:rPr>
                              </w:pPr>
                              <w:r>
                                <w:rPr>
                                  <w:rStyle w:val="31"/>
                                  <w:rFonts w:hint="eastAsia"/>
                                  <w:szCs w:val="21"/>
                                </w:rPr>
                                <w:t>建筑施工</w:t>
                              </w:r>
                            </w:p>
                          </w:txbxContent>
                        </v:textbox>
                      </v:shape>
                      <v:line id="直接连接符 72" o:spid="_x0000_s1026" o:spt="20" style="position:absolute;left:1465775;top:956492;flip:y;height:8892;width:440114;" filled="f" stroked="t" coordsize="21600,21600" o:gfxdata="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xZII9cAAAAFAQAADwAAAAAAAAABACAAAAAi&#10;AAAAZHJzL2Rvd25yZXYueG1sUEsBAhQAFAAAAAgAh07iQAXG8+ULAgAA9gMAAA4AAAAAAAAAAQAg&#10;AAAAJgEAAGRycy9lMm9Eb2MueG1sUEsFBgAAAAAGAAYAWQEAAKMFAAAAAA==&#10;">
                        <v:fill on="f" focussize="0,0"/>
                        <v:stroke color="#000000" joinstyle="round" endarrow="block"/>
                        <v:imagedata o:title=""/>
                        <o:lock v:ext="edit" aspectratio="f"/>
                      </v:line>
                      <v:line id="直接连接符 73" o:spid="_x0000_s1026" o:spt="20" style="position:absolute;left:2361879;top:395680;flip:y;height:395680;width:635;" filled="f" stroked="t" coordsize="21600,21600" o:gfxdata="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Omm1AAAAAUBAAAPAAAAAAAAAAEAIAAAACIAAABkcnMv&#10;ZG93bnJldi54bWxQSwECFAAUAAAACACHTuJAs00rXAcCAAD0AwAADgAAAAAAAAABACAAAAAjAQAA&#10;ZHJzL2Uyb0RvYy54bWxQSwUGAAAAAAYABgBZAQAAnAUAAAAA&#10;">
                        <v:fill on="f" focussize="0,0"/>
                        <v:stroke color="#000000" joinstyle="round" dashstyle="dash" endarrow="block"/>
                        <v:imagedata o:title=""/>
                        <o:lock v:ext="edit" aspectratio="f"/>
                      </v:line>
                      <v:shape id="文本框 74" o:spid="_x0000_s1026" o:spt="202" type="#_x0000_t202" style="position:absolute;left:3297359;top:1328037;height:334709;width:932304;" filled="f" stroked="t" coordsize="21600,21600" o:gfxdata="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s63e1AAAAAUBAAAPAAAAAAAAAAEA&#10;IAAAACIAAABkcnMvZG93bnJldi54bWxQSwECFAAUAAAACACHTuJAwSQYlBMCAAAbBAAADgAAAAAA&#10;AAABACAAAAAjAQAAZHJzL2Uyb0RvYy54bWxQSwUGAAAAAAYABgBZAQAAqAUAAAAA&#10;">
                        <v:fill on="f" focussize="0,0"/>
                        <v:stroke color="#000000" joinstyle="miter"/>
                        <v:imagedata o:title=""/>
                        <o:lock v:ext="edit" aspectratio="f"/>
                        <v:textbox>
                          <w:txbxContent>
                            <w:p>
                              <w:pPr>
                                <w:jc w:val="center"/>
                              </w:pPr>
                              <w:r>
                                <w:rPr>
                                  <w:rFonts w:hint="eastAsia"/>
                                </w:rPr>
                                <w:t>设备清洗</w:t>
                              </w:r>
                            </w:p>
                          </w:txbxContent>
                        </v:textbox>
                      </v:shape>
                      <v:shape id="文本框 75" o:spid="_x0000_s1026" o:spt="202" type="#_x0000_t202" style="position:absolute;left:3153830;top:2083831;height:334709;width:1160299;" filled="f" stroked="t" coordsize="21600,21600" o:gfxdata="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s63e1AAAAAUBAAAPAAAAAAAAAAEA&#10;IAAAACIAAABkcnMvZG93bnJldi54bWxQSwECFAAUAAAACACHTuJAOwPSixMCAAAcBAAADgAAAAAA&#10;AAABACAAAAAjAQAAZHJzL2Uyb0RvYy54bWxQSwUGAAAAAAYABgBZAQAAqAUAAAAA&#10;">
                        <v:fill on="f" focussize="0,0"/>
                        <v:stroke color="#000000" joinstyle="miter"/>
                        <v:imagedata o:title=""/>
                        <o:lock v:ext="edit" aspectratio="f"/>
                        <v:textbox>
                          <w:txbxContent>
                            <w:p>
                              <w:pPr>
                                <w:jc w:val="center"/>
                                <w:rPr>
                                  <w:color w:val="000000"/>
                                  <w:szCs w:val="21"/>
                                </w:rPr>
                              </w:pPr>
                              <w:r>
                                <w:rPr>
                                  <w:rFonts w:hint="eastAsia" w:hAnsi="宋体"/>
                                  <w:bCs/>
                                  <w:color w:val="000000"/>
                                  <w:szCs w:val="21"/>
                                </w:rPr>
                                <w:t>生活污水收集池</w:t>
                              </w:r>
                            </w:p>
                          </w:txbxContent>
                        </v:textbox>
                      </v:shape>
                      <v:line id="直接连接符 76" o:spid="_x0000_s1026" o:spt="20" style="position:absolute;left:3714609;top:1677989;height:396315;width:635;" filled="f" stroked="t" coordsize="21600,21600" o:gfxdata="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&#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d+3XDYAAAABQEAAA8AAAAAAAAAAQAgAAAAIgAAAGRy&#10;cy9kb3ducmV2LnhtbFBLAQIUABQAAAAIAIdO4kBxzLfTBQIAAOwDAAAOAAAAAAAAAAEAIAAAACcB&#10;AABkcnMvZTJvRG9jLnhtbFBLBQYAAAAABgAGAFkBAACeBQAAAAA=&#10;">
                        <v:fill on="f" focussize="0,0"/>
                        <v:stroke color="#000000" joinstyle="round" endarrow="block"/>
                        <v:imagedata o:title=""/>
                        <o:lock v:ext="edit" aspectratio="f"/>
                      </v:line>
                      <v:shape id="文本框 78" o:spid="_x0000_s1026" o:spt="202" type="#_x0000_t202" style="position:absolute;left:3325303;top:2823747;height:334709;width:798936;" filled="f" stroked="t" coordsize="21600,21600" o:gfxdata="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7Ot3tQAAAAFAQAADwAAAAAAAAAB&#10;ACAAAAAiAAAAZHJzL2Rvd25yZXYueG1sUEsBAhQAFAAAAAgAh07iQHq9ncwUAgAAGwQAAA4AAAAA&#10;AAAAAQAgAAAAIwEAAGRycy9lMm9Eb2MueG1sUEsFBgAAAAAGAAYAWQEAAKkFAAAAAA==&#10;">
                        <v:fill on="f" focussize="0,0"/>
                        <v:stroke color="#000000" joinstyle="miter"/>
                        <v:imagedata o:title=""/>
                        <o:lock v:ext="edit" aspectratio="f"/>
                        <v:textbox>
                          <w:txbxContent>
                            <w:p>
                              <w:pPr>
                                <w:jc w:val="center"/>
                              </w:pPr>
                              <w:r>
                                <w:rPr>
                                  <w:rFonts w:hint="eastAsia"/>
                                </w:rPr>
                                <w:t>施工人员</w:t>
                              </w:r>
                            </w:p>
                          </w:txbxContent>
                        </v:textbox>
                      </v:shape>
                      <v:shape id="文本框 79" o:spid="_x0000_s1026" o:spt="202" type="#_x0000_t202" style="position:absolute;left:3685395;top:1710380;height:297236;width:828785;" filled="f" stroked="f" coordsize="21600,21600" o:gfxdata="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G0Tmt1AAAAAUBAAAPAAAAAAAAAAEAIAAAACIAAABkcnMvZG93bnJldi54bWxQSwECFAAUAAAA&#10;CACHTuJAKeB9G7kBAABcAwAADgAAAAAAAAABACAAAAAjAQAAZHJzL2Uyb0RvYy54bWxQSwUGAAAA&#10;AAYABgBZAQAATgUAAAAA&#10;">
                        <v:fill on="f" focussize="0,0"/>
                        <v:stroke on="f"/>
                        <v:imagedata o:title=""/>
                        <o:lock v:ext="edit" aspectratio="f"/>
                        <v:textbox>
                          <w:txbxContent>
                            <w:p>
                              <w:pPr>
                                <w:jc w:val="center"/>
                              </w:pPr>
                              <w:r>
                                <w:rPr>
                                  <w:rFonts w:hint="eastAsia"/>
                                </w:rPr>
                                <w:t>清洗废水</w:t>
                              </w:r>
                            </w:p>
                          </w:txbxContent>
                        </v:textbox>
                      </v:shape>
                      <v:shape id="文本框 80" o:spid="_x0000_s1026" o:spt="202" type="#_x0000_t202" style="position:absolute;left:3488519;top:2457917;height:297236;width:930399;" filled="f" stroked="f" coordsize="21600,21600" o:gfxdata="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tE5rdQAAAAFAQAADwAAAAAAAAABACAAAAAiAAAAZHJzL2Rvd25yZXYueG1sUEsBAhQAFAAA&#10;AAgAh07iQBHwXC66AQAAXAMAAA4AAAAAAAAAAQAgAAAAIwEAAGRycy9lMm9Eb2MueG1sUEsFBgAA&#10;AAAGAAYAWQEAAE8FAAAAAA==&#10;">
                        <v:fill on="f" focussize="0,0"/>
                        <v:stroke on="f"/>
                        <v:imagedata o:title=""/>
                        <o:lock v:ext="edit" aspectratio="f"/>
                        <v:textbox>
                          <w:txbxContent>
                            <w:p>
                              <w:pPr>
                                <w:jc w:val="center"/>
                              </w:pPr>
                              <w:r>
                                <w:rPr>
                                  <w:rFonts w:hint="eastAsia"/>
                                </w:rPr>
                                <w:t>污水</w:t>
                              </w:r>
                            </w:p>
                          </w:txbxContent>
                        </v:textbox>
                      </v:shape>
                      <v:line id="直接连接符 81" o:spid="_x0000_s1026" o:spt="20" style="position:absolute;left:2943617;top:974910;flip:y;height:8892;width:363903;" filled="f" stroked="t" coordsize="21600,21600" o:gfxdata="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vFkgj1wAAAAUBAAAPAAAAAAAAAAEAIAAA&#10;ACIAAABkcnMvZG93bnJldi54bWxQSwECFAAUAAAACACHTuJAgLOA8w0CAAD2AwAADgAAAAAAAAAB&#10;ACAAAAAmAQAAZHJzL2Uyb0RvYy54bWxQSwUGAAAAAAYABgBZAQAApQUAAAAA&#10;">
                        <v:fill on="f" focussize="0,0"/>
                        <v:stroke color="#000000" joinstyle="round" endarrow="block"/>
                        <v:imagedata o:title=""/>
                        <o:lock v:ext="edit" aspectratio="f"/>
                      </v:line>
                      <v:shape id="文本框 82" o:spid="_x0000_s1026" o:spt="202" type="#_x0000_t202" style="position:absolute;left:3307520;top:791360;height:323276;width:932304;" filled="f" stroked="t" coordsize="21600,21600" o:gfxdata="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7Ot3tQAAAAFAQAADwAAAAAAAAABACAA&#10;AAAiAAAAZHJzL2Rvd25yZXYueG1sUEsBAhQAFAAAAAgAh07iQD4YMPsRAgAAGgQAAA4AAAAAAAAA&#10;AQAgAAAAIwEAAGRycy9lMm9Eb2MueG1sUEsFBgAAAAAGAAYAWQEAAKYFAAAAAA==&#10;">
                        <v:fill on="f" focussize="0,0"/>
                        <v:stroke color="#000000" joinstyle="miter"/>
                        <v:imagedata o:title=""/>
                        <o:lock v:ext="edit" aspectratio="f"/>
                        <v:textbox>
                          <w:txbxContent>
                            <w:p>
                              <w:pPr>
                                <w:jc w:val="center"/>
                              </w:pPr>
                              <w:r>
                                <w:rPr>
                                  <w:rFonts w:hint="eastAsia"/>
                                </w:rPr>
                                <w:t>设备安装</w:t>
                              </w:r>
                            </w:p>
                          </w:txbxContent>
                        </v:textbox>
                      </v:shape>
                      <v:line id="直接连接符 88" o:spid="_x0000_s1026" o:spt="20" style="position:absolute;left:3789549;top:1103840;height:228643;width:0;" filled="f" stroked="t" coordsize="21600,21600" o:gfxdata="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37dcNgAAAAFAQAADwAAAAAAAAABACAAAAAiAAAAZHJzL2Rv&#10;d25yZXYueG1sUEsBAhQAFAAAAAgAh07iQPAl7FsBAgAA6gMAAA4AAAAAAAAAAQAgAAAAJwEAAGRy&#10;cy9lMm9Eb2MueG1sUEsFBgAAAAAGAAYAWQEAAJoFAAAAAA==&#10;">
                        <v:fill on="f" focussize="0,0"/>
                        <v:stroke color="#000000" joinstyle="round" endarrow="block"/>
                        <v:imagedata o:title=""/>
                        <o:lock v:ext="edit" aspectratio="f"/>
                      </v:line>
                      <v:line id="直接连接符 89" o:spid="_x0000_s1026" o:spt="20" style="position:absolute;left:2732769;top:3012377;flip:x y;height:5716;width:589994;" filled="f" stroked="t" coordsize="21600,21600" o:gfxdata="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wTHV1wAAAAUBAAAPAAAAAAAA&#10;AAEAIAAAACIAAABkcnMvZG93bnJldi54bWxQSwECFAAUAAAACACHTuJA3dZ+bxMCAAABBAAADgAA&#10;AAAAAAABACAAAAAmAQAAZHJzL2Uyb0RvYy54bWxQSwUGAAAAAAYABgBZAQAAqwUAAAAA&#10;">
                        <v:fill on="f" focussize="0,0"/>
                        <v:stroke color="#000000" joinstyle="round" endarrow="block"/>
                        <v:imagedata o:title=""/>
                        <o:lock v:ext="edit" aspectratio="f"/>
                      </v:line>
                      <v:shape id="文本框 90" o:spid="_x0000_s1026" o:spt="202" type="#_x0000_t202" style="position:absolute;left:1644015;top:2546350;height:664210;width:1057275;" filled="f" stroked="t" coordsize="21600,21600" o:gfxdata="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KmErdQAAAAFAQAADwAAAAAAAAAB&#10;ACAAAAAiAAAAZHJzL2Rvd25yZXYueG1sUEsBAhQAFAAAAAgAh07iQFdkgbQUAgAAHgQAAA4AAAAA&#10;AAAAAQAgAAAAIwEAAGRycy9lMm9Eb2MueG1sUEsFBgAAAAAGAAYAWQEAAKkFAAAAAA==&#10;">
                        <v:fill on="f" focussize="0,0"/>
                        <v:stroke color="#000000" joinstyle="miter" dashstyle="dashDot"/>
                        <v:imagedata o:title=""/>
                        <o:lock v:ext="edit" aspectratio="f"/>
                        <v:textbox>
                          <w:txbxContent>
                            <w:p>
                              <w:pPr>
                                <w:jc w:val="center"/>
                                <w:rPr>
                                  <w:szCs w:val="21"/>
                                </w:rPr>
                              </w:pPr>
                              <w:r>
                                <w:rPr>
                                  <w:rFonts w:hint="eastAsia"/>
                                  <w:color w:val="000000"/>
                                  <w:szCs w:val="21"/>
                                </w:rPr>
                                <w:t>生活垃圾委托有资质的环卫部门清运</w:t>
                              </w:r>
                            </w:p>
                            <w:p/>
                          </w:txbxContent>
                        </v:textbox>
                      </v:shape>
                      <w10:wrap type="none"/>
                      <w10:anchorlock/>
                    </v:group>
                  </w:pict>
                </mc:Fallback>
              </mc:AlternateContent>
            </w:r>
          </w:p>
          <w:p>
            <w:pPr>
              <w:adjustRightInd w:val="0"/>
              <w:snapToGrid w:val="0"/>
              <w:spacing w:line="360" w:lineRule="auto"/>
              <w:ind w:firstLine="200"/>
              <w:jc w:val="center"/>
              <w:rPr>
                <w:sz w:val="24"/>
              </w:rPr>
            </w:pPr>
            <w:r>
              <w:rPr>
                <w:b/>
                <w:bCs/>
                <w:sz w:val="24"/>
              </w:rPr>
              <w:t>图2-1  施工期工艺流程及产污环节图</w:t>
            </w:r>
          </w:p>
          <w:p>
            <w:pPr>
              <w:spacing w:line="360" w:lineRule="auto"/>
              <w:ind w:firstLine="480" w:firstLineChars="200"/>
              <w:rPr>
                <w:sz w:val="24"/>
              </w:rPr>
            </w:pPr>
            <w:r>
              <w:rPr>
                <w:rFonts w:hint="eastAsia"/>
                <w:sz w:val="24"/>
              </w:rPr>
              <w:t>（1）</w:t>
            </w:r>
            <w:r>
              <w:rPr>
                <w:sz w:val="24"/>
              </w:rPr>
              <w:t>施工方式：基础建设采取基沟开挖；基沟开挖土方就地回填和用作绿化覆土；道路为水泥路面，采用商品混凝土，施工场地内不设置混凝土搅拌场地。</w:t>
            </w:r>
          </w:p>
          <w:p>
            <w:pPr>
              <w:spacing w:line="360" w:lineRule="auto"/>
              <w:ind w:firstLine="480" w:firstLineChars="200"/>
              <w:rPr>
                <w:sz w:val="24"/>
              </w:rPr>
            </w:pPr>
            <w:r>
              <w:rPr>
                <w:rFonts w:hint="eastAsia"/>
                <w:sz w:val="24"/>
              </w:rPr>
              <w:t>（2）</w:t>
            </w:r>
            <w:r>
              <w:rPr>
                <w:sz w:val="24"/>
              </w:rPr>
              <w:t>施工场地布置：项目区内</w:t>
            </w:r>
            <w:r>
              <w:rPr>
                <w:rFonts w:hint="eastAsia"/>
                <w:sz w:val="24"/>
              </w:rPr>
              <w:t>不</w:t>
            </w:r>
            <w:r>
              <w:rPr>
                <w:sz w:val="24"/>
              </w:rPr>
              <w:t>设置施工营地，施工人员为附近村民，均不在施工场地食宿。公厕依托周边村民小组。</w:t>
            </w:r>
          </w:p>
          <w:p>
            <w:pPr>
              <w:spacing w:line="360" w:lineRule="auto"/>
              <w:ind w:firstLine="480" w:firstLineChars="200"/>
              <w:rPr>
                <w:sz w:val="24"/>
              </w:rPr>
            </w:pPr>
            <w:r>
              <w:rPr>
                <w:rFonts w:hint="eastAsia"/>
                <w:sz w:val="24"/>
              </w:rPr>
              <w:t>（3）</w:t>
            </w:r>
            <w:r>
              <w:rPr>
                <w:sz w:val="24"/>
              </w:rPr>
              <w:t>施工设备：主要为挖掘机、推土机、振捣器、电焊机、运输车辆等。</w:t>
            </w:r>
          </w:p>
          <w:p>
            <w:pPr>
              <w:spacing w:line="360" w:lineRule="auto"/>
              <w:ind w:firstLine="480" w:firstLineChars="200"/>
              <w:rPr>
                <w:sz w:val="24"/>
              </w:rPr>
            </w:pPr>
            <w:r>
              <w:rPr>
                <w:rFonts w:hint="eastAsia"/>
                <w:sz w:val="24"/>
              </w:rPr>
              <w:t>（4）</w:t>
            </w:r>
            <w:r>
              <w:rPr>
                <w:sz w:val="24"/>
              </w:rPr>
              <w:t>施工材料：项目建设所需使用的混凝土就地人工搅拌，搅拌时尽量避开大风天气。</w:t>
            </w:r>
          </w:p>
          <w:p>
            <w:pPr>
              <w:spacing w:line="360" w:lineRule="auto"/>
              <w:ind w:firstLine="480" w:firstLineChars="200"/>
              <w:rPr>
                <w:sz w:val="24"/>
              </w:rPr>
            </w:pPr>
            <w:r>
              <w:rPr>
                <w:rFonts w:hint="eastAsia"/>
                <w:sz w:val="24"/>
              </w:rPr>
              <w:t>（5）</w:t>
            </w:r>
            <w:r>
              <w:rPr>
                <w:sz w:val="24"/>
              </w:rPr>
              <w:t>施工人数及施工时间：本项目施工期分两个部分，花卉大棚施工期为2个月</w:t>
            </w:r>
            <w:r>
              <w:rPr>
                <w:rFonts w:hint="eastAsia"/>
                <w:sz w:val="24"/>
              </w:rPr>
              <w:t>、</w:t>
            </w:r>
            <w:r>
              <w:rPr>
                <w:sz w:val="24"/>
              </w:rPr>
              <w:t>锅炉及其附属设施施工期为2个月。施工期平均施工人数为15人/d。施工人员多为附近村民，均不在场地内食宿。</w:t>
            </w:r>
          </w:p>
          <w:p>
            <w:pPr>
              <w:spacing w:line="360" w:lineRule="auto"/>
              <w:ind w:firstLine="480" w:firstLineChars="200"/>
              <w:rPr>
                <w:sz w:val="24"/>
              </w:rPr>
            </w:pPr>
            <w:r>
              <w:rPr>
                <w:rFonts w:hint="eastAsia"/>
                <w:sz w:val="24"/>
              </w:rPr>
              <w:t>（6）</w:t>
            </w:r>
            <w:r>
              <w:rPr>
                <w:sz w:val="24"/>
              </w:rPr>
              <w:t>施工道路：本项目施工场地出入口设置在项目东面，依托现有乡间道路，无须新修进场道路。</w:t>
            </w:r>
          </w:p>
          <w:p>
            <w:pPr>
              <w:spacing w:line="360" w:lineRule="auto"/>
              <w:rPr>
                <w:b/>
                <w:bCs/>
                <w:sz w:val="24"/>
              </w:rPr>
            </w:pPr>
            <w:r>
              <w:rPr>
                <w:rFonts w:hint="eastAsia"/>
                <w:b/>
                <w:bCs/>
                <w:sz w:val="24"/>
              </w:rPr>
              <w:t>2、</w:t>
            </w:r>
            <w:r>
              <w:rPr>
                <w:b/>
                <w:bCs/>
                <w:sz w:val="24"/>
              </w:rPr>
              <w:t>施工期污染工序及源强分析</w:t>
            </w:r>
          </w:p>
          <w:p>
            <w:pPr>
              <w:spacing w:line="360" w:lineRule="auto"/>
              <w:ind w:firstLine="480" w:firstLineChars="200"/>
              <w:rPr>
                <w:sz w:val="24"/>
              </w:rPr>
            </w:pPr>
            <w:r>
              <w:rPr>
                <w:sz w:val="24"/>
              </w:rPr>
              <w:t>本项目施工期产生的污染物主要为废气、废水、噪声及固体废物。</w:t>
            </w:r>
          </w:p>
          <w:p>
            <w:pPr>
              <w:spacing w:line="360" w:lineRule="auto"/>
              <w:ind w:firstLine="480" w:firstLineChars="200"/>
              <w:rPr>
                <w:sz w:val="24"/>
              </w:rPr>
            </w:pPr>
            <w:r>
              <w:rPr>
                <w:rFonts w:hint="eastAsia"/>
                <w:sz w:val="24"/>
              </w:rPr>
              <w:t>（1）</w:t>
            </w:r>
            <w:r>
              <w:rPr>
                <w:sz w:val="24"/>
              </w:rPr>
              <w:t>废气</w:t>
            </w:r>
          </w:p>
          <w:p>
            <w:pPr>
              <w:spacing w:line="360" w:lineRule="auto"/>
              <w:ind w:firstLine="480" w:firstLineChars="200"/>
              <w:rPr>
                <w:sz w:val="24"/>
              </w:rPr>
            </w:pPr>
            <w:r>
              <w:rPr>
                <w:sz w:val="24"/>
              </w:rPr>
              <w:t>施工期空气污染物主要是施工扬尘，主要为运输车辆装卸材料和行驶时产生的扬尘，设备材料的现场搬运及堆放扬尘，施工场地清理扬尘，人来车往造成的现场道路扬尘。本项目蓄水池建设以及土地平整时会开挖地表，但施工简单且施工量较少，施工扬尘产生量较小，为无组织排放。</w:t>
            </w:r>
          </w:p>
          <w:p>
            <w:pPr>
              <w:spacing w:line="360" w:lineRule="auto"/>
              <w:ind w:firstLine="480" w:firstLineChars="200"/>
              <w:rPr>
                <w:sz w:val="24"/>
              </w:rPr>
            </w:pPr>
            <w:r>
              <w:rPr>
                <w:sz w:val="24"/>
              </w:rPr>
              <w:t>此外，设备安装过程中，使用电焊等会产生焊接废气，材料、设备运输车辆会排放一定量的CO、NO</w:t>
            </w:r>
            <w:r>
              <w:rPr>
                <w:sz w:val="24"/>
                <w:vertAlign w:val="subscript"/>
              </w:rPr>
              <w:t>x</w:t>
            </w:r>
            <w:r>
              <w:rPr>
                <w:sz w:val="24"/>
              </w:rPr>
              <w:t>以及未完全燃烧的HC等，特点是排放量小，且属间断性无组织排放。</w:t>
            </w:r>
          </w:p>
          <w:p>
            <w:pPr>
              <w:spacing w:line="360" w:lineRule="auto"/>
              <w:ind w:firstLine="480" w:firstLineChars="200"/>
              <w:rPr>
                <w:sz w:val="24"/>
              </w:rPr>
            </w:pPr>
            <w:r>
              <w:rPr>
                <w:rFonts w:hint="eastAsia"/>
                <w:sz w:val="24"/>
              </w:rPr>
              <w:t>（2）</w:t>
            </w:r>
            <w:r>
              <w:rPr>
                <w:sz w:val="24"/>
              </w:rPr>
              <w:t>废水</w:t>
            </w:r>
          </w:p>
          <w:p>
            <w:pPr>
              <w:spacing w:line="360" w:lineRule="auto"/>
              <w:ind w:firstLine="480" w:firstLineChars="200"/>
              <w:rPr>
                <w:sz w:val="24"/>
              </w:rPr>
            </w:pPr>
            <w:r>
              <w:rPr>
                <w:sz w:val="24"/>
              </w:rPr>
              <w:fldChar w:fldCharType="begin"/>
            </w:r>
            <w:r>
              <w:rPr>
                <w:sz w:val="24"/>
              </w:rPr>
              <w:instrText xml:space="preserve"> = 1 \* GB3 </w:instrText>
            </w:r>
            <w:r>
              <w:rPr>
                <w:sz w:val="24"/>
              </w:rPr>
              <w:fldChar w:fldCharType="separate"/>
            </w:r>
            <w:r>
              <w:rPr>
                <w:sz w:val="24"/>
              </w:rPr>
              <w:t>①</w:t>
            </w:r>
            <w:r>
              <w:rPr>
                <w:sz w:val="24"/>
              </w:rPr>
              <w:fldChar w:fldCharType="end"/>
            </w:r>
            <w:r>
              <w:rPr>
                <w:sz w:val="24"/>
              </w:rPr>
              <w:t>生活污水</w:t>
            </w:r>
          </w:p>
          <w:p>
            <w:pPr>
              <w:spacing w:line="360" w:lineRule="auto"/>
              <w:ind w:firstLine="480" w:firstLineChars="200"/>
              <w:rPr>
                <w:sz w:val="24"/>
              </w:rPr>
            </w:pPr>
            <w:r>
              <w:rPr>
                <w:sz w:val="24"/>
              </w:rPr>
              <w:t>由于施工人员均不在建设场地食宿，且公厕依托周边村委会。产生的生活污水只是少量的清洁废水，主要污染物为SS、CODcr、BOD</w:t>
            </w:r>
            <w:r>
              <w:rPr>
                <w:sz w:val="24"/>
                <w:vertAlign w:val="subscript"/>
              </w:rPr>
              <w:t>5</w:t>
            </w:r>
            <w:r>
              <w:rPr>
                <w:sz w:val="24"/>
              </w:rPr>
              <w:t>、NH</w:t>
            </w:r>
            <w:r>
              <w:rPr>
                <w:sz w:val="24"/>
                <w:vertAlign w:val="subscript"/>
              </w:rPr>
              <w:t>3</w:t>
            </w:r>
            <w:r>
              <w:rPr>
                <w:sz w:val="24"/>
              </w:rPr>
              <w:t>-N。施工人员生活用水量按20L/人·d计，施工人</w:t>
            </w:r>
            <w:r>
              <w:rPr>
                <w:rFonts w:hint="eastAsia"/>
                <w:sz w:val="24"/>
              </w:rPr>
              <w:t>数为</w:t>
            </w:r>
            <w:r>
              <w:rPr>
                <w:sz w:val="24"/>
              </w:rPr>
              <w:t>15人，施工期的用水量0.3m</w:t>
            </w:r>
            <w:r>
              <w:rPr>
                <w:sz w:val="24"/>
                <w:vertAlign w:val="superscript"/>
              </w:rPr>
              <w:t>3</w:t>
            </w:r>
            <w:r>
              <w:rPr>
                <w:sz w:val="24"/>
              </w:rPr>
              <w:t>/d，生活污水量按用水量的80%计，污水量</w:t>
            </w:r>
            <w:r>
              <w:rPr>
                <w:rFonts w:hint="eastAsia"/>
                <w:sz w:val="24"/>
              </w:rPr>
              <w:t>产生量</w:t>
            </w:r>
            <w:r>
              <w:rPr>
                <w:sz w:val="24"/>
              </w:rPr>
              <w:t>为0.24m</w:t>
            </w:r>
            <w:r>
              <w:rPr>
                <w:sz w:val="24"/>
                <w:vertAlign w:val="superscript"/>
              </w:rPr>
              <w:t>3</w:t>
            </w:r>
            <w:r>
              <w:rPr>
                <w:sz w:val="24"/>
              </w:rPr>
              <w:t>/d。</w:t>
            </w:r>
          </w:p>
          <w:p>
            <w:pPr>
              <w:spacing w:line="360" w:lineRule="auto"/>
              <w:ind w:firstLine="480" w:firstLineChars="200"/>
              <w:rPr>
                <w:sz w:val="24"/>
              </w:rPr>
            </w:pPr>
            <w:r>
              <w:rPr>
                <w:sz w:val="24"/>
              </w:rPr>
              <w:fldChar w:fldCharType="begin"/>
            </w:r>
            <w:r>
              <w:rPr>
                <w:sz w:val="24"/>
              </w:rPr>
              <w:instrText xml:space="preserve"> = 2 \* GB3 </w:instrText>
            </w:r>
            <w:r>
              <w:rPr>
                <w:sz w:val="24"/>
              </w:rPr>
              <w:fldChar w:fldCharType="separate"/>
            </w:r>
            <w:r>
              <w:rPr>
                <w:sz w:val="24"/>
              </w:rPr>
              <w:t>②</w:t>
            </w:r>
            <w:r>
              <w:rPr>
                <w:sz w:val="24"/>
              </w:rPr>
              <w:fldChar w:fldCharType="end"/>
            </w:r>
            <w:r>
              <w:rPr>
                <w:sz w:val="24"/>
              </w:rPr>
              <w:t>施工废水</w:t>
            </w:r>
          </w:p>
          <w:p>
            <w:pPr>
              <w:spacing w:line="360" w:lineRule="auto"/>
              <w:ind w:firstLine="480" w:firstLineChars="200"/>
              <w:rPr>
                <w:sz w:val="24"/>
              </w:rPr>
            </w:pPr>
            <w:r>
              <w:rPr>
                <w:sz w:val="24"/>
              </w:rPr>
              <w:t>施工废水主要为混凝土养护及设备清洗废水，主要污染物为SS。项目施工期废水产生量约为1.5m</w:t>
            </w:r>
            <w:r>
              <w:rPr>
                <w:sz w:val="24"/>
                <w:vertAlign w:val="superscript"/>
              </w:rPr>
              <w:t>3</w:t>
            </w:r>
            <w:r>
              <w:rPr>
                <w:sz w:val="24"/>
              </w:rPr>
              <w:t>/d。</w:t>
            </w:r>
          </w:p>
          <w:p>
            <w:pPr>
              <w:spacing w:line="360" w:lineRule="auto"/>
              <w:ind w:firstLine="480" w:firstLineChars="200"/>
              <w:rPr>
                <w:sz w:val="24"/>
              </w:rPr>
            </w:pPr>
            <w:r>
              <w:rPr>
                <w:sz w:val="24"/>
              </w:rPr>
              <w:t>施工期新建1个3m</w:t>
            </w:r>
            <w:r>
              <w:rPr>
                <w:sz w:val="24"/>
                <w:vertAlign w:val="superscript"/>
              </w:rPr>
              <w:t>3</w:t>
            </w:r>
            <w:r>
              <w:rPr>
                <w:sz w:val="24"/>
              </w:rPr>
              <w:t>的沉淀池，施工期生活污水，施工废水经沉淀池收集处理后用于施工场地及运输道路洒水降尘，不外排。</w:t>
            </w:r>
            <w:r>
              <w:rPr>
                <w:rFonts w:hint="eastAsia"/>
                <w:sz w:val="24"/>
              </w:rPr>
              <w:t>施工期初期雨水经沉淀后，用于洒水降尘，不外排。</w:t>
            </w:r>
          </w:p>
          <w:p>
            <w:pPr>
              <w:spacing w:line="360" w:lineRule="auto"/>
              <w:ind w:firstLine="480" w:firstLineChars="200"/>
              <w:rPr>
                <w:sz w:val="24"/>
              </w:rPr>
            </w:pPr>
            <w:r>
              <w:rPr>
                <w:rFonts w:hint="eastAsia"/>
                <w:sz w:val="24"/>
              </w:rPr>
              <w:t>（3）</w:t>
            </w:r>
            <w:r>
              <w:rPr>
                <w:sz w:val="24"/>
              </w:rPr>
              <w:t>噪声</w:t>
            </w:r>
          </w:p>
          <w:p>
            <w:pPr>
              <w:spacing w:line="360" w:lineRule="auto"/>
              <w:ind w:firstLine="480" w:firstLineChars="200"/>
              <w:rPr>
                <w:sz w:val="24"/>
              </w:rPr>
            </w:pPr>
            <w:r>
              <w:rPr>
                <w:sz w:val="24"/>
              </w:rPr>
              <w:t>施工期的噪声主要来自施工现场的各类机械设备及运输车辆等。各施工阶段主要施工机械及运输车辆噪声强度见表2-9。</w:t>
            </w:r>
          </w:p>
          <w:p>
            <w:pPr>
              <w:spacing w:line="360" w:lineRule="auto"/>
              <w:jc w:val="center"/>
              <w:rPr>
                <w:b/>
                <w:bCs/>
                <w:sz w:val="24"/>
              </w:rPr>
            </w:pPr>
            <w:bookmarkStart w:id="230" w:name="_Ref475282284"/>
            <w:r>
              <w:rPr>
                <w:b/>
                <w:bCs/>
                <w:sz w:val="24"/>
              </w:rPr>
              <w:t>表</w:t>
            </w:r>
            <w:bookmarkEnd w:id="230"/>
            <w:r>
              <w:rPr>
                <w:b/>
                <w:bCs/>
                <w:sz w:val="24"/>
              </w:rPr>
              <w:t>2-9  主要施工机械设备的噪声声级表</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3597"/>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vAlign w:val="center"/>
                </w:tcPr>
                <w:p>
                  <w:pPr>
                    <w:spacing w:line="360" w:lineRule="auto"/>
                    <w:jc w:val="center"/>
                    <w:rPr>
                      <w:b/>
                      <w:bCs/>
                      <w:szCs w:val="21"/>
                    </w:rPr>
                  </w:pPr>
                  <w:r>
                    <w:rPr>
                      <w:b/>
                      <w:bCs/>
                      <w:szCs w:val="21"/>
                    </w:rPr>
                    <w:t>序号</w:t>
                  </w:r>
                </w:p>
              </w:tc>
              <w:tc>
                <w:tcPr>
                  <w:tcW w:w="2034" w:type="pct"/>
                  <w:vAlign w:val="center"/>
                </w:tcPr>
                <w:p>
                  <w:pPr>
                    <w:spacing w:line="360" w:lineRule="auto"/>
                    <w:jc w:val="center"/>
                    <w:rPr>
                      <w:b/>
                      <w:bCs/>
                      <w:szCs w:val="21"/>
                    </w:rPr>
                  </w:pPr>
                  <w:r>
                    <w:rPr>
                      <w:b/>
                      <w:bCs/>
                      <w:szCs w:val="21"/>
                    </w:rPr>
                    <w:t>声源</w:t>
                  </w:r>
                </w:p>
              </w:tc>
              <w:tc>
                <w:tcPr>
                  <w:tcW w:w="1666" w:type="pct"/>
                  <w:vAlign w:val="center"/>
                </w:tcPr>
                <w:p>
                  <w:pPr>
                    <w:spacing w:line="360" w:lineRule="auto"/>
                    <w:jc w:val="center"/>
                    <w:rPr>
                      <w:b/>
                      <w:bCs/>
                      <w:szCs w:val="21"/>
                    </w:rPr>
                  </w:pPr>
                  <w:r>
                    <w:rPr>
                      <w:b/>
                      <w:bCs/>
                      <w:szCs w:val="21"/>
                    </w:rPr>
                    <w:t>噪声级（距声源10m）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8" w:type="pct"/>
                  <w:vAlign w:val="center"/>
                </w:tcPr>
                <w:p>
                  <w:pPr>
                    <w:spacing w:line="360" w:lineRule="auto"/>
                    <w:jc w:val="center"/>
                    <w:rPr>
                      <w:szCs w:val="21"/>
                    </w:rPr>
                  </w:pPr>
                  <w:r>
                    <w:rPr>
                      <w:szCs w:val="21"/>
                    </w:rPr>
                    <w:t>1</w:t>
                  </w:r>
                </w:p>
              </w:tc>
              <w:tc>
                <w:tcPr>
                  <w:tcW w:w="2034" w:type="pct"/>
                  <w:vAlign w:val="center"/>
                </w:tcPr>
                <w:p>
                  <w:pPr>
                    <w:spacing w:line="360" w:lineRule="auto"/>
                    <w:jc w:val="center"/>
                    <w:rPr>
                      <w:szCs w:val="21"/>
                    </w:rPr>
                  </w:pPr>
                  <w:r>
                    <w:rPr>
                      <w:szCs w:val="21"/>
                    </w:rPr>
                    <w:t>推土机</w:t>
                  </w:r>
                </w:p>
              </w:tc>
              <w:tc>
                <w:tcPr>
                  <w:tcW w:w="1666" w:type="pct"/>
                  <w:vAlign w:val="center"/>
                </w:tcPr>
                <w:p>
                  <w:pPr>
                    <w:spacing w:line="360" w:lineRule="auto"/>
                    <w:jc w:val="center"/>
                    <w:rPr>
                      <w:szCs w:val="21"/>
                    </w:rPr>
                  </w:pPr>
                  <w:r>
                    <w:rPr>
                      <w:szCs w:val="21"/>
                    </w:rPr>
                    <w:t>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vAlign w:val="center"/>
                </w:tcPr>
                <w:p>
                  <w:pPr>
                    <w:spacing w:line="360" w:lineRule="auto"/>
                    <w:jc w:val="center"/>
                    <w:rPr>
                      <w:szCs w:val="21"/>
                    </w:rPr>
                  </w:pPr>
                  <w:r>
                    <w:rPr>
                      <w:szCs w:val="21"/>
                    </w:rPr>
                    <w:t>2</w:t>
                  </w:r>
                </w:p>
              </w:tc>
              <w:tc>
                <w:tcPr>
                  <w:tcW w:w="2034" w:type="pct"/>
                  <w:vAlign w:val="center"/>
                </w:tcPr>
                <w:p>
                  <w:pPr>
                    <w:spacing w:line="360" w:lineRule="auto"/>
                    <w:jc w:val="center"/>
                    <w:rPr>
                      <w:szCs w:val="21"/>
                    </w:rPr>
                  </w:pPr>
                  <w:r>
                    <w:rPr>
                      <w:szCs w:val="21"/>
                    </w:rPr>
                    <w:t>挖掘机</w:t>
                  </w:r>
                </w:p>
              </w:tc>
              <w:tc>
                <w:tcPr>
                  <w:tcW w:w="1666" w:type="pct"/>
                  <w:vAlign w:val="center"/>
                </w:tcPr>
                <w:p>
                  <w:pPr>
                    <w:spacing w:line="360" w:lineRule="auto"/>
                    <w:jc w:val="center"/>
                    <w:rPr>
                      <w:szCs w:val="21"/>
                    </w:rPr>
                  </w:pPr>
                  <w:r>
                    <w:rPr>
                      <w:szCs w:val="21"/>
                    </w:rPr>
                    <w:t>75-83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vAlign w:val="center"/>
                </w:tcPr>
                <w:p>
                  <w:pPr>
                    <w:spacing w:line="360" w:lineRule="auto"/>
                    <w:jc w:val="center"/>
                    <w:rPr>
                      <w:szCs w:val="21"/>
                    </w:rPr>
                  </w:pPr>
                  <w:r>
                    <w:rPr>
                      <w:szCs w:val="21"/>
                    </w:rPr>
                    <w:t>3</w:t>
                  </w:r>
                </w:p>
              </w:tc>
              <w:tc>
                <w:tcPr>
                  <w:tcW w:w="2034" w:type="pct"/>
                  <w:vAlign w:val="center"/>
                </w:tcPr>
                <w:p>
                  <w:pPr>
                    <w:spacing w:line="360" w:lineRule="auto"/>
                    <w:jc w:val="center"/>
                    <w:rPr>
                      <w:szCs w:val="21"/>
                    </w:rPr>
                  </w:pPr>
                  <w:r>
                    <w:rPr>
                      <w:szCs w:val="21"/>
                    </w:rPr>
                    <w:t>空压机</w:t>
                  </w:r>
                </w:p>
              </w:tc>
              <w:tc>
                <w:tcPr>
                  <w:tcW w:w="1666" w:type="pct"/>
                  <w:vAlign w:val="center"/>
                </w:tcPr>
                <w:p>
                  <w:pPr>
                    <w:spacing w:line="360" w:lineRule="auto"/>
                    <w:jc w:val="center"/>
                    <w:rPr>
                      <w:szCs w:val="21"/>
                    </w:rPr>
                  </w:pPr>
                  <w:r>
                    <w:rPr>
                      <w:szCs w:val="21"/>
                    </w:rPr>
                    <w:t>83-88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vAlign w:val="center"/>
                </w:tcPr>
                <w:p>
                  <w:pPr>
                    <w:spacing w:line="360" w:lineRule="auto"/>
                    <w:jc w:val="center"/>
                    <w:rPr>
                      <w:szCs w:val="21"/>
                    </w:rPr>
                  </w:pPr>
                  <w:r>
                    <w:rPr>
                      <w:szCs w:val="21"/>
                    </w:rPr>
                    <w:t>4</w:t>
                  </w:r>
                </w:p>
              </w:tc>
              <w:tc>
                <w:tcPr>
                  <w:tcW w:w="2034" w:type="pct"/>
                  <w:vAlign w:val="center"/>
                </w:tcPr>
                <w:p>
                  <w:pPr>
                    <w:spacing w:line="360" w:lineRule="auto"/>
                    <w:jc w:val="center"/>
                    <w:rPr>
                      <w:szCs w:val="21"/>
                    </w:rPr>
                  </w:pPr>
                  <w:r>
                    <w:rPr>
                      <w:szCs w:val="21"/>
                    </w:rPr>
                    <w:t>电焊机</w:t>
                  </w:r>
                </w:p>
              </w:tc>
              <w:tc>
                <w:tcPr>
                  <w:tcW w:w="1666" w:type="pct"/>
                  <w:vAlign w:val="center"/>
                </w:tcPr>
                <w:p>
                  <w:pPr>
                    <w:spacing w:line="360" w:lineRule="auto"/>
                    <w:jc w:val="center"/>
                    <w:rPr>
                      <w:szCs w:val="21"/>
                    </w:rPr>
                  </w:pPr>
                  <w:r>
                    <w:rPr>
                      <w:szCs w:val="21"/>
                    </w:rPr>
                    <w:t>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vAlign w:val="center"/>
                </w:tcPr>
                <w:p>
                  <w:pPr>
                    <w:spacing w:line="360" w:lineRule="auto"/>
                    <w:jc w:val="center"/>
                    <w:rPr>
                      <w:szCs w:val="21"/>
                    </w:rPr>
                  </w:pPr>
                  <w:r>
                    <w:rPr>
                      <w:szCs w:val="21"/>
                    </w:rPr>
                    <w:t>5</w:t>
                  </w:r>
                </w:p>
              </w:tc>
              <w:tc>
                <w:tcPr>
                  <w:tcW w:w="2034" w:type="pct"/>
                  <w:vAlign w:val="center"/>
                </w:tcPr>
                <w:p>
                  <w:pPr>
                    <w:spacing w:line="360" w:lineRule="auto"/>
                    <w:jc w:val="center"/>
                    <w:rPr>
                      <w:szCs w:val="21"/>
                    </w:rPr>
                  </w:pPr>
                  <w:r>
                    <w:rPr>
                      <w:szCs w:val="21"/>
                    </w:rPr>
                    <w:t>电钻、电锯、手工钻</w:t>
                  </w:r>
                </w:p>
              </w:tc>
              <w:tc>
                <w:tcPr>
                  <w:tcW w:w="1666" w:type="pct"/>
                  <w:vAlign w:val="center"/>
                </w:tcPr>
                <w:p>
                  <w:pPr>
                    <w:spacing w:line="360" w:lineRule="auto"/>
                    <w:jc w:val="center"/>
                    <w:rPr>
                      <w:szCs w:val="21"/>
                    </w:rPr>
                  </w:pPr>
                  <w:r>
                    <w:rPr>
                      <w:szCs w:val="21"/>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vAlign w:val="center"/>
                </w:tcPr>
                <w:p>
                  <w:pPr>
                    <w:spacing w:line="360" w:lineRule="auto"/>
                    <w:jc w:val="center"/>
                    <w:rPr>
                      <w:szCs w:val="21"/>
                    </w:rPr>
                  </w:pPr>
                  <w:r>
                    <w:rPr>
                      <w:szCs w:val="21"/>
                    </w:rPr>
                    <w:t>6</w:t>
                  </w:r>
                </w:p>
              </w:tc>
              <w:tc>
                <w:tcPr>
                  <w:tcW w:w="2034" w:type="pct"/>
                  <w:vAlign w:val="center"/>
                </w:tcPr>
                <w:p>
                  <w:pPr>
                    <w:spacing w:line="360" w:lineRule="auto"/>
                    <w:jc w:val="center"/>
                    <w:rPr>
                      <w:szCs w:val="21"/>
                    </w:rPr>
                  </w:pPr>
                  <w:r>
                    <w:rPr>
                      <w:szCs w:val="21"/>
                    </w:rPr>
                    <w:t>运输车辆</w:t>
                  </w:r>
                </w:p>
              </w:tc>
              <w:tc>
                <w:tcPr>
                  <w:tcW w:w="1666" w:type="pct"/>
                  <w:vAlign w:val="center"/>
                </w:tcPr>
                <w:p>
                  <w:pPr>
                    <w:spacing w:line="360" w:lineRule="auto"/>
                    <w:jc w:val="center"/>
                    <w:rPr>
                      <w:szCs w:val="21"/>
                    </w:rPr>
                  </w:pPr>
                  <w:r>
                    <w:rPr>
                      <w:szCs w:val="21"/>
                    </w:rPr>
                    <w:t>75-85</w:t>
                  </w:r>
                </w:p>
              </w:tc>
            </w:tr>
          </w:tbl>
          <w:p>
            <w:pPr>
              <w:spacing w:line="360" w:lineRule="auto"/>
              <w:ind w:firstLine="480" w:firstLineChars="200"/>
              <w:rPr>
                <w:sz w:val="24"/>
              </w:rPr>
            </w:pPr>
            <w:r>
              <w:rPr>
                <w:rFonts w:hint="eastAsia"/>
                <w:sz w:val="24"/>
              </w:rPr>
              <w:t>（4）</w:t>
            </w:r>
            <w:r>
              <w:rPr>
                <w:sz w:val="24"/>
              </w:rPr>
              <w:t>固体废物</w:t>
            </w:r>
          </w:p>
          <w:p>
            <w:pPr>
              <w:spacing w:line="360" w:lineRule="auto"/>
              <w:ind w:firstLine="480" w:firstLineChars="200"/>
              <w:rPr>
                <w:sz w:val="24"/>
              </w:rPr>
            </w:pPr>
            <w:r>
              <w:rPr>
                <w:sz w:val="24"/>
              </w:rPr>
              <w:t>施工期固废主要是建筑垃圾和生活垃圾。</w:t>
            </w:r>
          </w:p>
          <w:p>
            <w:pPr>
              <w:spacing w:line="360" w:lineRule="auto"/>
              <w:ind w:firstLine="480" w:firstLineChars="200"/>
              <w:rPr>
                <w:rFonts w:eastAsiaTheme="minorEastAsia"/>
                <w:sz w:val="24"/>
              </w:rPr>
            </w:pPr>
            <w:r>
              <w:rPr>
                <w:rFonts w:hint="eastAsia" w:eastAsiaTheme="minorEastAsia"/>
                <w:sz w:val="24"/>
              </w:rPr>
              <w:t>①</w:t>
            </w:r>
            <w:r>
              <w:rPr>
                <w:rFonts w:eastAsiaTheme="minorEastAsia"/>
                <w:sz w:val="24"/>
              </w:rPr>
              <w:t>建筑垃圾</w:t>
            </w:r>
          </w:p>
          <w:p>
            <w:pPr>
              <w:spacing w:line="360" w:lineRule="auto"/>
              <w:ind w:firstLine="480" w:firstLineChars="200"/>
              <w:rPr>
                <w:rFonts w:eastAsiaTheme="minorEastAsia"/>
                <w:sz w:val="24"/>
              </w:rPr>
            </w:pPr>
            <w:r>
              <w:rPr>
                <w:rFonts w:eastAsiaTheme="minorEastAsia"/>
                <w:sz w:val="24"/>
              </w:rPr>
              <w:t>项目施工过程中产生的建筑垃圾（如水泥袋、铁质弃料、废弃混凝土、废包装固废等），类比同类项目，产生量按1kg/m</w:t>
            </w:r>
            <w:r>
              <w:rPr>
                <w:rFonts w:eastAsiaTheme="minorEastAsia"/>
                <w:sz w:val="24"/>
                <w:vertAlign w:val="superscript"/>
              </w:rPr>
              <w:t>2</w:t>
            </w:r>
            <w:r>
              <w:rPr>
                <w:rFonts w:eastAsiaTheme="minorEastAsia"/>
                <w:sz w:val="24"/>
              </w:rPr>
              <w:t>计，</w:t>
            </w:r>
            <w:r>
              <w:rPr>
                <w:rFonts w:hint="eastAsia" w:eastAsiaTheme="minorEastAsia"/>
                <w:sz w:val="24"/>
              </w:rPr>
              <w:t>占地</w:t>
            </w:r>
            <w:r>
              <w:rPr>
                <w:rFonts w:eastAsiaTheme="minorEastAsia"/>
                <w:sz w:val="24"/>
              </w:rPr>
              <w:t>面积</w:t>
            </w:r>
            <w:r>
              <w:rPr>
                <w:rFonts w:hint="eastAsia" w:eastAsiaTheme="minorEastAsia"/>
                <w:sz w:val="24"/>
              </w:rPr>
              <w:t>69100</w:t>
            </w:r>
            <w:r>
              <w:rPr>
                <w:rFonts w:eastAsiaTheme="minorEastAsia"/>
                <w:sz w:val="24"/>
              </w:rPr>
              <w:t>m</w:t>
            </w:r>
            <w:r>
              <w:rPr>
                <w:rFonts w:eastAsiaTheme="minorEastAsia"/>
                <w:sz w:val="24"/>
                <w:vertAlign w:val="superscript"/>
              </w:rPr>
              <w:t>2</w:t>
            </w:r>
            <w:r>
              <w:rPr>
                <w:rFonts w:eastAsiaTheme="minorEastAsia"/>
                <w:sz w:val="24"/>
              </w:rPr>
              <w:t>，施工期产生量约为</w:t>
            </w:r>
            <w:r>
              <w:rPr>
                <w:rFonts w:hint="eastAsia" w:eastAsiaTheme="minorEastAsia"/>
                <w:sz w:val="24"/>
              </w:rPr>
              <w:t>69.1</w:t>
            </w:r>
            <w:r>
              <w:rPr>
                <w:rFonts w:eastAsiaTheme="minorEastAsia"/>
                <w:sz w:val="24"/>
              </w:rPr>
              <w:t>t，可利用的建筑垃圾回收利用，不可利用的部分（如废包装固废、水泥袋等）暂存于施工场地，待施工完毕后全部运至建筑垃圾堆放点堆放。</w:t>
            </w:r>
          </w:p>
          <w:p>
            <w:pPr>
              <w:spacing w:line="360" w:lineRule="auto"/>
              <w:ind w:firstLine="480" w:firstLineChars="200"/>
              <w:rPr>
                <w:sz w:val="24"/>
              </w:rPr>
            </w:pPr>
            <w:r>
              <w:rPr>
                <w:rFonts w:hint="eastAsia"/>
                <w:sz w:val="24"/>
              </w:rPr>
              <w:t>②</w:t>
            </w:r>
            <w:r>
              <w:rPr>
                <w:sz w:val="24"/>
              </w:rPr>
              <w:t>生活垃圾</w:t>
            </w:r>
          </w:p>
          <w:p>
            <w:pPr>
              <w:spacing w:line="360" w:lineRule="auto"/>
              <w:ind w:firstLine="480" w:firstLineChars="200"/>
              <w:rPr>
                <w:sz w:val="24"/>
              </w:rPr>
            </w:pPr>
            <w:r>
              <w:rPr>
                <w:sz w:val="24"/>
              </w:rPr>
              <w:t>项目区内未设置施工营地，施工人员为附近村民，均不在施工场地食宿，根据《城镇生活源产排污系数手册》，生活垃圾</w:t>
            </w:r>
            <w:r>
              <w:rPr>
                <w:rFonts w:hint="eastAsia"/>
                <w:sz w:val="24"/>
              </w:rPr>
              <w:t>产生</w:t>
            </w:r>
            <w:r>
              <w:rPr>
                <w:sz w:val="24"/>
              </w:rPr>
              <w:t>量为0.5kg/人.d，施工人员为15人，则生活垃圾产生量为7.5kg/d，统一收集后委托环卫部门清运处置。</w:t>
            </w:r>
          </w:p>
          <w:p>
            <w:pPr>
              <w:spacing w:line="360" w:lineRule="auto"/>
              <w:ind w:firstLine="480" w:firstLineChars="200"/>
              <w:rPr>
                <w:sz w:val="24"/>
              </w:rPr>
            </w:pPr>
            <w:r>
              <w:rPr>
                <w:sz w:val="24"/>
              </w:rPr>
              <w:t>从上述产污节点说明可知，施工期环境污染问题主要是：扬尘、施工噪声、施工固废。这些污染几乎发生于整个施工期间，但不同的污染因子在不同的施工阶段产生的强度是不同的。</w:t>
            </w:r>
          </w:p>
          <w:p>
            <w:pPr>
              <w:pStyle w:val="14"/>
              <w:spacing w:line="360" w:lineRule="auto"/>
              <w:jc w:val="center"/>
              <w:rPr>
                <w:rFonts w:ascii="Times New Roman"/>
                <w:b/>
                <w:bCs/>
                <w:color w:val="auto"/>
              </w:rPr>
            </w:pPr>
            <w:r>
              <w:rPr>
                <w:rFonts w:ascii="Times New Roman"/>
                <w:b/>
                <w:bCs/>
                <w:color w:val="auto"/>
              </w:rPr>
              <w:t>表2-10 项目产污环节分析一览表（施工期）</w:t>
            </w:r>
          </w:p>
          <w:tbl>
            <w:tblPr>
              <w:tblStyle w:val="2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779"/>
              <w:gridCol w:w="1326"/>
              <w:gridCol w:w="4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57" w:type="pct"/>
                  <w:gridSpan w:val="2"/>
                  <w:vAlign w:val="center"/>
                </w:tcPr>
                <w:p>
                  <w:pPr>
                    <w:jc w:val="center"/>
                    <w:rPr>
                      <w:b/>
                      <w:bCs/>
                    </w:rPr>
                  </w:pPr>
                  <w:r>
                    <w:rPr>
                      <w:b/>
                      <w:bCs/>
                    </w:rPr>
                    <w:t>污染物类型</w:t>
                  </w:r>
                </w:p>
              </w:tc>
              <w:tc>
                <w:tcPr>
                  <w:tcW w:w="750" w:type="pct"/>
                  <w:vAlign w:val="center"/>
                </w:tcPr>
                <w:p>
                  <w:pPr>
                    <w:jc w:val="center"/>
                    <w:rPr>
                      <w:b/>
                      <w:bCs/>
                    </w:rPr>
                  </w:pPr>
                  <w:r>
                    <w:rPr>
                      <w:b/>
                      <w:bCs/>
                    </w:rPr>
                    <w:t>主要污染物</w:t>
                  </w:r>
                </w:p>
              </w:tc>
              <w:tc>
                <w:tcPr>
                  <w:tcW w:w="2793" w:type="pct"/>
                  <w:vAlign w:val="center"/>
                </w:tcPr>
                <w:p>
                  <w:pPr>
                    <w:jc w:val="center"/>
                    <w:rPr>
                      <w:b/>
                      <w:bCs/>
                    </w:rPr>
                  </w:pPr>
                  <w:r>
                    <w:rPr>
                      <w:b/>
                      <w:bCs/>
                    </w:rPr>
                    <w:t>产污环节分析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Merge w:val="restart"/>
                  <w:vAlign w:val="center"/>
                </w:tcPr>
                <w:p>
                  <w:r>
                    <w:t>废气</w:t>
                  </w:r>
                </w:p>
              </w:tc>
              <w:tc>
                <w:tcPr>
                  <w:tcW w:w="1006" w:type="pct"/>
                  <w:vAlign w:val="center"/>
                </w:tcPr>
                <w:p>
                  <w:pPr>
                    <w:jc w:val="center"/>
                  </w:pPr>
                  <w:r>
                    <w:t>施工扬尘</w:t>
                  </w:r>
                </w:p>
              </w:tc>
              <w:tc>
                <w:tcPr>
                  <w:tcW w:w="750" w:type="pct"/>
                  <w:vAlign w:val="center"/>
                </w:tcPr>
                <w:p>
                  <w:pPr>
                    <w:jc w:val="center"/>
                  </w:pPr>
                  <w:r>
                    <w:t>颗粒物</w:t>
                  </w:r>
                </w:p>
              </w:tc>
              <w:tc>
                <w:tcPr>
                  <w:tcW w:w="2793" w:type="pct"/>
                  <w:vAlign w:val="center"/>
                </w:tcPr>
                <w:p>
                  <w:pPr>
                    <w:jc w:val="center"/>
                  </w:pPr>
                  <w:r>
                    <w:t>项目施工建设时产生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51" w:type="pct"/>
                  <w:vMerge w:val="continue"/>
                  <w:vAlign w:val="center"/>
                </w:tcPr>
                <w:p/>
              </w:tc>
              <w:tc>
                <w:tcPr>
                  <w:tcW w:w="1006" w:type="pct"/>
                  <w:vAlign w:val="center"/>
                </w:tcPr>
                <w:p>
                  <w:pPr>
                    <w:jc w:val="center"/>
                  </w:pPr>
                  <w:r>
                    <w:t>车辆运输扬尘，尾气</w:t>
                  </w:r>
                </w:p>
              </w:tc>
              <w:tc>
                <w:tcPr>
                  <w:tcW w:w="750" w:type="pct"/>
                  <w:vAlign w:val="center"/>
                </w:tcPr>
                <w:p>
                  <w:pPr>
                    <w:jc w:val="center"/>
                  </w:pPr>
                  <w:r>
                    <w:t>颗粒物、CO、NOx</w:t>
                  </w:r>
                </w:p>
              </w:tc>
              <w:tc>
                <w:tcPr>
                  <w:tcW w:w="2793" w:type="pct"/>
                  <w:vAlign w:val="center"/>
                </w:tcPr>
                <w:p>
                  <w:pPr>
                    <w:jc w:val="center"/>
                  </w:pPr>
                  <w:r>
                    <w:t>车辆运输时产生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51" w:type="pct"/>
                  <w:vMerge w:val="continue"/>
                  <w:vAlign w:val="center"/>
                </w:tcPr>
                <w:p/>
              </w:tc>
              <w:tc>
                <w:tcPr>
                  <w:tcW w:w="1006" w:type="pct"/>
                  <w:vAlign w:val="center"/>
                </w:tcPr>
                <w:p>
                  <w:pPr>
                    <w:jc w:val="center"/>
                  </w:pPr>
                  <w:r>
                    <w:t>焊接废气</w:t>
                  </w:r>
                </w:p>
              </w:tc>
              <w:tc>
                <w:tcPr>
                  <w:tcW w:w="750" w:type="pct"/>
                  <w:vAlign w:val="center"/>
                </w:tcPr>
                <w:p>
                  <w:pPr>
                    <w:jc w:val="center"/>
                  </w:pPr>
                  <w:r>
                    <w:t>未完全燃烧的HC</w:t>
                  </w:r>
                </w:p>
              </w:tc>
              <w:tc>
                <w:tcPr>
                  <w:tcW w:w="2793" w:type="pct"/>
                  <w:vAlign w:val="center"/>
                </w:tcPr>
                <w:p>
                  <w:pPr>
                    <w:jc w:val="center"/>
                  </w:pPr>
                  <w:r>
                    <w:t>设备安装过程中产生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51" w:type="pct"/>
                  <w:vMerge w:val="restart"/>
                  <w:vAlign w:val="center"/>
                </w:tcPr>
                <w:p>
                  <w:r>
                    <w:t>废水</w:t>
                  </w:r>
                </w:p>
              </w:tc>
              <w:tc>
                <w:tcPr>
                  <w:tcW w:w="1006" w:type="pct"/>
                  <w:vAlign w:val="center"/>
                </w:tcPr>
                <w:p>
                  <w:pPr>
                    <w:jc w:val="center"/>
                  </w:pPr>
                  <w:r>
                    <w:t>生活污水</w:t>
                  </w:r>
                </w:p>
              </w:tc>
              <w:tc>
                <w:tcPr>
                  <w:tcW w:w="750" w:type="pct"/>
                  <w:vAlign w:val="center"/>
                </w:tcPr>
                <w:p>
                  <w:pPr>
                    <w:jc w:val="center"/>
                  </w:pPr>
                  <w:r>
                    <w:t>SS、CODcr、BOD5、NH3-N</w:t>
                  </w:r>
                </w:p>
              </w:tc>
              <w:tc>
                <w:tcPr>
                  <w:tcW w:w="2793" w:type="pct"/>
                  <w:vAlign w:val="center"/>
                </w:tcPr>
                <w:p>
                  <w:pPr>
                    <w:jc w:val="center"/>
                  </w:pPr>
                  <w:r>
                    <w:t>生活产生的清洁废水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51" w:type="pct"/>
                  <w:vMerge w:val="continue"/>
                  <w:vAlign w:val="center"/>
                </w:tcPr>
                <w:p/>
              </w:tc>
              <w:tc>
                <w:tcPr>
                  <w:tcW w:w="1006" w:type="pct"/>
                  <w:vAlign w:val="center"/>
                </w:tcPr>
                <w:p>
                  <w:pPr>
                    <w:jc w:val="center"/>
                  </w:pPr>
                  <w:r>
                    <w:t>施工废水</w:t>
                  </w:r>
                </w:p>
              </w:tc>
              <w:tc>
                <w:tcPr>
                  <w:tcW w:w="750" w:type="pct"/>
                  <w:vAlign w:val="center"/>
                </w:tcPr>
                <w:p>
                  <w:pPr>
                    <w:jc w:val="center"/>
                  </w:pPr>
                  <w:r>
                    <w:t>SS</w:t>
                  </w:r>
                </w:p>
              </w:tc>
              <w:tc>
                <w:tcPr>
                  <w:tcW w:w="2793" w:type="pct"/>
                  <w:vAlign w:val="center"/>
                </w:tcPr>
                <w:p>
                  <w:pPr>
                    <w:jc w:val="center"/>
                  </w:pPr>
                  <w:r>
                    <w:t>施工过程中产生；混凝土养护及设备清洗废水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1" w:type="pct"/>
                  <w:vAlign w:val="center"/>
                </w:tcPr>
                <w:p>
                  <w:r>
                    <w:t>噪声</w:t>
                  </w:r>
                </w:p>
              </w:tc>
              <w:tc>
                <w:tcPr>
                  <w:tcW w:w="1006" w:type="pct"/>
                  <w:vAlign w:val="center"/>
                </w:tcPr>
                <w:p>
                  <w:pPr>
                    <w:jc w:val="center"/>
                  </w:pPr>
                  <w:r>
                    <w:t>施工机械</w:t>
                  </w:r>
                </w:p>
              </w:tc>
              <w:tc>
                <w:tcPr>
                  <w:tcW w:w="750" w:type="pct"/>
                  <w:vAlign w:val="center"/>
                </w:tcPr>
                <w:p>
                  <w:pPr>
                    <w:jc w:val="center"/>
                  </w:pPr>
                  <w:r>
                    <w:t>噪音</w:t>
                  </w:r>
                </w:p>
              </w:tc>
              <w:tc>
                <w:tcPr>
                  <w:tcW w:w="2793" w:type="pct"/>
                  <w:vAlign w:val="center"/>
                </w:tcPr>
                <w:p>
                  <w:pPr>
                    <w:jc w:val="center"/>
                  </w:pPr>
                  <w:r>
                    <w:t>主要在施工过程中施工机械运行时产生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51" w:type="pct"/>
                  <w:vMerge w:val="restart"/>
                  <w:vAlign w:val="center"/>
                </w:tcPr>
                <w:p>
                  <w:pPr>
                    <w:jc w:val="center"/>
                  </w:pPr>
                  <w:r>
                    <w:t>固体废物</w:t>
                  </w:r>
                </w:p>
              </w:tc>
              <w:tc>
                <w:tcPr>
                  <w:tcW w:w="1006" w:type="pct"/>
                  <w:vAlign w:val="center"/>
                </w:tcPr>
                <w:p>
                  <w:pPr>
                    <w:jc w:val="center"/>
                  </w:pPr>
                  <w:r>
                    <w:t>建筑垃圾</w:t>
                  </w:r>
                </w:p>
              </w:tc>
              <w:tc>
                <w:tcPr>
                  <w:tcW w:w="750" w:type="pct"/>
                  <w:vAlign w:val="center"/>
                </w:tcPr>
                <w:p>
                  <w:pPr>
                    <w:jc w:val="center"/>
                  </w:pPr>
                  <w:r>
                    <w:t>一般固废</w:t>
                  </w:r>
                </w:p>
              </w:tc>
              <w:tc>
                <w:tcPr>
                  <w:tcW w:w="2793" w:type="pct"/>
                  <w:vAlign w:val="center"/>
                </w:tcPr>
                <w:p>
                  <w:pPr>
                    <w:jc w:val="center"/>
                  </w:pPr>
                  <w:r>
                    <w:t>施工过程中产生的建筑垃圾（如水泥袋、铁质弃料、废弃混凝土、废包装固废等）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51" w:type="pct"/>
                  <w:vMerge w:val="continue"/>
                  <w:vAlign w:val="center"/>
                </w:tcPr>
                <w:p/>
              </w:tc>
              <w:tc>
                <w:tcPr>
                  <w:tcW w:w="1006" w:type="pct"/>
                  <w:vAlign w:val="center"/>
                </w:tcPr>
                <w:p>
                  <w:pPr>
                    <w:jc w:val="center"/>
                  </w:pPr>
                  <w:r>
                    <w:t>生活垃圾</w:t>
                  </w:r>
                </w:p>
              </w:tc>
              <w:tc>
                <w:tcPr>
                  <w:tcW w:w="750" w:type="pct"/>
                  <w:vAlign w:val="center"/>
                </w:tcPr>
                <w:p>
                  <w:pPr>
                    <w:jc w:val="center"/>
                  </w:pPr>
                  <w:r>
                    <w:t>一般固废</w:t>
                  </w:r>
                </w:p>
              </w:tc>
              <w:tc>
                <w:tcPr>
                  <w:tcW w:w="2793" w:type="pct"/>
                  <w:vAlign w:val="center"/>
                </w:tcPr>
                <w:p>
                  <w:pPr>
                    <w:jc w:val="center"/>
                  </w:pPr>
                  <w:r>
                    <w:t>工人生活中产生</w:t>
                  </w:r>
                </w:p>
              </w:tc>
            </w:tr>
          </w:tbl>
          <w:p>
            <w:pPr>
              <w:spacing w:line="360" w:lineRule="auto"/>
              <w:rPr>
                <w:b/>
                <w:bCs/>
                <w:sz w:val="24"/>
              </w:rPr>
            </w:pPr>
            <w:r>
              <w:rPr>
                <w:rFonts w:hint="eastAsia"/>
                <w:b/>
                <w:bCs/>
                <w:sz w:val="24"/>
              </w:rPr>
              <w:t>3、</w:t>
            </w:r>
            <w:r>
              <w:rPr>
                <w:b/>
                <w:bCs/>
                <w:sz w:val="24"/>
              </w:rPr>
              <w:t>运营期工艺流程及产污环节</w:t>
            </w:r>
          </w:p>
          <w:p>
            <w:pPr>
              <w:spacing w:line="360" w:lineRule="auto"/>
              <w:ind w:firstLine="480" w:firstLineChars="200"/>
              <w:rPr>
                <w:sz w:val="24"/>
              </w:rPr>
            </w:pPr>
            <w:r>
              <w:rPr>
                <w:rFonts w:hint="eastAsia"/>
                <w:sz w:val="24"/>
              </w:rPr>
              <w:t>（1）</w:t>
            </w:r>
            <w:r>
              <w:rPr>
                <w:sz w:val="24"/>
              </w:rPr>
              <w:t>工艺流程及产污环节</w:t>
            </w:r>
          </w:p>
          <w:p>
            <w:pPr>
              <w:spacing w:line="360" w:lineRule="auto"/>
              <w:ind w:firstLine="480" w:firstLineChars="200"/>
              <w:rPr>
                <w:sz w:val="24"/>
              </w:rPr>
            </w:pPr>
            <w:r>
              <w:rPr>
                <w:sz w:val="24"/>
              </w:rPr>
              <w:t>项目为玫瑰花大棚种植，运营期工艺流程为育苗，定植，栽培，采收，选花分级，包花，装箱打包，订花出库等。项目生产工艺流程及产污节点图见下2-2。</w:t>
            </w:r>
          </w:p>
          <w:p>
            <w:pPr>
              <w:spacing w:line="360" w:lineRule="auto"/>
              <w:jc w:val="center"/>
              <w:rPr>
                <w:sz w:val="24"/>
              </w:rPr>
            </w:pPr>
            <w:r>
              <w:object>
                <v:shape id="_x0000_i1025" o:spt="75" type="#_x0000_t75" style="height:198pt;width:390pt;" o:ole="t" filled="f" coordsize="21600,21600">
                  <v:path/>
                  <v:fill on="f" focussize="0,0"/>
                  <v:stroke/>
                  <v:imagedata r:id="rId7" o:title=""/>
                  <o:lock v:ext="edit" aspectratio="f"/>
                  <w10:wrap type="none"/>
                  <w10:anchorlock/>
                </v:shape>
                <o:OLEObject Type="Embed" ProgID="Visio.Drawing.11" ShapeID="_x0000_i1025" DrawAspect="Content" ObjectID="_1468075725" r:id="rId6">
                  <o:LockedField>false</o:LockedField>
                </o:OLEObject>
              </w:object>
            </w:r>
            <w:r>
              <w:rPr>
                <w:sz w:val="24"/>
              </w:rPr>
              <w:t xml:space="preserve"> </w:t>
            </w:r>
          </w:p>
          <w:p>
            <w:pPr>
              <w:spacing w:before="156" w:beforeLines="50" w:line="360" w:lineRule="auto"/>
              <w:jc w:val="center"/>
              <w:rPr>
                <w:sz w:val="24"/>
              </w:rPr>
            </w:pPr>
            <w:r>
              <w:rPr>
                <w:b/>
                <w:bCs/>
                <w:sz w:val="24"/>
              </w:rPr>
              <w:t>图2-2  项目生产工艺及产污节点图</w:t>
            </w:r>
          </w:p>
          <w:p>
            <w:pPr>
              <w:spacing w:line="360" w:lineRule="auto"/>
              <w:ind w:firstLine="480" w:firstLineChars="200"/>
              <w:rPr>
                <w:sz w:val="24"/>
              </w:rPr>
            </w:pPr>
            <w:r>
              <w:rPr>
                <w:sz w:val="24"/>
              </w:rPr>
              <w:t>种植工艺流程如下：</w:t>
            </w:r>
          </w:p>
          <w:p>
            <w:pPr>
              <w:spacing w:line="360" w:lineRule="auto"/>
              <w:ind w:firstLine="480" w:firstLineChars="200"/>
              <w:rPr>
                <w:rFonts w:eastAsiaTheme="minorEastAsia"/>
                <w:sz w:val="24"/>
              </w:rPr>
            </w:pPr>
            <w:r>
              <w:rPr>
                <w:rFonts w:eastAsiaTheme="minorEastAsia"/>
                <w:b/>
                <w:bCs/>
                <w:sz w:val="24"/>
              </w:rPr>
              <w:t>育苗、育苗状态检查：</w:t>
            </w:r>
            <w:r>
              <w:rPr>
                <w:rFonts w:eastAsiaTheme="minorEastAsia"/>
                <w:sz w:val="24"/>
              </w:rPr>
              <w:t>育苗有分株、扦插、嫁接、播种繁殖均可。分株于早春发芽前进行，分株频繁则滋生更茂。扦插多在春末夏初用嫩枝为材料。嫁接繁殖则多以蔷薇作砧木，采用芽接、切接均可，前者以8月-9月为妥，后者以春季为佳。单瓣品种易于结种，采种后应经沙藏，于来年初春播种。玫瑰系适应性较强的植物，以向阳、干燥处为适宜，忌水涝，但花前要适时浇水，适时剪除枯萎老干，</w:t>
            </w:r>
            <w:r>
              <w:rPr>
                <w:rFonts w:hint="eastAsia" w:eastAsiaTheme="minorEastAsia"/>
                <w:sz w:val="24"/>
              </w:rPr>
              <w:t>分蘖</w:t>
            </w:r>
            <w:r>
              <w:rPr>
                <w:rFonts w:eastAsiaTheme="minorEastAsia"/>
                <w:sz w:val="24"/>
              </w:rPr>
              <w:t>过盛时应及时分株，保持通风透光，花前花后均应施肥，以促进花蕾形成和补充开花消耗的养分，使整个植株常年生长健壮，同时病虫害也较少。育苗后人工检查育苗状态，将不合格玫瑰苗去除。</w:t>
            </w:r>
          </w:p>
          <w:p>
            <w:pPr>
              <w:spacing w:line="360" w:lineRule="auto"/>
              <w:ind w:firstLine="480" w:firstLineChars="200"/>
              <w:rPr>
                <w:rFonts w:eastAsiaTheme="minorEastAsia"/>
                <w:sz w:val="24"/>
              </w:rPr>
            </w:pPr>
            <w:r>
              <w:rPr>
                <w:rFonts w:eastAsiaTheme="minorEastAsia"/>
                <w:b/>
                <w:bCs/>
                <w:sz w:val="24"/>
              </w:rPr>
              <w:t>定植、栽培：</w:t>
            </w:r>
            <w:r>
              <w:rPr>
                <w:rFonts w:eastAsiaTheme="minorEastAsia"/>
                <w:sz w:val="24"/>
              </w:rPr>
              <w:t>栽植时间没有严格的界限，一年四季均可定植，最佳时间为春秋两季。定植时每栽2行，行距40cm，株距10</w:t>
            </w:r>
            <w:r>
              <w:rPr>
                <w:rFonts w:hint="eastAsia" w:eastAsiaTheme="minorEastAsia"/>
                <w:sz w:val="24"/>
              </w:rPr>
              <w:t>～</w:t>
            </w:r>
            <w:r>
              <w:rPr>
                <w:rFonts w:eastAsiaTheme="minorEastAsia"/>
                <w:sz w:val="24"/>
              </w:rPr>
              <w:t>12cm，栽培床的两边间隔40cm，平均7</w:t>
            </w:r>
            <w:r>
              <w:rPr>
                <w:rFonts w:hint="eastAsia" w:eastAsiaTheme="minorEastAsia"/>
                <w:sz w:val="24"/>
              </w:rPr>
              <w:t>～</w:t>
            </w:r>
            <w:r>
              <w:rPr>
                <w:rFonts w:eastAsiaTheme="minorEastAsia"/>
                <w:sz w:val="24"/>
              </w:rPr>
              <w:t>8株/m</w:t>
            </w:r>
            <w:r>
              <w:rPr>
                <w:rFonts w:eastAsiaTheme="minorEastAsia"/>
                <w:sz w:val="24"/>
                <w:vertAlign w:val="superscript"/>
              </w:rPr>
              <w:t>2</w:t>
            </w:r>
            <w:r>
              <w:rPr>
                <w:rFonts w:eastAsiaTheme="minorEastAsia"/>
                <w:sz w:val="24"/>
              </w:rPr>
              <w:t>，保苗6.3万株/hm</w:t>
            </w:r>
            <w:r>
              <w:rPr>
                <w:rFonts w:eastAsiaTheme="minorEastAsia"/>
                <w:sz w:val="24"/>
                <w:vertAlign w:val="superscript"/>
              </w:rPr>
              <w:t>2</w:t>
            </w:r>
            <w:r>
              <w:rPr>
                <w:rFonts w:eastAsiaTheme="minorEastAsia"/>
                <w:sz w:val="24"/>
              </w:rPr>
              <w:t>左右。不同品种的栽植密度有所差别。定植缓苗后及时中耕松土，并防治红蜘蛛、蚜虫、白粉病。当植株长到25cm左右时，开始压枝，压枝时间在晴天中午进行，否则易折断。栽苗前7d左右浇水，保护床土湿润。定植后自动滴灌系统会进行浇水及施肥。浇水追肥要根据土壤条件、气候条件和枝叶的生长状态进行。在玫瑰的栽培过程中，如果土壤水分不足，就会引起植株</w:t>
            </w:r>
            <w:r>
              <w:rPr>
                <w:rFonts w:hint="eastAsia" w:eastAsiaTheme="minorEastAsia"/>
                <w:sz w:val="24"/>
              </w:rPr>
              <w:t>整叶</w:t>
            </w:r>
            <w:r>
              <w:rPr>
                <w:rFonts w:eastAsiaTheme="minorEastAsia"/>
                <w:sz w:val="24"/>
              </w:rPr>
              <w:t>脱落。地表见干时应及时浇水，保持地面湿润。本项目玫瑰花采用温室种植，采用全自动水肥系统。</w:t>
            </w:r>
          </w:p>
          <w:p>
            <w:pPr>
              <w:spacing w:line="360" w:lineRule="auto"/>
              <w:ind w:firstLine="480" w:firstLineChars="200"/>
              <w:rPr>
                <w:rFonts w:eastAsiaTheme="minorEastAsia"/>
                <w:sz w:val="24"/>
              </w:rPr>
            </w:pPr>
            <w:r>
              <w:rPr>
                <w:rFonts w:eastAsiaTheme="minorEastAsia"/>
                <w:b/>
                <w:bCs/>
                <w:sz w:val="24"/>
              </w:rPr>
              <w:t>冬季温室加温：</w:t>
            </w:r>
            <w:r>
              <w:rPr>
                <w:rFonts w:eastAsiaTheme="minorEastAsia"/>
                <w:sz w:val="24"/>
              </w:rPr>
              <w:t>锅炉及储能罐部分，</w:t>
            </w:r>
            <w:r>
              <w:rPr>
                <w:rFonts w:hint="eastAsia" w:eastAsiaTheme="minorEastAsia"/>
                <w:sz w:val="24"/>
              </w:rPr>
              <w:t>项目设置1台4t天</w:t>
            </w:r>
            <w:r>
              <w:rPr>
                <w:rFonts w:eastAsiaTheme="minorEastAsia"/>
                <w:sz w:val="24"/>
              </w:rPr>
              <w:t>燃气锅炉</w:t>
            </w:r>
            <w:r>
              <w:rPr>
                <w:rFonts w:hint="eastAsia" w:eastAsiaTheme="minorEastAsia"/>
                <w:sz w:val="24"/>
              </w:rPr>
              <w:t>及1台2t的生物质成型燃料锅炉，两锅炉同时运行进行供暖。</w:t>
            </w:r>
            <w:r>
              <w:rPr>
                <w:rFonts w:eastAsiaTheme="minorEastAsia"/>
                <w:sz w:val="24"/>
              </w:rPr>
              <w:t>加温管部分，分为加温主管、加温主管保温层和苗床环绕双管加温管。天然气通过管道输送至锅炉房，经调压后通过燃气管道进入锅炉，天然气作为燃料在锅炉内燃烧，使其化学能转化为热能。而后锅炉房的锅炉产生的热水通过供热管网供给温室达到采暖的目的。热交换后的水体循环加热、散热</w:t>
            </w:r>
            <w:r>
              <w:rPr>
                <w:rFonts w:hint="eastAsia" w:eastAsiaTheme="minorEastAsia"/>
                <w:sz w:val="24"/>
              </w:rPr>
              <w:t>；生物质成型燃料锅炉亦如此。根据燃料及热值差异，并考虑锅炉效率，</w:t>
            </w:r>
            <w:r>
              <w:rPr>
                <w:rFonts w:eastAsiaTheme="minorEastAsia"/>
                <w:sz w:val="24"/>
              </w:rPr>
              <w:t>锅炉年运行</w:t>
            </w:r>
            <w:r>
              <w:rPr>
                <w:rFonts w:hint="eastAsia" w:eastAsiaTheme="minorEastAsia"/>
                <w:sz w:val="24"/>
              </w:rPr>
              <w:t>152</w:t>
            </w:r>
            <w:r>
              <w:rPr>
                <w:rFonts w:eastAsiaTheme="minorEastAsia"/>
                <w:sz w:val="24"/>
              </w:rPr>
              <w:t>天，每天运行10小时</w:t>
            </w:r>
            <w:r>
              <w:rPr>
                <w:rFonts w:hint="eastAsia" w:eastAsiaTheme="minorEastAsia"/>
                <w:sz w:val="24"/>
              </w:rPr>
              <w:t>。</w:t>
            </w:r>
            <w:r>
              <w:rPr>
                <w:rFonts w:eastAsiaTheme="minorEastAsia"/>
                <w:sz w:val="24"/>
              </w:rPr>
              <w:t>每年的运行时间在</w:t>
            </w:r>
            <w:r>
              <w:rPr>
                <w:rFonts w:hint="eastAsia" w:eastAsiaTheme="minorEastAsia"/>
                <w:sz w:val="24"/>
              </w:rPr>
              <w:t>10</w:t>
            </w:r>
            <w:r>
              <w:rPr>
                <w:rFonts w:eastAsiaTheme="minorEastAsia"/>
                <w:sz w:val="24"/>
              </w:rPr>
              <w:t>月</w:t>
            </w:r>
            <w:r>
              <w:rPr>
                <w:rFonts w:hint="eastAsia" w:eastAsiaTheme="minorEastAsia"/>
                <w:sz w:val="24"/>
              </w:rPr>
              <w:t>－</w:t>
            </w:r>
            <w:r>
              <w:rPr>
                <w:rFonts w:eastAsiaTheme="minorEastAsia"/>
                <w:sz w:val="24"/>
              </w:rPr>
              <w:t>次年</w:t>
            </w:r>
            <w:r>
              <w:rPr>
                <w:rFonts w:hint="eastAsia" w:eastAsiaTheme="minorEastAsia"/>
                <w:sz w:val="24"/>
              </w:rPr>
              <w:t>2</w:t>
            </w:r>
            <w:r>
              <w:rPr>
                <w:rFonts w:eastAsiaTheme="minorEastAsia"/>
                <w:sz w:val="24"/>
              </w:rPr>
              <w:t>月</w:t>
            </w:r>
            <w:r>
              <w:rPr>
                <w:rFonts w:hint="eastAsia" w:eastAsiaTheme="minorEastAsia"/>
                <w:sz w:val="24"/>
              </w:rPr>
              <w:t>（以冬季气温较低时为主）</w:t>
            </w:r>
            <w:r>
              <w:rPr>
                <w:rFonts w:eastAsiaTheme="minorEastAsia"/>
                <w:sz w:val="24"/>
              </w:rPr>
              <w:t>。</w:t>
            </w:r>
            <w:r>
              <w:rPr>
                <w:rFonts w:hint="eastAsia" w:eastAsiaTheme="minorEastAsia"/>
                <w:sz w:val="24"/>
              </w:rPr>
              <w:t>锅炉运行过程中，产生锅炉废气G1、G2，软水制备产生浓水W1、锅炉废水W2、W3，锅炉运行时产生噪声N1以及生物质锅炉产生灰渣S</w:t>
            </w:r>
            <w:r>
              <w:rPr>
                <w:rFonts w:eastAsiaTheme="minorEastAsia"/>
                <w:sz w:val="24"/>
              </w:rPr>
              <w:t>4</w:t>
            </w:r>
            <w:r>
              <w:rPr>
                <w:rFonts w:hint="eastAsia" w:eastAsiaTheme="minorEastAsia"/>
                <w:sz w:val="24"/>
              </w:rPr>
              <w:t>。</w:t>
            </w:r>
          </w:p>
          <w:p>
            <w:pPr>
              <w:spacing w:line="360" w:lineRule="auto"/>
              <w:ind w:firstLine="480" w:firstLineChars="200"/>
              <w:rPr>
                <w:rFonts w:eastAsiaTheme="minorEastAsia"/>
                <w:sz w:val="24"/>
              </w:rPr>
            </w:pPr>
            <w:r>
              <w:rPr>
                <w:rFonts w:eastAsiaTheme="minorEastAsia"/>
                <w:b/>
                <w:bCs/>
                <w:sz w:val="24"/>
              </w:rPr>
              <w:t>水肥系统：</w:t>
            </w:r>
            <w:r>
              <w:rPr>
                <w:rFonts w:eastAsiaTheme="minorEastAsia"/>
                <w:sz w:val="24"/>
              </w:rPr>
              <w:t>水肥一体化系统的组成包括水源工程（水质符合灌溉要求的江河、渠道、湖泊、井、水库等）、首部枢纽（水泵、过滤器、压力和流量监测设备、压力保护装置、施肥设备</w:t>
            </w:r>
            <w:r>
              <w:rPr>
                <w:rFonts w:hint="eastAsia" w:eastAsiaTheme="minorEastAsia"/>
                <w:sz w:val="24"/>
              </w:rPr>
              <w:t>（</w:t>
            </w:r>
            <w:r>
              <w:rPr>
                <w:rFonts w:eastAsiaTheme="minorEastAsia"/>
                <w:sz w:val="24"/>
              </w:rPr>
              <w:t>水肥一体机</w:t>
            </w:r>
            <w:r>
              <w:rPr>
                <w:rFonts w:hint="eastAsia" w:eastAsiaTheme="minorEastAsia"/>
                <w:sz w:val="24"/>
              </w:rPr>
              <w:t>）</w:t>
            </w:r>
            <w:r>
              <w:rPr>
                <w:rFonts w:eastAsiaTheme="minorEastAsia"/>
                <w:sz w:val="24"/>
              </w:rPr>
              <w:t xml:space="preserve"> 和自动化控制设备）、田间输配水管网系统（干管、支管、毛管组成）和控制软件平台等部分组成。运行时当环境指标超过设定阈值时能够可以自动控制温室湿帘、风机、喷淋滴灌、内外遮阳、顶窗侧窗、加温补光等设备以调节温室环境指标，实现温室大棚的智能化控制。根据植物实时的生长环境信息，通过各个类型的传感器可监测土壤水分、土壤温湿度、空气温湿度、光照强度等参数。进行自动灌溉、自动降温自动卷模、自动进行固液体肥料施肥、自动喷药等全自动化控制。随时随地掌握现场信息，随时随地控制现场设备。滴灌过程有少量废水渗出W</w:t>
            </w:r>
            <w:r>
              <w:rPr>
                <w:rFonts w:hint="eastAsia" w:eastAsiaTheme="minorEastAsia"/>
                <w:sz w:val="24"/>
              </w:rPr>
              <w:t>4</w:t>
            </w:r>
            <w:r>
              <w:rPr>
                <w:rFonts w:eastAsiaTheme="minorEastAsia"/>
                <w:sz w:val="24"/>
              </w:rPr>
              <w:t>。</w:t>
            </w:r>
          </w:p>
          <w:p>
            <w:pPr>
              <w:spacing w:line="360" w:lineRule="auto"/>
              <w:ind w:firstLine="480" w:firstLineChars="200"/>
              <w:rPr>
                <w:rFonts w:eastAsiaTheme="minorEastAsia"/>
                <w:sz w:val="24"/>
              </w:rPr>
            </w:pPr>
            <w:r>
              <w:rPr>
                <w:rFonts w:eastAsiaTheme="minorEastAsia"/>
                <w:b/>
                <w:bCs/>
                <w:sz w:val="24"/>
              </w:rPr>
              <w:t>采收：</w:t>
            </w:r>
            <w:r>
              <w:rPr>
                <w:rFonts w:eastAsiaTheme="minorEastAsia"/>
                <w:sz w:val="24"/>
              </w:rPr>
              <w:t>玫瑰花从花蕾形成到花全开放的过程可分为现蕾期、中蕾期、蕾饱满期、花瓣始绽期、半开期和全开期6个时期。观赏性玫瑰花，应在半开呈杯状，即花半开期采摘。</w:t>
            </w:r>
          </w:p>
          <w:p>
            <w:pPr>
              <w:spacing w:line="360" w:lineRule="auto"/>
              <w:ind w:firstLine="480" w:firstLineChars="200"/>
              <w:rPr>
                <w:rFonts w:eastAsiaTheme="minorEastAsia"/>
                <w:sz w:val="24"/>
              </w:rPr>
            </w:pPr>
            <w:r>
              <w:rPr>
                <w:rFonts w:eastAsiaTheme="minorEastAsia"/>
                <w:b/>
                <w:bCs/>
                <w:sz w:val="24"/>
              </w:rPr>
              <w:t>毛花入库：</w:t>
            </w:r>
            <w:r>
              <w:rPr>
                <w:rFonts w:eastAsiaTheme="minorEastAsia"/>
                <w:sz w:val="24"/>
              </w:rPr>
              <w:t>将采收毛花，运送至产品加工区进行包装，此过程</w:t>
            </w:r>
            <w:r>
              <w:rPr>
                <w:rFonts w:hint="eastAsia" w:eastAsiaTheme="minorEastAsia"/>
                <w:sz w:val="24"/>
              </w:rPr>
              <w:t>产生制冷剂废气</w:t>
            </w:r>
            <w:r>
              <w:rPr>
                <w:rFonts w:eastAsiaTheme="minorEastAsia"/>
                <w:sz w:val="24"/>
              </w:rPr>
              <w:t>。</w:t>
            </w:r>
          </w:p>
          <w:p>
            <w:pPr>
              <w:spacing w:line="360" w:lineRule="auto"/>
              <w:ind w:firstLine="480" w:firstLineChars="200"/>
              <w:rPr>
                <w:rFonts w:eastAsiaTheme="minorEastAsia"/>
                <w:sz w:val="24"/>
              </w:rPr>
            </w:pPr>
            <w:r>
              <w:rPr>
                <w:rFonts w:eastAsiaTheme="minorEastAsia"/>
                <w:b/>
                <w:bCs/>
                <w:sz w:val="24"/>
              </w:rPr>
              <w:t>选花分级：</w:t>
            </w:r>
            <w:r>
              <w:rPr>
                <w:rFonts w:eastAsiaTheme="minorEastAsia"/>
                <w:sz w:val="24"/>
              </w:rPr>
              <w:t>根据花头有没有病变有无色差，开放度是否一致，枝条是否齐整，粗细均匀，有无老桩，花型好不好，有无圆圆的花柱花心，夹枝多不多，粗细是否均匀，有过枝细条，新鲜度，叶片是否鲜绿，无农药损伤等，由人工将玫瑰花分为5个等级。</w:t>
            </w:r>
          </w:p>
          <w:p>
            <w:pPr>
              <w:spacing w:line="360" w:lineRule="auto"/>
              <w:ind w:firstLine="480" w:firstLineChars="200"/>
              <w:rPr>
                <w:rFonts w:eastAsiaTheme="minorEastAsia"/>
                <w:sz w:val="24"/>
              </w:rPr>
            </w:pPr>
            <w:r>
              <w:rPr>
                <w:rFonts w:eastAsiaTheme="minorEastAsia"/>
                <w:b/>
                <w:bCs/>
                <w:sz w:val="24"/>
              </w:rPr>
              <w:t>包花：</w:t>
            </w:r>
            <w:r>
              <w:rPr>
                <w:rFonts w:eastAsiaTheme="minorEastAsia"/>
                <w:sz w:val="24"/>
              </w:rPr>
              <w:t>将鲜花进行简单分级修建，并进行预清洗，预清洗废水回用于项目区中种植浇灌，用包材将玫瑰花初步包装，防止运输过程鲜花的损耗，保护鲜花品质。</w:t>
            </w:r>
          </w:p>
          <w:p>
            <w:pPr>
              <w:spacing w:line="360" w:lineRule="auto"/>
              <w:ind w:firstLine="480" w:firstLineChars="200"/>
              <w:rPr>
                <w:rFonts w:eastAsiaTheme="minorEastAsia"/>
                <w:sz w:val="24"/>
              </w:rPr>
            </w:pPr>
            <w:r>
              <w:rPr>
                <w:rFonts w:eastAsiaTheme="minorEastAsia"/>
                <w:b/>
                <w:bCs/>
                <w:sz w:val="24"/>
              </w:rPr>
              <w:t>装箱打包：</w:t>
            </w:r>
            <w:r>
              <w:rPr>
                <w:rFonts w:eastAsiaTheme="minorEastAsia"/>
                <w:sz w:val="24"/>
              </w:rPr>
              <w:t>将包好的鲜花装箱打包，准备外运。</w:t>
            </w:r>
          </w:p>
          <w:p>
            <w:pPr>
              <w:spacing w:line="360" w:lineRule="auto"/>
              <w:ind w:firstLine="480"/>
              <w:jc w:val="left"/>
              <w:rPr>
                <w:sz w:val="24"/>
              </w:rPr>
            </w:pPr>
            <w:r>
              <w:rPr>
                <w:rFonts w:eastAsiaTheme="minorEastAsia"/>
                <w:sz w:val="24"/>
              </w:rPr>
              <w:t>其他辅助性工艺流程如下：</w:t>
            </w:r>
          </w:p>
          <w:p>
            <w:pPr>
              <w:spacing w:line="360" w:lineRule="auto"/>
              <w:rPr>
                <w:sz w:val="24"/>
              </w:rPr>
            </w:pPr>
            <w:r>
              <w:rPr>
                <w:sz w:val="24"/>
              </w:rPr>
              <mc:AlternateContent>
                <mc:Choice Requires="wpc">
                  <w:drawing>
                    <wp:inline distT="0" distB="0" distL="114300" distR="114300">
                      <wp:extent cx="4938395" cy="3429000"/>
                      <wp:effectExtent l="0" t="0" r="0" b="0"/>
                      <wp:docPr id="63" name="画布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7" name="矩形 44"/>
                              <wps:cNvSpPr/>
                              <wps:spPr>
                                <a:xfrm>
                                  <a:off x="1922392" y="213400"/>
                                  <a:ext cx="1040899" cy="297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制冷风机</w:t>
                                    </w:r>
                                  </w:p>
                                </w:txbxContent>
                              </wps:txbx>
                              <wps:bodyPr upright="1"/>
                            </wps:wsp>
                            <wps:wsp>
                              <wps:cNvPr id="308" name="直接连接符 45"/>
                              <wps:cNvCnPr/>
                              <wps:spPr>
                                <a:xfrm flipH="1">
                                  <a:off x="2988059" y="381071"/>
                                  <a:ext cx="906262" cy="635"/>
                                </a:xfrm>
                                <a:prstGeom prst="line">
                                  <a:avLst/>
                                </a:prstGeom>
                                <a:ln w="9525" cap="flat" cmpd="sng">
                                  <a:solidFill>
                                    <a:srgbClr val="000000"/>
                                  </a:solidFill>
                                  <a:prstDash val="solid"/>
                                  <a:headEnd type="none" w="med" len="med"/>
                                  <a:tailEnd type="triangle" w="med" len="med"/>
                                </a:ln>
                              </wps:spPr>
                              <wps:bodyPr/>
                            </wps:wsp>
                            <wps:wsp>
                              <wps:cNvPr id="309" name="矩形 46"/>
                              <wps:cNvSpPr/>
                              <wps:spPr>
                                <a:xfrm>
                                  <a:off x="1950336" y="1448068"/>
                                  <a:ext cx="869427" cy="297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蒸发器</w:t>
                                    </w:r>
                                  </w:p>
                                </w:txbxContent>
                              </wps:txbx>
                              <wps:bodyPr upright="1"/>
                            </wps:wsp>
                            <wps:wsp>
                              <wps:cNvPr id="310" name="直接连接符 47"/>
                              <wps:cNvCnPr/>
                              <wps:spPr>
                                <a:xfrm flipV="1">
                                  <a:off x="2857867" y="1592875"/>
                                  <a:ext cx="663660" cy="635"/>
                                </a:xfrm>
                                <a:prstGeom prst="line">
                                  <a:avLst/>
                                </a:prstGeom>
                                <a:ln w="9525" cap="flat" cmpd="sng">
                                  <a:solidFill>
                                    <a:srgbClr val="000000"/>
                                  </a:solidFill>
                                  <a:prstDash val="solid"/>
                                  <a:headEnd type="none" w="med" len="med"/>
                                  <a:tailEnd type="triangle" w="med" len="med"/>
                                </a:ln>
                              </wps:spPr>
                              <wps:bodyPr/>
                            </wps:wsp>
                            <wps:wsp>
                              <wps:cNvPr id="311" name="直接连接符 48"/>
                              <wps:cNvCnPr/>
                              <wps:spPr>
                                <a:xfrm flipH="1" flipV="1">
                                  <a:off x="3879714" y="404570"/>
                                  <a:ext cx="635" cy="1013013"/>
                                </a:xfrm>
                                <a:prstGeom prst="line">
                                  <a:avLst/>
                                </a:prstGeom>
                                <a:ln w="9525" cap="flat" cmpd="sng">
                                  <a:solidFill>
                                    <a:srgbClr val="000000"/>
                                  </a:solidFill>
                                  <a:prstDash val="solid"/>
                                  <a:headEnd type="none" w="med" len="med"/>
                                  <a:tailEnd type="triangle" w="med" len="med"/>
                                </a:ln>
                              </wps:spPr>
                              <wps:bodyPr/>
                            </wps:wsp>
                            <wps:wsp>
                              <wps:cNvPr id="312" name="矩形 49"/>
                              <wps:cNvSpPr/>
                              <wps:spPr>
                                <a:xfrm>
                                  <a:off x="350565" y="783100"/>
                                  <a:ext cx="609678" cy="316289"/>
                                </a:xfrm>
                                <a:prstGeom prst="rect">
                                  <a:avLst/>
                                </a:prstGeom>
                                <a:noFill/>
                                <a:ln>
                                  <a:noFill/>
                                </a:ln>
                              </wps:spPr>
                              <wps:txbx>
                                <w:txbxContent>
                                  <w:p>
                                    <w:pPr>
                                      <w:jc w:val="center"/>
                                    </w:pPr>
                                    <w:r>
                                      <w:rPr>
                                        <w:rFonts w:hint="eastAsia"/>
                                      </w:rPr>
                                      <w:t>膨胀阀</w:t>
                                    </w:r>
                                  </w:p>
                                </w:txbxContent>
                              </wps:txbx>
                              <wps:bodyPr upright="1"/>
                            </wps:wsp>
                            <wps:wsp>
                              <wps:cNvPr id="313" name="矩形 50"/>
                              <wps:cNvSpPr/>
                              <wps:spPr>
                                <a:xfrm>
                                  <a:off x="3552012" y="1446798"/>
                                  <a:ext cx="538549" cy="5207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压缩机组</w:t>
                                    </w:r>
                                  </w:p>
                                </w:txbxContent>
                              </wps:txbx>
                              <wps:bodyPr upright="1"/>
                            </wps:wsp>
                            <wps:wsp>
                              <wps:cNvPr id="314" name="直接连接符 51"/>
                              <wps:cNvCnPr/>
                              <wps:spPr>
                                <a:xfrm flipH="1">
                                  <a:off x="1009780" y="370274"/>
                                  <a:ext cx="889749" cy="635"/>
                                </a:xfrm>
                                <a:prstGeom prst="line">
                                  <a:avLst/>
                                </a:prstGeom>
                                <a:ln w="9525" cap="flat" cmpd="sng">
                                  <a:solidFill>
                                    <a:srgbClr val="000000"/>
                                  </a:solidFill>
                                  <a:prstDash val="solid"/>
                                  <a:headEnd type="none" w="med" len="med"/>
                                  <a:tailEnd type="triangle" w="med" len="med"/>
                                </a:ln>
                              </wps:spPr>
                              <wps:bodyPr/>
                            </wps:wsp>
                            <wps:wsp>
                              <wps:cNvPr id="315" name="直接连接符 52"/>
                              <wps:cNvCnPr/>
                              <wps:spPr>
                                <a:xfrm>
                                  <a:off x="1025657" y="367733"/>
                                  <a:ext cx="9526" cy="1269600"/>
                                </a:xfrm>
                                <a:prstGeom prst="line">
                                  <a:avLst/>
                                </a:prstGeom>
                                <a:ln w="9525" cap="flat" cmpd="sng">
                                  <a:solidFill>
                                    <a:srgbClr val="000000"/>
                                  </a:solidFill>
                                  <a:prstDash val="solid"/>
                                  <a:headEnd type="none" w="med" len="med"/>
                                  <a:tailEnd type="triangle" w="med" len="med"/>
                                </a:ln>
                              </wps:spPr>
                              <wps:bodyPr/>
                            </wps:wsp>
                            <wps:wsp>
                              <wps:cNvPr id="316" name="直接连接符 53"/>
                              <wps:cNvCnPr/>
                              <wps:spPr>
                                <a:xfrm flipV="1">
                                  <a:off x="1079004" y="1604307"/>
                                  <a:ext cx="835132" cy="635"/>
                                </a:xfrm>
                                <a:prstGeom prst="line">
                                  <a:avLst/>
                                </a:prstGeom>
                                <a:ln w="9525" cap="flat" cmpd="sng">
                                  <a:solidFill>
                                    <a:srgbClr val="000000"/>
                                  </a:solidFill>
                                  <a:prstDash val="solid"/>
                                  <a:headEnd type="none" w="med" len="med"/>
                                  <a:tailEnd type="triangle" w="med" len="med"/>
                                </a:ln>
                              </wps:spPr>
                              <wps:bodyPr/>
                            </wps:wsp>
                            <wps:wsp>
                              <wps:cNvPr id="317" name="直接连接符 54"/>
                              <wps:cNvCnPr/>
                              <wps:spPr>
                                <a:xfrm>
                                  <a:off x="3868282" y="1998715"/>
                                  <a:ext cx="6986" cy="1122253"/>
                                </a:xfrm>
                                <a:prstGeom prst="line">
                                  <a:avLst/>
                                </a:prstGeom>
                                <a:ln w="9525" cap="flat" cmpd="sng">
                                  <a:solidFill>
                                    <a:srgbClr val="000000"/>
                                  </a:solidFill>
                                  <a:prstDash val="solid"/>
                                  <a:headEnd type="none" w="med" len="med"/>
                                  <a:tailEnd type="triangle" w="med" len="med"/>
                                </a:ln>
                              </wps:spPr>
                              <wps:bodyPr/>
                            </wps:wsp>
                            <wps:wsp>
                              <wps:cNvPr id="318" name="矩形 55"/>
                              <wps:cNvSpPr/>
                              <wps:spPr>
                                <a:xfrm>
                                  <a:off x="1886828" y="2892961"/>
                                  <a:ext cx="1028832" cy="2921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制冷风机</w:t>
                                    </w:r>
                                  </w:p>
                                </w:txbxContent>
                              </wps:txbx>
                              <wps:bodyPr upright="1"/>
                            </wps:wsp>
                            <wps:wsp>
                              <wps:cNvPr id="319" name="直接连接符 56"/>
                              <wps:cNvCnPr/>
                              <wps:spPr>
                                <a:xfrm flipH="1">
                                  <a:off x="2953765" y="3058091"/>
                                  <a:ext cx="901816" cy="0"/>
                                </a:xfrm>
                                <a:prstGeom prst="line">
                                  <a:avLst/>
                                </a:prstGeom>
                                <a:ln w="9525" cap="flat" cmpd="sng">
                                  <a:solidFill>
                                    <a:srgbClr val="000000"/>
                                  </a:solidFill>
                                  <a:prstDash val="solid"/>
                                  <a:headEnd type="none" w="med" len="med"/>
                                  <a:tailEnd type="triangle" w="med" len="med"/>
                                </a:ln>
                              </wps:spPr>
                              <wps:bodyPr/>
                            </wps:wsp>
                            <wps:wsp>
                              <wps:cNvPr id="320" name="直接连接符 57"/>
                              <wps:cNvCnPr/>
                              <wps:spPr>
                                <a:xfrm flipH="1">
                                  <a:off x="972310" y="3045389"/>
                                  <a:ext cx="889114" cy="0"/>
                                </a:xfrm>
                                <a:prstGeom prst="line">
                                  <a:avLst/>
                                </a:prstGeom>
                                <a:ln w="9525" cap="flat" cmpd="sng">
                                  <a:solidFill>
                                    <a:srgbClr val="000000"/>
                                  </a:solidFill>
                                  <a:prstDash val="solid"/>
                                  <a:headEnd type="none" w="med" len="med"/>
                                  <a:tailEnd type="triangle" w="med" len="med"/>
                                </a:ln>
                              </wps:spPr>
                              <wps:bodyPr/>
                            </wps:wsp>
                            <wps:wsp>
                              <wps:cNvPr id="321" name="直接连接符 58"/>
                              <wps:cNvCnPr/>
                              <wps:spPr>
                                <a:xfrm flipV="1">
                                  <a:off x="1018036" y="1902177"/>
                                  <a:ext cx="635" cy="1112091"/>
                                </a:xfrm>
                                <a:prstGeom prst="line">
                                  <a:avLst/>
                                </a:prstGeom>
                                <a:ln w="9525" cap="flat" cmpd="sng">
                                  <a:solidFill>
                                    <a:srgbClr val="000000"/>
                                  </a:solidFill>
                                  <a:prstDash val="solid"/>
                                  <a:headEnd type="none" w="med" len="med"/>
                                  <a:tailEnd type="triangle" w="med" len="med"/>
                                </a:ln>
                              </wps:spPr>
                              <wps:bodyPr/>
                            </wps:wsp>
                            <wps:wsp>
                              <wps:cNvPr id="322" name="矩形 59"/>
                              <wps:cNvSpPr/>
                              <wps:spPr>
                                <a:xfrm>
                                  <a:off x="362632" y="2374705"/>
                                  <a:ext cx="609678" cy="304856"/>
                                </a:xfrm>
                                <a:prstGeom prst="rect">
                                  <a:avLst/>
                                </a:prstGeom>
                                <a:noFill/>
                                <a:ln>
                                  <a:noFill/>
                                </a:ln>
                              </wps:spPr>
                              <wps:txbx>
                                <w:txbxContent>
                                  <w:p>
                                    <w:pPr>
                                      <w:jc w:val="center"/>
                                    </w:pPr>
                                    <w:r>
                                      <w:rPr>
                                        <w:rFonts w:hint="eastAsia"/>
                                      </w:rPr>
                                      <w:t>膨胀阀</w:t>
                                    </w:r>
                                  </w:p>
                                </w:txbxContent>
                              </wps:txbx>
                              <wps:bodyPr upright="1"/>
                            </wps:wsp>
                            <wps:wsp>
                              <wps:cNvPr id="323" name="矩形 60"/>
                              <wps:cNvSpPr/>
                              <wps:spPr>
                                <a:xfrm>
                                  <a:off x="1947795" y="1833585"/>
                                  <a:ext cx="863711" cy="2921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蒸发器</w:t>
                                    </w:r>
                                  </w:p>
                                </w:txbxContent>
                              </wps:txbx>
                              <wps:bodyPr upright="1"/>
                            </wps:wsp>
                            <wps:wsp>
                              <wps:cNvPr id="324" name="直接连接符 61"/>
                              <wps:cNvCnPr/>
                              <wps:spPr>
                                <a:xfrm flipV="1">
                                  <a:off x="2862313" y="1947906"/>
                                  <a:ext cx="660485" cy="0"/>
                                </a:xfrm>
                                <a:prstGeom prst="line">
                                  <a:avLst/>
                                </a:prstGeom>
                                <a:ln w="9525" cap="flat" cmpd="sng">
                                  <a:solidFill>
                                    <a:srgbClr val="000000"/>
                                  </a:solidFill>
                                  <a:prstDash val="solid"/>
                                  <a:headEnd type="none" w="med" len="med"/>
                                  <a:tailEnd type="triangle" w="med" len="med"/>
                                </a:ln>
                              </wps:spPr>
                              <wps:bodyPr/>
                            </wps:wsp>
                            <wps:wsp>
                              <wps:cNvPr id="325" name="直接连接符 62"/>
                              <wps:cNvCnPr/>
                              <wps:spPr>
                                <a:xfrm flipV="1">
                                  <a:off x="1071383" y="1960608"/>
                                  <a:ext cx="825606" cy="0"/>
                                </a:xfrm>
                                <a:prstGeom prst="line">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270pt;width:388.85pt;" coordsize="4938395,3429000" editas="canvas" o:gfxdata="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">
                      <o:lock v:ext="edit" aspectratio="f"/>
                      <v:shape id="_x0000_s1026" o:spid="_x0000_s1026" style="position:absolute;left:0;top:0;height:3429000;width:4938395;" filled="f" stroked="f" coordsize="21600,21600" o:gfxdata="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">
                        <v:fill on="f" focussize="0,0"/>
                        <v:stroke on="f"/>
                        <v:imagedata o:title=""/>
                        <o:lock v:ext="edit" aspectratio="t"/>
                      </v:shape>
                      <v:rect id="矩形 44" o:spid="_x0000_s1026" o:spt="1" style="position:absolute;left:1922392;top:213400;height:297235;width:1040899;" fillcolor="#FFFFFF" filled="t" stroked="t" coordsize="21600,21600" o:gfxdata="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gEP+0wAAAAUBAAAPAAAAAAAAAAEAIAAAACIA&#10;AABkcnMvZG93bnJldi54bWxQSwECFAAUAAAACACHTuJAPuxUEw4CAAA3BAAADgAAAAAAAAABACAA&#10;AAAiAQAAZHJzL2Uyb0RvYy54bWxQSwUGAAAAAAYABgBZAQAAogUAAAAA&#10;">
                        <v:fill on="t" focussize="0,0"/>
                        <v:stroke color="#000000" joinstyle="miter"/>
                        <v:imagedata o:title=""/>
                        <o:lock v:ext="edit" aspectratio="f"/>
                        <v:textbox>
                          <w:txbxContent>
                            <w:p>
                              <w:pPr>
                                <w:jc w:val="center"/>
                              </w:pPr>
                              <w:r>
                                <w:rPr>
                                  <w:rFonts w:hint="eastAsia"/>
                                </w:rPr>
                                <w:t>制冷风机</w:t>
                              </w:r>
                            </w:p>
                          </w:txbxContent>
                        </v:textbox>
                      </v:rect>
                      <v:line id="直接连接符 45" o:spid="_x0000_s1026" o:spt="20" style="position:absolute;left:2988059;top:381071;flip:x;height:635;width:906262;" filled="f" stroked="t" coordsize="21600,21600" o:gfxdata="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hRZ9UAAAAFAQAADwAAAAAAAAABACAAAAAi&#10;AAAAZHJzL2Rvd25yZXYueG1sUEsBAhQAFAAAAAgAh07iQA6o/UENAgAA9QMAAA4AAAAAAAAAAQAg&#10;AAAAJAEAAGRycy9lMm9Eb2MueG1sUEsFBgAAAAAGAAYAWQEAAKMFAAAAAA==&#10;">
                        <v:fill on="f" focussize="0,0"/>
                        <v:stroke color="#000000" joinstyle="round" endarrow="block"/>
                        <v:imagedata o:title=""/>
                        <o:lock v:ext="edit" aspectratio="f"/>
                      </v:line>
                      <v:rect id="矩形 46" o:spid="_x0000_s1026" o:spt="1" style="position:absolute;left:1950336;top:1448068;height:297235;width:869427;" fillcolor="#FFFFFF" filled="t" stroked="t" coordsize="21600,21600" o:gfxdata="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KAQ/7TAAAABQEAAA8AAAAAAAAAAQAgAAAA&#10;IgAAAGRycy9kb3ducmV2LnhtbFBLAQIUABQAAAAIAIdO4kBpA2vkEAIAADcEAAAOAAAAAAAAAAEA&#10;IAAAACIBAABkcnMvZTJvRG9jLnhtbFBLBQYAAAAABgAGAFkBAACkBQAAAAA=&#10;">
                        <v:fill on="t" focussize="0,0"/>
                        <v:stroke color="#000000" joinstyle="miter"/>
                        <v:imagedata o:title=""/>
                        <o:lock v:ext="edit" aspectratio="f"/>
                        <v:textbox>
                          <w:txbxContent>
                            <w:p>
                              <w:pPr>
                                <w:jc w:val="center"/>
                              </w:pPr>
                              <w:r>
                                <w:rPr>
                                  <w:rFonts w:hint="eastAsia"/>
                                </w:rPr>
                                <w:t>蒸发器</w:t>
                              </w:r>
                            </w:p>
                          </w:txbxContent>
                        </v:textbox>
                      </v:rect>
                      <v:line id="直接连接符 47" o:spid="_x0000_s1026" o:spt="20" style="position:absolute;left:2857867;top:1592875;flip:y;height:635;width:663660;" filled="f" stroked="t" coordsize="21600,21600" o:gfxdata="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L4UWfVAAAABQEAAA8AAAAAAAAAAQAgAAAA&#10;IgAAAGRycy9kb3ducmV2LnhtbFBLAQIUABQAAAAIAIdO4kAqBfLADgIAAPYDAAAOAAAAAAAAAAEA&#10;IAAAACQBAABkcnMvZTJvRG9jLnhtbFBLBQYAAAAABgAGAFkBAACkBQAAAAA=&#10;">
                        <v:fill on="f" focussize="0,0"/>
                        <v:stroke color="#000000" joinstyle="round" endarrow="block"/>
                        <v:imagedata o:title=""/>
                        <o:lock v:ext="edit" aspectratio="f"/>
                      </v:line>
                      <v:line id="直接连接符 48" o:spid="_x0000_s1026" o:spt="20" style="position:absolute;left:3879714;top:404570;flip:x y;height:1013013;width:635;" filled="f" stroked="t" coordsize="21600,21600" o:gfxdata="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sLyiR1QAAAAUBAAAPAAAAAAAAAAEAIAAA&#10;ACIAAABkcnMvZG93bnJldi54bWxQSwECFAAUAAAACACHTuJAC7peRQ8CAAAABAAADgAAAAAAAAAB&#10;ACAAAAAkAQAAZHJzL2Uyb0RvYy54bWxQSwUGAAAAAAYABgBZAQAApQUAAAAA&#10;">
                        <v:fill on="f" focussize="0,0"/>
                        <v:stroke color="#000000" joinstyle="round" endarrow="block"/>
                        <v:imagedata o:title=""/>
                        <o:lock v:ext="edit" aspectratio="f"/>
                      </v:line>
                      <v:rect id="矩形 49" o:spid="_x0000_s1026" o:spt="1" style="position:absolute;left:350565;top:783100;height:316289;width:609678;" filled="f" stroked="f" coordsize="21600,21600" o:gfxdata="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BZK9UA&#10;AAAFAQAADwAAAAAAAAABACAAAAAiAAAAZHJzL2Rvd25yZXYueG1sUEsBAhQAFAAAAAgAh07iQCDz&#10;H4mwAQAATQMAAA4AAAAAAAAAAQAgAAAAJAEAAGRycy9lMm9Eb2MueG1sUEsFBgAAAAAGAAYAWQEA&#10;AEYFAAAAAA==&#10;">
                        <v:fill on="f" focussize="0,0"/>
                        <v:stroke on="f"/>
                        <v:imagedata o:title=""/>
                        <o:lock v:ext="edit" aspectratio="f"/>
                        <v:textbox>
                          <w:txbxContent>
                            <w:p>
                              <w:pPr>
                                <w:jc w:val="center"/>
                              </w:pPr>
                              <w:r>
                                <w:rPr>
                                  <w:rFonts w:hint="eastAsia"/>
                                </w:rPr>
                                <w:t>膨胀阀</w:t>
                              </w:r>
                            </w:p>
                          </w:txbxContent>
                        </v:textbox>
                      </v:rect>
                      <v:rect id="矩形 50" o:spid="_x0000_s1026" o:spt="1" style="position:absolute;left:3552012;top:1446798;height:520796;width:538549;" fillcolor="#FFFFFF" filled="t" stroked="t" coordsize="21600,21600" o:gfxdata="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KAQ/7TAAAABQEAAA8AAAAAAAAAAQAgAAAAIgAA&#10;AGRycy9kb3ducmV2LnhtbFBLAQIUABQAAAAIAIdO4kAlnzARDQIAADcEAAAOAAAAAAAAAAEAIAAA&#10;ACIBAABkcnMvZTJvRG9jLnhtbFBLBQYAAAAABgAGAFkBAAChBQAAAAA=&#10;">
                        <v:fill on="t" focussize="0,0"/>
                        <v:stroke color="#000000" joinstyle="miter"/>
                        <v:imagedata o:title=""/>
                        <o:lock v:ext="edit" aspectratio="f"/>
                        <v:textbox>
                          <w:txbxContent>
                            <w:p>
                              <w:pPr>
                                <w:jc w:val="center"/>
                              </w:pPr>
                              <w:r>
                                <w:rPr>
                                  <w:rFonts w:hint="eastAsia"/>
                                </w:rPr>
                                <w:t>压缩机组</w:t>
                              </w:r>
                            </w:p>
                          </w:txbxContent>
                        </v:textbox>
                      </v:rect>
                      <v:line id="直接连接符 51" o:spid="_x0000_s1026" o:spt="20" style="position:absolute;left:1009780;top:370274;flip:x;height:635;width:889749;" filled="f" stroked="t" coordsize="21600,21600" o:gfxdata="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FFn1QAAAAUBAAAPAAAAAAAAAAEAIAAAACIA&#10;AABkcnMvZG93bnJldi54bWxQSwECFAAUAAAACACHTuJAFI6HAAwCAAD1AwAADgAAAAAAAAABACAA&#10;AAAkAQAAZHJzL2Uyb0RvYy54bWxQSwUGAAAAAAYABgBZAQAAogUAAAAA&#10;">
                        <v:fill on="f" focussize="0,0"/>
                        <v:stroke color="#000000" joinstyle="round" endarrow="block"/>
                        <v:imagedata o:title=""/>
                        <o:lock v:ext="edit" aspectratio="f"/>
                      </v:line>
                      <v:line id="直接连接符 52" o:spid="_x0000_s1026" o:spt="20" style="position:absolute;left:1025657;top:367733;height:1269600;width:9526;" filled="f" stroked="t" coordsize="21600,21600" o:gfxdata="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kMQ01gAAAAUBAAAPAAAAAAAAAAEAIAAAACIAAABkcnMv&#10;ZG93bnJldi54bWxQSwECFAAUAAAACACHTuJA4xlwOwUCAADtAwAADgAAAAAAAAABACAAAAAlAQAA&#10;ZHJzL2Uyb0RvYy54bWxQSwUGAAAAAAYABgBZAQAAnAUAAAAA&#10;">
                        <v:fill on="f" focussize="0,0"/>
                        <v:stroke color="#000000" joinstyle="round" endarrow="block"/>
                        <v:imagedata o:title=""/>
                        <o:lock v:ext="edit" aspectratio="f"/>
                      </v:line>
                      <v:line id="直接连接符 53" o:spid="_x0000_s1026" o:spt="20" style="position:absolute;left:1079004;top:1604307;flip:y;height:635;width:835132;" filled="f" stroked="t" coordsize="21600,21600" o:gfxdata="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FFn1QAAAAUBAAAPAAAAAAAAAAEAIAAAACIA&#10;AABkcnMvZG93bnJldi54bWxQSwECFAAUAAAACACHTuJASTyUDQwCAAD2AwAADgAAAAAAAAABACAA&#10;AAAkAQAAZHJzL2Uyb0RvYy54bWxQSwUGAAAAAAYABgBZAQAAogUAAAAA&#10;">
                        <v:fill on="f" focussize="0,0"/>
                        <v:stroke color="#000000" joinstyle="round" endarrow="block"/>
                        <v:imagedata o:title=""/>
                        <o:lock v:ext="edit" aspectratio="f"/>
                      </v:line>
                      <v:line id="直接连接符 54" o:spid="_x0000_s1026" o:spt="20" style="position:absolute;left:3868282;top:1998715;height:1122253;width:6986;" filled="f" stroked="t" coordsize="21600,21600" o:gfxdata="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pDENNYAAAAFAQAADwAAAAAAAAABACAAAAAiAAAAZHJz&#10;L2Rvd25yZXYueG1sUEsBAhQAFAAAAAgAh07iQIH2iT8GAgAA7gMAAA4AAAAAAAAAAQAgAAAAJQEA&#10;AGRycy9lMm9Eb2MueG1sUEsFBgAAAAAGAAYAWQEAAJ0FAAAAAA==&#10;">
                        <v:fill on="f" focussize="0,0"/>
                        <v:stroke color="#000000" joinstyle="round" endarrow="block"/>
                        <v:imagedata o:title=""/>
                        <o:lock v:ext="edit" aspectratio="f"/>
                      </v:line>
                      <v:rect id="矩形 55" o:spid="_x0000_s1026" o:spt="1" style="position:absolute;left:1886828;top:2892961;height:292154;width:1028832;" fillcolor="#FFFFFF" filled="t" stroked="t" coordsize="21600,21600" o:gfxdata="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gEP+0wAAAAUBAAAPAAAAAAAAAAEAIAAAACIA&#10;AABkcnMvZG93bnJldi54bWxQSwECFAAUAAAACACHTuJAzPid5g4CAAA4BAAADgAAAAAAAAABACAA&#10;AAAiAQAAZHJzL2Uyb0RvYy54bWxQSwUGAAAAAAYABgBZAQAAogUAAAAA&#10;">
                        <v:fill on="t" focussize="0,0"/>
                        <v:stroke color="#000000" joinstyle="miter"/>
                        <v:imagedata o:title=""/>
                        <o:lock v:ext="edit" aspectratio="f"/>
                        <v:textbox>
                          <w:txbxContent>
                            <w:p>
                              <w:pPr>
                                <w:jc w:val="center"/>
                              </w:pPr>
                              <w:r>
                                <w:rPr>
                                  <w:rFonts w:hint="eastAsia"/>
                                </w:rPr>
                                <w:t>制冷风机</w:t>
                              </w:r>
                            </w:p>
                          </w:txbxContent>
                        </v:textbox>
                      </v:rect>
                      <v:line id="直接连接符 56" o:spid="_x0000_s1026" o:spt="20" style="position:absolute;left:2953765;top:3058091;flip:x;height:0;width:901816;" filled="f" stroked="t" coordsize="21600,21600" o:gfxdata="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hRZ9UAAAAFAQAADwAAAAAAAAABACAAAAAi&#10;AAAAZHJzL2Rvd25yZXYueG1sUEsBAhQAFAAAAAgAh07iQJvV0DINAgAA9AMAAA4AAAAAAAAAAQAg&#10;AAAAJAEAAGRycy9lMm9Eb2MueG1sUEsFBgAAAAAGAAYAWQEAAKMFAAAAAA==&#10;">
                        <v:fill on="f" focussize="0,0"/>
                        <v:stroke color="#000000" joinstyle="round" endarrow="block"/>
                        <v:imagedata o:title=""/>
                        <o:lock v:ext="edit" aspectratio="f"/>
                      </v:line>
                      <v:line id="直接连接符 57" o:spid="_x0000_s1026" o:spt="20" style="position:absolute;left:972310;top:3045389;flip:x;height:0;width:889114;" filled="f" stroked="t" coordsize="21600,21600" o:gfxdata="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L4UWfVAAAABQEAAA8AAAAAAAAAAQAgAAAAIgAA&#10;AGRycy9kb3ducmV2LnhtbFBLAQIUABQAAAAIAIdO4kAC8qf5CwIAAPMDAAAOAAAAAAAAAAEAIAAA&#10;ACQBAABkcnMvZTJvRG9jLnhtbFBLBQYAAAAABgAGAFkBAAChBQAAAAA=&#10;">
                        <v:fill on="f" focussize="0,0"/>
                        <v:stroke color="#000000" joinstyle="round" endarrow="block"/>
                        <v:imagedata o:title=""/>
                        <o:lock v:ext="edit" aspectratio="f"/>
                      </v:line>
                      <v:line id="直接连接符 58" o:spid="_x0000_s1026" o:spt="20" style="position:absolute;left:1018036;top:1902177;flip:y;height:1112091;width:635;" filled="f" stroked="t" coordsize="21600,21600" o:gfxdata="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L4UWfVAAAABQEAAA8AAAAAAAAAAQAgAAAAIgAA&#10;AGRycy9kb3ducmV2LnhtbFBLAQIUABQAAAAIAIdO4kCFQq6hCwIAAPcDAAAOAAAAAAAAAAEAIAAA&#10;ACQBAABkcnMvZTJvRG9jLnhtbFBLBQYAAAAABgAGAFkBAAChBQAAAAA=&#10;">
                        <v:fill on="f" focussize="0,0"/>
                        <v:stroke color="#000000" joinstyle="round" endarrow="block"/>
                        <v:imagedata o:title=""/>
                        <o:lock v:ext="edit" aspectratio="f"/>
                      </v:line>
                      <v:rect id="矩形 59" o:spid="_x0000_s1026" o:spt="1" style="position:absolute;left:362632;top:2374705;height:304856;width:609678;" filled="f" stroked="f" coordsize="21600,21600" o:gfxdata="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BZK9UA&#10;AAAFAQAADwAAAAAAAAABACAAAAAiAAAAZHJzL2Rvd25yZXYueG1sUEsBAhQAFAAAAAgAh07iQIeX&#10;np+wAQAATgMAAA4AAAAAAAAAAQAgAAAAJAEAAGRycy9lMm9Eb2MueG1sUEsFBgAAAAAGAAYAWQEA&#10;AEYFAAAAAA==&#10;">
                        <v:fill on="f" focussize="0,0"/>
                        <v:stroke on="f"/>
                        <v:imagedata o:title=""/>
                        <o:lock v:ext="edit" aspectratio="f"/>
                        <v:textbox>
                          <w:txbxContent>
                            <w:p>
                              <w:pPr>
                                <w:jc w:val="center"/>
                              </w:pPr>
                              <w:r>
                                <w:rPr>
                                  <w:rFonts w:hint="eastAsia"/>
                                </w:rPr>
                                <w:t>膨胀阀</w:t>
                              </w:r>
                            </w:p>
                          </w:txbxContent>
                        </v:textbox>
                      </v:rect>
                      <v:rect id="矩形 60" o:spid="_x0000_s1026" o:spt="1" style="position:absolute;left:1947795;top:1833585;height:292154;width:863711;" fillcolor="#FFFFFF" filled="t" stroked="t" coordsize="21600,21600" o:gfxdata="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oBD/tMAAAAFAQAADwAAAAAAAAABACAAAAAi&#10;AAAAZHJzL2Rvd25yZXYueG1sUEsBAhQAFAAAAAgAh07iQGGJUHcPAgAANwQAAA4AAAAAAAAAAQAg&#10;AAAAIgEAAGRycy9lMm9Eb2MueG1sUEsFBgAAAAAGAAYAWQEAAKMFAAAAAA==&#10;">
                        <v:fill on="t" focussize="0,0"/>
                        <v:stroke color="#000000" joinstyle="miter"/>
                        <v:imagedata o:title=""/>
                        <o:lock v:ext="edit" aspectratio="f"/>
                        <v:textbox>
                          <w:txbxContent>
                            <w:p>
                              <w:pPr>
                                <w:jc w:val="center"/>
                              </w:pPr>
                              <w:r>
                                <w:rPr>
                                  <w:rFonts w:hint="eastAsia"/>
                                </w:rPr>
                                <w:t>蒸发器</w:t>
                              </w:r>
                            </w:p>
                          </w:txbxContent>
                        </v:textbox>
                      </v:rect>
                      <v:line id="直接连接符 61" o:spid="_x0000_s1026" o:spt="20" style="position:absolute;left:2862313;top:1947906;flip:y;height:0;width:660485;" filled="f" stroked="t" coordsize="21600,21600" o:gfxdata="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hRZ9UAAAAFAQAADwAAAAAAAAABACAAAAAi&#10;AAAAZHJzL2Rvd25yZXYueG1sUEsBAhQAFAAAAAgAh07iQBzW630NAgAA9AMAAA4AAAAAAAAAAQAg&#10;AAAAJAEAAGRycy9lMm9Eb2MueG1sUEsFBgAAAAAGAAYAWQEAAKMFAAAAAA==&#10;">
                        <v:fill on="f" focussize="0,0"/>
                        <v:stroke color="#000000" joinstyle="round" endarrow="block"/>
                        <v:imagedata o:title=""/>
                        <o:lock v:ext="edit" aspectratio="f"/>
                      </v:line>
                      <v:line id="直接连接符 62" o:spid="_x0000_s1026" o:spt="20" style="position:absolute;left:1071383;top:1960608;flip:y;height:0;width:825606;" filled="f" stroked="t" coordsize="21600,21600" o:gfxdata="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hRZ9UAAAAFAQAADwAAAAAAAAABACAAAAAiAAAA&#10;ZHJzL2Rvd25yZXYueG1sUEsBAhQAFAAAAAgAh07iQMvNVmQKAgAA9AMAAA4AAAAAAAAAAQAgAAAA&#10;JAEAAGRycy9lMm9Eb2MueG1sUEsFBgAAAAAGAAYAWQEAAKAFAAAAAA==&#10;">
                        <v:fill on="f" focussize="0,0"/>
                        <v:stroke color="#000000" joinstyle="round" endarrow="block"/>
                        <v:imagedata o:title=""/>
                        <o:lock v:ext="edit" aspectratio="f"/>
                      </v:line>
                      <w10:wrap type="none"/>
                      <w10:anchorlock/>
                    </v:group>
                  </w:pict>
                </mc:Fallback>
              </mc:AlternateContent>
            </w:r>
          </w:p>
          <w:p>
            <w:pPr>
              <w:spacing w:line="360" w:lineRule="auto"/>
              <w:jc w:val="center"/>
              <w:rPr>
                <w:b/>
                <w:bCs/>
                <w:sz w:val="24"/>
              </w:rPr>
            </w:pPr>
            <w:r>
              <w:rPr>
                <w:b/>
                <w:bCs/>
                <w:sz w:val="24"/>
              </w:rPr>
              <w:t>图2-3 冷库工艺</w:t>
            </w:r>
          </w:p>
          <w:p>
            <w:pPr>
              <w:spacing w:line="360" w:lineRule="auto"/>
              <w:ind w:firstLine="480" w:firstLineChars="200"/>
              <w:rPr>
                <w:sz w:val="24"/>
              </w:rPr>
            </w:pPr>
            <w:r>
              <w:rPr>
                <w:sz w:val="24"/>
              </w:rPr>
              <w:t>冷库工艺流程描述如下：</w:t>
            </w:r>
          </w:p>
          <w:p>
            <w:pPr>
              <w:spacing w:line="360" w:lineRule="auto"/>
              <w:ind w:firstLine="480" w:firstLineChars="200"/>
              <w:rPr>
                <w:sz w:val="24"/>
              </w:rPr>
            </w:pPr>
            <w:r>
              <w:rPr>
                <w:sz w:val="24"/>
              </w:rPr>
              <w:t>制冷剂从压缩机吸气管吸入为低温低压气体，通过电机运转带动活塞后对其进行压缩后为高温高压的制冷剂气体，向排气管排出，高温的气态制冷剂通过制冷风机散热，温度下降并凝结成液体。通过膨胀阀节流后变成低温低压制冷剂进入蒸发器，蒸发器中的液态制冷剂吸收热量并开始蒸发，形成一定的温度差，液态制冷剂亦完全蒸发变为气态，后被压缩机吸入并压缩，完成制冷剂循环过程。</w:t>
            </w:r>
          </w:p>
          <w:p>
            <w:pPr>
              <w:pStyle w:val="13"/>
              <w:spacing w:line="360" w:lineRule="auto"/>
              <w:ind w:firstLine="420" w:firstLineChars="200"/>
              <w:rPr>
                <w:rFonts w:eastAsiaTheme="minorEastAsia"/>
                <w:b/>
              </w:rPr>
            </w:pPr>
            <w:r>
              <w:rPr>
                <w:rFonts w:eastAsiaTheme="minorEastAsia"/>
                <w:b/>
              </w:rPr>
              <mc:AlternateContent>
                <mc:Choice Requires="wpc">
                  <w:drawing>
                    <wp:inline distT="0" distB="0" distL="114300" distR="114300">
                      <wp:extent cx="4511675" cy="2816225"/>
                      <wp:effectExtent l="0" t="0" r="254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6" name="矩形 29"/>
                              <wps:cNvSpPr/>
                              <wps:spPr>
                                <a:xfrm>
                                  <a:off x="1914525" y="99060"/>
                                  <a:ext cx="7429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自来水箱</w:t>
                                    </w:r>
                                  </w:p>
                                </w:txbxContent>
                              </wps:txbx>
                              <wps:bodyPr upright="1"/>
                            </wps:wsp>
                            <wps:wsp>
                              <wps:cNvPr id="327" name="直接连接符 30"/>
                              <wps:cNvCnPr/>
                              <wps:spPr>
                                <a:xfrm>
                                  <a:off x="2286000" y="396240"/>
                                  <a:ext cx="635" cy="297180"/>
                                </a:xfrm>
                                <a:prstGeom prst="line">
                                  <a:avLst/>
                                </a:prstGeom>
                                <a:ln w="9525" cap="flat" cmpd="sng">
                                  <a:solidFill>
                                    <a:srgbClr val="000000"/>
                                  </a:solidFill>
                                  <a:prstDash val="solid"/>
                                  <a:headEnd type="none" w="med" len="med"/>
                                  <a:tailEnd type="triangle" w="med" len="med"/>
                                </a:ln>
                              </wps:spPr>
                              <wps:bodyPr/>
                            </wps:wsp>
                            <wps:wsp>
                              <wps:cNvPr id="328" name="矩形 31"/>
                              <wps:cNvSpPr/>
                              <wps:spPr>
                                <a:xfrm>
                                  <a:off x="1794510" y="701040"/>
                                  <a:ext cx="99758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多介质过滤器</w:t>
                                    </w:r>
                                  </w:p>
                                </w:txbxContent>
                              </wps:txbx>
                              <wps:bodyPr upright="1"/>
                            </wps:wsp>
                            <wps:wsp>
                              <wps:cNvPr id="329" name="直接连接符 32"/>
                              <wps:cNvCnPr/>
                              <wps:spPr>
                                <a:xfrm>
                                  <a:off x="2286000" y="990600"/>
                                  <a:ext cx="635" cy="297180"/>
                                </a:xfrm>
                                <a:prstGeom prst="line">
                                  <a:avLst/>
                                </a:prstGeom>
                                <a:ln w="9525" cap="flat" cmpd="sng">
                                  <a:solidFill>
                                    <a:srgbClr val="000000"/>
                                  </a:solidFill>
                                  <a:prstDash val="solid"/>
                                  <a:headEnd type="none" w="med" len="med"/>
                                  <a:tailEnd type="triangle" w="med" len="med"/>
                                </a:ln>
                              </wps:spPr>
                              <wps:bodyPr/>
                            </wps:wsp>
                            <wps:wsp>
                              <wps:cNvPr id="330" name="矩形 33"/>
                              <wps:cNvSpPr/>
                              <wps:spPr>
                                <a:xfrm>
                                  <a:off x="1577340" y="1889760"/>
                                  <a:ext cx="134874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RO渗透膜</w:t>
                                    </w:r>
                                  </w:p>
                                </w:txbxContent>
                              </wps:txbx>
                              <wps:bodyPr upright="1"/>
                            </wps:wsp>
                            <wps:wsp>
                              <wps:cNvPr id="331" name="直接连接符 34"/>
                              <wps:cNvCnPr/>
                              <wps:spPr>
                                <a:xfrm>
                                  <a:off x="2286000" y="1584960"/>
                                  <a:ext cx="635" cy="297180"/>
                                </a:xfrm>
                                <a:prstGeom prst="line">
                                  <a:avLst/>
                                </a:prstGeom>
                                <a:ln w="9525" cap="flat" cmpd="sng">
                                  <a:solidFill>
                                    <a:srgbClr val="000000"/>
                                  </a:solidFill>
                                  <a:prstDash val="solid"/>
                                  <a:headEnd type="none" w="med" len="med"/>
                                  <a:tailEnd type="triangle" w="med" len="med"/>
                                </a:ln>
                              </wps:spPr>
                              <wps:bodyPr/>
                            </wps:wsp>
                            <wps:wsp>
                              <wps:cNvPr id="332" name="直接连接符 35"/>
                              <wps:cNvCnPr/>
                              <wps:spPr>
                                <a:xfrm>
                                  <a:off x="2263140" y="2179320"/>
                                  <a:ext cx="635" cy="297180"/>
                                </a:xfrm>
                                <a:prstGeom prst="line">
                                  <a:avLst/>
                                </a:prstGeom>
                                <a:ln w="9525" cap="flat" cmpd="sng">
                                  <a:solidFill>
                                    <a:srgbClr val="000000"/>
                                  </a:solidFill>
                                  <a:prstDash val="solid"/>
                                  <a:headEnd type="none" w="med" len="med"/>
                                  <a:tailEnd type="triangle" w="med" len="med"/>
                                </a:ln>
                              </wps:spPr>
                              <wps:bodyPr/>
                            </wps:wsp>
                            <wps:wsp>
                              <wps:cNvPr id="333" name="矩形 36"/>
                              <wps:cNvSpPr/>
                              <wps:spPr>
                                <a:xfrm>
                                  <a:off x="1645920" y="2444750"/>
                                  <a:ext cx="12414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软水用水环节</w:t>
                                    </w:r>
                                  </w:p>
                                </w:txbxContent>
                              </wps:txbx>
                              <wps:bodyPr upright="1"/>
                            </wps:wsp>
                            <wps:wsp>
                              <wps:cNvPr id="334" name="直接连接符 37"/>
                              <wps:cNvCnPr/>
                              <wps:spPr>
                                <a:xfrm flipV="1">
                                  <a:off x="2956560" y="2034540"/>
                                  <a:ext cx="381000" cy="635"/>
                                </a:xfrm>
                                <a:prstGeom prst="line">
                                  <a:avLst/>
                                </a:prstGeom>
                                <a:ln w="9525" cap="flat" cmpd="sng">
                                  <a:solidFill>
                                    <a:srgbClr val="000000"/>
                                  </a:solidFill>
                                  <a:prstDash val="dash"/>
                                  <a:headEnd type="none" w="med" len="med"/>
                                  <a:tailEnd type="triangle" w="med" len="med"/>
                                </a:ln>
                              </wps:spPr>
                              <wps:bodyPr/>
                            </wps:wsp>
                            <wps:wsp>
                              <wps:cNvPr id="335" name="矩形 38"/>
                              <wps:cNvSpPr/>
                              <wps:spPr>
                                <a:xfrm>
                                  <a:off x="2811780" y="1682115"/>
                                  <a:ext cx="768985" cy="316230"/>
                                </a:xfrm>
                                <a:prstGeom prst="rect">
                                  <a:avLst/>
                                </a:prstGeom>
                                <a:noFill/>
                                <a:ln>
                                  <a:noFill/>
                                </a:ln>
                              </wps:spPr>
                              <wps:txbx>
                                <w:txbxContent>
                                  <w:p>
                                    <w:pPr>
                                      <w:jc w:val="center"/>
                                    </w:pPr>
                                    <w:r>
                                      <w:rPr>
                                        <w:rFonts w:hint="eastAsia"/>
                                      </w:rPr>
                                      <w:t>浓水</w:t>
                                    </w:r>
                                  </w:p>
                                </w:txbxContent>
                              </wps:txbx>
                              <wps:bodyPr upright="1"/>
                            </wps:wsp>
                            <wps:wsp>
                              <wps:cNvPr id="336" name="直接连接符 39"/>
                              <wps:cNvCnPr/>
                              <wps:spPr>
                                <a:xfrm>
                                  <a:off x="1287780" y="274320"/>
                                  <a:ext cx="571500" cy="635"/>
                                </a:xfrm>
                                <a:prstGeom prst="line">
                                  <a:avLst/>
                                </a:prstGeom>
                                <a:ln w="9525" cap="flat" cmpd="sng">
                                  <a:solidFill>
                                    <a:srgbClr val="000000"/>
                                  </a:solidFill>
                                  <a:prstDash val="solid"/>
                                  <a:headEnd type="none" w="med" len="med"/>
                                  <a:tailEnd type="triangle" w="med" len="med"/>
                                </a:ln>
                              </wps:spPr>
                              <wps:bodyPr/>
                            </wps:wsp>
                            <wps:wsp>
                              <wps:cNvPr id="337" name="矩形 40"/>
                              <wps:cNvSpPr/>
                              <wps:spPr>
                                <a:xfrm>
                                  <a:off x="670560" y="121920"/>
                                  <a:ext cx="586740" cy="297180"/>
                                </a:xfrm>
                                <a:prstGeom prst="rect">
                                  <a:avLst/>
                                </a:prstGeom>
                                <a:noFill/>
                                <a:ln>
                                  <a:noFill/>
                                </a:ln>
                              </wps:spPr>
                              <wps:txbx>
                                <w:txbxContent>
                                  <w:p>
                                    <w:pPr>
                                      <w:jc w:val="center"/>
                                    </w:pPr>
                                    <w:r>
                                      <w:rPr>
                                        <w:rFonts w:hint="eastAsia"/>
                                      </w:rPr>
                                      <w:t>自来水</w:t>
                                    </w:r>
                                  </w:p>
                                </w:txbxContent>
                              </wps:txbx>
                              <wps:bodyPr upright="1"/>
                            </wps:wsp>
                            <wps:wsp>
                              <wps:cNvPr id="338" name="矩形 41"/>
                              <wps:cNvSpPr/>
                              <wps:spPr>
                                <a:xfrm>
                                  <a:off x="1738630" y="1256030"/>
                                  <a:ext cx="110109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离子软化装置</w:t>
                                    </w:r>
                                  </w:p>
                                </w:txbxContent>
                              </wps:txbx>
                              <wps:bodyPr upright="1"/>
                            </wps:wsp>
                            <wps:wsp>
                              <wps:cNvPr id="339" name="文本框 42"/>
                              <wps:cNvSpPr txBox="1"/>
                              <wps:spPr>
                                <a:xfrm>
                                  <a:off x="3395345" y="1894840"/>
                                  <a:ext cx="1043305"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szCs w:val="21"/>
                                      </w:rPr>
                                    </w:pPr>
                                    <w:r>
                                      <w:rPr>
                                        <w:rFonts w:hint="eastAsia"/>
                                        <w:szCs w:val="21"/>
                                      </w:rPr>
                                      <w:t>种植基地浇灌</w:t>
                                    </w:r>
                                  </w:p>
                                  <w:p/>
                                </w:txbxContent>
                              </wps:txbx>
                              <wps:bodyPr upright="1"/>
                            </wps:wsp>
                          </wpc:wpc>
                        </a:graphicData>
                      </a:graphic>
                    </wp:inline>
                  </w:drawing>
                </mc:Choice>
                <mc:Fallback>
                  <w:pict>
                    <v:group id="_x0000_s1026" o:spid="_x0000_s1026" o:spt="203" style="height:221.75pt;width:355.25pt;" coordsize="4511675,2816225" editas="canvas" o:gfxdata="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">
                      <o:lock v:ext="edit" aspectratio="f"/>
                      <v:shape id="_x0000_s1026" o:spid="_x0000_s1026" style="position:absolute;left:0;top:0;height:2816225;width:4511675;" filled="f" stroked="f" coordsize="21600,21600" o:gfxdata="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">
                        <v:fill on="f" focussize="0,0"/>
                        <v:stroke on="f"/>
                        <v:imagedata o:title=""/>
                        <o:lock v:ext="edit" aspectratio="t"/>
                      </v:shape>
                      <v:rect id="矩形 29" o:spid="_x0000_s1026" o:spt="1" style="position:absolute;left:1914525;top:99060;height:297180;width:742950;" fillcolor="#FFFFFF" filled="t" stroked="t" coordsize="21600,21600" o:gfxdata="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nQcA1QAAAAUBAAAPAAAAAAAAAAEAIAAA&#10;ACIAAABkcnMvZG93bnJldi54bWxQSwECFAAUAAAACACHTuJAhTblnw8CAAA1BAAADgAAAAAAAAAB&#10;ACAAAAAkAQAAZHJzL2Uyb0RvYy54bWxQSwUGAAAAAAYABgBZAQAApQUAAAAA&#10;">
                        <v:fill on="t" focussize="0,0"/>
                        <v:stroke color="#000000" joinstyle="miter"/>
                        <v:imagedata o:title=""/>
                        <o:lock v:ext="edit" aspectratio="f"/>
                        <v:textbox>
                          <w:txbxContent>
                            <w:p>
                              <w:pPr>
                                <w:jc w:val="center"/>
                              </w:pPr>
                              <w:r>
                                <w:rPr>
                                  <w:rFonts w:hint="eastAsia"/>
                                </w:rPr>
                                <w:t>自来水箱</w:t>
                              </w:r>
                            </w:p>
                          </w:txbxContent>
                        </v:textbox>
                      </v:rect>
                      <v:line id="直接连接符 30" o:spid="_x0000_s1026" o:spt="20" style="position:absolute;left:2286000;top:396240;height:297180;width:635;" filled="f" stroked="t" coordsize="21600,21600" o:gfxdata="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jYDK2AAAAAUBAAAPAAAAAAAAAAEAIAAAACIAAABkcnMv&#10;ZG93bnJldi54bWxQSwECFAAUAAAACACHTuJABnv7AgMCAADrAwAADgAAAAAAAAABACAAAAAnAQAA&#10;ZHJzL2Uyb0RvYy54bWxQSwUGAAAAAAYABgBZAQAAnAUAAAAA&#10;">
                        <v:fill on="f" focussize="0,0"/>
                        <v:stroke color="#000000" joinstyle="round" endarrow="block"/>
                        <v:imagedata o:title=""/>
                        <o:lock v:ext="edit" aspectratio="f"/>
                      </v:line>
                      <v:rect id="矩形 31" o:spid="_x0000_s1026" o:spt="1" style="position:absolute;left:1794510;top:701040;height:297180;width:997585;" fillcolor="#FFFFFF" filled="t" stroked="t" coordsize="21600,21600" o:gfxdata="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nQcA1QAAAAUBAAAPAAAAAAAAAAEAIAAA&#10;ACIAAABkcnMvZG93bnJldi54bWxQSwECFAAUAAAACACHTuJAKuFH0w8CAAA2BAAADgAAAAAAAAAB&#10;ACAAAAAkAQAAZHJzL2Uyb0RvYy54bWxQSwUGAAAAAAYABgBZAQAApQUAAAAA&#10;">
                        <v:fill on="t" focussize="0,0"/>
                        <v:stroke color="#000000" joinstyle="miter"/>
                        <v:imagedata o:title=""/>
                        <o:lock v:ext="edit" aspectratio="f"/>
                        <v:textbox>
                          <w:txbxContent>
                            <w:p>
                              <w:pPr>
                                <w:jc w:val="center"/>
                              </w:pPr>
                              <w:r>
                                <w:rPr>
                                  <w:rFonts w:hint="eastAsia"/>
                                </w:rPr>
                                <w:t>多介质过滤器</w:t>
                              </w:r>
                            </w:p>
                          </w:txbxContent>
                        </v:textbox>
                      </v:rect>
                      <v:line id="直接连接符 32" o:spid="_x0000_s1026" o:spt="20" style="position:absolute;left:2286000;top:990600;height:297180;width:635;" filled="f" stroked="t" coordsize="21600,21600" o:gfxdata="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jYDK2AAAAAUBAAAPAAAAAAAAAAEAIAAAACIAAABkcnMv&#10;ZG93bnJldi54bWxQSwECFAAUAAAACACHTuJAB2YSfwMCAADrAwAADgAAAAAAAAABACAAAAAnAQAA&#10;ZHJzL2Uyb0RvYy54bWxQSwUGAAAAAAYABgBZAQAAnAUAAAAA&#10;">
                        <v:fill on="f" focussize="0,0"/>
                        <v:stroke color="#000000" joinstyle="round" endarrow="block"/>
                        <v:imagedata o:title=""/>
                        <o:lock v:ext="edit" aspectratio="f"/>
                      </v:line>
                      <v:rect id="矩形 33" o:spid="_x0000_s1026" o:spt="1" style="position:absolute;left:1577340;top:1889760;height:297180;width:1348740;" fillcolor="#FFFFFF" filled="t" stroked="t" coordsize="21600,21600" o:gfxdata="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Z0HANUAAAAFAQAADwAAAAAAAAABACAA&#10;AAAiAAAAZHJzL2Rvd25yZXYueG1sUEsBAhQAFAAAAAgAh07iQPR2I7oQAgAAOAQAAA4AAAAAAAAA&#10;AQAgAAAAJAEAAGRycy9lMm9Eb2MueG1sUEsFBgAAAAAGAAYAWQEAAKYFAAAAAA==&#10;">
                        <v:fill on="t" focussize="0,0"/>
                        <v:stroke color="#000000" joinstyle="miter"/>
                        <v:imagedata o:title=""/>
                        <o:lock v:ext="edit" aspectratio="f"/>
                        <v:textbox>
                          <w:txbxContent>
                            <w:p>
                              <w:pPr>
                                <w:jc w:val="center"/>
                              </w:pPr>
                              <w:r>
                                <w:rPr>
                                  <w:rFonts w:hint="eastAsia"/>
                                </w:rPr>
                                <w:t>RO渗透膜</w:t>
                              </w:r>
                            </w:p>
                          </w:txbxContent>
                        </v:textbox>
                      </v:rect>
                      <v:line id="直接连接符 34" o:spid="_x0000_s1026" o:spt="20" style="position:absolute;left:2286000;top:1584960;height:297180;width:635;" filled="f" stroked="t" coordsize="21600,21600" o:gfxdata="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jYDK2AAAAAUBAAAPAAAAAAAAAAEAIAAAACIAAABk&#10;cnMvZG93bnJldi54bWxQSwECFAAUAAAACACHTuJAtEgp5wYCAADsAwAADgAAAAAAAAABACAAAAAn&#10;AQAAZHJzL2Uyb0RvYy54bWxQSwUGAAAAAAYABgBZAQAAnwUAAAAA&#10;">
                        <v:fill on="f" focussize="0,0"/>
                        <v:stroke color="#000000" joinstyle="round" endarrow="block"/>
                        <v:imagedata o:title=""/>
                        <o:lock v:ext="edit" aspectratio="f"/>
                      </v:line>
                      <v:line id="直接连接符 35" o:spid="_x0000_s1026" o:spt="20" style="position:absolute;left:2263140;top:2179320;height:297180;width:635;" filled="f" stroked="t" coordsize="21600,21600" o:gfxdata="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jYDK2AAAAAUBAAAPAAAAAAAAAAEAIAAAACIAAABkcnMv&#10;ZG93bnJldi54bWxQSwECFAAUAAAACACHTuJAJIC47AMCAADsAwAADgAAAAAAAAABACAAAAAnAQAA&#10;ZHJzL2Uyb0RvYy54bWxQSwUGAAAAAAYABgBZAQAAnAUAAAAA&#10;">
                        <v:fill on="f" focussize="0,0"/>
                        <v:stroke color="#000000" joinstyle="round" endarrow="block"/>
                        <v:imagedata o:title=""/>
                        <o:lock v:ext="edit" aspectratio="f"/>
                      </v:line>
                      <v:rect id="矩形 36" o:spid="_x0000_s1026" o:spt="1" style="position:absolute;left:1645920;top:2444750;height:297180;width:1241425;" fillcolor="#FFFFFF" filled="t" stroked="t" coordsize="21600,21600" o:gfxdata="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WdBwDVAAAABQEAAA8AAAAAAAAAAQAg&#10;AAAAIgAAAGRycy9kb3ducmV2LnhtbFBLAQIUABQAAAAIAIdO4kDBSpaOEQIAADgEAAAOAAAAAAAA&#10;AAEAIAAAACQBAABkcnMvZTJvRG9jLnhtbFBLBQYAAAAABgAGAFkBAACnBQAAAAA=&#10;">
                        <v:fill on="t" focussize="0,0"/>
                        <v:stroke color="#000000" joinstyle="miter"/>
                        <v:imagedata o:title=""/>
                        <o:lock v:ext="edit" aspectratio="f"/>
                        <v:textbox>
                          <w:txbxContent>
                            <w:p>
                              <w:pPr>
                                <w:jc w:val="center"/>
                              </w:pPr>
                              <w:r>
                                <w:rPr>
                                  <w:rFonts w:hint="eastAsia"/>
                                </w:rPr>
                                <w:t>软水用水环节</w:t>
                              </w:r>
                            </w:p>
                          </w:txbxContent>
                        </v:textbox>
                      </v:rect>
                      <v:line id="直接连接符 37" o:spid="_x0000_s1026" o:spt="20" style="position:absolute;left:2956560;top:2034540;flip:y;height:635;width:381000;" filled="f" stroked="t" coordsize="21600,21600" o:gfxdata="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De0HNQAAAAFAQAADwAAAAAAAAABACAAAAAiAAAA&#10;ZHJzL2Rvd25yZXYueG1sUEsBAhQAFAAAAAgAh07iQP8MOCYLAgAA9QMAAA4AAAAAAAAAAQAgAAAA&#10;IwEAAGRycy9lMm9Eb2MueG1sUEsFBgAAAAAGAAYAWQEAAKAFAAAAAA==&#10;">
                        <v:fill on="f" focussize="0,0"/>
                        <v:stroke color="#000000" joinstyle="round" dashstyle="dash" endarrow="block"/>
                        <v:imagedata o:title=""/>
                        <o:lock v:ext="edit" aspectratio="f"/>
                      </v:line>
                      <v:rect id="矩形 38" o:spid="_x0000_s1026" o:spt="1" style="position:absolute;left:2811780;top:1682115;height:316230;width:768985;" filled="f" stroked="f" coordsize="21600,21600" o:gfxdata="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P0d&#10;1dcAAAAFAQAADwAAAAAAAAABACAAAAAiAAAAZHJzL2Rvd25yZXYueG1sUEsBAhQAFAAAAAgAh07i&#10;QNFQPXaxAQAATwMAAA4AAAAAAAAAAQAgAAAAJgEAAGRycy9lMm9Eb2MueG1sUEsFBgAAAAAGAAYA&#10;WQEAAEkFAAAAAA==&#10;">
                        <v:fill on="f" focussize="0,0"/>
                        <v:stroke on="f"/>
                        <v:imagedata o:title=""/>
                        <o:lock v:ext="edit" aspectratio="f"/>
                        <v:textbox>
                          <w:txbxContent>
                            <w:p>
                              <w:pPr>
                                <w:jc w:val="center"/>
                              </w:pPr>
                              <w:r>
                                <w:rPr>
                                  <w:rFonts w:hint="eastAsia"/>
                                </w:rPr>
                                <w:t>浓水</w:t>
                              </w:r>
                            </w:p>
                          </w:txbxContent>
                        </v:textbox>
                      </v:rect>
                      <v:line id="直接连接符 39" o:spid="_x0000_s1026" o:spt="20" style="position:absolute;left:1287780;top:274320;height:635;width:571500;" filled="f" stroked="t" coordsize="21600,21600" o:gfxdata="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jYDK2AAAAAUBAAAPAAAAAAAAAAEAIAAAACIAAABkcnMv&#10;ZG93bnJldi54bWxQSwECFAAUAAAACACHTuJA4BU5BQMCAADrAwAADgAAAAAAAAABACAAAAAnAQAA&#10;ZHJzL2Uyb0RvYy54bWxQSwUGAAAAAAYABgBZAQAAnAUAAAAA&#10;">
                        <v:fill on="f" focussize="0,0"/>
                        <v:stroke color="#000000" joinstyle="round" endarrow="block"/>
                        <v:imagedata o:title=""/>
                        <o:lock v:ext="edit" aspectratio="f"/>
                      </v:line>
                      <v:rect id="矩形 40" o:spid="_x0000_s1026" o:spt="1" style="position:absolute;left:670560;top:121920;height:297180;width:586740;" filled="f" stroked="f" coordsize="21600,21600" o:gfxdata="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P0d1dcA&#10;AAAFAQAADwAAAAAAAAABACAAAAAiAAAAZHJzL2Rvd25yZXYueG1sUEsBAhQAFAAAAAgAh07iQNWE&#10;uU2uAQAATQMAAA4AAAAAAAAAAQAgAAAAJgEAAGRycy9lMm9Eb2MueG1sUEsFBgAAAAAGAAYAWQEA&#10;AEYFAAAAAA==&#10;">
                        <v:fill on="f" focussize="0,0"/>
                        <v:stroke on="f"/>
                        <v:imagedata o:title=""/>
                        <o:lock v:ext="edit" aspectratio="f"/>
                        <v:textbox>
                          <w:txbxContent>
                            <w:p>
                              <w:pPr>
                                <w:jc w:val="center"/>
                              </w:pPr>
                              <w:r>
                                <w:rPr>
                                  <w:rFonts w:hint="eastAsia"/>
                                </w:rPr>
                                <w:t>自来水</w:t>
                              </w:r>
                            </w:p>
                          </w:txbxContent>
                        </v:textbox>
                      </v:rect>
                      <v:rect id="矩形 41" o:spid="_x0000_s1026" o:spt="1" style="position:absolute;left:1738630;top:1256030;height:292100;width:1101090;" fillcolor="#FFFFFF" filled="t" stroked="t" coordsize="21600,21600" o:gfxdata="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Z0HANUAAAAFAQAADwAAAAAAAAABACAAAAAi&#10;AAAAZHJzL2Rvd25yZXYueG1sUEsBAhQAFAAAAAgAh07iQBv3nDYNAgAAOAQAAA4AAAAAAAAAAQAg&#10;AAAAJAEAAGRycy9lMm9Eb2MueG1sUEsFBgAAAAAGAAYAWQEAAKMFAAAAAA==&#10;">
                        <v:fill on="t" focussize="0,0"/>
                        <v:stroke color="#000000" joinstyle="miter"/>
                        <v:imagedata o:title=""/>
                        <o:lock v:ext="edit" aspectratio="f"/>
                        <v:textbox>
                          <w:txbxContent>
                            <w:p>
                              <w:pPr>
                                <w:jc w:val="center"/>
                              </w:pPr>
                              <w:r>
                                <w:rPr>
                                  <w:rFonts w:hint="eastAsia"/>
                                </w:rPr>
                                <w:t>离子软化装置</w:t>
                              </w:r>
                            </w:p>
                          </w:txbxContent>
                        </v:textbox>
                      </v:rect>
                      <v:shape id="文本框 42" o:spid="_x0000_s1026" o:spt="202" type="#_x0000_t202" style="position:absolute;left:3395345;top:1894840;height:274320;width:1043305;" fillcolor="#FFFFFF" filled="t" stroked="t" coordsize="21600,21600" o:gfxdata="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xE4qtcAAAAFAQAADwAA&#10;AAAAAAABACAAAAAiAAAAZHJzL2Rvd25yZXYueG1sUEsBAhQAFAAAAAgAh07iQMlNM58XAgAARQQA&#10;AA4AAAAAAAAAAQAgAAAAJgEAAGRycy9lMm9Eb2MueG1sUEsFBgAAAAAGAAYAWQEAAK8FAAAAAA==&#10;">
                        <v:fill on="t" focussize="0,0"/>
                        <v:stroke color="#000000" joinstyle="miter"/>
                        <v:imagedata o:title=""/>
                        <o:lock v:ext="edit" aspectratio="f"/>
                        <v:textbox>
                          <w:txbxContent>
                            <w:p>
                              <w:pPr>
                                <w:adjustRightInd w:val="0"/>
                                <w:snapToGrid w:val="0"/>
                                <w:jc w:val="center"/>
                                <w:rPr>
                                  <w:szCs w:val="21"/>
                                </w:rPr>
                              </w:pPr>
                              <w:r>
                                <w:rPr>
                                  <w:rFonts w:hint="eastAsia"/>
                                  <w:szCs w:val="21"/>
                                </w:rPr>
                                <w:t>种植基地浇灌</w:t>
                              </w:r>
                            </w:p>
                            <w:p/>
                          </w:txbxContent>
                        </v:textbox>
                      </v:shape>
                      <w10:wrap type="none"/>
                      <w10:anchorlock/>
                    </v:group>
                  </w:pict>
                </mc:Fallback>
              </mc:AlternateContent>
            </w:r>
          </w:p>
          <w:p>
            <w:pPr>
              <w:spacing w:line="360" w:lineRule="auto"/>
              <w:jc w:val="center"/>
              <w:rPr>
                <w:b/>
                <w:bCs/>
                <w:sz w:val="24"/>
              </w:rPr>
            </w:pPr>
            <w:r>
              <w:rPr>
                <w:rFonts w:hint="eastAsia"/>
                <w:b/>
                <w:bCs/>
                <w:sz w:val="24"/>
              </w:rPr>
              <w:t>图2</w:t>
            </w:r>
            <w:r>
              <w:rPr>
                <w:b/>
                <w:bCs/>
                <w:sz w:val="24"/>
              </w:rPr>
              <w:t>-4 纯水</w:t>
            </w:r>
            <w:r>
              <w:rPr>
                <w:rFonts w:hint="eastAsia"/>
                <w:b/>
                <w:bCs/>
                <w:sz w:val="24"/>
              </w:rPr>
              <w:t>制备工艺流程图</w:t>
            </w:r>
          </w:p>
          <w:p>
            <w:pPr>
              <w:spacing w:line="360" w:lineRule="auto"/>
              <w:ind w:firstLine="480" w:firstLineChars="200"/>
              <w:rPr>
                <w:sz w:val="24"/>
              </w:rPr>
            </w:pPr>
            <w:r>
              <w:rPr>
                <w:sz w:val="24"/>
              </w:rPr>
              <w:t>软化水处理工艺流程描述如下：</w:t>
            </w:r>
          </w:p>
          <w:p>
            <w:pPr>
              <w:spacing w:line="360" w:lineRule="auto"/>
              <w:ind w:firstLine="480" w:firstLineChars="200"/>
              <w:rPr>
                <w:sz w:val="24"/>
              </w:rPr>
            </w:pPr>
            <w:r>
              <w:rPr>
                <w:sz w:val="24"/>
              </w:rPr>
              <w:t>自来水首先经过软水器进行软化处理，去除水中的杂质（主要是钙镁等），以免水中的钙、镁在高温下形成水垢附着在锅炉内壁上，降低锅炉热效率、浪费燃料、使锅炉出力不足</w:t>
            </w:r>
            <w:r>
              <w:rPr>
                <w:rFonts w:hint="eastAsia"/>
                <w:sz w:val="24"/>
              </w:rPr>
              <w:t>，甚至</w:t>
            </w:r>
            <w:r>
              <w:rPr>
                <w:sz w:val="24"/>
              </w:rPr>
              <w:t>引起事故等，此过程会产生软化废水。</w:t>
            </w:r>
          </w:p>
          <w:p>
            <w:pPr>
              <w:spacing w:line="360" w:lineRule="auto"/>
              <w:ind w:firstLine="480" w:firstLineChars="200"/>
              <w:rPr>
                <w:sz w:val="24"/>
              </w:rPr>
            </w:pPr>
            <w:r>
              <w:rPr>
                <w:sz w:val="24"/>
              </w:rPr>
              <w:t>软化水处理器的填料是</w:t>
            </w:r>
            <w:r>
              <w:rPr>
                <w:rFonts w:hint="eastAsia"/>
                <w:sz w:val="24"/>
              </w:rPr>
              <w:t>RO渗透膜</w:t>
            </w:r>
            <w:r>
              <w:rPr>
                <w:sz w:val="24"/>
              </w:rPr>
              <w:t>，使用过程中定期用盐水对</w:t>
            </w:r>
            <w:r>
              <w:rPr>
                <w:rFonts w:hint="eastAsia"/>
                <w:sz w:val="24"/>
              </w:rPr>
              <w:t>RO渗透膜</w:t>
            </w:r>
            <w:r>
              <w:rPr>
                <w:sz w:val="24"/>
              </w:rPr>
              <w:t>进行再生清洗，反冲洗过程会产生冲洗废水，主要污染物是盐量等。自来水通过软水器内</w:t>
            </w:r>
            <w:r>
              <w:rPr>
                <w:rFonts w:hint="eastAsia"/>
                <w:sz w:val="24"/>
              </w:rPr>
              <w:t>渗透膜</w:t>
            </w:r>
            <w:r>
              <w:rPr>
                <w:sz w:val="24"/>
              </w:rPr>
              <w:t>层时，水中的钙、镁离子被</w:t>
            </w:r>
            <w:r>
              <w:rPr>
                <w:rFonts w:hint="eastAsia"/>
                <w:sz w:val="24"/>
              </w:rPr>
              <w:t>渗透膜</w:t>
            </w:r>
            <w:r>
              <w:rPr>
                <w:sz w:val="24"/>
              </w:rPr>
              <w:t>吸附，同时等物质量释放出钠离子，从而使出水软化。当</w:t>
            </w:r>
            <w:r>
              <w:rPr>
                <w:rFonts w:hint="eastAsia"/>
                <w:sz w:val="24"/>
              </w:rPr>
              <w:t>渗透膜</w:t>
            </w:r>
            <w:r>
              <w:rPr>
                <w:sz w:val="24"/>
              </w:rPr>
              <w:t>吸收一定量的钙、镁离子后，就必须进行再生。再生采用食盐水冲洗</w:t>
            </w:r>
            <w:r>
              <w:rPr>
                <w:rFonts w:hint="eastAsia"/>
                <w:sz w:val="24"/>
              </w:rPr>
              <w:t>渗透膜</w:t>
            </w:r>
            <w:r>
              <w:rPr>
                <w:sz w:val="24"/>
              </w:rPr>
              <w:t>，把</w:t>
            </w:r>
            <w:r>
              <w:rPr>
                <w:rFonts w:hint="eastAsia"/>
                <w:sz w:val="24"/>
              </w:rPr>
              <w:t>渗透膜</w:t>
            </w:r>
            <w:r>
              <w:rPr>
                <w:sz w:val="24"/>
              </w:rPr>
              <w:t>上的硬度离子再置换出来，随再生废水排出，</w:t>
            </w:r>
            <w:r>
              <w:rPr>
                <w:rFonts w:hint="eastAsia"/>
                <w:sz w:val="24"/>
              </w:rPr>
              <w:t>渗透膜</w:t>
            </w:r>
            <w:r>
              <w:rPr>
                <w:sz w:val="24"/>
              </w:rPr>
              <w:t>恢复软化交换能力。盐水再生反应的化学方程式如下：</w:t>
            </w:r>
          </w:p>
          <w:p>
            <w:pPr>
              <w:spacing w:line="360" w:lineRule="auto"/>
              <w:ind w:firstLine="480" w:firstLineChars="200"/>
              <w:rPr>
                <w:rFonts w:eastAsiaTheme="minorEastAsia"/>
                <w:sz w:val="24"/>
              </w:rPr>
            </w:pPr>
            <w:r>
              <w:rPr>
                <w:rFonts w:eastAsiaTheme="minorEastAsia"/>
                <w:sz w:val="24"/>
              </w:rPr>
              <w:t>软化过程：2NaR+M</w:t>
            </w:r>
            <w:r>
              <w:rPr>
                <w:rFonts w:eastAsiaTheme="minorEastAsia"/>
                <w:sz w:val="24"/>
                <w:vertAlign w:val="superscript"/>
              </w:rPr>
              <w:t>2+</w:t>
            </w:r>
            <w:r>
              <w:rPr>
                <w:rFonts w:eastAsiaTheme="minorEastAsia"/>
                <w:sz w:val="24"/>
              </w:rPr>
              <w:t>→MR</w:t>
            </w:r>
            <w:r>
              <w:rPr>
                <w:rFonts w:eastAsiaTheme="minorEastAsia"/>
                <w:sz w:val="24"/>
                <w:vertAlign w:val="superscript"/>
              </w:rPr>
              <w:t>2+</w:t>
            </w:r>
            <w:r>
              <w:rPr>
                <w:rFonts w:eastAsiaTheme="minorEastAsia"/>
                <w:sz w:val="24"/>
              </w:rPr>
              <w:t>2Na</w:t>
            </w:r>
            <w:r>
              <w:rPr>
                <w:rFonts w:eastAsiaTheme="minorEastAsia"/>
                <w:sz w:val="24"/>
                <w:vertAlign w:val="superscript"/>
              </w:rPr>
              <w:t xml:space="preserve">+ </w:t>
            </w:r>
            <w:r>
              <w:rPr>
                <w:rFonts w:eastAsiaTheme="minorEastAsia"/>
                <w:sz w:val="24"/>
              </w:rPr>
              <w:t>(M为Ca</w:t>
            </w:r>
            <w:r>
              <w:rPr>
                <w:rFonts w:eastAsiaTheme="minorEastAsia"/>
                <w:sz w:val="24"/>
                <w:vertAlign w:val="superscript"/>
              </w:rPr>
              <w:t>2+</w:t>
            </w:r>
            <w:r>
              <w:rPr>
                <w:rFonts w:eastAsiaTheme="minorEastAsia"/>
                <w:sz w:val="24"/>
              </w:rPr>
              <w:t xml:space="preserve"> 或Mg</w:t>
            </w:r>
            <w:r>
              <w:rPr>
                <w:rFonts w:eastAsiaTheme="minorEastAsia"/>
                <w:sz w:val="24"/>
                <w:vertAlign w:val="superscript"/>
              </w:rPr>
              <w:t>2+</w:t>
            </w:r>
            <w:r>
              <w:rPr>
                <w:rFonts w:eastAsiaTheme="minorEastAsia"/>
                <w:sz w:val="24"/>
              </w:rPr>
              <w:t>)</w:t>
            </w:r>
          </w:p>
          <w:p>
            <w:pPr>
              <w:spacing w:line="360" w:lineRule="auto"/>
              <w:ind w:firstLine="480" w:firstLineChars="200"/>
            </w:pPr>
            <w:r>
              <w:rPr>
                <w:rFonts w:eastAsiaTheme="minorEastAsia"/>
                <w:sz w:val="24"/>
              </w:rPr>
              <w:t>再生过程：MR</w:t>
            </w:r>
            <w:r>
              <w:rPr>
                <w:rFonts w:eastAsiaTheme="minorEastAsia"/>
                <w:sz w:val="24"/>
                <w:vertAlign w:val="subscript"/>
              </w:rPr>
              <w:t>2</w:t>
            </w:r>
            <w:r>
              <w:rPr>
                <w:rFonts w:eastAsiaTheme="minorEastAsia"/>
                <w:sz w:val="24"/>
              </w:rPr>
              <w:t>+2NaCl→2NaR+NaCl+MCl</w:t>
            </w:r>
            <w:r>
              <w:rPr>
                <w:rFonts w:eastAsiaTheme="minorEastAsia"/>
                <w:sz w:val="24"/>
                <w:vertAlign w:val="subscript"/>
              </w:rPr>
              <w:t>2</w:t>
            </w:r>
            <w:r>
              <w:rPr>
                <w:rFonts w:eastAsiaTheme="minorEastAsia"/>
                <w:sz w:val="24"/>
              </w:rPr>
              <w:t xml:space="preserve"> (M为Ca</w:t>
            </w:r>
            <w:r>
              <w:rPr>
                <w:rFonts w:eastAsiaTheme="minorEastAsia"/>
                <w:sz w:val="24"/>
                <w:vertAlign w:val="superscript"/>
              </w:rPr>
              <w:t>2+</w:t>
            </w:r>
            <w:r>
              <w:rPr>
                <w:rFonts w:eastAsiaTheme="minorEastAsia"/>
                <w:sz w:val="24"/>
              </w:rPr>
              <w:t>或Mg</w:t>
            </w:r>
            <w:r>
              <w:rPr>
                <w:rFonts w:eastAsiaTheme="minorEastAsia"/>
                <w:sz w:val="24"/>
                <w:vertAlign w:val="superscript"/>
              </w:rPr>
              <w:t>2+</w:t>
            </w:r>
            <w:r>
              <w:rPr>
                <w:rFonts w:eastAsiaTheme="minorEastAsia"/>
                <w:sz w:val="24"/>
              </w:rPr>
              <w:t>)。</w:t>
            </w:r>
          </w:p>
          <w:p>
            <w:pPr>
              <w:pStyle w:val="13"/>
              <w:spacing w:line="360" w:lineRule="auto"/>
              <w:ind w:firstLine="480" w:firstLineChars="200"/>
              <w:rPr>
                <w:rFonts w:ascii="Times New Roman" w:hAnsi="Times New Roman"/>
                <w:sz w:val="24"/>
              </w:rPr>
            </w:pPr>
            <w:r>
              <w:rPr>
                <w:rFonts w:ascii="Times New Roman" w:hAnsi="Times New Roman"/>
                <w:sz w:val="24"/>
              </w:rPr>
              <w:t>产污环节分析见下表：</w:t>
            </w:r>
          </w:p>
          <w:p>
            <w:pPr>
              <w:pStyle w:val="14"/>
              <w:spacing w:line="360" w:lineRule="auto"/>
              <w:jc w:val="center"/>
              <w:rPr>
                <w:rFonts w:ascii="Times New Roman"/>
                <w:b/>
                <w:bCs/>
                <w:color w:val="auto"/>
              </w:rPr>
            </w:pPr>
            <w:r>
              <w:rPr>
                <w:rFonts w:ascii="Times New Roman"/>
                <w:b/>
                <w:bCs/>
                <w:color w:val="auto"/>
              </w:rPr>
              <w:t>表2-</w:t>
            </w:r>
            <w:r>
              <w:rPr>
                <w:rFonts w:hint="eastAsia" w:ascii="Times New Roman"/>
                <w:b/>
                <w:bCs/>
                <w:color w:val="auto"/>
              </w:rPr>
              <w:t>10</w:t>
            </w:r>
            <w:r>
              <w:rPr>
                <w:rFonts w:ascii="Times New Roman"/>
                <w:b/>
                <w:bCs/>
                <w:color w:val="auto"/>
              </w:rPr>
              <w:t xml:space="preserve"> </w:t>
            </w:r>
            <w:r>
              <w:rPr>
                <w:rFonts w:hint="eastAsia" w:ascii="Times New Roman"/>
                <w:b/>
                <w:bCs/>
                <w:color w:val="auto"/>
              </w:rPr>
              <w:t>运营期</w:t>
            </w:r>
            <w:r>
              <w:rPr>
                <w:rFonts w:ascii="Times New Roman"/>
                <w:b/>
                <w:bCs/>
                <w:color w:val="auto"/>
              </w:rPr>
              <w:t>项目产污环节分析一览表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2031"/>
              <w:gridCol w:w="1452"/>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pct"/>
                  <w:gridSpan w:val="2"/>
                  <w:vAlign w:val="center"/>
                </w:tcPr>
                <w:p>
                  <w:pPr>
                    <w:pStyle w:val="14"/>
                    <w:jc w:val="center"/>
                    <w:rPr>
                      <w:rFonts w:ascii="Times New Roman"/>
                      <w:b/>
                      <w:bCs/>
                      <w:color w:val="auto"/>
                      <w:sz w:val="21"/>
                      <w:szCs w:val="21"/>
                    </w:rPr>
                  </w:pPr>
                  <w:r>
                    <w:rPr>
                      <w:rFonts w:ascii="Times New Roman"/>
                      <w:b/>
                      <w:bCs/>
                      <w:color w:val="auto"/>
                      <w:sz w:val="21"/>
                      <w:szCs w:val="21"/>
                    </w:rPr>
                    <w:t>污染物类型</w:t>
                  </w:r>
                </w:p>
              </w:tc>
              <w:tc>
                <w:tcPr>
                  <w:tcW w:w="821" w:type="pct"/>
                  <w:vAlign w:val="center"/>
                </w:tcPr>
                <w:p>
                  <w:pPr>
                    <w:pStyle w:val="14"/>
                    <w:jc w:val="center"/>
                    <w:rPr>
                      <w:rFonts w:ascii="Times New Roman"/>
                      <w:b/>
                      <w:bCs/>
                      <w:color w:val="auto"/>
                      <w:sz w:val="21"/>
                      <w:szCs w:val="21"/>
                    </w:rPr>
                  </w:pPr>
                  <w:r>
                    <w:rPr>
                      <w:rFonts w:ascii="Times New Roman"/>
                      <w:b/>
                      <w:bCs/>
                      <w:color w:val="auto"/>
                      <w:sz w:val="21"/>
                      <w:szCs w:val="21"/>
                    </w:rPr>
                    <w:t>主要污染物</w:t>
                  </w:r>
                </w:p>
              </w:tc>
              <w:tc>
                <w:tcPr>
                  <w:tcW w:w="2520" w:type="pct"/>
                  <w:vAlign w:val="center"/>
                </w:tcPr>
                <w:p>
                  <w:pPr>
                    <w:pStyle w:val="14"/>
                    <w:jc w:val="center"/>
                    <w:rPr>
                      <w:rFonts w:ascii="Times New Roman"/>
                      <w:b/>
                      <w:bCs/>
                      <w:color w:val="auto"/>
                      <w:sz w:val="21"/>
                      <w:szCs w:val="21"/>
                    </w:rPr>
                  </w:pPr>
                  <w:r>
                    <w:rPr>
                      <w:rFonts w:ascii="Times New Roman"/>
                      <w:b/>
                      <w:bCs/>
                      <w:color w:val="auto"/>
                      <w:sz w:val="21"/>
                      <w:szCs w:val="21"/>
                    </w:rPr>
                    <w:t>产污环节分析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restart"/>
                  <w:vAlign w:val="center"/>
                </w:tcPr>
                <w:p>
                  <w:pPr>
                    <w:pStyle w:val="14"/>
                    <w:jc w:val="center"/>
                    <w:rPr>
                      <w:rFonts w:ascii="Times New Roman"/>
                      <w:color w:val="auto"/>
                      <w:sz w:val="21"/>
                      <w:szCs w:val="21"/>
                    </w:rPr>
                  </w:pPr>
                  <w:r>
                    <w:rPr>
                      <w:rFonts w:ascii="Times New Roman"/>
                      <w:color w:val="auto"/>
                      <w:sz w:val="21"/>
                      <w:szCs w:val="21"/>
                    </w:rPr>
                    <w:t>废气</w:t>
                  </w:r>
                </w:p>
              </w:tc>
              <w:tc>
                <w:tcPr>
                  <w:tcW w:w="1149" w:type="pct"/>
                  <w:vAlign w:val="center"/>
                </w:tcPr>
                <w:p>
                  <w:pPr>
                    <w:pStyle w:val="7"/>
                    <w:jc w:val="center"/>
                    <w:rPr>
                      <w:sz w:val="21"/>
                      <w:szCs w:val="21"/>
                    </w:rPr>
                  </w:pPr>
                  <w:r>
                    <w:rPr>
                      <w:rFonts w:hint="eastAsia"/>
                      <w:sz w:val="21"/>
                      <w:szCs w:val="21"/>
                    </w:rPr>
                    <w:t>天然气</w:t>
                  </w:r>
                  <w:r>
                    <w:rPr>
                      <w:sz w:val="21"/>
                      <w:szCs w:val="21"/>
                    </w:rPr>
                    <w:t>锅炉废气（G1）</w:t>
                  </w:r>
                </w:p>
              </w:tc>
              <w:tc>
                <w:tcPr>
                  <w:tcW w:w="821" w:type="pct"/>
                  <w:vAlign w:val="center"/>
                </w:tcPr>
                <w:p>
                  <w:pPr>
                    <w:pStyle w:val="7"/>
                    <w:rPr>
                      <w:sz w:val="21"/>
                      <w:szCs w:val="21"/>
                    </w:rPr>
                  </w:pPr>
                  <w:r>
                    <w:rPr>
                      <w:sz w:val="21"/>
                      <w:szCs w:val="21"/>
                    </w:rPr>
                    <w:t>SO</w:t>
                  </w:r>
                  <w:r>
                    <w:rPr>
                      <w:sz w:val="21"/>
                      <w:szCs w:val="21"/>
                      <w:vertAlign w:val="subscript"/>
                    </w:rPr>
                    <w:t>2</w:t>
                  </w:r>
                  <w:r>
                    <w:rPr>
                      <w:sz w:val="21"/>
                      <w:szCs w:val="21"/>
                    </w:rPr>
                    <w:t>、NOx、颗粒物</w:t>
                  </w:r>
                </w:p>
              </w:tc>
              <w:tc>
                <w:tcPr>
                  <w:tcW w:w="2520" w:type="pct"/>
                  <w:vAlign w:val="center"/>
                </w:tcPr>
                <w:p>
                  <w:pPr>
                    <w:pStyle w:val="7"/>
                    <w:rPr>
                      <w:sz w:val="21"/>
                      <w:szCs w:val="21"/>
                    </w:rPr>
                  </w:pPr>
                  <w:r>
                    <w:rPr>
                      <w:sz w:val="21"/>
                      <w:szCs w:val="21"/>
                    </w:rPr>
                    <w:t>天然气锅炉加温过程中产生，主要污染物为SO</w:t>
                  </w:r>
                  <w:r>
                    <w:rPr>
                      <w:sz w:val="21"/>
                      <w:szCs w:val="21"/>
                      <w:vertAlign w:val="subscript"/>
                    </w:rPr>
                    <w:t>2</w:t>
                  </w:r>
                  <w:r>
                    <w:rPr>
                      <w:sz w:val="21"/>
                      <w:szCs w:val="21"/>
                    </w:rPr>
                    <w:t>、NOx、颗粒物。温室大棚加温温度为80℃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7"/>
                    <w:jc w:val="center"/>
                    <w:rPr>
                      <w:sz w:val="21"/>
                      <w:szCs w:val="21"/>
                    </w:rPr>
                  </w:pPr>
                  <w:r>
                    <w:rPr>
                      <w:rFonts w:hint="eastAsia"/>
                      <w:sz w:val="21"/>
                      <w:szCs w:val="21"/>
                    </w:rPr>
                    <w:t>生物质</w:t>
                  </w:r>
                  <w:r>
                    <w:rPr>
                      <w:sz w:val="21"/>
                      <w:szCs w:val="21"/>
                    </w:rPr>
                    <w:t>锅炉废气（G</w:t>
                  </w:r>
                  <w:r>
                    <w:rPr>
                      <w:rFonts w:hint="eastAsia"/>
                      <w:sz w:val="21"/>
                      <w:szCs w:val="21"/>
                    </w:rPr>
                    <w:t>2</w:t>
                  </w:r>
                  <w:r>
                    <w:rPr>
                      <w:sz w:val="21"/>
                      <w:szCs w:val="21"/>
                    </w:rPr>
                    <w:t>）</w:t>
                  </w:r>
                </w:p>
              </w:tc>
              <w:tc>
                <w:tcPr>
                  <w:tcW w:w="821" w:type="pct"/>
                  <w:vAlign w:val="center"/>
                </w:tcPr>
                <w:p>
                  <w:pPr>
                    <w:pStyle w:val="7"/>
                    <w:rPr>
                      <w:sz w:val="21"/>
                      <w:szCs w:val="21"/>
                    </w:rPr>
                  </w:pPr>
                  <w:r>
                    <w:rPr>
                      <w:sz w:val="21"/>
                      <w:szCs w:val="21"/>
                    </w:rPr>
                    <w:t>SO</w:t>
                  </w:r>
                  <w:r>
                    <w:rPr>
                      <w:sz w:val="21"/>
                      <w:szCs w:val="21"/>
                      <w:vertAlign w:val="subscript"/>
                    </w:rPr>
                    <w:t>2</w:t>
                  </w:r>
                  <w:r>
                    <w:rPr>
                      <w:sz w:val="21"/>
                      <w:szCs w:val="21"/>
                    </w:rPr>
                    <w:t>、NOx、颗粒物</w:t>
                  </w:r>
                  <w:r>
                    <w:rPr>
                      <w:rFonts w:hint="eastAsia"/>
                      <w:sz w:val="21"/>
                      <w:szCs w:val="21"/>
                    </w:rPr>
                    <w:t>、烟气黑度</w:t>
                  </w:r>
                </w:p>
              </w:tc>
              <w:tc>
                <w:tcPr>
                  <w:tcW w:w="2520" w:type="pct"/>
                  <w:vAlign w:val="center"/>
                </w:tcPr>
                <w:p>
                  <w:pPr>
                    <w:pStyle w:val="7"/>
                    <w:rPr>
                      <w:sz w:val="21"/>
                      <w:szCs w:val="21"/>
                    </w:rPr>
                  </w:pPr>
                  <w:r>
                    <w:rPr>
                      <w:rFonts w:hint="eastAsia"/>
                      <w:sz w:val="21"/>
                      <w:szCs w:val="21"/>
                    </w:rPr>
                    <w:t>生物质燃料</w:t>
                  </w:r>
                  <w:r>
                    <w:rPr>
                      <w:sz w:val="21"/>
                      <w:szCs w:val="21"/>
                    </w:rPr>
                    <w:t>锅炉加温过程中产生，主要污染物为SO</w:t>
                  </w:r>
                  <w:r>
                    <w:rPr>
                      <w:sz w:val="21"/>
                      <w:szCs w:val="21"/>
                      <w:vertAlign w:val="subscript"/>
                    </w:rPr>
                    <w:t>2</w:t>
                  </w:r>
                  <w:r>
                    <w:rPr>
                      <w:sz w:val="21"/>
                      <w:szCs w:val="21"/>
                    </w:rPr>
                    <w:t>、NOx、颗粒物。温室大棚加温温度为80℃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sz w:val="21"/>
                      <w:szCs w:val="21"/>
                    </w:rPr>
                  </w:pPr>
                  <w:r>
                    <w:rPr>
                      <w:rFonts w:ascii="Times New Roman"/>
                      <w:color w:val="auto"/>
                      <w:sz w:val="21"/>
                      <w:szCs w:val="21"/>
                    </w:rPr>
                    <w:t>食堂油烟</w:t>
                  </w:r>
                </w:p>
              </w:tc>
              <w:tc>
                <w:tcPr>
                  <w:tcW w:w="821" w:type="pct"/>
                  <w:vAlign w:val="center"/>
                </w:tcPr>
                <w:p>
                  <w:pPr>
                    <w:pStyle w:val="14"/>
                    <w:jc w:val="center"/>
                    <w:rPr>
                      <w:rFonts w:ascii="Times New Roman"/>
                      <w:color w:val="auto"/>
                      <w:sz w:val="21"/>
                      <w:szCs w:val="21"/>
                    </w:rPr>
                  </w:pPr>
                  <w:r>
                    <w:rPr>
                      <w:rFonts w:hint="eastAsia" w:ascii="Times New Roman"/>
                      <w:color w:val="auto"/>
                      <w:sz w:val="21"/>
                      <w:szCs w:val="21"/>
                    </w:rPr>
                    <w:t>油烟</w:t>
                  </w:r>
                </w:p>
              </w:tc>
              <w:tc>
                <w:tcPr>
                  <w:tcW w:w="2520" w:type="pct"/>
                  <w:vAlign w:val="center"/>
                </w:tcPr>
                <w:p>
                  <w:pPr>
                    <w:pStyle w:val="14"/>
                    <w:jc w:val="center"/>
                    <w:rPr>
                      <w:rFonts w:ascii="Times New Roman"/>
                      <w:color w:val="auto"/>
                      <w:sz w:val="21"/>
                      <w:szCs w:val="21"/>
                    </w:rPr>
                  </w:pPr>
                  <w:r>
                    <w:rPr>
                      <w:rFonts w:ascii="Times New Roman"/>
                      <w:color w:val="auto"/>
                      <w:sz w:val="21"/>
                      <w:szCs w:val="21"/>
                    </w:rPr>
                    <w:t>食堂油烟在项目</w:t>
                  </w:r>
                  <w:r>
                    <w:rPr>
                      <w:rFonts w:hint="eastAsia" w:ascii="Times New Roman"/>
                      <w:color w:val="auto"/>
                      <w:sz w:val="21"/>
                      <w:szCs w:val="21"/>
                    </w:rPr>
                    <w:t>烹饪过程中</w:t>
                  </w:r>
                  <w:r>
                    <w:rPr>
                      <w:rFonts w:ascii="Times New Roman"/>
                      <w:color w:val="auto"/>
                      <w:sz w:val="21"/>
                      <w:szCs w:val="21"/>
                    </w:rPr>
                    <w:t>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sz w:val="21"/>
                      <w:szCs w:val="21"/>
                    </w:rPr>
                  </w:pPr>
                  <w:r>
                    <w:rPr>
                      <w:rFonts w:ascii="Times New Roman"/>
                      <w:color w:val="auto"/>
                      <w:sz w:val="21"/>
                      <w:szCs w:val="21"/>
                    </w:rPr>
                    <w:t>农药废气无组织排放（G</w:t>
                  </w:r>
                  <w:r>
                    <w:rPr>
                      <w:rFonts w:hint="eastAsia" w:ascii="Times New Roman"/>
                      <w:color w:val="auto"/>
                      <w:sz w:val="21"/>
                      <w:szCs w:val="21"/>
                    </w:rPr>
                    <w:t>3</w:t>
                  </w:r>
                  <w:r>
                    <w:rPr>
                      <w:rFonts w:ascii="Times New Roman"/>
                      <w:color w:val="auto"/>
                      <w:sz w:val="21"/>
                      <w:szCs w:val="21"/>
                    </w:rPr>
                    <w:t>）</w:t>
                  </w:r>
                </w:p>
              </w:tc>
              <w:tc>
                <w:tcPr>
                  <w:tcW w:w="821" w:type="pct"/>
                  <w:vAlign w:val="center"/>
                </w:tcPr>
                <w:p>
                  <w:pPr>
                    <w:pStyle w:val="14"/>
                    <w:jc w:val="center"/>
                    <w:rPr>
                      <w:rFonts w:ascii="Times New Roman"/>
                      <w:color w:val="auto"/>
                      <w:sz w:val="21"/>
                      <w:szCs w:val="21"/>
                    </w:rPr>
                  </w:pPr>
                  <w:r>
                    <w:rPr>
                      <w:rFonts w:hint="eastAsia" w:ascii="Times New Roman"/>
                      <w:color w:val="auto"/>
                      <w:sz w:val="21"/>
                      <w:szCs w:val="21"/>
                    </w:rPr>
                    <w:t>异味</w:t>
                  </w:r>
                </w:p>
              </w:tc>
              <w:tc>
                <w:tcPr>
                  <w:tcW w:w="2520" w:type="pct"/>
                  <w:vAlign w:val="center"/>
                </w:tcPr>
                <w:p>
                  <w:pPr>
                    <w:pStyle w:val="14"/>
                    <w:jc w:val="center"/>
                    <w:rPr>
                      <w:rFonts w:ascii="Times New Roman"/>
                      <w:color w:val="auto"/>
                      <w:sz w:val="21"/>
                      <w:szCs w:val="21"/>
                    </w:rPr>
                  </w:pPr>
                  <w:r>
                    <w:rPr>
                      <w:rFonts w:ascii="Times New Roman"/>
                      <w:color w:val="auto"/>
                      <w:sz w:val="21"/>
                      <w:szCs w:val="21"/>
                    </w:rPr>
                    <w:t>在花卉种植大棚中施用农药时产生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restart"/>
                  <w:vAlign w:val="center"/>
                </w:tcPr>
                <w:p>
                  <w:pPr>
                    <w:pStyle w:val="14"/>
                    <w:jc w:val="center"/>
                    <w:rPr>
                      <w:rFonts w:ascii="Times New Roman"/>
                      <w:color w:val="auto"/>
                      <w:sz w:val="21"/>
                      <w:szCs w:val="21"/>
                    </w:rPr>
                  </w:pPr>
                  <w:r>
                    <w:rPr>
                      <w:rFonts w:ascii="Times New Roman"/>
                      <w:color w:val="auto"/>
                      <w:sz w:val="21"/>
                      <w:szCs w:val="21"/>
                    </w:rPr>
                    <w:t>废水</w:t>
                  </w:r>
                </w:p>
              </w:tc>
              <w:tc>
                <w:tcPr>
                  <w:tcW w:w="1149" w:type="pct"/>
                  <w:vAlign w:val="center"/>
                </w:tcPr>
                <w:p>
                  <w:pPr>
                    <w:pStyle w:val="14"/>
                    <w:jc w:val="center"/>
                    <w:rPr>
                      <w:rFonts w:ascii="Times New Roman"/>
                      <w:color w:val="auto"/>
                      <w:sz w:val="21"/>
                      <w:szCs w:val="21"/>
                    </w:rPr>
                  </w:pPr>
                  <w:r>
                    <w:rPr>
                      <w:rFonts w:hint="eastAsia" w:ascii="Times New Roman"/>
                      <w:color w:val="auto"/>
                      <w:sz w:val="21"/>
                      <w:szCs w:val="21"/>
                    </w:rPr>
                    <w:t>浓水（W1）</w:t>
                  </w:r>
                </w:p>
              </w:tc>
              <w:tc>
                <w:tcPr>
                  <w:tcW w:w="821" w:type="pct"/>
                  <w:vAlign w:val="center"/>
                </w:tcPr>
                <w:p>
                  <w:pPr>
                    <w:pStyle w:val="14"/>
                    <w:jc w:val="center"/>
                    <w:rPr>
                      <w:rFonts w:ascii="Times New Roman"/>
                      <w:color w:val="auto"/>
                      <w:sz w:val="21"/>
                      <w:szCs w:val="21"/>
                    </w:rPr>
                  </w:pPr>
                  <w:r>
                    <w:rPr>
                      <w:rFonts w:ascii="Times New Roman"/>
                      <w:color w:val="auto"/>
                      <w:sz w:val="21"/>
                      <w:szCs w:val="21"/>
                    </w:rPr>
                    <w:t>少量SS</w:t>
                  </w:r>
                </w:p>
              </w:tc>
              <w:tc>
                <w:tcPr>
                  <w:tcW w:w="2520" w:type="pct"/>
                  <w:vAlign w:val="center"/>
                </w:tcPr>
                <w:p>
                  <w:pPr>
                    <w:pStyle w:val="14"/>
                    <w:jc w:val="center"/>
                    <w:rPr>
                      <w:rFonts w:ascii="Times New Roman"/>
                      <w:color w:val="auto"/>
                      <w:sz w:val="21"/>
                      <w:szCs w:val="21"/>
                    </w:rPr>
                  </w:pPr>
                  <w:r>
                    <w:rPr>
                      <w:rFonts w:hint="eastAsia" w:ascii="Times New Roman"/>
                      <w:color w:val="auto"/>
                      <w:sz w:val="21"/>
                      <w:szCs w:val="21"/>
                    </w:rPr>
                    <w:t>在软水制备过程中产生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sz w:val="21"/>
                      <w:szCs w:val="21"/>
                    </w:rPr>
                  </w:pPr>
                  <w:r>
                    <w:rPr>
                      <w:rFonts w:hint="eastAsia" w:ascii="Times New Roman"/>
                      <w:color w:val="auto"/>
                      <w:sz w:val="21"/>
                      <w:szCs w:val="21"/>
                    </w:rPr>
                    <w:t>天然气</w:t>
                  </w:r>
                  <w:r>
                    <w:rPr>
                      <w:rFonts w:ascii="Times New Roman"/>
                      <w:color w:val="auto"/>
                      <w:sz w:val="21"/>
                      <w:szCs w:val="21"/>
                    </w:rPr>
                    <w:t>锅炉废水（W</w:t>
                  </w:r>
                  <w:r>
                    <w:rPr>
                      <w:rFonts w:hint="eastAsia" w:ascii="Times New Roman"/>
                      <w:color w:val="auto"/>
                      <w:sz w:val="21"/>
                      <w:szCs w:val="21"/>
                    </w:rPr>
                    <w:t>2</w:t>
                  </w:r>
                  <w:r>
                    <w:rPr>
                      <w:rFonts w:ascii="Times New Roman"/>
                      <w:color w:val="auto"/>
                      <w:sz w:val="21"/>
                      <w:szCs w:val="21"/>
                    </w:rPr>
                    <w:t>）</w:t>
                  </w:r>
                </w:p>
              </w:tc>
              <w:tc>
                <w:tcPr>
                  <w:tcW w:w="821" w:type="pct"/>
                  <w:vAlign w:val="center"/>
                </w:tcPr>
                <w:p>
                  <w:pPr>
                    <w:pStyle w:val="14"/>
                    <w:jc w:val="center"/>
                    <w:rPr>
                      <w:rFonts w:ascii="Times New Roman"/>
                      <w:color w:val="auto"/>
                      <w:sz w:val="21"/>
                      <w:szCs w:val="21"/>
                    </w:rPr>
                  </w:pPr>
                  <w:r>
                    <w:rPr>
                      <w:rFonts w:ascii="Times New Roman"/>
                      <w:color w:val="auto"/>
                      <w:sz w:val="21"/>
                      <w:szCs w:val="21"/>
                    </w:rPr>
                    <w:t>少量SS</w:t>
                  </w:r>
                </w:p>
              </w:tc>
              <w:tc>
                <w:tcPr>
                  <w:tcW w:w="2520" w:type="pct"/>
                  <w:vAlign w:val="center"/>
                </w:tcPr>
                <w:p>
                  <w:pPr>
                    <w:pStyle w:val="14"/>
                    <w:jc w:val="center"/>
                    <w:rPr>
                      <w:rFonts w:ascii="Times New Roman"/>
                      <w:color w:val="auto"/>
                      <w:sz w:val="21"/>
                      <w:szCs w:val="21"/>
                    </w:rPr>
                  </w:pPr>
                  <w:r>
                    <w:rPr>
                      <w:rFonts w:ascii="Times New Roman"/>
                      <w:color w:val="auto"/>
                      <w:sz w:val="21"/>
                      <w:szCs w:val="21"/>
                    </w:rPr>
                    <w:t>在锅炉使用过程中产生少量锅炉废水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sz w:val="21"/>
                      <w:szCs w:val="21"/>
                    </w:rPr>
                  </w:pPr>
                  <w:r>
                    <w:rPr>
                      <w:rFonts w:hint="eastAsia" w:ascii="Times New Roman"/>
                      <w:color w:val="auto"/>
                      <w:sz w:val="21"/>
                      <w:szCs w:val="21"/>
                    </w:rPr>
                    <w:t>生物质</w:t>
                  </w:r>
                  <w:r>
                    <w:rPr>
                      <w:rFonts w:ascii="Times New Roman"/>
                      <w:color w:val="auto"/>
                      <w:sz w:val="21"/>
                      <w:szCs w:val="21"/>
                    </w:rPr>
                    <w:t>锅炉废水（W3）</w:t>
                  </w:r>
                </w:p>
              </w:tc>
              <w:tc>
                <w:tcPr>
                  <w:tcW w:w="821" w:type="pct"/>
                  <w:vAlign w:val="center"/>
                </w:tcPr>
                <w:p>
                  <w:pPr>
                    <w:pStyle w:val="14"/>
                    <w:jc w:val="center"/>
                    <w:rPr>
                      <w:rFonts w:ascii="Times New Roman"/>
                      <w:color w:val="auto"/>
                      <w:sz w:val="21"/>
                      <w:szCs w:val="21"/>
                    </w:rPr>
                  </w:pPr>
                  <w:r>
                    <w:rPr>
                      <w:rFonts w:ascii="Times New Roman"/>
                      <w:color w:val="auto"/>
                      <w:sz w:val="21"/>
                      <w:szCs w:val="21"/>
                    </w:rPr>
                    <w:t>少量SS</w:t>
                  </w:r>
                </w:p>
              </w:tc>
              <w:tc>
                <w:tcPr>
                  <w:tcW w:w="2520" w:type="pct"/>
                  <w:vAlign w:val="center"/>
                </w:tcPr>
                <w:p>
                  <w:pPr>
                    <w:pStyle w:val="14"/>
                    <w:jc w:val="center"/>
                    <w:rPr>
                      <w:rFonts w:ascii="Times New Roman"/>
                      <w:color w:val="auto"/>
                      <w:sz w:val="21"/>
                      <w:szCs w:val="21"/>
                    </w:rPr>
                  </w:pPr>
                  <w:r>
                    <w:rPr>
                      <w:rFonts w:ascii="Times New Roman"/>
                      <w:color w:val="auto"/>
                      <w:sz w:val="21"/>
                      <w:szCs w:val="21"/>
                    </w:rPr>
                    <w:t>在锅炉使用过程中产生少量锅炉废水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sz w:val="21"/>
                      <w:szCs w:val="21"/>
                    </w:rPr>
                  </w:pPr>
                  <w:r>
                    <w:rPr>
                      <w:rFonts w:ascii="Times New Roman"/>
                      <w:color w:val="auto"/>
                      <w:sz w:val="21"/>
                      <w:szCs w:val="21"/>
                    </w:rPr>
                    <w:t>种植浇灌渗出水（W</w:t>
                  </w:r>
                  <w:r>
                    <w:rPr>
                      <w:rFonts w:hint="eastAsia" w:ascii="Times New Roman"/>
                      <w:color w:val="auto"/>
                      <w:sz w:val="21"/>
                      <w:szCs w:val="21"/>
                    </w:rPr>
                    <w:t>4</w:t>
                  </w:r>
                  <w:r>
                    <w:rPr>
                      <w:rFonts w:ascii="Times New Roman"/>
                      <w:color w:val="auto"/>
                      <w:sz w:val="21"/>
                      <w:szCs w:val="21"/>
                    </w:rPr>
                    <w:t>）</w:t>
                  </w:r>
                </w:p>
              </w:tc>
              <w:tc>
                <w:tcPr>
                  <w:tcW w:w="821" w:type="pct"/>
                  <w:vAlign w:val="center"/>
                </w:tcPr>
                <w:p>
                  <w:pPr>
                    <w:pStyle w:val="14"/>
                    <w:jc w:val="center"/>
                    <w:rPr>
                      <w:rFonts w:ascii="Times New Roman"/>
                      <w:color w:val="auto"/>
                      <w:sz w:val="21"/>
                      <w:szCs w:val="21"/>
                    </w:rPr>
                  </w:pPr>
                  <w:r>
                    <w:rPr>
                      <w:rFonts w:ascii="Times New Roman"/>
                      <w:color w:val="auto"/>
                      <w:sz w:val="21"/>
                      <w:szCs w:val="21"/>
                    </w:rPr>
                    <w:t>pH、CODcr、BOD</w:t>
                  </w:r>
                  <w:r>
                    <w:rPr>
                      <w:rFonts w:ascii="Times New Roman"/>
                      <w:color w:val="auto"/>
                      <w:sz w:val="21"/>
                      <w:szCs w:val="21"/>
                      <w:vertAlign w:val="subscript"/>
                    </w:rPr>
                    <w:t>5</w:t>
                  </w:r>
                  <w:r>
                    <w:rPr>
                      <w:rFonts w:ascii="Times New Roman"/>
                      <w:color w:val="auto"/>
                      <w:sz w:val="21"/>
                      <w:szCs w:val="21"/>
                    </w:rPr>
                    <w:t>、SS、NH</w:t>
                  </w:r>
                  <w:r>
                    <w:rPr>
                      <w:rFonts w:ascii="Times New Roman"/>
                      <w:color w:val="auto"/>
                      <w:sz w:val="21"/>
                      <w:szCs w:val="21"/>
                      <w:vertAlign w:val="subscript"/>
                    </w:rPr>
                    <w:t>3</w:t>
                  </w:r>
                  <w:r>
                    <w:rPr>
                      <w:rFonts w:ascii="Times New Roman"/>
                      <w:color w:val="auto"/>
                      <w:sz w:val="21"/>
                      <w:szCs w:val="21"/>
                    </w:rPr>
                    <w:t>-N、总磷</w:t>
                  </w:r>
                </w:p>
              </w:tc>
              <w:tc>
                <w:tcPr>
                  <w:tcW w:w="2520" w:type="pct"/>
                  <w:vAlign w:val="center"/>
                </w:tcPr>
                <w:p>
                  <w:pPr>
                    <w:pStyle w:val="14"/>
                    <w:jc w:val="center"/>
                    <w:rPr>
                      <w:rFonts w:ascii="Times New Roman"/>
                      <w:color w:val="auto"/>
                      <w:sz w:val="21"/>
                      <w:szCs w:val="21"/>
                    </w:rPr>
                  </w:pPr>
                  <w:r>
                    <w:rPr>
                      <w:rFonts w:ascii="Times New Roman"/>
                      <w:color w:val="auto"/>
                      <w:sz w:val="21"/>
                      <w:szCs w:val="21"/>
                    </w:rPr>
                    <w:t>在种植滴灌的过程中产生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sz w:val="21"/>
                      <w:szCs w:val="21"/>
                    </w:rPr>
                  </w:pPr>
                  <w:r>
                    <w:rPr>
                      <w:rFonts w:ascii="Times New Roman"/>
                      <w:color w:val="auto"/>
                      <w:sz w:val="21"/>
                      <w:szCs w:val="21"/>
                    </w:rPr>
                    <w:t>包花预清洗废水（W5）</w:t>
                  </w:r>
                </w:p>
              </w:tc>
              <w:tc>
                <w:tcPr>
                  <w:tcW w:w="821" w:type="pct"/>
                  <w:vAlign w:val="center"/>
                </w:tcPr>
                <w:p>
                  <w:pPr>
                    <w:pStyle w:val="14"/>
                    <w:jc w:val="center"/>
                    <w:rPr>
                      <w:rFonts w:ascii="Times New Roman"/>
                      <w:color w:val="auto"/>
                      <w:sz w:val="21"/>
                      <w:szCs w:val="21"/>
                    </w:rPr>
                  </w:pPr>
                  <w:r>
                    <w:rPr>
                      <w:rFonts w:ascii="Times New Roman"/>
                      <w:color w:val="auto"/>
                      <w:sz w:val="21"/>
                      <w:szCs w:val="21"/>
                    </w:rPr>
                    <w:t>少量SS</w:t>
                  </w:r>
                </w:p>
              </w:tc>
              <w:tc>
                <w:tcPr>
                  <w:tcW w:w="2520" w:type="pct"/>
                  <w:vAlign w:val="center"/>
                </w:tcPr>
                <w:p>
                  <w:pPr>
                    <w:pStyle w:val="14"/>
                    <w:jc w:val="center"/>
                    <w:rPr>
                      <w:rFonts w:ascii="Times New Roman"/>
                      <w:color w:val="auto"/>
                      <w:sz w:val="21"/>
                      <w:szCs w:val="21"/>
                    </w:rPr>
                  </w:pPr>
                  <w:r>
                    <w:rPr>
                      <w:rFonts w:ascii="Times New Roman"/>
                      <w:color w:val="auto"/>
                      <w:sz w:val="21"/>
                      <w:szCs w:val="21"/>
                    </w:rPr>
                    <w:t>在包花车间进行花朵清洗过程中产生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sz w:val="21"/>
                      <w:szCs w:val="21"/>
                    </w:rPr>
                  </w:pPr>
                  <w:r>
                    <w:rPr>
                      <w:rFonts w:ascii="Times New Roman"/>
                      <w:color w:val="auto"/>
                      <w:sz w:val="21"/>
                      <w:szCs w:val="21"/>
                    </w:rPr>
                    <w:t>员工生活污水</w:t>
                  </w:r>
                </w:p>
              </w:tc>
              <w:tc>
                <w:tcPr>
                  <w:tcW w:w="821" w:type="pct"/>
                  <w:vAlign w:val="center"/>
                </w:tcPr>
                <w:p>
                  <w:pPr>
                    <w:pStyle w:val="14"/>
                    <w:jc w:val="center"/>
                    <w:rPr>
                      <w:rFonts w:ascii="Times New Roman"/>
                      <w:color w:val="auto"/>
                      <w:sz w:val="21"/>
                      <w:szCs w:val="21"/>
                    </w:rPr>
                  </w:pPr>
                  <w:r>
                    <w:rPr>
                      <w:rFonts w:ascii="Times New Roman"/>
                      <w:color w:val="auto"/>
                      <w:sz w:val="21"/>
                      <w:szCs w:val="21"/>
                    </w:rPr>
                    <w:t>pH、CODcr、BOD</w:t>
                  </w:r>
                  <w:r>
                    <w:rPr>
                      <w:rFonts w:ascii="Times New Roman"/>
                      <w:color w:val="auto"/>
                      <w:sz w:val="21"/>
                      <w:szCs w:val="21"/>
                      <w:vertAlign w:val="subscript"/>
                    </w:rPr>
                    <w:t>5</w:t>
                  </w:r>
                  <w:r>
                    <w:rPr>
                      <w:rFonts w:ascii="Times New Roman"/>
                      <w:color w:val="auto"/>
                      <w:sz w:val="21"/>
                      <w:szCs w:val="21"/>
                    </w:rPr>
                    <w:t>、SS、NH</w:t>
                  </w:r>
                  <w:r>
                    <w:rPr>
                      <w:rFonts w:ascii="Times New Roman"/>
                      <w:color w:val="auto"/>
                      <w:sz w:val="21"/>
                      <w:szCs w:val="21"/>
                      <w:vertAlign w:val="subscript"/>
                    </w:rPr>
                    <w:t>3</w:t>
                  </w:r>
                  <w:r>
                    <w:rPr>
                      <w:rFonts w:ascii="Times New Roman"/>
                      <w:color w:val="auto"/>
                      <w:sz w:val="21"/>
                      <w:szCs w:val="21"/>
                    </w:rPr>
                    <w:t>-N、总磷</w:t>
                  </w:r>
                  <w:r>
                    <w:rPr>
                      <w:rFonts w:hint="eastAsia" w:ascii="Times New Roman"/>
                      <w:color w:val="auto"/>
                      <w:sz w:val="21"/>
                      <w:szCs w:val="21"/>
                    </w:rPr>
                    <w:t>、动植物油</w:t>
                  </w:r>
                </w:p>
              </w:tc>
              <w:tc>
                <w:tcPr>
                  <w:tcW w:w="2520" w:type="pct"/>
                  <w:vAlign w:val="center"/>
                </w:tcPr>
                <w:p>
                  <w:pPr>
                    <w:pStyle w:val="14"/>
                    <w:jc w:val="center"/>
                    <w:rPr>
                      <w:rFonts w:ascii="Times New Roman"/>
                      <w:color w:val="auto"/>
                      <w:sz w:val="21"/>
                      <w:szCs w:val="21"/>
                    </w:rPr>
                  </w:pPr>
                  <w:r>
                    <w:rPr>
                      <w:rFonts w:ascii="Times New Roman"/>
                      <w:color w:val="auto"/>
                      <w:sz w:val="21"/>
                      <w:szCs w:val="21"/>
                    </w:rPr>
                    <w:t>在员工盥洗及食堂产生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sz w:val="21"/>
                      <w:szCs w:val="21"/>
                    </w:rPr>
                  </w:pPr>
                  <w:r>
                    <w:rPr>
                      <w:rFonts w:ascii="Times New Roman"/>
                      <w:color w:val="auto"/>
                      <w:sz w:val="21"/>
                      <w:szCs w:val="21"/>
                    </w:rPr>
                    <w:t>初期雨水</w:t>
                  </w:r>
                </w:p>
              </w:tc>
              <w:tc>
                <w:tcPr>
                  <w:tcW w:w="821" w:type="pct"/>
                  <w:vAlign w:val="center"/>
                </w:tcPr>
                <w:p>
                  <w:pPr>
                    <w:pStyle w:val="14"/>
                    <w:jc w:val="center"/>
                    <w:rPr>
                      <w:rFonts w:ascii="Times New Roman"/>
                      <w:color w:val="auto"/>
                      <w:sz w:val="21"/>
                      <w:szCs w:val="21"/>
                    </w:rPr>
                  </w:pPr>
                  <w:r>
                    <w:rPr>
                      <w:rFonts w:ascii="Times New Roman"/>
                      <w:color w:val="auto"/>
                      <w:sz w:val="21"/>
                      <w:szCs w:val="21"/>
                    </w:rPr>
                    <w:t>少量SS</w:t>
                  </w:r>
                </w:p>
              </w:tc>
              <w:tc>
                <w:tcPr>
                  <w:tcW w:w="2520" w:type="pct"/>
                  <w:vAlign w:val="center"/>
                </w:tcPr>
                <w:p>
                  <w:pPr>
                    <w:pStyle w:val="14"/>
                    <w:jc w:val="center"/>
                    <w:rPr>
                      <w:rFonts w:ascii="Times New Roman"/>
                      <w:color w:val="auto"/>
                      <w:sz w:val="21"/>
                      <w:szCs w:val="21"/>
                    </w:rPr>
                  </w:pPr>
                  <w:r>
                    <w:rPr>
                      <w:rFonts w:ascii="Times New Roman"/>
                      <w:color w:val="auto"/>
                      <w:sz w:val="21"/>
                      <w:szCs w:val="21"/>
                    </w:rPr>
                    <w:t>主要在降雨过程中产生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pStyle w:val="14"/>
                    <w:jc w:val="center"/>
                    <w:rPr>
                      <w:rFonts w:ascii="Times New Roman"/>
                      <w:color w:val="auto"/>
                      <w:sz w:val="21"/>
                      <w:szCs w:val="21"/>
                    </w:rPr>
                  </w:pPr>
                  <w:r>
                    <w:rPr>
                      <w:rFonts w:ascii="Times New Roman"/>
                      <w:color w:val="auto"/>
                      <w:sz w:val="21"/>
                      <w:szCs w:val="21"/>
                    </w:rPr>
                    <w:t>噪声</w:t>
                  </w:r>
                </w:p>
              </w:tc>
              <w:tc>
                <w:tcPr>
                  <w:tcW w:w="1149" w:type="pct"/>
                  <w:vAlign w:val="center"/>
                </w:tcPr>
                <w:p>
                  <w:pPr>
                    <w:pStyle w:val="14"/>
                    <w:jc w:val="center"/>
                    <w:rPr>
                      <w:rFonts w:ascii="Times New Roman"/>
                      <w:color w:val="auto"/>
                      <w:sz w:val="21"/>
                      <w:szCs w:val="21"/>
                    </w:rPr>
                  </w:pPr>
                  <w:r>
                    <w:rPr>
                      <w:rFonts w:ascii="Times New Roman"/>
                      <w:color w:val="auto"/>
                      <w:sz w:val="21"/>
                      <w:szCs w:val="21"/>
                    </w:rPr>
                    <w:t>生产设备噪声</w:t>
                  </w:r>
                </w:p>
              </w:tc>
              <w:tc>
                <w:tcPr>
                  <w:tcW w:w="821" w:type="pct"/>
                  <w:vAlign w:val="center"/>
                </w:tcPr>
                <w:p>
                  <w:pPr>
                    <w:pStyle w:val="14"/>
                    <w:jc w:val="center"/>
                    <w:rPr>
                      <w:rFonts w:ascii="Times New Roman"/>
                      <w:color w:val="auto"/>
                      <w:sz w:val="21"/>
                      <w:szCs w:val="21"/>
                    </w:rPr>
                  </w:pPr>
                  <w:r>
                    <w:rPr>
                      <w:rFonts w:ascii="Times New Roman"/>
                      <w:color w:val="auto"/>
                      <w:sz w:val="21"/>
                      <w:szCs w:val="21"/>
                    </w:rPr>
                    <w:t>dB（A）</w:t>
                  </w:r>
                </w:p>
              </w:tc>
              <w:tc>
                <w:tcPr>
                  <w:tcW w:w="2520" w:type="pct"/>
                  <w:vAlign w:val="center"/>
                </w:tcPr>
                <w:p>
                  <w:pPr>
                    <w:pStyle w:val="14"/>
                    <w:jc w:val="center"/>
                    <w:rPr>
                      <w:rFonts w:ascii="Times New Roman"/>
                      <w:color w:val="auto"/>
                      <w:sz w:val="21"/>
                      <w:szCs w:val="21"/>
                    </w:rPr>
                  </w:pPr>
                  <w:r>
                    <w:rPr>
                      <w:rFonts w:ascii="Times New Roman"/>
                      <w:color w:val="auto"/>
                      <w:sz w:val="21"/>
                      <w:szCs w:val="21"/>
                    </w:rPr>
                    <w:t>主要在生产设备运行时产生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restart"/>
                  <w:vAlign w:val="center"/>
                </w:tcPr>
                <w:p>
                  <w:pPr>
                    <w:pStyle w:val="14"/>
                    <w:jc w:val="center"/>
                    <w:rPr>
                      <w:rFonts w:ascii="Times New Roman"/>
                      <w:color w:val="auto"/>
                      <w:sz w:val="21"/>
                      <w:szCs w:val="21"/>
                    </w:rPr>
                  </w:pPr>
                  <w:r>
                    <w:rPr>
                      <w:rFonts w:ascii="Times New Roman"/>
                      <w:color w:val="auto"/>
                      <w:sz w:val="21"/>
                      <w:szCs w:val="21"/>
                    </w:rPr>
                    <w:t>固体废物</w:t>
                  </w:r>
                </w:p>
              </w:tc>
              <w:tc>
                <w:tcPr>
                  <w:tcW w:w="1149" w:type="pct"/>
                  <w:vAlign w:val="center"/>
                </w:tcPr>
                <w:p>
                  <w:pPr>
                    <w:pStyle w:val="14"/>
                    <w:jc w:val="center"/>
                    <w:rPr>
                      <w:rFonts w:ascii="Times New Roman"/>
                      <w:color w:val="auto"/>
                      <w:sz w:val="21"/>
                      <w:szCs w:val="21"/>
                    </w:rPr>
                  </w:pPr>
                  <w:r>
                    <w:rPr>
                      <w:rFonts w:ascii="Times New Roman"/>
                      <w:color w:val="auto"/>
                      <w:sz w:val="21"/>
                      <w:szCs w:val="21"/>
                    </w:rPr>
                    <w:t>枯萎玫瑰花（S1）</w:t>
                  </w:r>
                </w:p>
              </w:tc>
              <w:tc>
                <w:tcPr>
                  <w:tcW w:w="821" w:type="pct"/>
                  <w:vAlign w:val="center"/>
                </w:tcPr>
                <w:p>
                  <w:pPr>
                    <w:pStyle w:val="14"/>
                    <w:jc w:val="center"/>
                    <w:rPr>
                      <w:rFonts w:ascii="Times New Roman"/>
                      <w:color w:val="auto"/>
                      <w:sz w:val="21"/>
                      <w:szCs w:val="21"/>
                    </w:rPr>
                  </w:pPr>
                  <w:r>
                    <w:rPr>
                      <w:rFonts w:ascii="Times New Roman"/>
                      <w:color w:val="auto"/>
                      <w:sz w:val="21"/>
                      <w:szCs w:val="21"/>
                    </w:rPr>
                    <w:t>一般固废</w:t>
                  </w:r>
                </w:p>
              </w:tc>
              <w:tc>
                <w:tcPr>
                  <w:tcW w:w="2520" w:type="pct"/>
                  <w:vAlign w:val="center"/>
                </w:tcPr>
                <w:p>
                  <w:pPr>
                    <w:pStyle w:val="14"/>
                    <w:jc w:val="center"/>
                    <w:rPr>
                      <w:rFonts w:ascii="Times New Roman"/>
                      <w:color w:val="auto"/>
                      <w:sz w:val="21"/>
                      <w:szCs w:val="21"/>
                    </w:rPr>
                  </w:pPr>
                  <w:r>
                    <w:rPr>
                      <w:rFonts w:ascii="Times New Roman"/>
                      <w:color w:val="auto"/>
                      <w:sz w:val="21"/>
                      <w:szCs w:val="21"/>
                    </w:rPr>
                    <w:t>主要在玫瑰花采收过程中产生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sz w:val="21"/>
                      <w:szCs w:val="21"/>
                    </w:rPr>
                  </w:pPr>
                  <w:r>
                    <w:rPr>
                      <w:rFonts w:ascii="Times New Roman"/>
                      <w:color w:val="auto"/>
                      <w:sz w:val="21"/>
                      <w:szCs w:val="21"/>
                    </w:rPr>
                    <w:t>不合格玫瑰花（S2）</w:t>
                  </w:r>
                </w:p>
              </w:tc>
              <w:tc>
                <w:tcPr>
                  <w:tcW w:w="821" w:type="pct"/>
                  <w:vAlign w:val="center"/>
                </w:tcPr>
                <w:p>
                  <w:pPr>
                    <w:pStyle w:val="14"/>
                    <w:jc w:val="center"/>
                    <w:rPr>
                      <w:rFonts w:ascii="Times New Roman"/>
                      <w:color w:val="auto"/>
                      <w:sz w:val="21"/>
                      <w:szCs w:val="21"/>
                    </w:rPr>
                  </w:pPr>
                  <w:r>
                    <w:rPr>
                      <w:rFonts w:ascii="Times New Roman"/>
                      <w:color w:val="auto"/>
                      <w:sz w:val="21"/>
                      <w:szCs w:val="21"/>
                    </w:rPr>
                    <w:t>一般固废</w:t>
                  </w:r>
                </w:p>
              </w:tc>
              <w:tc>
                <w:tcPr>
                  <w:tcW w:w="2520" w:type="pct"/>
                  <w:vAlign w:val="center"/>
                </w:tcPr>
                <w:p>
                  <w:pPr>
                    <w:pStyle w:val="14"/>
                    <w:jc w:val="center"/>
                    <w:rPr>
                      <w:rFonts w:ascii="Times New Roman"/>
                      <w:color w:val="auto"/>
                      <w:sz w:val="21"/>
                      <w:szCs w:val="21"/>
                    </w:rPr>
                  </w:pPr>
                  <w:r>
                    <w:rPr>
                      <w:rFonts w:ascii="Times New Roman"/>
                      <w:color w:val="auto"/>
                      <w:sz w:val="21"/>
                      <w:szCs w:val="21"/>
                    </w:rPr>
                    <w:t>主要在玫瑰花筛选过程中产生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sz w:val="21"/>
                      <w:szCs w:val="21"/>
                    </w:rPr>
                  </w:pPr>
                  <w:r>
                    <w:rPr>
                      <w:rFonts w:ascii="Times New Roman"/>
                      <w:color w:val="auto"/>
                      <w:sz w:val="21"/>
                      <w:szCs w:val="21"/>
                    </w:rPr>
                    <w:t>废包材（S3）</w:t>
                  </w:r>
                </w:p>
              </w:tc>
              <w:tc>
                <w:tcPr>
                  <w:tcW w:w="821" w:type="pct"/>
                  <w:vAlign w:val="center"/>
                </w:tcPr>
                <w:p>
                  <w:pPr>
                    <w:pStyle w:val="14"/>
                    <w:jc w:val="center"/>
                    <w:rPr>
                      <w:rFonts w:ascii="Times New Roman"/>
                      <w:color w:val="auto"/>
                      <w:sz w:val="21"/>
                      <w:szCs w:val="21"/>
                    </w:rPr>
                  </w:pPr>
                  <w:r>
                    <w:rPr>
                      <w:rFonts w:ascii="Times New Roman"/>
                      <w:color w:val="auto"/>
                      <w:sz w:val="21"/>
                      <w:szCs w:val="21"/>
                    </w:rPr>
                    <w:t>一般固废</w:t>
                  </w:r>
                </w:p>
              </w:tc>
              <w:tc>
                <w:tcPr>
                  <w:tcW w:w="2520" w:type="pct"/>
                  <w:vAlign w:val="center"/>
                </w:tcPr>
                <w:p>
                  <w:pPr>
                    <w:pStyle w:val="14"/>
                    <w:jc w:val="center"/>
                    <w:rPr>
                      <w:rFonts w:ascii="Times New Roman"/>
                      <w:color w:val="auto"/>
                      <w:sz w:val="21"/>
                      <w:szCs w:val="21"/>
                    </w:rPr>
                  </w:pPr>
                  <w:r>
                    <w:rPr>
                      <w:rFonts w:ascii="Times New Roman"/>
                      <w:color w:val="auto"/>
                      <w:sz w:val="21"/>
                      <w:szCs w:val="21"/>
                    </w:rPr>
                    <w:t>主要在包花过程中产生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sz w:val="21"/>
                      <w:szCs w:val="21"/>
                    </w:rPr>
                  </w:pPr>
                  <w:r>
                    <w:rPr>
                      <w:rFonts w:ascii="Times New Roman"/>
                      <w:color w:val="auto"/>
                      <w:sz w:val="21"/>
                      <w:szCs w:val="21"/>
                    </w:rPr>
                    <w:t>生活垃圾</w:t>
                  </w:r>
                </w:p>
              </w:tc>
              <w:tc>
                <w:tcPr>
                  <w:tcW w:w="821" w:type="pct"/>
                  <w:vAlign w:val="center"/>
                </w:tcPr>
                <w:p>
                  <w:pPr>
                    <w:pStyle w:val="14"/>
                    <w:jc w:val="center"/>
                    <w:rPr>
                      <w:rFonts w:ascii="Times New Roman"/>
                      <w:color w:val="auto"/>
                      <w:sz w:val="21"/>
                      <w:szCs w:val="21"/>
                    </w:rPr>
                  </w:pPr>
                  <w:r>
                    <w:rPr>
                      <w:rFonts w:ascii="Times New Roman"/>
                      <w:color w:val="auto"/>
                      <w:sz w:val="21"/>
                      <w:szCs w:val="21"/>
                    </w:rPr>
                    <w:t>一般固废</w:t>
                  </w:r>
                </w:p>
              </w:tc>
              <w:tc>
                <w:tcPr>
                  <w:tcW w:w="2520" w:type="pct"/>
                  <w:vAlign w:val="center"/>
                </w:tcPr>
                <w:p>
                  <w:pPr>
                    <w:pStyle w:val="14"/>
                    <w:jc w:val="center"/>
                    <w:rPr>
                      <w:rFonts w:ascii="Times New Roman"/>
                      <w:color w:val="auto"/>
                      <w:sz w:val="21"/>
                      <w:szCs w:val="21"/>
                    </w:rPr>
                  </w:pPr>
                  <w:r>
                    <w:rPr>
                      <w:rFonts w:ascii="Times New Roman"/>
                      <w:color w:val="auto"/>
                      <w:sz w:val="21"/>
                      <w:szCs w:val="21"/>
                    </w:rPr>
                    <w:t>员工生产生活中产生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sz w:val="21"/>
                      <w:szCs w:val="21"/>
                    </w:rPr>
                  </w:pPr>
                  <w:r>
                    <w:rPr>
                      <w:rFonts w:ascii="Times New Roman"/>
                      <w:color w:val="auto"/>
                      <w:sz w:val="21"/>
                      <w:szCs w:val="21"/>
                    </w:rPr>
                    <w:t>农药</w:t>
                  </w:r>
                  <w:r>
                    <w:rPr>
                      <w:rFonts w:hint="eastAsia" w:ascii="Times New Roman"/>
                      <w:color w:val="auto"/>
                      <w:sz w:val="21"/>
                      <w:szCs w:val="21"/>
                    </w:rPr>
                    <w:t>化肥包装物</w:t>
                  </w:r>
                </w:p>
              </w:tc>
              <w:tc>
                <w:tcPr>
                  <w:tcW w:w="821" w:type="pct"/>
                  <w:vAlign w:val="center"/>
                </w:tcPr>
                <w:p>
                  <w:pPr>
                    <w:pStyle w:val="14"/>
                    <w:jc w:val="center"/>
                    <w:rPr>
                      <w:rFonts w:ascii="Times New Roman"/>
                      <w:color w:val="auto"/>
                      <w:sz w:val="21"/>
                      <w:szCs w:val="21"/>
                    </w:rPr>
                  </w:pPr>
                  <w:r>
                    <w:rPr>
                      <w:rFonts w:ascii="Times New Roman"/>
                      <w:color w:val="auto"/>
                      <w:sz w:val="21"/>
                      <w:szCs w:val="21"/>
                    </w:rPr>
                    <w:t>危险废物</w:t>
                  </w:r>
                </w:p>
              </w:tc>
              <w:tc>
                <w:tcPr>
                  <w:tcW w:w="2520" w:type="pct"/>
                  <w:vAlign w:val="center"/>
                </w:tcPr>
                <w:p>
                  <w:pPr>
                    <w:pStyle w:val="14"/>
                    <w:jc w:val="center"/>
                    <w:rPr>
                      <w:rFonts w:ascii="Times New Roman"/>
                      <w:color w:val="auto"/>
                      <w:sz w:val="21"/>
                      <w:szCs w:val="21"/>
                    </w:rPr>
                  </w:pPr>
                  <w:r>
                    <w:rPr>
                      <w:rFonts w:ascii="Times New Roman"/>
                      <w:color w:val="auto"/>
                      <w:sz w:val="21"/>
                      <w:szCs w:val="21"/>
                    </w:rPr>
                    <w:t>在农药</w:t>
                  </w:r>
                  <w:r>
                    <w:rPr>
                      <w:rFonts w:hint="eastAsia" w:ascii="Times New Roman"/>
                      <w:color w:val="auto"/>
                      <w:sz w:val="21"/>
                      <w:szCs w:val="21"/>
                    </w:rPr>
                    <w:t>、化肥</w:t>
                  </w:r>
                  <w:r>
                    <w:rPr>
                      <w:rFonts w:ascii="Times New Roman"/>
                      <w:color w:val="auto"/>
                      <w:sz w:val="21"/>
                      <w:szCs w:val="21"/>
                    </w:rPr>
                    <w:t>使用过后产生，储</w:t>
                  </w:r>
                  <w:r>
                    <w:rPr>
                      <w:rFonts w:hint="eastAsia" w:ascii="Times New Roman"/>
                      <w:color w:val="auto"/>
                      <w:sz w:val="21"/>
                      <w:szCs w:val="21"/>
                    </w:rPr>
                    <w:t>存在危险废物贮存库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sz w:val="21"/>
                      <w:szCs w:val="21"/>
                    </w:rPr>
                  </w:pPr>
                  <w:r>
                    <w:rPr>
                      <w:rFonts w:ascii="Times New Roman"/>
                      <w:color w:val="auto"/>
                      <w:sz w:val="21"/>
                      <w:szCs w:val="21"/>
                    </w:rPr>
                    <w:t>硝酸包装物</w:t>
                  </w:r>
                </w:p>
              </w:tc>
              <w:tc>
                <w:tcPr>
                  <w:tcW w:w="821" w:type="pct"/>
                  <w:vAlign w:val="center"/>
                </w:tcPr>
                <w:p>
                  <w:pPr>
                    <w:pStyle w:val="14"/>
                    <w:jc w:val="center"/>
                    <w:rPr>
                      <w:rFonts w:ascii="Times New Roman"/>
                      <w:color w:val="auto"/>
                      <w:sz w:val="21"/>
                      <w:szCs w:val="21"/>
                    </w:rPr>
                  </w:pPr>
                  <w:r>
                    <w:rPr>
                      <w:rFonts w:ascii="Times New Roman"/>
                      <w:color w:val="auto"/>
                      <w:sz w:val="21"/>
                      <w:szCs w:val="21"/>
                    </w:rPr>
                    <w:t>危险废物</w:t>
                  </w:r>
                </w:p>
              </w:tc>
              <w:tc>
                <w:tcPr>
                  <w:tcW w:w="2520" w:type="pct"/>
                  <w:vAlign w:val="center"/>
                </w:tcPr>
                <w:p>
                  <w:pPr>
                    <w:pStyle w:val="14"/>
                    <w:jc w:val="center"/>
                    <w:rPr>
                      <w:rFonts w:ascii="Times New Roman"/>
                      <w:color w:val="auto"/>
                      <w:sz w:val="21"/>
                      <w:szCs w:val="21"/>
                    </w:rPr>
                  </w:pPr>
                  <w:r>
                    <w:rPr>
                      <w:rFonts w:ascii="Times New Roman"/>
                      <w:color w:val="auto"/>
                      <w:sz w:val="21"/>
                      <w:szCs w:val="21"/>
                    </w:rPr>
                    <w:t>主要在配肥过程中产生，储存在</w:t>
                  </w:r>
                  <w:r>
                    <w:rPr>
                      <w:rFonts w:hint="eastAsia" w:ascii="Times New Roman"/>
                      <w:color w:val="auto"/>
                      <w:sz w:val="21"/>
                      <w:szCs w:val="21"/>
                    </w:rPr>
                    <w:t>危险废物贮存库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sz w:val="21"/>
                      <w:szCs w:val="21"/>
                    </w:rPr>
                  </w:pPr>
                  <w:r>
                    <w:rPr>
                      <w:rFonts w:ascii="Times New Roman"/>
                      <w:color w:val="auto"/>
                      <w:sz w:val="21"/>
                      <w:szCs w:val="21"/>
                    </w:rPr>
                    <w:t>废机油</w:t>
                  </w:r>
                </w:p>
              </w:tc>
              <w:tc>
                <w:tcPr>
                  <w:tcW w:w="821" w:type="pct"/>
                  <w:vAlign w:val="center"/>
                </w:tcPr>
                <w:p>
                  <w:pPr>
                    <w:pStyle w:val="14"/>
                    <w:jc w:val="center"/>
                    <w:rPr>
                      <w:rFonts w:ascii="Times New Roman"/>
                      <w:color w:val="auto"/>
                      <w:sz w:val="21"/>
                      <w:szCs w:val="21"/>
                    </w:rPr>
                  </w:pPr>
                  <w:r>
                    <w:rPr>
                      <w:rFonts w:ascii="Times New Roman"/>
                      <w:color w:val="auto"/>
                      <w:sz w:val="21"/>
                      <w:szCs w:val="21"/>
                    </w:rPr>
                    <w:t>危险废物</w:t>
                  </w:r>
                </w:p>
              </w:tc>
              <w:tc>
                <w:tcPr>
                  <w:tcW w:w="2520" w:type="pct"/>
                  <w:vAlign w:val="center"/>
                </w:tcPr>
                <w:p>
                  <w:pPr>
                    <w:pStyle w:val="14"/>
                    <w:jc w:val="center"/>
                    <w:rPr>
                      <w:rFonts w:ascii="Times New Roman"/>
                      <w:color w:val="auto"/>
                      <w:sz w:val="21"/>
                      <w:szCs w:val="21"/>
                    </w:rPr>
                  </w:pPr>
                  <w:r>
                    <w:rPr>
                      <w:rFonts w:ascii="Times New Roman"/>
                      <w:color w:val="auto"/>
                      <w:sz w:val="21"/>
                      <w:szCs w:val="21"/>
                    </w:rPr>
                    <w:t>主要在生产设备维修和机油更换中产生，暂存在</w:t>
                  </w:r>
                  <w:r>
                    <w:rPr>
                      <w:rFonts w:hint="eastAsia" w:ascii="Times New Roman"/>
                      <w:color w:val="auto"/>
                      <w:sz w:val="21"/>
                      <w:szCs w:val="21"/>
                    </w:rPr>
                    <w:t>危险废物贮存库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sz w:val="21"/>
                      <w:szCs w:val="21"/>
                    </w:rPr>
                  </w:pPr>
                  <w:r>
                    <w:rPr>
                      <w:rFonts w:ascii="Times New Roman"/>
                      <w:color w:val="auto"/>
                      <w:sz w:val="21"/>
                      <w:szCs w:val="21"/>
                    </w:rPr>
                    <w:t>废含油手套</w:t>
                  </w:r>
                </w:p>
              </w:tc>
              <w:tc>
                <w:tcPr>
                  <w:tcW w:w="821" w:type="pct"/>
                  <w:vAlign w:val="center"/>
                </w:tcPr>
                <w:p>
                  <w:pPr>
                    <w:pStyle w:val="14"/>
                    <w:jc w:val="center"/>
                    <w:rPr>
                      <w:rFonts w:ascii="Times New Roman"/>
                      <w:color w:val="auto"/>
                      <w:sz w:val="21"/>
                      <w:szCs w:val="21"/>
                    </w:rPr>
                  </w:pPr>
                  <w:r>
                    <w:rPr>
                      <w:rFonts w:ascii="Times New Roman"/>
                      <w:color w:val="auto"/>
                      <w:sz w:val="21"/>
                      <w:szCs w:val="21"/>
                    </w:rPr>
                    <w:t>危险废物（豁免）</w:t>
                  </w:r>
                </w:p>
              </w:tc>
              <w:tc>
                <w:tcPr>
                  <w:tcW w:w="2520" w:type="pct"/>
                  <w:vAlign w:val="center"/>
                </w:tcPr>
                <w:p>
                  <w:pPr>
                    <w:pStyle w:val="14"/>
                    <w:jc w:val="center"/>
                    <w:rPr>
                      <w:rFonts w:ascii="Times New Roman"/>
                      <w:color w:val="auto"/>
                      <w:sz w:val="21"/>
                      <w:szCs w:val="21"/>
                    </w:rPr>
                  </w:pPr>
                  <w:r>
                    <w:rPr>
                      <w:rFonts w:ascii="Times New Roman"/>
                      <w:color w:val="auto"/>
                      <w:sz w:val="21"/>
                      <w:szCs w:val="21"/>
                    </w:rPr>
                    <w:t>设备维修过程中使用的手套废弃后产生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sz w:val="21"/>
                      <w:szCs w:val="21"/>
                    </w:rPr>
                  </w:pPr>
                  <w:r>
                    <w:rPr>
                      <w:rFonts w:hint="eastAsia" w:ascii="Times New Roman"/>
                      <w:color w:val="auto"/>
                      <w:kern w:val="2"/>
                      <w:sz w:val="21"/>
                      <w:szCs w:val="21"/>
                    </w:rPr>
                    <w:t>生物质锅炉灰渣（S</w:t>
                  </w:r>
                  <w:r>
                    <w:rPr>
                      <w:rFonts w:ascii="Times New Roman"/>
                      <w:color w:val="auto"/>
                      <w:kern w:val="2"/>
                      <w:sz w:val="21"/>
                      <w:szCs w:val="21"/>
                    </w:rPr>
                    <w:t>4</w:t>
                  </w:r>
                  <w:r>
                    <w:rPr>
                      <w:rFonts w:hint="eastAsia" w:ascii="Times New Roman"/>
                      <w:color w:val="auto"/>
                      <w:kern w:val="2"/>
                      <w:sz w:val="21"/>
                      <w:szCs w:val="21"/>
                    </w:rPr>
                    <w:t>）</w:t>
                  </w:r>
                </w:p>
              </w:tc>
              <w:tc>
                <w:tcPr>
                  <w:tcW w:w="821" w:type="pct"/>
                  <w:vAlign w:val="center"/>
                </w:tcPr>
                <w:p>
                  <w:pPr>
                    <w:pStyle w:val="14"/>
                    <w:jc w:val="center"/>
                    <w:rPr>
                      <w:rFonts w:ascii="Times New Roman"/>
                      <w:color w:val="auto"/>
                      <w:sz w:val="21"/>
                      <w:szCs w:val="21"/>
                    </w:rPr>
                  </w:pPr>
                  <w:r>
                    <w:rPr>
                      <w:rFonts w:ascii="Times New Roman"/>
                      <w:color w:val="auto"/>
                      <w:sz w:val="21"/>
                      <w:szCs w:val="21"/>
                    </w:rPr>
                    <w:t>一般固废</w:t>
                  </w:r>
                </w:p>
              </w:tc>
              <w:tc>
                <w:tcPr>
                  <w:tcW w:w="2520" w:type="pct"/>
                  <w:vAlign w:val="center"/>
                </w:tcPr>
                <w:p>
                  <w:pPr>
                    <w:pStyle w:val="14"/>
                    <w:jc w:val="center"/>
                    <w:rPr>
                      <w:rFonts w:ascii="Times New Roman"/>
                      <w:color w:val="auto"/>
                      <w:sz w:val="21"/>
                      <w:szCs w:val="21"/>
                    </w:rPr>
                  </w:pPr>
                  <w:r>
                    <w:rPr>
                      <w:rFonts w:hint="eastAsia" w:ascii="Times New Roman"/>
                      <w:color w:val="auto"/>
                      <w:sz w:val="21"/>
                      <w:szCs w:val="21"/>
                    </w:rPr>
                    <w:t>主要在生物质燃料锅炉使用过程中产生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pStyle w:val="14"/>
                    <w:jc w:val="center"/>
                    <w:rPr>
                      <w:rFonts w:ascii="Times New Roman"/>
                      <w:color w:val="auto"/>
                      <w:sz w:val="21"/>
                      <w:szCs w:val="21"/>
                    </w:rPr>
                  </w:pPr>
                </w:p>
              </w:tc>
              <w:tc>
                <w:tcPr>
                  <w:tcW w:w="1149" w:type="pct"/>
                  <w:vAlign w:val="center"/>
                </w:tcPr>
                <w:p>
                  <w:pPr>
                    <w:pStyle w:val="14"/>
                    <w:jc w:val="center"/>
                    <w:rPr>
                      <w:rFonts w:ascii="Times New Roman"/>
                      <w:color w:val="auto"/>
                      <w:kern w:val="2"/>
                      <w:sz w:val="21"/>
                      <w:szCs w:val="21"/>
                    </w:rPr>
                  </w:pPr>
                  <w:r>
                    <w:rPr>
                      <w:rFonts w:ascii="Times New Roman"/>
                      <w:color w:val="auto"/>
                      <w:sz w:val="21"/>
                      <w:szCs w:val="21"/>
                    </w:rPr>
                    <w:t>废渗透膜</w:t>
                  </w:r>
                </w:p>
              </w:tc>
              <w:tc>
                <w:tcPr>
                  <w:tcW w:w="821" w:type="pct"/>
                  <w:vAlign w:val="center"/>
                </w:tcPr>
                <w:p>
                  <w:pPr>
                    <w:pStyle w:val="14"/>
                    <w:jc w:val="center"/>
                    <w:rPr>
                      <w:rFonts w:ascii="Times New Roman"/>
                      <w:color w:val="auto"/>
                      <w:sz w:val="21"/>
                      <w:szCs w:val="21"/>
                    </w:rPr>
                  </w:pPr>
                  <w:r>
                    <w:rPr>
                      <w:rFonts w:hint="eastAsia" w:ascii="Times New Roman"/>
                      <w:color w:val="auto"/>
                      <w:sz w:val="21"/>
                      <w:szCs w:val="21"/>
                    </w:rPr>
                    <w:t>一般固废</w:t>
                  </w:r>
                </w:p>
              </w:tc>
              <w:tc>
                <w:tcPr>
                  <w:tcW w:w="2520" w:type="pct"/>
                  <w:vAlign w:val="center"/>
                </w:tcPr>
                <w:p>
                  <w:pPr>
                    <w:pStyle w:val="14"/>
                    <w:jc w:val="center"/>
                    <w:rPr>
                      <w:rFonts w:ascii="Times New Roman"/>
                      <w:color w:val="auto"/>
                      <w:sz w:val="21"/>
                      <w:szCs w:val="21"/>
                    </w:rPr>
                  </w:pPr>
                  <w:r>
                    <w:rPr>
                      <w:rFonts w:ascii="Times New Roman"/>
                      <w:color w:val="auto"/>
                      <w:sz w:val="21"/>
                      <w:szCs w:val="21"/>
                    </w:rPr>
                    <w:t>软化水设备中更换反渗透膜过程中产生</w:t>
                  </w:r>
                </w:p>
              </w:tc>
            </w:tr>
          </w:tbl>
          <w:p>
            <w:pPr>
              <w:spacing w:line="360" w:lineRule="auto"/>
              <w:ind w:firstLine="480" w:firstLineChars="200"/>
              <w:rPr>
                <w:sz w:val="24"/>
              </w:rPr>
            </w:pPr>
            <w:r>
              <w:rPr>
                <w:rFonts w:hint="eastAsia"/>
                <w:sz w:val="24"/>
              </w:rPr>
              <w:t>（2）</w:t>
            </w:r>
            <w:r>
              <w:rPr>
                <w:sz w:val="24"/>
              </w:rPr>
              <w:t>水平衡</w:t>
            </w:r>
          </w:p>
          <w:p>
            <w:pPr>
              <w:spacing w:line="360" w:lineRule="auto"/>
              <w:ind w:firstLine="480" w:firstLineChars="200"/>
              <w:rPr>
                <w:sz w:val="24"/>
              </w:rPr>
            </w:pPr>
            <w:r>
              <w:rPr>
                <w:sz w:val="24"/>
              </w:rPr>
              <w:t>1）生活用水</w:t>
            </w:r>
          </w:p>
          <w:p>
            <w:pPr>
              <w:spacing w:line="360" w:lineRule="auto"/>
              <w:ind w:firstLine="480" w:firstLineChars="200"/>
              <w:rPr>
                <w:sz w:val="24"/>
              </w:rPr>
            </w:pPr>
            <w:r>
              <w:rPr>
                <w:sz w:val="24"/>
              </w:rPr>
              <w:t>①食堂用水</w:t>
            </w:r>
          </w:p>
          <w:p>
            <w:pPr>
              <w:pStyle w:val="13"/>
              <w:spacing w:line="360" w:lineRule="auto"/>
              <w:ind w:firstLine="480" w:firstLineChars="200"/>
              <w:rPr>
                <w:rFonts w:ascii="Times New Roman" w:hAnsi="Times New Roman"/>
                <w:sz w:val="24"/>
              </w:rPr>
            </w:pPr>
            <w:r>
              <w:rPr>
                <w:rFonts w:ascii="Times New Roman" w:hAnsi="Times New Roman"/>
                <w:sz w:val="24"/>
              </w:rPr>
              <w:t>根据《建筑给水排水设计规范》（GB50015-201</w:t>
            </w:r>
            <w:r>
              <w:rPr>
                <w:rFonts w:hint="eastAsia" w:ascii="Times New Roman" w:hAnsi="Times New Roman"/>
                <w:sz w:val="24"/>
              </w:rPr>
              <w:t>9</w:t>
            </w:r>
            <w:r>
              <w:rPr>
                <w:rFonts w:ascii="Times New Roman" w:hAnsi="Times New Roman"/>
                <w:sz w:val="24"/>
              </w:rPr>
              <w:t>），项目食堂用水量一般在20L～40L/人·d，取平均值30L/人·d，项目共有职工35人，则用水量为1.05m</w:t>
            </w:r>
            <w:r>
              <w:rPr>
                <w:rFonts w:ascii="Times New Roman" w:hAnsi="Times New Roman"/>
                <w:sz w:val="24"/>
                <w:vertAlign w:val="superscript"/>
              </w:rPr>
              <w:t>3</w:t>
            </w:r>
            <w:r>
              <w:rPr>
                <w:rFonts w:ascii="Times New Roman" w:hAnsi="Times New Roman"/>
                <w:sz w:val="24"/>
              </w:rPr>
              <w:t>/d，383.25m</w:t>
            </w:r>
            <w:r>
              <w:rPr>
                <w:rFonts w:ascii="Times New Roman" w:hAnsi="Times New Roman"/>
                <w:sz w:val="24"/>
                <w:vertAlign w:val="superscript"/>
              </w:rPr>
              <w:t>3</w:t>
            </w:r>
            <w:r>
              <w:rPr>
                <w:rFonts w:ascii="Times New Roman" w:hAnsi="Times New Roman"/>
                <w:sz w:val="24"/>
              </w:rPr>
              <w:t>/a，排放系数按照0.8计，则食堂污水产生量为0.84m</w:t>
            </w:r>
            <w:r>
              <w:rPr>
                <w:rFonts w:ascii="Times New Roman" w:hAnsi="Times New Roman"/>
                <w:sz w:val="24"/>
                <w:vertAlign w:val="superscript"/>
              </w:rPr>
              <w:t>3</w:t>
            </w:r>
            <w:r>
              <w:rPr>
                <w:rFonts w:ascii="Times New Roman" w:hAnsi="Times New Roman"/>
                <w:sz w:val="24"/>
              </w:rPr>
              <w:t>/d，306.6m</w:t>
            </w:r>
            <w:r>
              <w:rPr>
                <w:rFonts w:ascii="Times New Roman" w:hAnsi="Times New Roman"/>
                <w:sz w:val="24"/>
                <w:vertAlign w:val="superscript"/>
              </w:rPr>
              <w:t>3</w:t>
            </w:r>
            <w:r>
              <w:rPr>
                <w:rFonts w:ascii="Times New Roman" w:hAnsi="Times New Roman"/>
                <w:sz w:val="24"/>
              </w:rPr>
              <w:t>/a。</w:t>
            </w:r>
          </w:p>
          <w:p>
            <w:pPr>
              <w:snapToGrid w:val="0"/>
              <w:spacing w:line="360" w:lineRule="auto"/>
              <w:ind w:firstLine="480" w:firstLineChars="200"/>
              <w:rPr>
                <w:sz w:val="24"/>
              </w:rPr>
            </w:pPr>
            <w:r>
              <w:rPr>
                <w:sz w:val="24"/>
              </w:rPr>
              <w:fldChar w:fldCharType="begin"/>
            </w:r>
            <w:r>
              <w:rPr>
                <w:sz w:val="24"/>
              </w:rPr>
              <w:instrText xml:space="preserve"> = 2 \* GB3 \* MERGEFORMAT </w:instrText>
            </w:r>
            <w:r>
              <w:rPr>
                <w:sz w:val="24"/>
              </w:rPr>
              <w:fldChar w:fldCharType="separate"/>
            </w:r>
            <w:r>
              <w:rPr>
                <w:sz w:val="24"/>
              </w:rPr>
              <w:t>②</w:t>
            </w:r>
            <w:r>
              <w:rPr>
                <w:sz w:val="24"/>
              </w:rPr>
              <w:fldChar w:fldCharType="end"/>
            </w:r>
            <w:r>
              <w:rPr>
                <w:sz w:val="24"/>
              </w:rPr>
              <w:t>员工生活用水</w:t>
            </w:r>
          </w:p>
          <w:p>
            <w:pPr>
              <w:snapToGrid w:val="0"/>
              <w:spacing w:line="360" w:lineRule="auto"/>
              <w:ind w:firstLine="480" w:firstLineChars="200"/>
              <w:rPr>
                <w:sz w:val="24"/>
              </w:rPr>
            </w:pPr>
            <w:r>
              <w:rPr>
                <w:sz w:val="24"/>
              </w:rPr>
              <w:t>项目共有职工35人，员工在场内食宿，根据《云南省用水定额》（DB63T168-2019）：城镇居民用水定额为110L/</w:t>
            </w:r>
            <w:r>
              <w:rPr>
                <w:rFonts w:hint="eastAsia"/>
                <w:sz w:val="24"/>
              </w:rPr>
              <w:t>（</w:t>
            </w:r>
            <w:r>
              <w:rPr>
                <w:sz w:val="24"/>
              </w:rPr>
              <w:t>人·d</w:t>
            </w:r>
            <w:r>
              <w:rPr>
                <w:rFonts w:hint="eastAsia"/>
                <w:sz w:val="24"/>
              </w:rPr>
              <w:t>）</w:t>
            </w:r>
            <w:r>
              <w:rPr>
                <w:sz w:val="24"/>
              </w:rPr>
              <w:t>。其中30L/</w:t>
            </w:r>
            <w:r>
              <w:rPr>
                <w:rFonts w:hint="eastAsia"/>
                <w:sz w:val="24"/>
              </w:rPr>
              <w:t>（</w:t>
            </w:r>
            <w:r>
              <w:rPr>
                <w:sz w:val="24"/>
              </w:rPr>
              <w:t>人·d</w:t>
            </w:r>
            <w:r>
              <w:rPr>
                <w:rFonts w:hint="eastAsia"/>
                <w:sz w:val="24"/>
              </w:rPr>
              <w:t>）</w:t>
            </w:r>
            <w:r>
              <w:rPr>
                <w:sz w:val="24"/>
              </w:rPr>
              <w:t>为食堂用水，生活用水量按80L/</w:t>
            </w:r>
            <w:r>
              <w:rPr>
                <w:rFonts w:hint="eastAsia"/>
                <w:sz w:val="24"/>
              </w:rPr>
              <w:t>（</w:t>
            </w:r>
            <w:r>
              <w:rPr>
                <w:sz w:val="24"/>
              </w:rPr>
              <w:t>人·d</w:t>
            </w:r>
            <w:r>
              <w:rPr>
                <w:rFonts w:hint="eastAsia"/>
                <w:sz w:val="24"/>
              </w:rPr>
              <w:t>）</w:t>
            </w:r>
            <w:r>
              <w:rPr>
                <w:sz w:val="24"/>
              </w:rPr>
              <w:t>计，则生活用水量2.8m</w:t>
            </w:r>
            <w:r>
              <w:rPr>
                <w:sz w:val="24"/>
                <w:vertAlign w:val="superscript"/>
              </w:rPr>
              <w:t>3</w:t>
            </w:r>
            <w:r>
              <w:rPr>
                <w:sz w:val="24"/>
              </w:rPr>
              <w:t>/d，1022m</w:t>
            </w:r>
            <w:r>
              <w:rPr>
                <w:sz w:val="24"/>
                <w:vertAlign w:val="superscript"/>
              </w:rPr>
              <w:t>3</w:t>
            </w:r>
            <w:r>
              <w:rPr>
                <w:sz w:val="24"/>
              </w:rPr>
              <w:t>/a。其废水产生量按80%计，则产生生活废水2.24m</w:t>
            </w:r>
            <w:r>
              <w:rPr>
                <w:sz w:val="24"/>
                <w:vertAlign w:val="superscript"/>
              </w:rPr>
              <w:t>3</w:t>
            </w:r>
            <w:r>
              <w:rPr>
                <w:sz w:val="24"/>
              </w:rPr>
              <w:t>/d，817.6m</w:t>
            </w:r>
            <w:r>
              <w:rPr>
                <w:sz w:val="24"/>
                <w:vertAlign w:val="superscript"/>
              </w:rPr>
              <w:t>3</w:t>
            </w:r>
            <w:r>
              <w:rPr>
                <w:sz w:val="24"/>
              </w:rPr>
              <w:t>/a（按365天计）。</w:t>
            </w:r>
          </w:p>
          <w:p>
            <w:pPr>
              <w:snapToGrid w:val="0"/>
              <w:spacing w:line="360" w:lineRule="auto"/>
              <w:ind w:firstLine="480" w:firstLineChars="200"/>
              <w:rPr>
                <w:sz w:val="24"/>
              </w:rPr>
            </w:pPr>
            <w:r>
              <w:rPr>
                <w:sz w:val="24"/>
              </w:rPr>
              <w:t>2）生产用水</w:t>
            </w:r>
          </w:p>
          <w:p>
            <w:pPr>
              <w:snapToGrid w:val="0"/>
              <w:spacing w:line="360" w:lineRule="auto"/>
              <w:ind w:firstLine="480" w:firstLineChars="200"/>
              <w:rPr>
                <w:sz w:val="24"/>
              </w:rPr>
            </w:pPr>
            <w:r>
              <w:rPr>
                <w:sz w:val="24"/>
              </w:rPr>
              <w:t>①冷凝用水</w:t>
            </w:r>
          </w:p>
          <w:p>
            <w:pPr>
              <w:snapToGrid w:val="0"/>
              <w:spacing w:line="360" w:lineRule="auto"/>
              <w:ind w:firstLine="480" w:firstLineChars="200"/>
              <w:rPr>
                <w:sz w:val="24"/>
              </w:rPr>
            </w:pPr>
            <w:r>
              <w:rPr>
                <w:sz w:val="24"/>
              </w:rPr>
              <w:t>根据企业提供资料，项目水源来自市政自来水管网，本项目</w:t>
            </w:r>
            <w:r>
              <w:rPr>
                <w:rFonts w:hint="eastAsia"/>
                <w:sz w:val="24"/>
              </w:rPr>
              <w:t>运营</w:t>
            </w:r>
            <w:r>
              <w:rPr>
                <w:sz w:val="24"/>
              </w:rPr>
              <w:t>过程中冷却用水循环使用，新鲜水补充量约为5m</w:t>
            </w:r>
            <w:r>
              <w:rPr>
                <w:sz w:val="24"/>
                <w:vertAlign w:val="superscript"/>
              </w:rPr>
              <w:t>3</w:t>
            </w:r>
            <w:r>
              <w:rPr>
                <w:sz w:val="24"/>
              </w:rPr>
              <w:t>/a。</w:t>
            </w:r>
          </w:p>
          <w:p>
            <w:pPr>
              <w:snapToGrid w:val="0"/>
              <w:spacing w:line="360" w:lineRule="auto"/>
              <w:ind w:firstLine="480" w:firstLineChars="200"/>
              <w:rPr>
                <w:sz w:val="24"/>
              </w:rPr>
            </w:pPr>
            <w:r>
              <w:rPr>
                <w:sz w:val="24"/>
              </w:rPr>
              <w:t>②锅炉用水</w:t>
            </w:r>
          </w:p>
          <w:p>
            <w:pPr>
              <w:snapToGrid w:val="0"/>
              <w:spacing w:line="360" w:lineRule="auto"/>
              <w:ind w:firstLine="480" w:firstLineChars="200"/>
              <w:rPr>
                <w:sz w:val="24"/>
              </w:rPr>
            </w:pPr>
            <w:r>
              <w:rPr>
                <w:rFonts w:eastAsiaTheme="minorEastAsia"/>
                <w:sz w:val="24"/>
              </w:rPr>
              <w:t>本项目锅炉需要用软化水，</w:t>
            </w:r>
            <w:r>
              <w:rPr>
                <w:sz w:val="24"/>
              </w:rPr>
              <w:t>大棚加温所需蒸汽来自锅炉，项目设置4t/h的蒸汽锅炉和2t/h的生物质锅炉，两锅炉同时使用。锅炉每天工作时间约为18h</w:t>
            </w:r>
            <w:r>
              <w:rPr>
                <w:rFonts w:hint="eastAsia"/>
                <w:sz w:val="24"/>
              </w:rPr>
              <w:t>，年运行1</w:t>
            </w:r>
            <w:r>
              <w:rPr>
                <w:sz w:val="24"/>
              </w:rPr>
              <w:t>52</w:t>
            </w:r>
            <w:r>
              <w:rPr>
                <w:rFonts w:hint="eastAsia"/>
                <w:sz w:val="24"/>
              </w:rPr>
              <w:t>天</w:t>
            </w:r>
            <w:r>
              <w:rPr>
                <w:sz w:val="24"/>
              </w:rPr>
              <w:t>。</w:t>
            </w:r>
          </w:p>
          <w:p>
            <w:pPr>
              <w:snapToGrid w:val="0"/>
              <w:spacing w:line="360" w:lineRule="auto"/>
              <w:ind w:firstLine="480" w:firstLineChars="200"/>
              <w:rPr>
                <w:sz w:val="24"/>
              </w:rPr>
            </w:pPr>
            <w:r>
              <w:rPr>
                <w:sz w:val="24"/>
              </w:rPr>
              <w:t>天然气锅炉制蒸汽用水量为72m</w:t>
            </w:r>
            <w:r>
              <w:rPr>
                <w:sz w:val="24"/>
                <w:vertAlign w:val="superscript"/>
              </w:rPr>
              <w:t>3</w:t>
            </w:r>
            <w:r>
              <w:rPr>
                <w:sz w:val="24"/>
              </w:rPr>
              <w:t>/d，排锅炉底部水垢用水根据《排放源统计调查产排污核算方法和系数手册》中“4430 锅炉产排污量核算系数手册”中产污系数计算，产污系数为9.86吨/万立方米</w:t>
            </w:r>
            <w:r>
              <w:rPr>
                <w:rFonts w:hint="eastAsia"/>
                <w:sz w:val="24"/>
              </w:rPr>
              <w:t>－</w:t>
            </w:r>
            <w:r>
              <w:rPr>
                <w:sz w:val="24"/>
              </w:rPr>
              <w:t>原料，</w:t>
            </w:r>
            <w:r>
              <w:rPr>
                <w:rFonts w:hint="eastAsia"/>
                <w:sz w:val="24"/>
              </w:rPr>
              <w:t>天然气</w:t>
            </w:r>
            <w:r>
              <w:rPr>
                <w:sz w:val="24"/>
              </w:rPr>
              <w:t>锅炉底部水垢</w:t>
            </w:r>
            <w:r>
              <w:rPr>
                <w:rFonts w:hint="eastAsia"/>
                <w:sz w:val="24"/>
              </w:rPr>
              <w:t>水</w:t>
            </w:r>
            <w:r>
              <w:rPr>
                <w:sz w:val="24"/>
              </w:rPr>
              <w:t>为8.87m</w:t>
            </w:r>
            <w:r>
              <w:rPr>
                <w:sz w:val="24"/>
                <w:vertAlign w:val="superscript"/>
              </w:rPr>
              <w:t>3</w:t>
            </w:r>
            <w:r>
              <w:rPr>
                <w:sz w:val="24"/>
              </w:rPr>
              <w:t>/d；所需软化</w:t>
            </w:r>
            <w:r>
              <w:rPr>
                <w:rFonts w:hint="eastAsia"/>
                <w:sz w:val="24"/>
              </w:rPr>
              <w:t>水</w:t>
            </w:r>
            <w:r>
              <w:rPr>
                <w:sz w:val="24"/>
              </w:rPr>
              <w:t>为80.87m</w:t>
            </w:r>
            <w:r>
              <w:rPr>
                <w:sz w:val="24"/>
                <w:vertAlign w:val="superscript"/>
              </w:rPr>
              <w:t>3</w:t>
            </w:r>
            <w:r>
              <w:rPr>
                <w:sz w:val="24"/>
              </w:rPr>
              <w:t>/d。</w:t>
            </w:r>
          </w:p>
          <w:p>
            <w:pPr>
              <w:snapToGrid w:val="0"/>
              <w:spacing w:line="360" w:lineRule="auto"/>
              <w:ind w:firstLine="480" w:firstLineChars="200"/>
              <w:rPr>
                <w:sz w:val="24"/>
              </w:rPr>
            </w:pPr>
            <w:r>
              <w:rPr>
                <w:sz w:val="24"/>
              </w:rPr>
              <w:t>生物质锅炉制蒸汽用水量为36m</w:t>
            </w:r>
            <w:r>
              <w:rPr>
                <w:sz w:val="24"/>
                <w:vertAlign w:val="superscript"/>
              </w:rPr>
              <w:t>3</w:t>
            </w:r>
            <w:r>
              <w:rPr>
                <w:sz w:val="24"/>
              </w:rPr>
              <w:t>/d，排锅炉底部水垢用水根据《排放源统计调查产排污核算方法和系数手册》中“4430 锅炉产排污量核算系数手册”中产污系数计算，为0.259吨/吨</w:t>
            </w:r>
            <w:r>
              <w:rPr>
                <w:rFonts w:hint="eastAsia"/>
                <w:sz w:val="24"/>
              </w:rPr>
              <w:t>－</w:t>
            </w:r>
            <w:r>
              <w:rPr>
                <w:sz w:val="24"/>
              </w:rPr>
              <w:t>原料，</w:t>
            </w:r>
            <w:r>
              <w:rPr>
                <w:rFonts w:hint="eastAsia"/>
                <w:sz w:val="24"/>
              </w:rPr>
              <w:t>生物质锅炉</w:t>
            </w:r>
            <w:r>
              <w:rPr>
                <w:sz w:val="24"/>
              </w:rPr>
              <w:t>排锅炉底部水垢</w:t>
            </w:r>
            <w:r>
              <w:rPr>
                <w:rFonts w:hint="eastAsia"/>
                <w:sz w:val="24"/>
              </w:rPr>
              <w:t>水</w:t>
            </w:r>
            <w:r>
              <w:rPr>
                <w:sz w:val="24"/>
              </w:rPr>
              <w:t>为0.19m</w:t>
            </w:r>
            <w:r>
              <w:rPr>
                <w:sz w:val="24"/>
                <w:vertAlign w:val="superscript"/>
              </w:rPr>
              <w:t>3</w:t>
            </w:r>
            <w:r>
              <w:rPr>
                <w:sz w:val="24"/>
              </w:rPr>
              <w:t>/d；所需软化</w:t>
            </w:r>
            <w:r>
              <w:rPr>
                <w:rFonts w:hint="eastAsia"/>
                <w:sz w:val="24"/>
              </w:rPr>
              <w:t>水</w:t>
            </w:r>
            <w:r>
              <w:rPr>
                <w:sz w:val="24"/>
              </w:rPr>
              <w:t>为36.19m</w:t>
            </w:r>
            <w:r>
              <w:rPr>
                <w:sz w:val="24"/>
                <w:vertAlign w:val="superscript"/>
              </w:rPr>
              <w:t>3</w:t>
            </w:r>
            <w:r>
              <w:rPr>
                <w:sz w:val="24"/>
              </w:rPr>
              <w:t>/d。</w:t>
            </w:r>
          </w:p>
          <w:p>
            <w:pPr>
              <w:snapToGrid w:val="0"/>
              <w:spacing w:line="360" w:lineRule="auto"/>
              <w:ind w:firstLine="480" w:firstLineChars="200"/>
              <w:rPr>
                <w:sz w:val="24"/>
              </w:rPr>
            </w:pPr>
            <w:r>
              <w:rPr>
                <w:sz w:val="24"/>
              </w:rPr>
              <w:t>两锅炉同时使用，共制蒸汽用水量为116m</w:t>
            </w:r>
            <w:r>
              <w:rPr>
                <w:sz w:val="24"/>
                <w:vertAlign w:val="superscript"/>
              </w:rPr>
              <w:t>3</w:t>
            </w:r>
            <w:r>
              <w:rPr>
                <w:sz w:val="24"/>
              </w:rPr>
              <w:t>/d，</w:t>
            </w:r>
            <w:r>
              <w:rPr>
                <w:rFonts w:hint="eastAsia"/>
                <w:sz w:val="24"/>
              </w:rPr>
              <w:t>两锅炉</w:t>
            </w:r>
            <w:r>
              <w:rPr>
                <w:sz w:val="24"/>
              </w:rPr>
              <w:t>排锅炉底部水垢为9.06m</w:t>
            </w:r>
            <w:r>
              <w:rPr>
                <w:sz w:val="24"/>
                <w:vertAlign w:val="superscript"/>
              </w:rPr>
              <w:t>3</w:t>
            </w:r>
            <w:r>
              <w:rPr>
                <w:sz w:val="24"/>
              </w:rPr>
              <w:t>/d；本项目所需新鲜水312.58m</w:t>
            </w:r>
            <w:r>
              <w:rPr>
                <w:sz w:val="24"/>
                <w:vertAlign w:val="superscript"/>
              </w:rPr>
              <w:t>3</w:t>
            </w:r>
            <w:r>
              <w:rPr>
                <w:sz w:val="24"/>
              </w:rPr>
              <w:t>/d；软化水共为225.06m</w:t>
            </w:r>
            <w:r>
              <w:rPr>
                <w:sz w:val="24"/>
                <w:vertAlign w:val="superscript"/>
              </w:rPr>
              <w:t>3</w:t>
            </w:r>
            <w:r>
              <w:rPr>
                <w:sz w:val="24"/>
              </w:rPr>
              <w:t>/d。</w:t>
            </w:r>
          </w:p>
          <w:p>
            <w:pPr>
              <w:snapToGrid w:val="0"/>
              <w:spacing w:line="360" w:lineRule="auto"/>
              <w:ind w:firstLine="480" w:firstLineChars="200"/>
              <w:rPr>
                <w:sz w:val="24"/>
              </w:rPr>
            </w:pPr>
            <w:r>
              <w:rPr>
                <w:sz w:val="24"/>
              </w:rPr>
              <w:t>③纯水制备产生的浓水（W1）</w:t>
            </w:r>
          </w:p>
          <w:p>
            <w:pPr>
              <w:snapToGrid w:val="0"/>
              <w:spacing w:line="360" w:lineRule="auto"/>
              <w:ind w:firstLine="480" w:firstLineChars="200"/>
              <w:rPr>
                <w:sz w:val="24"/>
              </w:rPr>
            </w:pPr>
            <w:r>
              <w:rPr>
                <w:sz w:val="24"/>
              </w:rPr>
              <w:t>本项目RO反渗透膜机为二段反渗透膜机，根据类比有关资料，一段RO反渗透膜纯净水与浓水的产出比是2：1，即纯净水转化效率为67%，二段反渗透膜浓水回用率为15%，即纯净水转化效率=1×67%+1×33%×15%=72%，本项目</w:t>
            </w:r>
            <w:r>
              <w:rPr>
                <w:rFonts w:hint="eastAsia"/>
                <w:sz w:val="24"/>
              </w:rPr>
              <w:t>软水制备量</w:t>
            </w:r>
            <w:r>
              <w:rPr>
                <w:sz w:val="24"/>
              </w:rPr>
              <w:t>为225.06m</w:t>
            </w:r>
            <w:r>
              <w:rPr>
                <w:sz w:val="24"/>
                <w:vertAlign w:val="superscript"/>
              </w:rPr>
              <w:t>3</w:t>
            </w:r>
            <w:r>
              <w:rPr>
                <w:sz w:val="24"/>
              </w:rPr>
              <w:t>/d，需使用</w:t>
            </w:r>
            <w:r>
              <w:rPr>
                <w:rFonts w:hint="eastAsia"/>
                <w:sz w:val="24"/>
              </w:rPr>
              <w:t>自来水</w:t>
            </w:r>
            <w:r>
              <w:rPr>
                <w:sz w:val="24"/>
              </w:rPr>
              <w:t>312.58m</w:t>
            </w:r>
            <w:r>
              <w:rPr>
                <w:sz w:val="24"/>
                <w:vertAlign w:val="superscript"/>
              </w:rPr>
              <w:t>3</w:t>
            </w:r>
            <w:r>
              <w:rPr>
                <w:sz w:val="24"/>
              </w:rPr>
              <w:t>/d，浓水产生量约为</w:t>
            </w:r>
            <w:r>
              <w:rPr>
                <w:bCs/>
                <w:sz w:val="24"/>
              </w:rPr>
              <w:t>87.52m</w:t>
            </w:r>
            <w:r>
              <w:rPr>
                <w:bCs/>
                <w:sz w:val="24"/>
                <w:vertAlign w:val="superscript"/>
              </w:rPr>
              <w:t>3</w:t>
            </w:r>
            <w:r>
              <w:rPr>
                <w:bCs/>
                <w:sz w:val="24"/>
              </w:rPr>
              <w:t>/d，13303.04m</w:t>
            </w:r>
            <w:r>
              <w:rPr>
                <w:bCs/>
                <w:sz w:val="24"/>
                <w:vertAlign w:val="superscript"/>
              </w:rPr>
              <w:t>3</w:t>
            </w:r>
            <w:r>
              <w:rPr>
                <w:sz w:val="24"/>
              </w:rPr>
              <w:t>/a。</w:t>
            </w:r>
          </w:p>
          <w:p>
            <w:pPr>
              <w:snapToGrid w:val="0"/>
              <w:spacing w:line="360" w:lineRule="auto"/>
              <w:ind w:firstLine="480" w:firstLineChars="200"/>
              <w:rPr>
                <w:sz w:val="24"/>
              </w:rPr>
            </w:pPr>
            <w:r>
              <w:rPr>
                <w:rFonts w:hint="eastAsia"/>
                <w:sz w:val="24"/>
              </w:rPr>
              <w:t>根据《水与健康》（张志义主编，2</w:t>
            </w:r>
            <w:r>
              <w:rPr>
                <w:sz w:val="24"/>
              </w:rPr>
              <w:t>012</w:t>
            </w:r>
            <w:r>
              <w:rPr>
                <w:rFonts w:hint="eastAsia"/>
                <w:sz w:val="24"/>
              </w:rPr>
              <w:t>年版），自来水的成分如下表，项目纯水制备产生的浓水水质情况见下表。</w:t>
            </w:r>
          </w:p>
          <w:p>
            <w:pPr>
              <w:snapToGrid w:val="0"/>
              <w:spacing w:line="360" w:lineRule="auto"/>
              <w:jc w:val="center"/>
              <w:rPr>
                <w:b/>
                <w:bCs/>
                <w:sz w:val="24"/>
              </w:rPr>
            </w:pPr>
            <w:r>
              <w:rPr>
                <w:rFonts w:hint="eastAsia"/>
                <w:b/>
                <w:bCs/>
                <w:sz w:val="24"/>
              </w:rPr>
              <w:t>表2</w:t>
            </w:r>
            <w:r>
              <w:rPr>
                <w:b/>
                <w:bCs/>
                <w:sz w:val="24"/>
              </w:rPr>
              <w:t xml:space="preserve">-11 </w:t>
            </w:r>
            <w:r>
              <w:rPr>
                <w:rFonts w:hint="eastAsia"/>
                <w:b/>
                <w:bCs/>
                <w:sz w:val="24"/>
              </w:rPr>
              <w:t>本项目自来水及纯水中素含量情况表</w:t>
            </w:r>
          </w:p>
          <w:p>
            <w:pPr>
              <w:pStyle w:val="14"/>
              <w:spacing w:line="360" w:lineRule="auto"/>
              <w:ind w:firstLine="480" w:firstLineChars="200"/>
              <w:jc w:val="both"/>
              <w:rPr>
                <w:rFonts w:ascii="Times New Roman"/>
                <w:color w:val="auto"/>
              </w:rPr>
            </w:pPr>
            <w:r>
              <w:rPr>
                <w:rFonts w:ascii="Times New Roman"/>
                <w:color w:val="auto"/>
              </w:rPr>
              <w:t>④包花用水（W4）</w:t>
            </w:r>
          </w:p>
          <w:p>
            <w:pPr>
              <w:pStyle w:val="13"/>
              <w:spacing w:line="360" w:lineRule="auto"/>
              <w:ind w:firstLine="480" w:firstLineChars="200"/>
              <w:rPr>
                <w:rFonts w:ascii="Times New Roman" w:hAnsi="Times New Roman"/>
                <w:sz w:val="24"/>
              </w:rPr>
            </w:pPr>
            <w:r>
              <w:rPr>
                <w:rFonts w:ascii="Times New Roman" w:hAnsi="Times New Roman"/>
                <w:sz w:val="24"/>
              </w:rPr>
              <w:t>根据业主提供资料，采后处理中心给水1.5m</w:t>
            </w:r>
            <w:r>
              <w:rPr>
                <w:rFonts w:ascii="Times New Roman" w:hAnsi="Times New Roman"/>
                <w:sz w:val="24"/>
                <w:vertAlign w:val="superscript"/>
              </w:rPr>
              <w:t>3</w:t>
            </w:r>
            <w:r>
              <w:rPr>
                <w:rFonts w:ascii="Times New Roman" w:hAnsi="Times New Roman"/>
                <w:sz w:val="24"/>
              </w:rPr>
              <w:t>/d，用于包花前预清洗，清洗产生废水按80%计，故产生废水量为1.2m</w:t>
            </w:r>
            <w:r>
              <w:rPr>
                <w:rFonts w:ascii="Times New Roman" w:hAnsi="Times New Roman"/>
                <w:sz w:val="24"/>
                <w:vertAlign w:val="superscript"/>
              </w:rPr>
              <w:t>3</w:t>
            </w:r>
            <w:r>
              <w:rPr>
                <w:rFonts w:ascii="Times New Roman" w:hAnsi="Times New Roman"/>
                <w:sz w:val="24"/>
              </w:rPr>
              <w:t>/d。</w:t>
            </w:r>
          </w:p>
          <w:p>
            <w:pPr>
              <w:pStyle w:val="13"/>
              <w:spacing w:line="360" w:lineRule="auto"/>
              <w:ind w:firstLine="480" w:firstLineChars="200"/>
              <w:rPr>
                <w:rFonts w:ascii="Times New Roman" w:hAnsi="Times New Roman"/>
                <w:sz w:val="24"/>
              </w:rPr>
            </w:pPr>
            <w:r>
              <w:rPr>
                <w:rFonts w:ascii="Times New Roman" w:hAnsi="Times New Roman"/>
                <w:sz w:val="24"/>
              </w:rPr>
              <w:t>⑤锅炉底部水垢水（W2）</w:t>
            </w:r>
          </w:p>
          <w:p>
            <w:pPr>
              <w:pStyle w:val="13"/>
              <w:spacing w:line="360" w:lineRule="auto"/>
              <w:ind w:firstLine="480" w:firstLineChars="200"/>
              <w:rPr>
                <w:rFonts w:ascii="Times New Roman" w:hAnsi="Times New Roman"/>
                <w:sz w:val="24"/>
              </w:rPr>
            </w:pPr>
            <w:r>
              <w:rPr>
                <w:rFonts w:ascii="Times New Roman" w:hAnsi="Times New Roman"/>
                <w:sz w:val="24"/>
              </w:rPr>
              <w:t>本项目使用锅炉时，锅炉排水量为</w:t>
            </w:r>
            <w:r>
              <w:rPr>
                <w:rFonts w:hint="eastAsia" w:ascii="Times New Roman" w:hAnsi="Times New Roman"/>
                <w:sz w:val="24"/>
              </w:rPr>
              <w:t>9.06</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w:t>
            </w:r>
          </w:p>
          <w:p>
            <w:pPr>
              <w:pStyle w:val="13"/>
              <w:spacing w:line="360" w:lineRule="auto"/>
              <w:ind w:firstLine="480" w:firstLineChars="200"/>
              <w:rPr>
                <w:rFonts w:ascii="Times New Roman" w:hAnsi="Times New Roman"/>
                <w:sz w:val="24"/>
              </w:rPr>
            </w:pPr>
            <w:r>
              <w:rPr>
                <w:rFonts w:ascii="Times New Roman" w:hAnsi="Times New Roman"/>
                <w:sz w:val="24"/>
              </w:rPr>
              <w:t>项目生产废水产生为锅炉排水和清洗废水，生产废水收集后回用于项目生产区灌溉，不外排。</w:t>
            </w:r>
          </w:p>
          <w:p>
            <w:pPr>
              <w:snapToGrid w:val="0"/>
              <w:spacing w:line="360" w:lineRule="auto"/>
              <w:ind w:firstLine="480" w:firstLineChars="200"/>
              <w:rPr>
                <w:sz w:val="24"/>
              </w:rPr>
            </w:pPr>
            <w:r>
              <w:rPr>
                <w:sz w:val="24"/>
              </w:rPr>
              <w:t>⑥种植浇灌渗出水（W3）</w:t>
            </w:r>
          </w:p>
          <w:p>
            <w:pPr>
              <w:spacing w:line="360" w:lineRule="auto"/>
              <w:ind w:firstLine="480" w:firstLineChars="200"/>
              <w:rPr>
                <w:sz w:val="24"/>
              </w:rPr>
            </w:pPr>
            <w:r>
              <w:rPr>
                <w:sz w:val="24"/>
              </w:rPr>
              <w:t>玫瑰种植过程中需要浇水灌溉，本项目采用全自动灌溉系统，根据业主提供玫瑰种植用水量为1.25m</w:t>
            </w:r>
            <w:r>
              <w:rPr>
                <w:sz w:val="24"/>
                <w:vertAlign w:val="superscript"/>
              </w:rPr>
              <w:t>3</w:t>
            </w:r>
            <w:r>
              <w:rPr>
                <w:sz w:val="24"/>
              </w:rPr>
              <w:t>/亩·天。本项目种植区99.4亩，则用水量为45351.25m</w:t>
            </w:r>
            <w:r>
              <w:rPr>
                <w:sz w:val="24"/>
                <w:vertAlign w:val="superscript"/>
              </w:rPr>
              <w:t>3</w:t>
            </w:r>
            <w:r>
              <w:rPr>
                <w:sz w:val="24"/>
              </w:rPr>
              <w:t>/a，124.25m</w:t>
            </w:r>
            <w:r>
              <w:rPr>
                <w:sz w:val="24"/>
                <w:vertAlign w:val="superscript"/>
              </w:rPr>
              <w:t>3</w:t>
            </w:r>
            <w:r>
              <w:rPr>
                <w:sz w:val="24"/>
              </w:rPr>
              <w:t>/d。滴灌渗出废水约为灌溉用水的1%，则产生滴灌渗出废水约为1.24m</w:t>
            </w:r>
            <w:r>
              <w:rPr>
                <w:sz w:val="24"/>
                <w:vertAlign w:val="superscript"/>
              </w:rPr>
              <w:t>3</w:t>
            </w:r>
            <w:r>
              <w:rPr>
                <w:sz w:val="24"/>
              </w:rPr>
              <w:t>/d，通过设置4m</w:t>
            </w:r>
            <w:r>
              <w:rPr>
                <w:sz w:val="24"/>
                <w:vertAlign w:val="superscript"/>
              </w:rPr>
              <w:t>3</w:t>
            </w:r>
            <w:r>
              <w:rPr>
                <w:sz w:val="24"/>
              </w:rPr>
              <w:t>/d的沉淀池沉淀后回用于水肥系统。</w:t>
            </w:r>
          </w:p>
          <w:p>
            <w:pPr>
              <w:spacing w:line="360" w:lineRule="auto"/>
              <w:ind w:left="630"/>
              <w:rPr>
                <w:sz w:val="24"/>
              </w:rPr>
            </w:pPr>
            <w:r>
              <w:rPr>
                <w:sz w:val="24"/>
              </w:rPr>
              <w:t>3）初期雨水</w:t>
            </w:r>
          </w:p>
          <w:p>
            <w:pPr>
              <w:spacing w:line="360" w:lineRule="auto"/>
              <w:ind w:firstLine="480" w:firstLineChars="200"/>
              <w:jc w:val="left"/>
              <w:rPr>
                <w:sz w:val="24"/>
              </w:rPr>
            </w:pPr>
            <w:r>
              <w:rPr>
                <w:sz w:val="24"/>
              </w:rPr>
              <w:t>根据《建筑与小区雨水利用工程技术规范》的规定，雨水储存设施</w:t>
            </w:r>
            <w:r>
              <w:rPr>
                <w:rFonts w:hint="eastAsia"/>
                <w:sz w:val="24"/>
              </w:rPr>
              <w:t>按照</w:t>
            </w:r>
            <w:r>
              <w:rPr>
                <w:sz w:val="24"/>
              </w:rPr>
              <w:t>初期雨水径流弃流量</w:t>
            </w:r>
            <w:r>
              <w:rPr>
                <w:rFonts w:hint="eastAsia"/>
                <w:sz w:val="24"/>
              </w:rPr>
              <w:t>进行计算</w:t>
            </w:r>
            <w:r>
              <w:rPr>
                <w:sz w:val="24"/>
              </w:rPr>
              <w:t>，本</w:t>
            </w:r>
            <w:r>
              <w:rPr>
                <w:rFonts w:hint="eastAsia"/>
                <w:sz w:val="24"/>
              </w:rPr>
              <w:t>项目</w:t>
            </w:r>
            <w:r>
              <w:rPr>
                <w:sz w:val="24"/>
              </w:rPr>
              <w:t>取一年</w:t>
            </w:r>
            <w:r>
              <w:rPr>
                <w:rFonts w:hint="eastAsia"/>
                <w:sz w:val="24"/>
              </w:rPr>
              <w:t>计</w:t>
            </w:r>
            <w:r>
              <w:rPr>
                <w:sz w:val="24"/>
              </w:rPr>
              <w:t>。</w:t>
            </w:r>
            <w:r>
              <w:rPr>
                <w:rFonts w:hint="eastAsia"/>
                <w:sz w:val="24"/>
              </w:rPr>
              <w:t>根据《云南省3</w:t>
            </w:r>
            <w:r>
              <w:rPr>
                <w:sz w:val="24"/>
              </w:rPr>
              <w:t>0</w:t>
            </w:r>
            <w:r>
              <w:rPr>
                <w:rFonts w:hint="eastAsia"/>
                <w:sz w:val="24"/>
              </w:rPr>
              <w:t>年累年各月各要素统计值气象资料整编》（2</w:t>
            </w:r>
            <w:r>
              <w:rPr>
                <w:sz w:val="24"/>
              </w:rPr>
              <w:t>000</w:t>
            </w:r>
            <w:r>
              <w:rPr>
                <w:rFonts w:hint="eastAsia"/>
                <w:sz w:val="24"/>
              </w:rPr>
              <w:t>~</w:t>
            </w:r>
            <w:r>
              <w:rPr>
                <w:sz w:val="24"/>
              </w:rPr>
              <w:t>2020</w:t>
            </w:r>
            <w:r>
              <w:rPr>
                <w:rFonts w:hint="eastAsia"/>
                <w:sz w:val="24"/>
              </w:rPr>
              <w:t>），姚安县年降雨日数为1</w:t>
            </w:r>
            <w:r>
              <w:rPr>
                <w:sz w:val="24"/>
              </w:rPr>
              <w:t>48</w:t>
            </w:r>
            <w:r>
              <w:rPr>
                <w:rFonts w:hint="eastAsia"/>
                <w:sz w:val="24"/>
              </w:rPr>
              <w:t>天，年均降水量 775.8mm，本次根据1</w:t>
            </w:r>
            <w:r>
              <w:rPr>
                <w:sz w:val="24"/>
              </w:rPr>
              <w:t>0</w:t>
            </w:r>
            <w:r>
              <w:rPr>
                <w:rFonts w:hint="eastAsia"/>
                <w:sz w:val="24"/>
              </w:rPr>
              <w:t>mm降水厚度进行初期雨水核算</w:t>
            </w:r>
            <w:r>
              <w:rPr>
                <w:sz w:val="24"/>
              </w:rPr>
              <w:t>。本次评价对项目区初期径流弃流量的核算如下：</w:t>
            </w:r>
          </w:p>
          <w:p>
            <w:pPr>
              <w:spacing w:line="360" w:lineRule="auto"/>
              <w:ind w:firstLine="720" w:firstLineChars="300"/>
              <w:jc w:val="center"/>
              <w:rPr>
                <w:sz w:val="24"/>
              </w:rPr>
            </w:pPr>
            <w:r>
              <w:rPr>
                <w:sz w:val="24"/>
              </w:rPr>
              <w:t>Wi=10×δ×F</w:t>
            </w:r>
          </w:p>
          <w:p>
            <w:pPr>
              <w:spacing w:line="360" w:lineRule="auto"/>
              <w:ind w:firstLine="720" w:firstLineChars="300"/>
              <w:rPr>
                <w:sz w:val="24"/>
              </w:rPr>
            </w:pPr>
            <w:r>
              <w:rPr>
                <w:sz w:val="24"/>
              </w:rPr>
              <w:t>式中：Wi—初期径流弃流量（m</w:t>
            </w:r>
            <w:r>
              <w:rPr>
                <w:sz w:val="24"/>
                <w:vertAlign w:val="superscript"/>
              </w:rPr>
              <w:t>3</w:t>
            </w:r>
            <w:r>
              <w:rPr>
                <w:sz w:val="24"/>
              </w:rPr>
              <w:t>）；</w:t>
            </w:r>
          </w:p>
          <w:p>
            <w:pPr>
              <w:spacing w:line="360" w:lineRule="auto"/>
              <w:ind w:firstLine="720" w:firstLineChars="300"/>
              <w:rPr>
                <w:sz w:val="24"/>
              </w:rPr>
            </w:pPr>
            <w:r>
              <w:rPr>
                <w:sz w:val="24"/>
              </w:rPr>
              <w:t>F—采区降雨汇水面积（hm</w:t>
            </w:r>
            <w:r>
              <w:rPr>
                <w:sz w:val="24"/>
                <w:vertAlign w:val="superscript"/>
              </w:rPr>
              <w:t>2</w:t>
            </w:r>
            <w:r>
              <w:rPr>
                <w:sz w:val="24"/>
              </w:rPr>
              <w:t>）；</w:t>
            </w:r>
          </w:p>
          <w:p>
            <w:pPr>
              <w:spacing w:line="360" w:lineRule="auto"/>
              <w:ind w:firstLine="720" w:firstLineChars="300"/>
              <w:rPr>
                <w:sz w:val="24"/>
              </w:rPr>
            </w:pPr>
            <w:r>
              <w:rPr>
                <w:sz w:val="24"/>
              </w:rPr>
              <w:t>  δ—初期径流弃流厚度（mm）。</w:t>
            </w:r>
          </w:p>
          <w:p>
            <w:pPr>
              <w:spacing w:line="360" w:lineRule="auto"/>
              <w:ind w:firstLine="480" w:firstLineChars="200"/>
              <w:rPr>
                <w:sz w:val="24"/>
              </w:rPr>
            </w:pPr>
            <w:r>
              <w:rPr>
                <w:sz w:val="24"/>
              </w:rPr>
              <w:t>项目区域内一场降雨共收集雨水量为：414.6m</w:t>
            </w:r>
            <w:r>
              <w:rPr>
                <w:sz w:val="24"/>
                <w:vertAlign w:val="superscript"/>
              </w:rPr>
              <w:t>3</w:t>
            </w:r>
          </w:p>
          <w:p>
            <w:pPr>
              <w:spacing w:line="360" w:lineRule="auto"/>
              <w:ind w:firstLine="480" w:firstLineChars="200"/>
              <w:rPr>
                <w:sz w:val="24"/>
              </w:rPr>
            </w:pPr>
            <w:r>
              <w:rPr>
                <w:sz w:val="24"/>
              </w:rPr>
              <w:t>按照10mm降雨厚度计算，下垫面3mm可收集的雨水量为：124.4m</w:t>
            </w:r>
            <w:r>
              <w:rPr>
                <w:sz w:val="24"/>
                <w:vertAlign w:val="superscript"/>
              </w:rPr>
              <w:t>3</w:t>
            </w:r>
            <w:r>
              <w:rPr>
                <w:sz w:val="24"/>
              </w:rPr>
              <w:t>。</w:t>
            </w:r>
          </w:p>
          <w:p>
            <w:pPr>
              <w:spacing w:line="360" w:lineRule="auto"/>
              <w:ind w:firstLine="480" w:firstLineChars="200"/>
              <w:rPr>
                <w:sz w:val="24"/>
              </w:rPr>
            </w:pPr>
            <w:r>
              <w:rPr>
                <w:sz w:val="24"/>
              </w:rPr>
              <w:t>项目区一场降雨共收集雨水：414.6-124.4=290.2m</w:t>
            </w:r>
            <w:r>
              <w:rPr>
                <w:sz w:val="24"/>
                <w:vertAlign w:val="superscript"/>
              </w:rPr>
              <w:t>3</w:t>
            </w:r>
            <w:r>
              <w:rPr>
                <w:sz w:val="24"/>
              </w:rPr>
              <w:t>。</w:t>
            </w:r>
          </w:p>
          <w:p>
            <w:pPr>
              <w:spacing w:line="360" w:lineRule="auto"/>
              <w:ind w:firstLine="480" w:firstLineChars="200"/>
              <w:rPr>
                <w:sz w:val="24"/>
              </w:rPr>
            </w:pPr>
            <w:r>
              <w:rPr>
                <w:sz w:val="24"/>
              </w:rPr>
              <w:t>沉淀池容积核算采用姚安县30年一遇最大日降雨量按照暴雨强度公式进行核算，姚安县30年一遇最大日降雨量为132.57mm，暴雨强度按照15分钟计，设计降雨重现期为5年，公式如下：</w:t>
            </w:r>
          </w:p>
          <w:p>
            <w:pPr>
              <w:spacing w:line="360" w:lineRule="auto"/>
              <w:jc w:val="center"/>
              <w:rPr>
                <w:sz w:val="24"/>
              </w:rPr>
            </w:pPr>
            <w:r>
              <w:rPr>
                <w:sz w:val="24"/>
              </w:rPr>
              <w:t>Q=Ψ·q·F</w:t>
            </w:r>
          </w:p>
          <w:p>
            <w:pPr>
              <w:spacing w:line="360" w:lineRule="auto"/>
              <w:ind w:left="478" w:leftChars="228"/>
              <w:rPr>
                <w:sz w:val="24"/>
              </w:rPr>
            </w:pPr>
            <w:r>
              <w:rPr>
                <w:sz w:val="24"/>
              </w:rPr>
              <w:t>式中：Q —雨水流量，L/s；</w:t>
            </w:r>
            <w:r>
              <w:rPr>
                <w:sz w:val="24"/>
              </w:rPr>
              <w:br w:type="textWrapping"/>
            </w:r>
            <w:r>
              <w:rPr>
                <w:sz w:val="24"/>
              </w:rPr>
              <w:t>Ψ—径流系数，经验数值为0.6；</w:t>
            </w:r>
            <w:r>
              <w:rPr>
                <w:sz w:val="24"/>
              </w:rPr>
              <w:br w:type="textWrapping"/>
            </w:r>
            <w:r>
              <w:rPr>
                <w:sz w:val="24"/>
              </w:rPr>
              <w:t>q—设计暴雨强度，L/s</w:t>
            </w:r>
            <w:r>
              <w:rPr>
                <w:rFonts w:hint="eastAsia"/>
                <w:sz w:val="24"/>
              </w:rPr>
              <w:t>·</w:t>
            </w:r>
            <w:r>
              <w:rPr>
                <w:sz w:val="24"/>
              </w:rPr>
              <w:t>hm</w:t>
            </w:r>
            <w:r>
              <w:rPr>
                <w:sz w:val="24"/>
                <w:vertAlign w:val="superscript"/>
              </w:rPr>
              <w:t>2</w:t>
            </w:r>
            <w:r>
              <w:rPr>
                <w:sz w:val="24"/>
              </w:rPr>
              <w:t>；</w:t>
            </w:r>
            <w:r>
              <w:rPr>
                <w:sz w:val="24"/>
              </w:rPr>
              <w:br w:type="textWrapping"/>
            </w:r>
            <w:r>
              <w:rPr>
                <w:sz w:val="24"/>
              </w:rPr>
              <w:t>F—汇水面积，m</w:t>
            </w:r>
            <w:r>
              <w:rPr>
                <w:sz w:val="24"/>
                <w:vertAlign w:val="superscript"/>
              </w:rPr>
              <w:t>2</w:t>
            </w:r>
            <w:r>
              <w:rPr>
                <w:sz w:val="24"/>
              </w:rPr>
              <w:t>；</w:t>
            </w:r>
          </w:p>
          <w:p>
            <w:pPr>
              <w:spacing w:line="360" w:lineRule="auto"/>
              <w:ind w:firstLine="480" w:firstLineChars="200"/>
              <w:rPr>
                <w:sz w:val="24"/>
              </w:rPr>
            </w:pPr>
            <w:r>
              <w:rPr>
                <w:sz w:val="24"/>
              </w:rPr>
              <w:t>因姚安县与下关距离较近，气象条件相似，所以姚安县降雨强度参照下关地区暴雨强度公式计算：</w:t>
            </w:r>
          </w:p>
          <w:p>
            <w:pPr>
              <w:spacing w:line="360" w:lineRule="auto"/>
              <w:jc w:val="center"/>
              <w:rPr>
                <w:sz w:val="24"/>
              </w:rPr>
            </w:pPr>
            <w:r>
              <w:rPr>
                <w:sz w:val="24"/>
              </w:rPr>
              <w:t>q=1534(1+1.0351lgP)/（t+9.86）0.762</w:t>
            </w:r>
          </w:p>
          <w:p>
            <w:pPr>
              <w:spacing w:line="360" w:lineRule="auto"/>
              <w:ind w:firstLine="480" w:firstLineChars="200"/>
              <w:rPr>
                <w:sz w:val="24"/>
              </w:rPr>
            </w:pPr>
            <w:r>
              <w:rPr>
                <w:sz w:val="24"/>
              </w:rPr>
              <w:t xml:space="preserve">式中：P—设计降雨重现期5a， </w:t>
            </w:r>
          </w:p>
          <w:p>
            <w:pPr>
              <w:spacing w:line="360" w:lineRule="auto"/>
              <w:ind w:firstLine="480" w:firstLineChars="200"/>
              <w:rPr>
                <w:sz w:val="24"/>
              </w:rPr>
            </w:pPr>
            <w:r>
              <w:rPr>
                <w:sz w:val="24"/>
              </w:rPr>
              <w:t>t—降雨历时，15min。</w:t>
            </w:r>
          </w:p>
          <w:p>
            <w:pPr>
              <w:spacing w:line="360" w:lineRule="auto"/>
              <w:ind w:firstLine="480" w:firstLineChars="200"/>
              <w:rPr>
                <w:sz w:val="24"/>
              </w:rPr>
            </w:pPr>
            <w:r>
              <w:rPr>
                <w:sz w:val="24"/>
              </w:rPr>
              <w:t>通过核算，项目区最大雨水量为947.3m</w:t>
            </w:r>
            <w:r>
              <w:rPr>
                <w:sz w:val="24"/>
                <w:vertAlign w:val="superscript"/>
              </w:rPr>
              <w:t>3</w:t>
            </w:r>
            <w:r>
              <w:rPr>
                <w:sz w:val="24"/>
              </w:rPr>
              <w:t>，设计沉淀池容积950m</w:t>
            </w:r>
            <w:r>
              <w:rPr>
                <w:sz w:val="24"/>
                <w:vertAlign w:val="superscript"/>
              </w:rPr>
              <w:t>3</w:t>
            </w:r>
            <w:r>
              <w:rPr>
                <w:sz w:val="24"/>
              </w:rPr>
              <w:t>，能够满足要求。</w:t>
            </w:r>
          </w:p>
          <w:p>
            <w:pPr>
              <w:spacing w:line="360" w:lineRule="auto"/>
              <w:ind w:firstLine="480" w:firstLineChars="200"/>
              <w:rPr>
                <w:sz w:val="24"/>
              </w:rPr>
            </w:pPr>
            <w:r>
              <w:rPr>
                <w:sz w:val="24"/>
              </w:rPr>
              <w:t>沉淀雨水可用于项目区种植浇灌和配肥。</w:t>
            </w:r>
          </w:p>
          <w:p>
            <w:pPr>
              <w:spacing w:line="360" w:lineRule="auto"/>
              <w:jc w:val="center"/>
              <w:rPr>
                <w:b/>
                <w:bCs/>
                <w:sz w:val="24"/>
              </w:rPr>
            </w:pPr>
            <w:r>
              <w:rPr>
                <w:b/>
                <w:bCs/>
                <w:sz w:val="24"/>
              </w:rPr>
              <w:t>表2-12 项目使用锅炉时日供排水情况表（单位：m</w:t>
            </w:r>
            <w:r>
              <w:rPr>
                <w:b/>
                <w:bCs/>
                <w:sz w:val="24"/>
                <w:vertAlign w:val="superscript"/>
              </w:rPr>
              <w:t>3</w:t>
            </w:r>
            <w:r>
              <w:rPr>
                <w:b/>
                <w:bCs/>
                <w:sz w:val="24"/>
              </w:rPr>
              <w:t>/d）</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1478"/>
              <w:gridCol w:w="1264"/>
              <w:gridCol w:w="1312"/>
              <w:gridCol w:w="1427"/>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pPr>
                    <w:autoSpaceDE w:val="0"/>
                    <w:autoSpaceDN w:val="0"/>
                    <w:adjustRightInd w:val="0"/>
                    <w:snapToGrid w:val="0"/>
                    <w:jc w:val="center"/>
                    <w:rPr>
                      <w:b/>
                      <w:bCs/>
                      <w:szCs w:val="21"/>
                    </w:rPr>
                  </w:pPr>
                  <w:r>
                    <w:rPr>
                      <w:b/>
                      <w:bCs/>
                      <w:szCs w:val="21"/>
                    </w:rPr>
                    <w:t>用水项目</w:t>
                  </w:r>
                </w:p>
              </w:tc>
              <w:tc>
                <w:tcPr>
                  <w:tcW w:w="836" w:type="pct"/>
                  <w:vAlign w:val="center"/>
                </w:tcPr>
                <w:p>
                  <w:pPr>
                    <w:autoSpaceDE w:val="0"/>
                    <w:autoSpaceDN w:val="0"/>
                    <w:adjustRightInd w:val="0"/>
                    <w:snapToGrid w:val="0"/>
                    <w:jc w:val="center"/>
                    <w:rPr>
                      <w:b/>
                      <w:bCs/>
                      <w:szCs w:val="21"/>
                    </w:rPr>
                  </w:pPr>
                  <w:r>
                    <w:rPr>
                      <w:b/>
                      <w:bCs/>
                      <w:szCs w:val="21"/>
                    </w:rPr>
                    <w:t>新鲜水用量</w:t>
                  </w:r>
                </w:p>
              </w:tc>
              <w:tc>
                <w:tcPr>
                  <w:tcW w:w="715" w:type="pct"/>
                  <w:vAlign w:val="center"/>
                </w:tcPr>
                <w:p>
                  <w:pPr>
                    <w:autoSpaceDE w:val="0"/>
                    <w:autoSpaceDN w:val="0"/>
                    <w:adjustRightInd w:val="0"/>
                    <w:snapToGrid w:val="0"/>
                    <w:jc w:val="center"/>
                    <w:rPr>
                      <w:b/>
                      <w:bCs/>
                      <w:szCs w:val="21"/>
                    </w:rPr>
                  </w:pPr>
                  <w:r>
                    <w:rPr>
                      <w:b/>
                      <w:bCs/>
                      <w:szCs w:val="21"/>
                    </w:rPr>
                    <w:t>回用水量</w:t>
                  </w:r>
                </w:p>
              </w:tc>
              <w:tc>
                <w:tcPr>
                  <w:tcW w:w="742" w:type="pct"/>
                  <w:vAlign w:val="center"/>
                </w:tcPr>
                <w:p>
                  <w:pPr>
                    <w:autoSpaceDE w:val="0"/>
                    <w:autoSpaceDN w:val="0"/>
                    <w:adjustRightInd w:val="0"/>
                    <w:snapToGrid w:val="0"/>
                    <w:jc w:val="center"/>
                    <w:rPr>
                      <w:b/>
                      <w:bCs/>
                      <w:szCs w:val="21"/>
                    </w:rPr>
                  </w:pPr>
                  <w:r>
                    <w:rPr>
                      <w:b/>
                      <w:bCs/>
                      <w:szCs w:val="21"/>
                    </w:rPr>
                    <w:t>污水量</w:t>
                  </w:r>
                </w:p>
              </w:tc>
              <w:tc>
                <w:tcPr>
                  <w:tcW w:w="807" w:type="pct"/>
                  <w:vAlign w:val="center"/>
                </w:tcPr>
                <w:p>
                  <w:pPr>
                    <w:autoSpaceDE w:val="0"/>
                    <w:autoSpaceDN w:val="0"/>
                    <w:adjustRightInd w:val="0"/>
                    <w:snapToGrid w:val="0"/>
                    <w:jc w:val="center"/>
                    <w:rPr>
                      <w:b/>
                      <w:bCs/>
                      <w:szCs w:val="21"/>
                    </w:rPr>
                  </w:pPr>
                  <w:r>
                    <w:rPr>
                      <w:b/>
                      <w:bCs/>
                      <w:szCs w:val="21"/>
                    </w:rPr>
                    <w:t>废水回用量</w:t>
                  </w:r>
                </w:p>
              </w:tc>
              <w:tc>
                <w:tcPr>
                  <w:tcW w:w="787" w:type="pct"/>
                  <w:vAlign w:val="center"/>
                </w:tcPr>
                <w:p>
                  <w:pPr>
                    <w:autoSpaceDE w:val="0"/>
                    <w:autoSpaceDN w:val="0"/>
                    <w:adjustRightInd w:val="0"/>
                    <w:snapToGrid w:val="0"/>
                    <w:jc w:val="center"/>
                    <w:rPr>
                      <w:b/>
                      <w:bCs/>
                      <w:szCs w:val="21"/>
                    </w:rPr>
                  </w:pPr>
                  <w:r>
                    <w:rPr>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shd w:val="clear" w:color="auto" w:fill="auto"/>
                  <w:vAlign w:val="center"/>
                </w:tcPr>
                <w:p>
                  <w:pPr>
                    <w:autoSpaceDE w:val="0"/>
                    <w:autoSpaceDN w:val="0"/>
                    <w:adjustRightInd w:val="0"/>
                    <w:snapToGrid w:val="0"/>
                    <w:jc w:val="center"/>
                    <w:rPr>
                      <w:szCs w:val="21"/>
                    </w:rPr>
                  </w:pPr>
                  <w:r>
                    <w:rPr>
                      <w:szCs w:val="21"/>
                    </w:rPr>
                    <w:t>天然气锅炉用水</w:t>
                  </w:r>
                </w:p>
              </w:tc>
              <w:tc>
                <w:tcPr>
                  <w:tcW w:w="836" w:type="pct"/>
                  <w:vAlign w:val="center"/>
                </w:tcPr>
                <w:p>
                  <w:pPr>
                    <w:autoSpaceDE w:val="0"/>
                    <w:autoSpaceDN w:val="0"/>
                    <w:adjustRightInd w:val="0"/>
                    <w:snapToGrid w:val="0"/>
                    <w:jc w:val="center"/>
                    <w:rPr>
                      <w:szCs w:val="21"/>
                    </w:rPr>
                  </w:pPr>
                  <w:r>
                    <w:rPr>
                      <w:szCs w:val="21"/>
                    </w:rPr>
                    <w:t>0</w:t>
                  </w:r>
                </w:p>
              </w:tc>
              <w:tc>
                <w:tcPr>
                  <w:tcW w:w="715" w:type="pct"/>
                  <w:vAlign w:val="center"/>
                </w:tcPr>
                <w:p>
                  <w:pPr>
                    <w:autoSpaceDE w:val="0"/>
                    <w:autoSpaceDN w:val="0"/>
                    <w:adjustRightInd w:val="0"/>
                    <w:snapToGrid w:val="0"/>
                    <w:jc w:val="center"/>
                    <w:rPr>
                      <w:szCs w:val="21"/>
                    </w:rPr>
                  </w:pPr>
                  <w:r>
                    <w:rPr>
                      <w:szCs w:val="21"/>
                    </w:rPr>
                    <w:t>0</w:t>
                  </w:r>
                </w:p>
              </w:tc>
              <w:tc>
                <w:tcPr>
                  <w:tcW w:w="742" w:type="pct"/>
                  <w:vAlign w:val="center"/>
                </w:tcPr>
                <w:p>
                  <w:pPr>
                    <w:autoSpaceDE w:val="0"/>
                    <w:autoSpaceDN w:val="0"/>
                    <w:adjustRightInd w:val="0"/>
                    <w:snapToGrid w:val="0"/>
                    <w:jc w:val="center"/>
                    <w:rPr>
                      <w:szCs w:val="21"/>
                    </w:rPr>
                  </w:pPr>
                  <w:r>
                    <w:rPr>
                      <w:szCs w:val="21"/>
                    </w:rPr>
                    <w:t>8.87</w:t>
                  </w:r>
                </w:p>
              </w:tc>
              <w:tc>
                <w:tcPr>
                  <w:tcW w:w="807" w:type="pct"/>
                  <w:vAlign w:val="center"/>
                </w:tcPr>
                <w:p>
                  <w:pPr>
                    <w:autoSpaceDE w:val="0"/>
                    <w:autoSpaceDN w:val="0"/>
                    <w:adjustRightInd w:val="0"/>
                    <w:snapToGrid w:val="0"/>
                    <w:jc w:val="center"/>
                    <w:rPr>
                      <w:szCs w:val="21"/>
                    </w:rPr>
                  </w:pPr>
                  <w:r>
                    <w:rPr>
                      <w:szCs w:val="21"/>
                    </w:rPr>
                    <w:t>8.87</w:t>
                  </w:r>
                </w:p>
              </w:tc>
              <w:tc>
                <w:tcPr>
                  <w:tcW w:w="787" w:type="pct"/>
                  <w:vAlign w:val="center"/>
                </w:tcPr>
                <w:p>
                  <w:pPr>
                    <w:autoSpaceDE w:val="0"/>
                    <w:autoSpaceDN w:val="0"/>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shd w:val="clear" w:color="auto" w:fill="auto"/>
                  <w:vAlign w:val="center"/>
                </w:tcPr>
                <w:p>
                  <w:pPr>
                    <w:autoSpaceDE w:val="0"/>
                    <w:autoSpaceDN w:val="0"/>
                    <w:adjustRightInd w:val="0"/>
                    <w:snapToGrid w:val="0"/>
                    <w:jc w:val="center"/>
                    <w:rPr>
                      <w:szCs w:val="21"/>
                    </w:rPr>
                  </w:pPr>
                  <w:r>
                    <w:rPr>
                      <w:szCs w:val="21"/>
                    </w:rPr>
                    <w:t>生物质锅炉用水</w:t>
                  </w:r>
                </w:p>
              </w:tc>
              <w:tc>
                <w:tcPr>
                  <w:tcW w:w="836" w:type="pct"/>
                  <w:vAlign w:val="center"/>
                </w:tcPr>
                <w:p>
                  <w:pPr>
                    <w:autoSpaceDE w:val="0"/>
                    <w:autoSpaceDN w:val="0"/>
                    <w:adjustRightInd w:val="0"/>
                    <w:snapToGrid w:val="0"/>
                    <w:jc w:val="center"/>
                    <w:rPr>
                      <w:szCs w:val="21"/>
                    </w:rPr>
                  </w:pPr>
                  <w:r>
                    <w:rPr>
                      <w:szCs w:val="21"/>
                    </w:rPr>
                    <w:t>0</w:t>
                  </w:r>
                </w:p>
              </w:tc>
              <w:tc>
                <w:tcPr>
                  <w:tcW w:w="715" w:type="pct"/>
                  <w:vAlign w:val="center"/>
                </w:tcPr>
                <w:p>
                  <w:pPr>
                    <w:autoSpaceDE w:val="0"/>
                    <w:autoSpaceDN w:val="0"/>
                    <w:adjustRightInd w:val="0"/>
                    <w:snapToGrid w:val="0"/>
                    <w:jc w:val="center"/>
                    <w:rPr>
                      <w:szCs w:val="21"/>
                    </w:rPr>
                  </w:pPr>
                  <w:r>
                    <w:rPr>
                      <w:szCs w:val="21"/>
                    </w:rPr>
                    <w:t>0</w:t>
                  </w:r>
                </w:p>
              </w:tc>
              <w:tc>
                <w:tcPr>
                  <w:tcW w:w="742" w:type="pct"/>
                  <w:vAlign w:val="center"/>
                </w:tcPr>
                <w:p>
                  <w:pPr>
                    <w:autoSpaceDE w:val="0"/>
                    <w:autoSpaceDN w:val="0"/>
                    <w:adjustRightInd w:val="0"/>
                    <w:snapToGrid w:val="0"/>
                    <w:jc w:val="center"/>
                    <w:rPr>
                      <w:szCs w:val="21"/>
                    </w:rPr>
                  </w:pPr>
                  <w:r>
                    <w:rPr>
                      <w:szCs w:val="21"/>
                    </w:rPr>
                    <w:t>0.19</w:t>
                  </w:r>
                </w:p>
              </w:tc>
              <w:tc>
                <w:tcPr>
                  <w:tcW w:w="807" w:type="pct"/>
                  <w:vAlign w:val="center"/>
                </w:tcPr>
                <w:p>
                  <w:pPr>
                    <w:autoSpaceDE w:val="0"/>
                    <w:autoSpaceDN w:val="0"/>
                    <w:adjustRightInd w:val="0"/>
                    <w:snapToGrid w:val="0"/>
                    <w:jc w:val="center"/>
                    <w:rPr>
                      <w:szCs w:val="21"/>
                    </w:rPr>
                  </w:pPr>
                  <w:r>
                    <w:rPr>
                      <w:szCs w:val="21"/>
                    </w:rPr>
                    <w:t>0.19</w:t>
                  </w:r>
                </w:p>
              </w:tc>
              <w:tc>
                <w:tcPr>
                  <w:tcW w:w="787" w:type="pct"/>
                  <w:vAlign w:val="center"/>
                </w:tcPr>
                <w:p>
                  <w:pPr>
                    <w:autoSpaceDE w:val="0"/>
                    <w:autoSpaceDN w:val="0"/>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shd w:val="clear" w:color="auto" w:fill="auto"/>
                  <w:vAlign w:val="center"/>
                </w:tcPr>
                <w:p>
                  <w:pPr>
                    <w:autoSpaceDE w:val="0"/>
                    <w:autoSpaceDN w:val="0"/>
                    <w:adjustRightInd w:val="0"/>
                    <w:snapToGrid w:val="0"/>
                    <w:jc w:val="center"/>
                    <w:rPr>
                      <w:szCs w:val="21"/>
                    </w:rPr>
                  </w:pPr>
                  <w:r>
                    <w:rPr>
                      <w:szCs w:val="21"/>
                    </w:rPr>
                    <w:t>纯水制备用水</w:t>
                  </w:r>
                </w:p>
              </w:tc>
              <w:tc>
                <w:tcPr>
                  <w:tcW w:w="836" w:type="pct"/>
                  <w:vAlign w:val="center"/>
                </w:tcPr>
                <w:p>
                  <w:pPr>
                    <w:autoSpaceDE w:val="0"/>
                    <w:autoSpaceDN w:val="0"/>
                    <w:adjustRightInd w:val="0"/>
                    <w:snapToGrid w:val="0"/>
                    <w:jc w:val="center"/>
                    <w:rPr>
                      <w:szCs w:val="21"/>
                    </w:rPr>
                  </w:pPr>
                  <w:r>
                    <w:rPr>
                      <w:szCs w:val="21"/>
                    </w:rPr>
                    <w:t>312.58</w:t>
                  </w:r>
                </w:p>
              </w:tc>
              <w:tc>
                <w:tcPr>
                  <w:tcW w:w="715" w:type="pct"/>
                  <w:vAlign w:val="center"/>
                </w:tcPr>
                <w:p>
                  <w:pPr>
                    <w:autoSpaceDE w:val="0"/>
                    <w:autoSpaceDN w:val="0"/>
                    <w:adjustRightInd w:val="0"/>
                    <w:snapToGrid w:val="0"/>
                    <w:jc w:val="center"/>
                    <w:rPr>
                      <w:szCs w:val="21"/>
                    </w:rPr>
                  </w:pPr>
                  <w:r>
                    <w:rPr>
                      <w:szCs w:val="21"/>
                    </w:rPr>
                    <w:t>0</w:t>
                  </w:r>
                </w:p>
              </w:tc>
              <w:tc>
                <w:tcPr>
                  <w:tcW w:w="742" w:type="pct"/>
                  <w:vAlign w:val="center"/>
                </w:tcPr>
                <w:p>
                  <w:pPr>
                    <w:autoSpaceDE w:val="0"/>
                    <w:autoSpaceDN w:val="0"/>
                    <w:adjustRightInd w:val="0"/>
                    <w:snapToGrid w:val="0"/>
                    <w:jc w:val="center"/>
                    <w:rPr>
                      <w:szCs w:val="21"/>
                    </w:rPr>
                  </w:pPr>
                  <w:r>
                    <w:rPr>
                      <w:szCs w:val="21"/>
                    </w:rPr>
                    <w:t>87.52</w:t>
                  </w:r>
                </w:p>
              </w:tc>
              <w:tc>
                <w:tcPr>
                  <w:tcW w:w="807" w:type="pct"/>
                  <w:vAlign w:val="center"/>
                </w:tcPr>
                <w:p>
                  <w:pPr>
                    <w:autoSpaceDE w:val="0"/>
                    <w:autoSpaceDN w:val="0"/>
                    <w:adjustRightInd w:val="0"/>
                    <w:snapToGrid w:val="0"/>
                    <w:jc w:val="center"/>
                    <w:rPr>
                      <w:szCs w:val="21"/>
                    </w:rPr>
                  </w:pPr>
                  <w:r>
                    <w:rPr>
                      <w:szCs w:val="21"/>
                    </w:rPr>
                    <w:t>87.52</w:t>
                  </w:r>
                </w:p>
              </w:tc>
              <w:tc>
                <w:tcPr>
                  <w:tcW w:w="787" w:type="pct"/>
                  <w:vAlign w:val="center"/>
                </w:tcPr>
                <w:p>
                  <w:pPr>
                    <w:autoSpaceDE w:val="0"/>
                    <w:autoSpaceDN w:val="0"/>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shd w:val="clear" w:color="auto" w:fill="auto"/>
                  <w:vAlign w:val="center"/>
                </w:tcPr>
                <w:p>
                  <w:pPr>
                    <w:autoSpaceDE w:val="0"/>
                    <w:autoSpaceDN w:val="0"/>
                    <w:adjustRightInd w:val="0"/>
                    <w:snapToGrid w:val="0"/>
                    <w:jc w:val="center"/>
                    <w:rPr>
                      <w:szCs w:val="21"/>
                    </w:rPr>
                  </w:pPr>
                  <w:r>
                    <w:rPr>
                      <w:szCs w:val="21"/>
                    </w:rPr>
                    <w:t>花卉种植用水</w:t>
                  </w:r>
                </w:p>
              </w:tc>
              <w:tc>
                <w:tcPr>
                  <w:tcW w:w="836" w:type="pct"/>
                  <w:vAlign w:val="center"/>
                </w:tcPr>
                <w:p>
                  <w:pPr>
                    <w:autoSpaceDE w:val="0"/>
                    <w:autoSpaceDN w:val="0"/>
                    <w:adjustRightInd w:val="0"/>
                    <w:snapToGrid w:val="0"/>
                    <w:jc w:val="center"/>
                    <w:rPr>
                      <w:szCs w:val="21"/>
                    </w:rPr>
                  </w:pPr>
                  <w:r>
                    <w:rPr>
                      <w:szCs w:val="21"/>
                    </w:rPr>
                    <w:t>0</w:t>
                  </w:r>
                </w:p>
              </w:tc>
              <w:tc>
                <w:tcPr>
                  <w:tcW w:w="715" w:type="pct"/>
                  <w:vAlign w:val="center"/>
                </w:tcPr>
                <w:p>
                  <w:pPr>
                    <w:autoSpaceDE w:val="0"/>
                    <w:autoSpaceDN w:val="0"/>
                    <w:adjustRightInd w:val="0"/>
                    <w:snapToGrid w:val="0"/>
                    <w:jc w:val="center"/>
                    <w:rPr>
                      <w:szCs w:val="21"/>
                    </w:rPr>
                  </w:pPr>
                  <w:r>
                    <w:rPr>
                      <w:szCs w:val="21"/>
                    </w:rPr>
                    <w:t>124.25</w:t>
                  </w:r>
                </w:p>
              </w:tc>
              <w:tc>
                <w:tcPr>
                  <w:tcW w:w="742" w:type="pct"/>
                  <w:vAlign w:val="center"/>
                </w:tcPr>
                <w:p>
                  <w:pPr>
                    <w:autoSpaceDE w:val="0"/>
                    <w:autoSpaceDN w:val="0"/>
                    <w:adjustRightInd w:val="0"/>
                    <w:snapToGrid w:val="0"/>
                    <w:jc w:val="center"/>
                    <w:rPr>
                      <w:szCs w:val="21"/>
                    </w:rPr>
                  </w:pPr>
                  <w:r>
                    <w:rPr>
                      <w:szCs w:val="21"/>
                    </w:rPr>
                    <w:t>1.24</w:t>
                  </w:r>
                </w:p>
              </w:tc>
              <w:tc>
                <w:tcPr>
                  <w:tcW w:w="807" w:type="pct"/>
                  <w:vAlign w:val="center"/>
                </w:tcPr>
                <w:p>
                  <w:pPr>
                    <w:autoSpaceDE w:val="0"/>
                    <w:autoSpaceDN w:val="0"/>
                    <w:adjustRightInd w:val="0"/>
                    <w:snapToGrid w:val="0"/>
                    <w:jc w:val="center"/>
                    <w:rPr>
                      <w:szCs w:val="21"/>
                    </w:rPr>
                  </w:pPr>
                  <w:r>
                    <w:rPr>
                      <w:szCs w:val="21"/>
                    </w:rPr>
                    <w:t>1.24</w:t>
                  </w:r>
                </w:p>
              </w:tc>
              <w:tc>
                <w:tcPr>
                  <w:tcW w:w="787" w:type="pct"/>
                  <w:vAlign w:val="center"/>
                </w:tcPr>
                <w:p>
                  <w:pPr>
                    <w:autoSpaceDE w:val="0"/>
                    <w:autoSpaceDN w:val="0"/>
                    <w:adjustRightInd w:val="0"/>
                    <w:snapToGrid w:val="0"/>
                    <w:jc w:val="center"/>
                    <w:rPr>
                      <w:szCs w:val="21"/>
                    </w:rPr>
                  </w:pPr>
                  <w:r>
                    <w:rPr>
                      <w:szCs w:val="21"/>
                    </w:rPr>
                    <w:t>污水为种植浇灌渗出水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shd w:val="clear" w:color="auto" w:fill="auto"/>
                  <w:vAlign w:val="center"/>
                </w:tcPr>
                <w:p>
                  <w:pPr>
                    <w:autoSpaceDE w:val="0"/>
                    <w:autoSpaceDN w:val="0"/>
                    <w:adjustRightInd w:val="0"/>
                    <w:snapToGrid w:val="0"/>
                    <w:jc w:val="center"/>
                    <w:rPr>
                      <w:szCs w:val="21"/>
                    </w:rPr>
                  </w:pPr>
                  <w:r>
                    <w:rPr>
                      <w:szCs w:val="21"/>
                    </w:rPr>
                    <w:t>包花预清洗用水</w:t>
                  </w:r>
                </w:p>
              </w:tc>
              <w:tc>
                <w:tcPr>
                  <w:tcW w:w="836" w:type="pct"/>
                  <w:vAlign w:val="center"/>
                </w:tcPr>
                <w:p>
                  <w:pPr>
                    <w:autoSpaceDE w:val="0"/>
                    <w:autoSpaceDN w:val="0"/>
                    <w:adjustRightInd w:val="0"/>
                    <w:snapToGrid w:val="0"/>
                    <w:jc w:val="center"/>
                    <w:rPr>
                      <w:szCs w:val="21"/>
                    </w:rPr>
                  </w:pPr>
                  <w:r>
                    <w:rPr>
                      <w:szCs w:val="21"/>
                    </w:rPr>
                    <w:t>1.5</w:t>
                  </w:r>
                </w:p>
              </w:tc>
              <w:tc>
                <w:tcPr>
                  <w:tcW w:w="715" w:type="pct"/>
                  <w:vAlign w:val="center"/>
                </w:tcPr>
                <w:p>
                  <w:pPr>
                    <w:autoSpaceDE w:val="0"/>
                    <w:autoSpaceDN w:val="0"/>
                    <w:adjustRightInd w:val="0"/>
                    <w:snapToGrid w:val="0"/>
                    <w:jc w:val="center"/>
                    <w:rPr>
                      <w:szCs w:val="21"/>
                    </w:rPr>
                  </w:pPr>
                  <w:r>
                    <w:rPr>
                      <w:szCs w:val="21"/>
                    </w:rPr>
                    <w:t>0</w:t>
                  </w:r>
                </w:p>
              </w:tc>
              <w:tc>
                <w:tcPr>
                  <w:tcW w:w="742" w:type="pct"/>
                  <w:vAlign w:val="center"/>
                </w:tcPr>
                <w:p>
                  <w:pPr>
                    <w:autoSpaceDE w:val="0"/>
                    <w:autoSpaceDN w:val="0"/>
                    <w:adjustRightInd w:val="0"/>
                    <w:snapToGrid w:val="0"/>
                    <w:jc w:val="center"/>
                    <w:rPr>
                      <w:szCs w:val="21"/>
                    </w:rPr>
                  </w:pPr>
                  <w:r>
                    <w:rPr>
                      <w:szCs w:val="21"/>
                    </w:rPr>
                    <w:t>1.2</w:t>
                  </w:r>
                </w:p>
              </w:tc>
              <w:tc>
                <w:tcPr>
                  <w:tcW w:w="807" w:type="pct"/>
                  <w:vAlign w:val="center"/>
                </w:tcPr>
                <w:p>
                  <w:pPr>
                    <w:autoSpaceDE w:val="0"/>
                    <w:autoSpaceDN w:val="0"/>
                    <w:adjustRightInd w:val="0"/>
                    <w:snapToGrid w:val="0"/>
                    <w:jc w:val="center"/>
                    <w:rPr>
                      <w:szCs w:val="21"/>
                    </w:rPr>
                  </w:pPr>
                  <w:r>
                    <w:rPr>
                      <w:szCs w:val="21"/>
                    </w:rPr>
                    <w:t>1.2</w:t>
                  </w:r>
                </w:p>
              </w:tc>
              <w:tc>
                <w:tcPr>
                  <w:tcW w:w="787" w:type="pct"/>
                  <w:vAlign w:val="center"/>
                </w:tcPr>
                <w:p>
                  <w:pPr>
                    <w:autoSpaceDE w:val="0"/>
                    <w:autoSpaceDN w:val="0"/>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shd w:val="clear" w:color="auto" w:fill="auto"/>
                  <w:vAlign w:val="center"/>
                </w:tcPr>
                <w:p>
                  <w:pPr>
                    <w:autoSpaceDE w:val="0"/>
                    <w:autoSpaceDN w:val="0"/>
                    <w:adjustRightInd w:val="0"/>
                    <w:snapToGrid w:val="0"/>
                    <w:jc w:val="center"/>
                    <w:rPr>
                      <w:szCs w:val="21"/>
                    </w:rPr>
                  </w:pPr>
                  <w:r>
                    <w:rPr>
                      <w:szCs w:val="21"/>
                    </w:rPr>
                    <w:t>生活用水</w:t>
                  </w:r>
                </w:p>
              </w:tc>
              <w:tc>
                <w:tcPr>
                  <w:tcW w:w="836" w:type="pct"/>
                  <w:vAlign w:val="center"/>
                </w:tcPr>
                <w:p>
                  <w:pPr>
                    <w:autoSpaceDE w:val="0"/>
                    <w:autoSpaceDN w:val="0"/>
                    <w:adjustRightInd w:val="0"/>
                    <w:snapToGrid w:val="0"/>
                    <w:jc w:val="center"/>
                    <w:rPr>
                      <w:szCs w:val="21"/>
                    </w:rPr>
                  </w:pPr>
                  <w:r>
                    <w:rPr>
                      <w:szCs w:val="21"/>
                    </w:rPr>
                    <w:t>3.85</w:t>
                  </w:r>
                </w:p>
              </w:tc>
              <w:tc>
                <w:tcPr>
                  <w:tcW w:w="715" w:type="pct"/>
                  <w:vAlign w:val="center"/>
                </w:tcPr>
                <w:p>
                  <w:pPr>
                    <w:autoSpaceDE w:val="0"/>
                    <w:autoSpaceDN w:val="0"/>
                    <w:adjustRightInd w:val="0"/>
                    <w:snapToGrid w:val="0"/>
                    <w:jc w:val="center"/>
                    <w:rPr>
                      <w:szCs w:val="21"/>
                    </w:rPr>
                  </w:pPr>
                  <w:r>
                    <w:rPr>
                      <w:szCs w:val="21"/>
                    </w:rPr>
                    <w:t>0</w:t>
                  </w:r>
                </w:p>
              </w:tc>
              <w:tc>
                <w:tcPr>
                  <w:tcW w:w="742" w:type="pct"/>
                  <w:vAlign w:val="center"/>
                </w:tcPr>
                <w:p>
                  <w:pPr>
                    <w:autoSpaceDE w:val="0"/>
                    <w:autoSpaceDN w:val="0"/>
                    <w:adjustRightInd w:val="0"/>
                    <w:snapToGrid w:val="0"/>
                    <w:jc w:val="center"/>
                    <w:rPr>
                      <w:szCs w:val="21"/>
                    </w:rPr>
                  </w:pPr>
                  <w:r>
                    <w:rPr>
                      <w:szCs w:val="21"/>
                    </w:rPr>
                    <w:t>3.08</w:t>
                  </w:r>
                </w:p>
              </w:tc>
              <w:tc>
                <w:tcPr>
                  <w:tcW w:w="807" w:type="pct"/>
                  <w:vAlign w:val="center"/>
                </w:tcPr>
                <w:p>
                  <w:pPr>
                    <w:autoSpaceDE w:val="0"/>
                    <w:autoSpaceDN w:val="0"/>
                    <w:adjustRightInd w:val="0"/>
                    <w:snapToGrid w:val="0"/>
                    <w:jc w:val="center"/>
                    <w:rPr>
                      <w:szCs w:val="21"/>
                    </w:rPr>
                  </w:pPr>
                  <w:r>
                    <w:rPr>
                      <w:szCs w:val="21"/>
                    </w:rPr>
                    <w:t>3.08（0）</w:t>
                  </w:r>
                </w:p>
              </w:tc>
              <w:tc>
                <w:tcPr>
                  <w:tcW w:w="787" w:type="pct"/>
                  <w:vAlign w:val="center"/>
                </w:tcPr>
                <w:p>
                  <w:pPr>
                    <w:autoSpaceDE w:val="0"/>
                    <w:autoSpaceDN w:val="0"/>
                    <w:adjustRightInd w:val="0"/>
                    <w:snapToGrid w:val="0"/>
                    <w:jc w:val="center"/>
                    <w:rPr>
                      <w:szCs w:val="21"/>
                    </w:rPr>
                  </w:pPr>
                  <w:r>
                    <w:rPr>
                      <w:szCs w:val="21"/>
                    </w:rPr>
                    <w:t>括号中为污水管网接通时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shd w:val="clear" w:color="auto" w:fill="auto"/>
                  <w:vAlign w:val="center"/>
                </w:tcPr>
                <w:p>
                  <w:pPr>
                    <w:autoSpaceDE w:val="0"/>
                    <w:autoSpaceDN w:val="0"/>
                    <w:adjustRightInd w:val="0"/>
                    <w:snapToGrid w:val="0"/>
                    <w:jc w:val="center"/>
                    <w:rPr>
                      <w:szCs w:val="21"/>
                    </w:rPr>
                  </w:pPr>
                  <w:r>
                    <w:rPr>
                      <w:szCs w:val="21"/>
                    </w:rPr>
                    <w:t>初期雨水</w:t>
                  </w:r>
                </w:p>
              </w:tc>
              <w:tc>
                <w:tcPr>
                  <w:tcW w:w="836" w:type="pct"/>
                  <w:vAlign w:val="center"/>
                </w:tcPr>
                <w:p>
                  <w:pPr>
                    <w:autoSpaceDE w:val="0"/>
                    <w:autoSpaceDN w:val="0"/>
                    <w:adjustRightInd w:val="0"/>
                    <w:snapToGrid w:val="0"/>
                    <w:jc w:val="center"/>
                    <w:rPr>
                      <w:szCs w:val="21"/>
                    </w:rPr>
                  </w:pPr>
                  <w:r>
                    <w:rPr>
                      <w:szCs w:val="21"/>
                    </w:rPr>
                    <w:t>/</w:t>
                  </w:r>
                </w:p>
              </w:tc>
              <w:tc>
                <w:tcPr>
                  <w:tcW w:w="715" w:type="pct"/>
                  <w:vAlign w:val="center"/>
                </w:tcPr>
                <w:p>
                  <w:pPr>
                    <w:autoSpaceDE w:val="0"/>
                    <w:autoSpaceDN w:val="0"/>
                    <w:adjustRightInd w:val="0"/>
                    <w:snapToGrid w:val="0"/>
                    <w:jc w:val="center"/>
                    <w:rPr>
                      <w:szCs w:val="21"/>
                    </w:rPr>
                  </w:pPr>
                  <w:r>
                    <w:rPr>
                      <w:szCs w:val="21"/>
                    </w:rPr>
                    <w:t>/</w:t>
                  </w:r>
                </w:p>
              </w:tc>
              <w:tc>
                <w:tcPr>
                  <w:tcW w:w="742" w:type="pct"/>
                  <w:vAlign w:val="center"/>
                </w:tcPr>
                <w:p>
                  <w:pPr>
                    <w:autoSpaceDE w:val="0"/>
                    <w:autoSpaceDN w:val="0"/>
                    <w:adjustRightInd w:val="0"/>
                    <w:snapToGrid w:val="0"/>
                    <w:jc w:val="center"/>
                    <w:rPr>
                      <w:szCs w:val="21"/>
                    </w:rPr>
                  </w:pPr>
                  <w:r>
                    <w:rPr>
                      <w:szCs w:val="21"/>
                    </w:rPr>
                    <w:t>290.2（0）</w:t>
                  </w:r>
                </w:p>
              </w:tc>
              <w:tc>
                <w:tcPr>
                  <w:tcW w:w="807" w:type="pct"/>
                  <w:vAlign w:val="center"/>
                </w:tcPr>
                <w:p>
                  <w:pPr>
                    <w:autoSpaceDE w:val="0"/>
                    <w:autoSpaceDN w:val="0"/>
                    <w:adjustRightInd w:val="0"/>
                    <w:snapToGrid w:val="0"/>
                    <w:jc w:val="center"/>
                    <w:rPr>
                      <w:szCs w:val="21"/>
                    </w:rPr>
                  </w:pPr>
                  <w:r>
                    <w:rPr>
                      <w:szCs w:val="21"/>
                    </w:rPr>
                    <w:t>290.2（0）</w:t>
                  </w:r>
                </w:p>
              </w:tc>
              <w:tc>
                <w:tcPr>
                  <w:tcW w:w="787" w:type="pct"/>
                  <w:vAlign w:val="center"/>
                </w:tcPr>
                <w:p>
                  <w:pPr>
                    <w:autoSpaceDE w:val="0"/>
                    <w:autoSpaceDN w:val="0"/>
                    <w:adjustRightInd w:val="0"/>
                    <w:snapToGrid w:val="0"/>
                    <w:jc w:val="center"/>
                    <w:rPr>
                      <w:szCs w:val="21"/>
                    </w:rPr>
                  </w:pPr>
                  <w:r>
                    <w:rPr>
                      <w:szCs w:val="21"/>
                    </w:rPr>
                    <w:t>括号中为非雨天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pPr>
                    <w:autoSpaceDE w:val="0"/>
                    <w:autoSpaceDN w:val="0"/>
                    <w:adjustRightInd w:val="0"/>
                    <w:snapToGrid w:val="0"/>
                    <w:jc w:val="center"/>
                    <w:rPr>
                      <w:szCs w:val="21"/>
                    </w:rPr>
                  </w:pPr>
                  <w:r>
                    <w:rPr>
                      <w:szCs w:val="21"/>
                    </w:rPr>
                    <w:t>合计</w:t>
                  </w:r>
                </w:p>
              </w:tc>
              <w:tc>
                <w:tcPr>
                  <w:tcW w:w="836" w:type="pct"/>
                  <w:vAlign w:val="center"/>
                </w:tcPr>
                <w:p>
                  <w:pPr>
                    <w:autoSpaceDE w:val="0"/>
                    <w:autoSpaceDN w:val="0"/>
                    <w:adjustRightInd w:val="0"/>
                    <w:snapToGrid w:val="0"/>
                    <w:jc w:val="center"/>
                    <w:rPr>
                      <w:szCs w:val="21"/>
                    </w:rPr>
                  </w:pPr>
                  <w:r>
                    <w:rPr>
                      <w:rFonts w:hint="eastAsia"/>
                      <w:szCs w:val="21"/>
                    </w:rPr>
                    <w:t>317.93</w:t>
                  </w:r>
                </w:p>
              </w:tc>
              <w:tc>
                <w:tcPr>
                  <w:tcW w:w="715" w:type="pct"/>
                  <w:vAlign w:val="center"/>
                </w:tcPr>
                <w:p>
                  <w:pPr>
                    <w:autoSpaceDE w:val="0"/>
                    <w:autoSpaceDN w:val="0"/>
                    <w:adjustRightInd w:val="0"/>
                    <w:snapToGrid w:val="0"/>
                    <w:jc w:val="center"/>
                    <w:rPr>
                      <w:szCs w:val="21"/>
                    </w:rPr>
                  </w:pPr>
                  <w:r>
                    <w:rPr>
                      <w:rFonts w:hint="eastAsia"/>
                      <w:szCs w:val="21"/>
                    </w:rPr>
                    <w:t>124.25</w:t>
                  </w:r>
                </w:p>
              </w:tc>
              <w:tc>
                <w:tcPr>
                  <w:tcW w:w="742" w:type="pct"/>
                  <w:vAlign w:val="center"/>
                </w:tcPr>
                <w:p>
                  <w:pPr>
                    <w:autoSpaceDE w:val="0"/>
                    <w:autoSpaceDN w:val="0"/>
                    <w:adjustRightInd w:val="0"/>
                    <w:snapToGrid w:val="0"/>
                    <w:jc w:val="center"/>
                    <w:rPr>
                      <w:szCs w:val="21"/>
                    </w:rPr>
                  </w:pPr>
                  <w:r>
                    <w:rPr>
                      <w:rFonts w:hint="eastAsia"/>
                      <w:szCs w:val="21"/>
                    </w:rPr>
                    <w:t>383.43</w:t>
                  </w:r>
                  <w:r>
                    <w:rPr>
                      <w:szCs w:val="21"/>
                    </w:rPr>
                    <w:t>（</w:t>
                  </w:r>
                  <w:r>
                    <w:rPr>
                      <w:rFonts w:hint="eastAsia"/>
                      <w:szCs w:val="21"/>
                    </w:rPr>
                    <w:t>93.23</w:t>
                  </w:r>
                  <w:r>
                    <w:rPr>
                      <w:szCs w:val="21"/>
                    </w:rPr>
                    <w:t>）</w:t>
                  </w:r>
                </w:p>
              </w:tc>
              <w:tc>
                <w:tcPr>
                  <w:tcW w:w="807" w:type="pct"/>
                  <w:vAlign w:val="center"/>
                </w:tcPr>
                <w:p>
                  <w:pPr>
                    <w:autoSpaceDE w:val="0"/>
                    <w:autoSpaceDN w:val="0"/>
                    <w:adjustRightInd w:val="0"/>
                    <w:snapToGrid w:val="0"/>
                    <w:jc w:val="center"/>
                    <w:rPr>
                      <w:szCs w:val="21"/>
                    </w:rPr>
                  </w:pPr>
                  <w:r>
                    <w:rPr>
                      <w:rFonts w:hint="eastAsia"/>
                      <w:szCs w:val="21"/>
                    </w:rPr>
                    <w:t>383.43</w:t>
                  </w:r>
                  <w:r>
                    <w:rPr>
                      <w:szCs w:val="21"/>
                    </w:rPr>
                    <w:t>（</w:t>
                  </w:r>
                  <w:r>
                    <w:rPr>
                      <w:rFonts w:hint="eastAsia"/>
                      <w:szCs w:val="21"/>
                    </w:rPr>
                    <w:t>93.23</w:t>
                  </w:r>
                  <w:r>
                    <w:rPr>
                      <w:szCs w:val="21"/>
                    </w:rPr>
                    <w:t>）</w:t>
                  </w:r>
                </w:p>
              </w:tc>
              <w:tc>
                <w:tcPr>
                  <w:tcW w:w="787" w:type="pct"/>
                  <w:vAlign w:val="center"/>
                </w:tcPr>
                <w:p>
                  <w:pPr>
                    <w:autoSpaceDE w:val="0"/>
                    <w:autoSpaceDN w:val="0"/>
                    <w:adjustRightInd w:val="0"/>
                    <w:snapToGrid w:val="0"/>
                    <w:jc w:val="center"/>
                    <w:rPr>
                      <w:szCs w:val="21"/>
                    </w:rPr>
                  </w:pPr>
                </w:p>
              </w:tc>
            </w:tr>
          </w:tbl>
          <w:p>
            <w:pPr>
              <w:spacing w:line="360" w:lineRule="auto"/>
              <w:jc w:val="center"/>
              <w:rPr>
                <w:b/>
                <w:bCs/>
                <w:sz w:val="24"/>
              </w:rPr>
            </w:pPr>
            <w:r>
              <w:rPr>
                <w:b/>
                <w:bCs/>
                <w:sz w:val="24"/>
              </w:rPr>
              <w:t>表2-13 项目不使用锅炉时日供排水情况表（单位：m</w:t>
            </w:r>
            <w:r>
              <w:rPr>
                <w:b/>
                <w:bCs/>
                <w:sz w:val="24"/>
                <w:vertAlign w:val="superscript"/>
              </w:rPr>
              <w:t>3</w:t>
            </w:r>
            <w:r>
              <w:rPr>
                <w:b/>
                <w:bCs/>
                <w:sz w:val="24"/>
              </w:rPr>
              <w:t>/d）</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478"/>
              <w:gridCol w:w="1264"/>
              <w:gridCol w:w="1312"/>
              <w:gridCol w:w="1319"/>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pPr>
                    <w:autoSpaceDE w:val="0"/>
                    <w:autoSpaceDN w:val="0"/>
                    <w:adjustRightInd w:val="0"/>
                    <w:snapToGrid w:val="0"/>
                    <w:jc w:val="center"/>
                    <w:rPr>
                      <w:b/>
                      <w:bCs/>
                      <w:szCs w:val="21"/>
                    </w:rPr>
                  </w:pPr>
                  <w:r>
                    <w:rPr>
                      <w:b/>
                      <w:bCs/>
                      <w:szCs w:val="21"/>
                    </w:rPr>
                    <w:t>用水项目</w:t>
                  </w:r>
                </w:p>
              </w:tc>
              <w:tc>
                <w:tcPr>
                  <w:tcW w:w="836" w:type="pct"/>
                  <w:vAlign w:val="center"/>
                </w:tcPr>
                <w:p>
                  <w:pPr>
                    <w:autoSpaceDE w:val="0"/>
                    <w:autoSpaceDN w:val="0"/>
                    <w:adjustRightInd w:val="0"/>
                    <w:snapToGrid w:val="0"/>
                    <w:jc w:val="center"/>
                    <w:rPr>
                      <w:b/>
                      <w:bCs/>
                      <w:szCs w:val="21"/>
                    </w:rPr>
                  </w:pPr>
                  <w:r>
                    <w:rPr>
                      <w:b/>
                      <w:bCs/>
                      <w:szCs w:val="21"/>
                    </w:rPr>
                    <w:t>新鲜水用量</w:t>
                  </w:r>
                </w:p>
              </w:tc>
              <w:tc>
                <w:tcPr>
                  <w:tcW w:w="715" w:type="pct"/>
                  <w:vAlign w:val="center"/>
                </w:tcPr>
                <w:p>
                  <w:pPr>
                    <w:autoSpaceDE w:val="0"/>
                    <w:autoSpaceDN w:val="0"/>
                    <w:adjustRightInd w:val="0"/>
                    <w:snapToGrid w:val="0"/>
                    <w:jc w:val="center"/>
                    <w:rPr>
                      <w:b/>
                      <w:bCs/>
                      <w:szCs w:val="21"/>
                    </w:rPr>
                  </w:pPr>
                  <w:r>
                    <w:rPr>
                      <w:b/>
                      <w:bCs/>
                      <w:szCs w:val="21"/>
                    </w:rPr>
                    <w:t>回用水量</w:t>
                  </w:r>
                </w:p>
              </w:tc>
              <w:tc>
                <w:tcPr>
                  <w:tcW w:w="742" w:type="pct"/>
                  <w:vAlign w:val="center"/>
                </w:tcPr>
                <w:p>
                  <w:pPr>
                    <w:autoSpaceDE w:val="0"/>
                    <w:autoSpaceDN w:val="0"/>
                    <w:adjustRightInd w:val="0"/>
                    <w:snapToGrid w:val="0"/>
                    <w:jc w:val="center"/>
                    <w:rPr>
                      <w:b/>
                      <w:bCs/>
                      <w:szCs w:val="21"/>
                    </w:rPr>
                  </w:pPr>
                  <w:r>
                    <w:rPr>
                      <w:b/>
                      <w:bCs/>
                      <w:szCs w:val="21"/>
                    </w:rPr>
                    <w:t>污水量</w:t>
                  </w:r>
                </w:p>
              </w:tc>
              <w:tc>
                <w:tcPr>
                  <w:tcW w:w="746" w:type="pct"/>
                  <w:vAlign w:val="center"/>
                </w:tcPr>
                <w:p>
                  <w:pPr>
                    <w:autoSpaceDE w:val="0"/>
                    <w:autoSpaceDN w:val="0"/>
                    <w:adjustRightInd w:val="0"/>
                    <w:snapToGrid w:val="0"/>
                    <w:jc w:val="center"/>
                    <w:rPr>
                      <w:b/>
                      <w:bCs/>
                      <w:szCs w:val="21"/>
                    </w:rPr>
                  </w:pPr>
                  <w:r>
                    <w:rPr>
                      <w:b/>
                      <w:bCs/>
                      <w:szCs w:val="21"/>
                    </w:rPr>
                    <w:t>废水回用量</w:t>
                  </w:r>
                </w:p>
              </w:tc>
              <w:tc>
                <w:tcPr>
                  <w:tcW w:w="849" w:type="pct"/>
                  <w:vAlign w:val="center"/>
                </w:tcPr>
                <w:p>
                  <w:pPr>
                    <w:autoSpaceDE w:val="0"/>
                    <w:autoSpaceDN w:val="0"/>
                    <w:adjustRightInd w:val="0"/>
                    <w:snapToGrid w:val="0"/>
                    <w:jc w:val="center"/>
                    <w:rPr>
                      <w:b/>
                      <w:bCs/>
                      <w:szCs w:val="21"/>
                    </w:rPr>
                  </w:pPr>
                  <w:r>
                    <w:rPr>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shd w:val="clear" w:color="auto" w:fill="auto"/>
                  <w:vAlign w:val="center"/>
                </w:tcPr>
                <w:p>
                  <w:pPr>
                    <w:autoSpaceDE w:val="0"/>
                    <w:autoSpaceDN w:val="0"/>
                    <w:adjustRightInd w:val="0"/>
                    <w:snapToGrid w:val="0"/>
                    <w:jc w:val="center"/>
                    <w:rPr>
                      <w:szCs w:val="21"/>
                    </w:rPr>
                  </w:pPr>
                  <w:r>
                    <w:rPr>
                      <w:szCs w:val="21"/>
                    </w:rPr>
                    <w:t>花卉种植用水</w:t>
                  </w:r>
                </w:p>
              </w:tc>
              <w:tc>
                <w:tcPr>
                  <w:tcW w:w="836" w:type="pct"/>
                  <w:vAlign w:val="center"/>
                </w:tcPr>
                <w:p>
                  <w:pPr>
                    <w:autoSpaceDE w:val="0"/>
                    <w:autoSpaceDN w:val="0"/>
                    <w:adjustRightInd w:val="0"/>
                    <w:snapToGrid w:val="0"/>
                    <w:jc w:val="center"/>
                    <w:rPr>
                      <w:szCs w:val="21"/>
                    </w:rPr>
                  </w:pPr>
                  <w:r>
                    <w:rPr>
                      <w:szCs w:val="21"/>
                    </w:rPr>
                    <w:t>0</w:t>
                  </w:r>
                </w:p>
              </w:tc>
              <w:tc>
                <w:tcPr>
                  <w:tcW w:w="715" w:type="pct"/>
                  <w:vAlign w:val="center"/>
                </w:tcPr>
                <w:p>
                  <w:pPr>
                    <w:autoSpaceDE w:val="0"/>
                    <w:autoSpaceDN w:val="0"/>
                    <w:adjustRightInd w:val="0"/>
                    <w:snapToGrid w:val="0"/>
                    <w:jc w:val="center"/>
                    <w:rPr>
                      <w:szCs w:val="21"/>
                    </w:rPr>
                  </w:pPr>
                  <w:r>
                    <w:rPr>
                      <w:szCs w:val="21"/>
                    </w:rPr>
                    <w:t>124.25</w:t>
                  </w:r>
                </w:p>
              </w:tc>
              <w:tc>
                <w:tcPr>
                  <w:tcW w:w="742" w:type="pct"/>
                  <w:vAlign w:val="center"/>
                </w:tcPr>
                <w:p>
                  <w:pPr>
                    <w:autoSpaceDE w:val="0"/>
                    <w:autoSpaceDN w:val="0"/>
                    <w:adjustRightInd w:val="0"/>
                    <w:snapToGrid w:val="0"/>
                    <w:jc w:val="center"/>
                    <w:rPr>
                      <w:szCs w:val="21"/>
                    </w:rPr>
                  </w:pPr>
                  <w:r>
                    <w:rPr>
                      <w:szCs w:val="21"/>
                    </w:rPr>
                    <w:t>1.24</w:t>
                  </w:r>
                </w:p>
              </w:tc>
              <w:tc>
                <w:tcPr>
                  <w:tcW w:w="746" w:type="pct"/>
                  <w:vAlign w:val="center"/>
                </w:tcPr>
                <w:p>
                  <w:pPr>
                    <w:autoSpaceDE w:val="0"/>
                    <w:autoSpaceDN w:val="0"/>
                    <w:adjustRightInd w:val="0"/>
                    <w:snapToGrid w:val="0"/>
                    <w:jc w:val="center"/>
                    <w:rPr>
                      <w:szCs w:val="21"/>
                    </w:rPr>
                  </w:pPr>
                  <w:r>
                    <w:rPr>
                      <w:szCs w:val="21"/>
                    </w:rPr>
                    <w:t>1.24</w:t>
                  </w:r>
                </w:p>
              </w:tc>
              <w:tc>
                <w:tcPr>
                  <w:tcW w:w="849" w:type="pct"/>
                  <w:vAlign w:val="center"/>
                </w:tcPr>
                <w:p>
                  <w:pPr>
                    <w:autoSpaceDE w:val="0"/>
                    <w:autoSpaceDN w:val="0"/>
                    <w:adjustRightInd w:val="0"/>
                    <w:snapToGrid w:val="0"/>
                    <w:jc w:val="center"/>
                    <w:rPr>
                      <w:szCs w:val="21"/>
                    </w:rPr>
                  </w:pPr>
                  <w:r>
                    <w:rPr>
                      <w:szCs w:val="21"/>
                    </w:rPr>
                    <w:t>污水为种植浇灌渗出水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shd w:val="clear" w:color="auto" w:fill="auto"/>
                  <w:vAlign w:val="center"/>
                </w:tcPr>
                <w:p>
                  <w:pPr>
                    <w:autoSpaceDE w:val="0"/>
                    <w:autoSpaceDN w:val="0"/>
                    <w:adjustRightInd w:val="0"/>
                    <w:snapToGrid w:val="0"/>
                    <w:jc w:val="center"/>
                    <w:rPr>
                      <w:szCs w:val="21"/>
                    </w:rPr>
                  </w:pPr>
                  <w:r>
                    <w:rPr>
                      <w:szCs w:val="21"/>
                    </w:rPr>
                    <w:t>包花预清洗用水</w:t>
                  </w:r>
                </w:p>
              </w:tc>
              <w:tc>
                <w:tcPr>
                  <w:tcW w:w="836" w:type="pct"/>
                  <w:vAlign w:val="center"/>
                </w:tcPr>
                <w:p>
                  <w:pPr>
                    <w:autoSpaceDE w:val="0"/>
                    <w:autoSpaceDN w:val="0"/>
                    <w:adjustRightInd w:val="0"/>
                    <w:snapToGrid w:val="0"/>
                    <w:jc w:val="center"/>
                    <w:rPr>
                      <w:szCs w:val="21"/>
                    </w:rPr>
                  </w:pPr>
                  <w:r>
                    <w:rPr>
                      <w:szCs w:val="21"/>
                    </w:rPr>
                    <w:t>1.5</w:t>
                  </w:r>
                </w:p>
              </w:tc>
              <w:tc>
                <w:tcPr>
                  <w:tcW w:w="715" w:type="pct"/>
                  <w:vAlign w:val="center"/>
                </w:tcPr>
                <w:p>
                  <w:pPr>
                    <w:autoSpaceDE w:val="0"/>
                    <w:autoSpaceDN w:val="0"/>
                    <w:adjustRightInd w:val="0"/>
                    <w:snapToGrid w:val="0"/>
                    <w:jc w:val="center"/>
                    <w:rPr>
                      <w:szCs w:val="21"/>
                    </w:rPr>
                  </w:pPr>
                  <w:r>
                    <w:rPr>
                      <w:szCs w:val="21"/>
                    </w:rPr>
                    <w:t>0</w:t>
                  </w:r>
                </w:p>
              </w:tc>
              <w:tc>
                <w:tcPr>
                  <w:tcW w:w="742" w:type="pct"/>
                  <w:vAlign w:val="center"/>
                </w:tcPr>
                <w:p>
                  <w:pPr>
                    <w:autoSpaceDE w:val="0"/>
                    <w:autoSpaceDN w:val="0"/>
                    <w:adjustRightInd w:val="0"/>
                    <w:snapToGrid w:val="0"/>
                    <w:jc w:val="center"/>
                    <w:rPr>
                      <w:szCs w:val="21"/>
                    </w:rPr>
                  </w:pPr>
                  <w:r>
                    <w:rPr>
                      <w:szCs w:val="21"/>
                    </w:rPr>
                    <w:t>1.2</w:t>
                  </w:r>
                </w:p>
              </w:tc>
              <w:tc>
                <w:tcPr>
                  <w:tcW w:w="746" w:type="pct"/>
                  <w:vAlign w:val="center"/>
                </w:tcPr>
                <w:p>
                  <w:pPr>
                    <w:autoSpaceDE w:val="0"/>
                    <w:autoSpaceDN w:val="0"/>
                    <w:adjustRightInd w:val="0"/>
                    <w:snapToGrid w:val="0"/>
                    <w:jc w:val="center"/>
                    <w:rPr>
                      <w:szCs w:val="21"/>
                    </w:rPr>
                  </w:pPr>
                  <w:r>
                    <w:rPr>
                      <w:szCs w:val="21"/>
                    </w:rPr>
                    <w:t>1.2</w:t>
                  </w:r>
                </w:p>
              </w:tc>
              <w:tc>
                <w:tcPr>
                  <w:tcW w:w="849" w:type="pct"/>
                  <w:vAlign w:val="center"/>
                </w:tcPr>
                <w:p>
                  <w:pPr>
                    <w:autoSpaceDE w:val="0"/>
                    <w:autoSpaceDN w:val="0"/>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0" w:type="pct"/>
                  <w:shd w:val="clear" w:color="auto" w:fill="auto"/>
                  <w:vAlign w:val="center"/>
                </w:tcPr>
                <w:p>
                  <w:pPr>
                    <w:autoSpaceDE w:val="0"/>
                    <w:autoSpaceDN w:val="0"/>
                    <w:adjustRightInd w:val="0"/>
                    <w:snapToGrid w:val="0"/>
                    <w:jc w:val="center"/>
                    <w:rPr>
                      <w:szCs w:val="21"/>
                    </w:rPr>
                  </w:pPr>
                  <w:r>
                    <w:rPr>
                      <w:szCs w:val="21"/>
                    </w:rPr>
                    <w:t>生活用水</w:t>
                  </w:r>
                </w:p>
              </w:tc>
              <w:tc>
                <w:tcPr>
                  <w:tcW w:w="836" w:type="pct"/>
                  <w:vAlign w:val="center"/>
                </w:tcPr>
                <w:p>
                  <w:pPr>
                    <w:autoSpaceDE w:val="0"/>
                    <w:autoSpaceDN w:val="0"/>
                    <w:adjustRightInd w:val="0"/>
                    <w:snapToGrid w:val="0"/>
                    <w:jc w:val="center"/>
                    <w:rPr>
                      <w:szCs w:val="21"/>
                    </w:rPr>
                  </w:pPr>
                  <w:r>
                    <w:rPr>
                      <w:szCs w:val="21"/>
                    </w:rPr>
                    <w:t>3.85</w:t>
                  </w:r>
                </w:p>
              </w:tc>
              <w:tc>
                <w:tcPr>
                  <w:tcW w:w="715" w:type="pct"/>
                  <w:vAlign w:val="center"/>
                </w:tcPr>
                <w:p>
                  <w:pPr>
                    <w:autoSpaceDE w:val="0"/>
                    <w:autoSpaceDN w:val="0"/>
                    <w:adjustRightInd w:val="0"/>
                    <w:snapToGrid w:val="0"/>
                    <w:jc w:val="center"/>
                    <w:rPr>
                      <w:szCs w:val="21"/>
                    </w:rPr>
                  </w:pPr>
                  <w:r>
                    <w:rPr>
                      <w:szCs w:val="21"/>
                    </w:rPr>
                    <w:t>0</w:t>
                  </w:r>
                </w:p>
              </w:tc>
              <w:tc>
                <w:tcPr>
                  <w:tcW w:w="742" w:type="pct"/>
                  <w:vAlign w:val="center"/>
                </w:tcPr>
                <w:p>
                  <w:pPr>
                    <w:autoSpaceDE w:val="0"/>
                    <w:autoSpaceDN w:val="0"/>
                    <w:adjustRightInd w:val="0"/>
                    <w:snapToGrid w:val="0"/>
                    <w:jc w:val="center"/>
                    <w:rPr>
                      <w:szCs w:val="21"/>
                    </w:rPr>
                  </w:pPr>
                  <w:r>
                    <w:rPr>
                      <w:szCs w:val="21"/>
                    </w:rPr>
                    <w:t>3.08</w:t>
                  </w:r>
                </w:p>
              </w:tc>
              <w:tc>
                <w:tcPr>
                  <w:tcW w:w="746" w:type="pct"/>
                  <w:vAlign w:val="center"/>
                </w:tcPr>
                <w:p>
                  <w:pPr>
                    <w:autoSpaceDE w:val="0"/>
                    <w:autoSpaceDN w:val="0"/>
                    <w:adjustRightInd w:val="0"/>
                    <w:snapToGrid w:val="0"/>
                    <w:jc w:val="center"/>
                    <w:rPr>
                      <w:szCs w:val="21"/>
                    </w:rPr>
                  </w:pPr>
                  <w:r>
                    <w:rPr>
                      <w:szCs w:val="21"/>
                    </w:rPr>
                    <w:t>3.08（0）</w:t>
                  </w:r>
                </w:p>
              </w:tc>
              <w:tc>
                <w:tcPr>
                  <w:tcW w:w="849" w:type="pct"/>
                  <w:vAlign w:val="center"/>
                </w:tcPr>
                <w:p>
                  <w:pPr>
                    <w:autoSpaceDE w:val="0"/>
                    <w:autoSpaceDN w:val="0"/>
                    <w:adjustRightInd w:val="0"/>
                    <w:snapToGrid w:val="0"/>
                    <w:jc w:val="center"/>
                    <w:rPr>
                      <w:szCs w:val="21"/>
                    </w:rPr>
                  </w:pPr>
                  <w:r>
                    <w:rPr>
                      <w:szCs w:val="21"/>
                    </w:rPr>
                    <w:t>括号中为污水管网接通时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shd w:val="clear" w:color="auto" w:fill="auto"/>
                  <w:vAlign w:val="center"/>
                </w:tcPr>
                <w:p>
                  <w:pPr>
                    <w:autoSpaceDE w:val="0"/>
                    <w:autoSpaceDN w:val="0"/>
                    <w:adjustRightInd w:val="0"/>
                    <w:snapToGrid w:val="0"/>
                    <w:jc w:val="center"/>
                    <w:rPr>
                      <w:szCs w:val="21"/>
                    </w:rPr>
                  </w:pPr>
                  <w:r>
                    <w:rPr>
                      <w:szCs w:val="21"/>
                    </w:rPr>
                    <w:t>初期雨水</w:t>
                  </w:r>
                </w:p>
              </w:tc>
              <w:tc>
                <w:tcPr>
                  <w:tcW w:w="836" w:type="pct"/>
                  <w:vAlign w:val="center"/>
                </w:tcPr>
                <w:p>
                  <w:pPr>
                    <w:autoSpaceDE w:val="0"/>
                    <w:autoSpaceDN w:val="0"/>
                    <w:adjustRightInd w:val="0"/>
                    <w:snapToGrid w:val="0"/>
                    <w:jc w:val="center"/>
                    <w:rPr>
                      <w:szCs w:val="21"/>
                    </w:rPr>
                  </w:pPr>
                  <w:r>
                    <w:rPr>
                      <w:szCs w:val="21"/>
                    </w:rPr>
                    <w:t>/</w:t>
                  </w:r>
                </w:p>
              </w:tc>
              <w:tc>
                <w:tcPr>
                  <w:tcW w:w="715" w:type="pct"/>
                  <w:vAlign w:val="center"/>
                </w:tcPr>
                <w:p>
                  <w:pPr>
                    <w:autoSpaceDE w:val="0"/>
                    <w:autoSpaceDN w:val="0"/>
                    <w:adjustRightInd w:val="0"/>
                    <w:snapToGrid w:val="0"/>
                    <w:jc w:val="center"/>
                    <w:rPr>
                      <w:szCs w:val="21"/>
                    </w:rPr>
                  </w:pPr>
                  <w:r>
                    <w:rPr>
                      <w:szCs w:val="21"/>
                    </w:rPr>
                    <w:t>/</w:t>
                  </w:r>
                </w:p>
              </w:tc>
              <w:tc>
                <w:tcPr>
                  <w:tcW w:w="742" w:type="pct"/>
                  <w:vAlign w:val="center"/>
                </w:tcPr>
                <w:p>
                  <w:pPr>
                    <w:autoSpaceDE w:val="0"/>
                    <w:autoSpaceDN w:val="0"/>
                    <w:adjustRightInd w:val="0"/>
                    <w:snapToGrid w:val="0"/>
                    <w:jc w:val="center"/>
                    <w:rPr>
                      <w:szCs w:val="21"/>
                    </w:rPr>
                  </w:pPr>
                  <w:r>
                    <w:rPr>
                      <w:szCs w:val="21"/>
                    </w:rPr>
                    <w:t>290.2（0）</w:t>
                  </w:r>
                </w:p>
              </w:tc>
              <w:tc>
                <w:tcPr>
                  <w:tcW w:w="746" w:type="pct"/>
                  <w:vAlign w:val="center"/>
                </w:tcPr>
                <w:p>
                  <w:pPr>
                    <w:autoSpaceDE w:val="0"/>
                    <w:autoSpaceDN w:val="0"/>
                    <w:adjustRightInd w:val="0"/>
                    <w:snapToGrid w:val="0"/>
                    <w:jc w:val="center"/>
                    <w:rPr>
                      <w:szCs w:val="21"/>
                    </w:rPr>
                  </w:pPr>
                  <w:r>
                    <w:rPr>
                      <w:szCs w:val="21"/>
                    </w:rPr>
                    <w:t>290.2（0）</w:t>
                  </w:r>
                </w:p>
              </w:tc>
              <w:tc>
                <w:tcPr>
                  <w:tcW w:w="849" w:type="pct"/>
                  <w:vAlign w:val="center"/>
                </w:tcPr>
                <w:p>
                  <w:pPr>
                    <w:autoSpaceDE w:val="0"/>
                    <w:autoSpaceDN w:val="0"/>
                    <w:adjustRightInd w:val="0"/>
                    <w:snapToGrid w:val="0"/>
                    <w:jc w:val="center"/>
                    <w:rPr>
                      <w:szCs w:val="21"/>
                    </w:rPr>
                  </w:pPr>
                  <w:r>
                    <w:rPr>
                      <w:szCs w:val="21"/>
                    </w:rPr>
                    <w:t>括号中为非雨天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0" w:type="pct"/>
                  <w:vAlign w:val="center"/>
                </w:tcPr>
                <w:p>
                  <w:pPr>
                    <w:autoSpaceDE w:val="0"/>
                    <w:autoSpaceDN w:val="0"/>
                    <w:adjustRightInd w:val="0"/>
                    <w:snapToGrid w:val="0"/>
                    <w:jc w:val="center"/>
                    <w:rPr>
                      <w:szCs w:val="21"/>
                    </w:rPr>
                  </w:pPr>
                  <w:r>
                    <w:rPr>
                      <w:szCs w:val="21"/>
                    </w:rPr>
                    <w:t>合计</w:t>
                  </w:r>
                </w:p>
              </w:tc>
              <w:tc>
                <w:tcPr>
                  <w:tcW w:w="836" w:type="pct"/>
                  <w:vAlign w:val="center"/>
                </w:tcPr>
                <w:p>
                  <w:pPr>
                    <w:autoSpaceDE w:val="0"/>
                    <w:autoSpaceDN w:val="0"/>
                    <w:adjustRightInd w:val="0"/>
                    <w:snapToGrid w:val="0"/>
                    <w:jc w:val="center"/>
                    <w:rPr>
                      <w:szCs w:val="21"/>
                    </w:rPr>
                  </w:pPr>
                  <w:r>
                    <w:rPr>
                      <w:szCs w:val="21"/>
                    </w:rPr>
                    <w:t>5.35</w:t>
                  </w:r>
                </w:p>
              </w:tc>
              <w:tc>
                <w:tcPr>
                  <w:tcW w:w="715" w:type="pct"/>
                  <w:vAlign w:val="center"/>
                </w:tcPr>
                <w:p>
                  <w:pPr>
                    <w:autoSpaceDE w:val="0"/>
                    <w:autoSpaceDN w:val="0"/>
                    <w:adjustRightInd w:val="0"/>
                    <w:snapToGrid w:val="0"/>
                    <w:jc w:val="center"/>
                    <w:rPr>
                      <w:szCs w:val="21"/>
                    </w:rPr>
                  </w:pPr>
                  <w:r>
                    <w:rPr>
                      <w:szCs w:val="21"/>
                    </w:rPr>
                    <w:t>124.25</w:t>
                  </w:r>
                </w:p>
              </w:tc>
              <w:tc>
                <w:tcPr>
                  <w:tcW w:w="742" w:type="pct"/>
                  <w:vAlign w:val="center"/>
                </w:tcPr>
                <w:p>
                  <w:pPr>
                    <w:autoSpaceDE w:val="0"/>
                    <w:autoSpaceDN w:val="0"/>
                    <w:adjustRightInd w:val="0"/>
                    <w:snapToGrid w:val="0"/>
                    <w:jc w:val="center"/>
                    <w:rPr>
                      <w:szCs w:val="21"/>
                    </w:rPr>
                  </w:pPr>
                  <w:r>
                    <w:rPr>
                      <w:szCs w:val="21"/>
                    </w:rPr>
                    <w:t>295.72（5.52）</w:t>
                  </w:r>
                </w:p>
              </w:tc>
              <w:tc>
                <w:tcPr>
                  <w:tcW w:w="746" w:type="pct"/>
                  <w:vAlign w:val="center"/>
                </w:tcPr>
                <w:p>
                  <w:pPr>
                    <w:autoSpaceDE w:val="0"/>
                    <w:autoSpaceDN w:val="0"/>
                    <w:adjustRightInd w:val="0"/>
                    <w:snapToGrid w:val="0"/>
                    <w:jc w:val="center"/>
                    <w:rPr>
                      <w:szCs w:val="21"/>
                    </w:rPr>
                  </w:pPr>
                  <w:r>
                    <w:rPr>
                      <w:szCs w:val="21"/>
                    </w:rPr>
                    <w:t>295.72（5.52）</w:t>
                  </w:r>
                </w:p>
              </w:tc>
              <w:tc>
                <w:tcPr>
                  <w:tcW w:w="849" w:type="pct"/>
                  <w:vAlign w:val="center"/>
                </w:tcPr>
                <w:p>
                  <w:pPr>
                    <w:autoSpaceDE w:val="0"/>
                    <w:autoSpaceDN w:val="0"/>
                    <w:adjustRightInd w:val="0"/>
                    <w:snapToGrid w:val="0"/>
                    <w:jc w:val="center"/>
                    <w:rPr>
                      <w:szCs w:val="21"/>
                    </w:rPr>
                  </w:pPr>
                </w:p>
              </w:tc>
            </w:tr>
          </w:tbl>
          <w:p>
            <w:pPr>
              <w:spacing w:line="360" w:lineRule="auto"/>
              <w:jc w:val="center"/>
              <w:rPr>
                <w:b/>
                <w:bCs/>
                <w:sz w:val="24"/>
              </w:rPr>
            </w:pPr>
            <w:r>
              <w:rPr>
                <w:b/>
                <w:bCs/>
                <w:sz w:val="24"/>
              </w:rPr>
              <w:t>表2-14 项目年供排水情况表（m</w:t>
            </w:r>
            <w:r>
              <w:rPr>
                <w:b/>
                <w:bCs/>
                <w:sz w:val="24"/>
                <w:vertAlign w:val="superscript"/>
              </w:rPr>
              <w:t>3</w:t>
            </w:r>
            <w:r>
              <w:rPr>
                <w:b/>
                <w:bCs/>
                <w:sz w:val="24"/>
              </w:rPr>
              <w:t>/a）</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1400"/>
              <w:gridCol w:w="1579"/>
              <w:gridCol w:w="1424"/>
              <w:gridCol w:w="1424"/>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pct"/>
                  <w:vAlign w:val="center"/>
                </w:tcPr>
                <w:p>
                  <w:pPr>
                    <w:autoSpaceDE w:val="0"/>
                    <w:autoSpaceDN w:val="0"/>
                    <w:adjustRightInd w:val="0"/>
                    <w:snapToGrid w:val="0"/>
                    <w:spacing w:line="276" w:lineRule="auto"/>
                    <w:jc w:val="center"/>
                    <w:rPr>
                      <w:b/>
                      <w:bCs/>
                      <w:szCs w:val="21"/>
                    </w:rPr>
                  </w:pPr>
                  <w:r>
                    <w:rPr>
                      <w:b/>
                      <w:bCs/>
                      <w:szCs w:val="21"/>
                    </w:rPr>
                    <w:t>用水项目</w:t>
                  </w:r>
                </w:p>
              </w:tc>
              <w:tc>
                <w:tcPr>
                  <w:tcW w:w="820" w:type="pct"/>
                  <w:vAlign w:val="center"/>
                </w:tcPr>
                <w:p>
                  <w:pPr>
                    <w:autoSpaceDE w:val="0"/>
                    <w:autoSpaceDN w:val="0"/>
                    <w:adjustRightInd w:val="0"/>
                    <w:snapToGrid w:val="0"/>
                    <w:spacing w:line="276" w:lineRule="auto"/>
                    <w:jc w:val="center"/>
                    <w:rPr>
                      <w:b/>
                      <w:bCs/>
                      <w:szCs w:val="21"/>
                    </w:rPr>
                  </w:pPr>
                  <w:r>
                    <w:rPr>
                      <w:b/>
                      <w:bCs/>
                      <w:szCs w:val="21"/>
                    </w:rPr>
                    <w:t>新鲜水用量</w:t>
                  </w:r>
                </w:p>
              </w:tc>
              <w:tc>
                <w:tcPr>
                  <w:tcW w:w="921" w:type="pct"/>
                  <w:vAlign w:val="center"/>
                </w:tcPr>
                <w:p>
                  <w:pPr>
                    <w:autoSpaceDE w:val="0"/>
                    <w:autoSpaceDN w:val="0"/>
                    <w:adjustRightInd w:val="0"/>
                    <w:snapToGrid w:val="0"/>
                    <w:spacing w:line="276" w:lineRule="auto"/>
                    <w:jc w:val="center"/>
                    <w:rPr>
                      <w:b/>
                      <w:bCs/>
                      <w:szCs w:val="21"/>
                    </w:rPr>
                  </w:pPr>
                  <w:r>
                    <w:rPr>
                      <w:b/>
                      <w:bCs/>
                      <w:szCs w:val="21"/>
                    </w:rPr>
                    <w:t>回用水量</w:t>
                  </w:r>
                </w:p>
              </w:tc>
              <w:tc>
                <w:tcPr>
                  <w:tcW w:w="737" w:type="pct"/>
                  <w:vAlign w:val="center"/>
                </w:tcPr>
                <w:p>
                  <w:pPr>
                    <w:autoSpaceDE w:val="0"/>
                    <w:autoSpaceDN w:val="0"/>
                    <w:adjustRightInd w:val="0"/>
                    <w:snapToGrid w:val="0"/>
                    <w:spacing w:line="276" w:lineRule="auto"/>
                    <w:jc w:val="center"/>
                    <w:rPr>
                      <w:b/>
                      <w:bCs/>
                      <w:szCs w:val="21"/>
                    </w:rPr>
                  </w:pPr>
                  <w:r>
                    <w:rPr>
                      <w:b/>
                      <w:bCs/>
                      <w:szCs w:val="21"/>
                    </w:rPr>
                    <w:t>污水量</w:t>
                  </w:r>
                </w:p>
              </w:tc>
              <w:tc>
                <w:tcPr>
                  <w:tcW w:w="759" w:type="pct"/>
                  <w:vAlign w:val="center"/>
                </w:tcPr>
                <w:p>
                  <w:pPr>
                    <w:autoSpaceDE w:val="0"/>
                    <w:autoSpaceDN w:val="0"/>
                    <w:adjustRightInd w:val="0"/>
                    <w:snapToGrid w:val="0"/>
                    <w:spacing w:line="276" w:lineRule="auto"/>
                    <w:jc w:val="center"/>
                    <w:rPr>
                      <w:b/>
                      <w:bCs/>
                      <w:szCs w:val="21"/>
                    </w:rPr>
                  </w:pPr>
                  <w:r>
                    <w:rPr>
                      <w:b/>
                      <w:bCs/>
                      <w:szCs w:val="21"/>
                    </w:rPr>
                    <w:t>废水回用量</w:t>
                  </w:r>
                </w:p>
              </w:tc>
              <w:tc>
                <w:tcPr>
                  <w:tcW w:w="700" w:type="pct"/>
                  <w:vAlign w:val="center"/>
                </w:tcPr>
                <w:p>
                  <w:pPr>
                    <w:autoSpaceDE w:val="0"/>
                    <w:autoSpaceDN w:val="0"/>
                    <w:adjustRightInd w:val="0"/>
                    <w:snapToGrid w:val="0"/>
                    <w:spacing w:line="276" w:lineRule="auto"/>
                    <w:jc w:val="center"/>
                    <w:rPr>
                      <w:b/>
                      <w:bCs/>
                      <w:szCs w:val="21"/>
                    </w:rPr>
                  </w:pPr>
                  <w:r>
                    <w:rPr>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pct"/>
                  <w:shd w:val="clear" w:color="auto" w:fill="auto"/>
                  <w:vAlign w:val="center"/>
                </w:tcPr>
                <w:p>
                  <w:pPr>
                    <w:autoSpaceDE w:val="0"/>
                    <w:autoSpaceDN w:val="0"/>
                    <w:adjustRightInd w:val="0"/>
                    <w:snapToGrid w:val="0"/>
                    <w:spacing w:line="276" w:lineRule="auto"/>
                    <w:jc w:val="center"/>
                    <w:rPr>
                      <w:szCs w:val="21"/>
                    </w:rPr>
                  </w:pPr>
                  <w:r>
                    <w:rPr>
                      <w:szCs w:val="21"/>
                    </w:rPr>
                    <w:t>天然气锅炉用水</w:t>
                  </w:r>
                </w:p>
              </w:tc>
              <w:tc>
                <w:tcPr>
                  <w:tcW w:w="820" w:type="pct"/>
                  <w:vAlign w:val="center"/>
                </w:tcPr>
                <w:p>
                  <w:pPr>
                    <w:autoSpaceDE w:val="0"/>
                    <w:autoSpaceDN w:val="0"/>
                    <w:adjustRightInd w:val="0"/>
                    <w:snapToGrid w:val="0"/>
                    <w:spacing w:line="276" w:lineRule="auto"/>
                    <w:jc w:val="center"/>
                    <w:rPr>
                      <w:szCs w:val="21"/>
                    </w:rPr>
                  </w:pPr>
                  <w:r>
                    <w:rPr>
                      <w:szCs w:val="21"/>
                    </w:rPr>
                    <w:t>0</w:t>
                  </w:r>
                </w:p>
              </w:tc>
              <w:tc>
                <w:tcPr>
                  <w:tcW w:w="921" w:type="pct"/>
                  <w:vAlign w:val="center"/>
                </w:tcPr>
                <w:p>
                  <w:pPr>
                    <w:autoSpaceDE w:val="0"/>
                    <w:autoSpaceDN w:val="0"/>
                    <w:adjustRightInd w:val="0"/>
                    <w:snapToGrid w:val="0"/>
                    <w:spacing w:line="276" w:lineRule="auto"/>
                    <w:jc w:val="center"/>
                    <w:rPr>
                      <w:szCs w:val="21"/>
                    </w:rPr>
                  </w:pPr>
                  <w:r>
                    <w:rPr>
                      <w:szCs w:val="21"/>
                    </w:rPr>
                    <w:t>0</w:t>
                  </w:r>
                </w:p>
              </w:tc>
              <w:tc>
                <w:tcPr>
                  <w:tcW w:w="737" w:type="pct"/>
                  <w:vAlign w:val="center"/>
                </w:tcPr>
                <w:p>
                  <w:pPr>
                    <w:autoSpaceDE w:val="0"/>
                    <w:autoSpaceDN w:val="0"/>
                    <w:adjustRightInd w:val="0"/>
                    <w:snapToGrid w:val="0"/>
                    <w:spacing w:line="276" w:lineRule="auto"/>
                    <w:jc w:val="center"/>
                    <w:rPr>
                      <w:szCs w:val="21"/>
                    </w:rPr>
                  </w:pPr>
                  <w:r>
                    <w:rPr>
                      <w:szCs w:val="21"/>
                    </w:rPr>
                    <w:t>1348.24</w:t>
                  </w:r>
                </w:p>
              </w:tc>
              <w:tc>
                <w:tcPr>
                  <w:tcW w:w="759" w:type="pct"/>
                  <w:vAlign w:val="center"/>
                </w:tcPr>
                <w:p>
                  <w:pPr>
                    <w:autoSpaceDE w:val="0"/>
                    <w:autoSpaceDN w:val="0"/>
                    <w:adjustRightInd w:val="0"/>
                    <w:snapToGrid w:val="0"/>
                    <w:spacing w:line="276" w:lineRule="auto"/>
                    <w:jc w:val="center"/>
                    <w:rPr>
                      <w:szCs w:val="21"/>
                    </w:rPr>
                  </w:pPr>
                  <w:r>
                    <w:rPr>
                      <w:szCs w:val="21"/>
                    </w:rPr>
                    <w:t>1348.24</w:t>
                  </w:r>
                </w:p>
              </w:tc>
              <w:tc>
                <w:tcPr>
                  <w:tcW w:w="700" w:type="pct"/>
                  <w:vMerge w:val="restart"/>
                  <w:vAlign w:val="center"/>
                </w:tcPr>
                <w:p>
                  <w:pPr>
                    <w:autoSpaceDE w:val="0"/>
                    <w:autoSpaceDN w:val="0"/>
                    <w:adjustRightInd w:val="0"/>
                    <w:snapToGrid w:val="0"/>
                    <w:spacing w:line="276" w:lineRule="auto"/>
                    <w:jc w:val="center"/>
                    <w:rPr>
                      <w:szCs w:val="21"/>
                    </w:rPr>
                  </w:pPr>
                  <w:r>
                    <w:rPr>
                      <w:szCs w:val="21"/>
                    </w:rPr>
                    <w:t>每年运行152天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pct"/>
                  <w:shd w:val="clear" w:color="auto" w:fill="auto"/>
                  <w:vAlign w:val="center"/>
                </w:tcPr>
                <w:p>
                  <w:pPr>
                    <w:autoSpaceDE w:val="0"/>
                    <w:autoSpaceDN w:val="0"/>
                    <w:adjustRightInd w:val="0"/>
                    <w:snapToGrid w:val="0"/>
                    <w:spacing w:line="276" w:lineRule="auto"/>
                    <w:jc w:val="center"/>
                    <w:rPr>
                      <w:szCs w:val="21"/>
                    </w:rPr>
                  </w:pPr>
                  <w:r>
                    <w:rPr>
                      <w:szCs w:val="21"/>
                    </w:rPr>
                    <w:t>生物质锅炉用水</w:t>
                  </w:r>
                </w:p>
              </w:tc>
              <w:tc>
                <w:tcPr>
                  <w:tcW w:w="820" w:type="pct"/>
                  <w:vAlign w:val="center"/>
                </w:tcPr>
                <w:p>
                  <w:pPr>
                    <w:autoSpaceDE w:val="0"/>
                    <w:autoSpaceDN w:val="0"/>
                    <w:adjustRightInd w:val="0"/>
                    <w:snapToGrid w:val="0"/>
                    <w:spacing w:line="276" w:lineRule="auto"/>
                    <w:jc w:val="center"/>
                    <w:rPr>
                      <w:szCs w:val="21"/>
                    </w:rPr>
                  </w:pPr>
                  <w:r>
                    <w:rPr>
                      <w:szCs w:val="21"/>
                    </w:rPr>
                    <w:t>0</w:t>
                  </w:r>
                </w:p>
              </w:tc>
              <w:tc>
                <w:tcPr>
                  <w:tcW w:w="921" w:type="pct"/>
                  <w:vAlign w:val="center"/>
                </w:tcPr>
                <w:p>
                  <w:pPr>
                    <w:autoSpaceDE w:val="0"/>
                    <w:autoSpaceDN w:val="0"/>
                    <w:adjustRightInd w:val="0"/>
                    <w:snapToGrid w:val="0"/>
                    <w:spacing w:line="276" w:lineRule="auto"/>
                    <w:jc w:val="center"/>
                    <w:rPr>
                      <w:szCs w:val="21"/>
                    </w:rPr>
                  </w:pPr>
                  <w:r>
                    <w:rPr>
                      <w:szCs w:val="21"/>
                    </w:rPr>
                    <w:t>0</w:t>
                  </w:r>
                </w:p>
              </w:tc>
              <w:tc>
                <w:tcPr>
                  <w:tcW w:w="737" w:type="pct"/>
                  <w:vAlign w:val="center"/>
                </w:tcPr>
                <w:p>
                  <w:pPr>
                    <w:autoSpaceDE w:val="0"/>
                    <w:autoSpaceDN w:val="0"/>
                    <w:adjustRightInd w:val="0"/>
                    <w:snapToGrid w:val="0"/>
                    <w:spacing w:line="276" w:lineRule="auto"/>
                    <w:jc w:val="center"/>
                    <w:rPr>
                      <w:szCs w:val="21"/>
                    </w:rPr>
                  </w:pPr>
                  <w:r>
                    <w:rPr>
                      <w:szCs w:val="21"/>
                    </w:rPr>
                    <w:t>28.88</w:t>
                  </w:r>
                </w:p>
              </w:tc>
              <w:tc>
                <w:tcPr>
                  <w:tcW w:w="759" w:type="pct"/>
                  <w:vAlign w:val="center"/>
                </w:tcPr>
                <w:p>
                  <w:pPr>
                    <w:autoSpaceDE w:val="0"/>
                    <w:autoSpaceDN w:val="0"/>
                    <w:adjustRightInd w:val="0"/>
                    <w:snapToGrid w:val="0"/>
                    <w:spacing w:line="276" w:lineRule="auto"/>
                    <w:jc w:val="center"/>
                    <w:rPr>
                      <w:szCs w:val="21"/>
                    </w:rPr>
                  </w:pPr>
                  <w:r>
                    <w:rPr>
                      <w:szCs w:val="21"/>
                    </w:rPr>
                    <w:t>28.88</w:t>
                  </w:r>
                </w:p>
              </w:tc>
              <w:tc>
                <w:tcPr>
                  <w:tcW w:w="700" w:type="pct"/>
                  <w:vMerge w:val="continue"/>
                  <w:vAlign w:val="center"/>
                </w:tcPr>
                <w:p>
                  <w:pPr>
                    <w:autoSpaceDE w:val="0"/>
                    <w:autoSpaceDN w:val="0"/>
                    <w:adjustRightInd w:val="0"/>
                    <w:snapToGrid w:val="0"/>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pct"/>
                  <w:shd w:val="clear" w:color="auto" w:fill="auto"/>
                  <w:vAlign w:val="center"/>
                </w:tcPr>
                <w:p>
                  <w:pPr>
                    <w:autoSpaceDE w:val="0"/>
                    <w:autoSpaceDN w:val="0"/>
                    <w:adjustRightInd w:val="0"/>
                    <w:snapToGrid w:val="0"/>
                    <w:spacing w:line="276" w:lineRule="auto"/>
                    <w:jc w:val="center"/>
                    <w:rPr>
                      <w:szCs w:val="21"/>
                    </w:rPr>
                  </w:pPr>
                  <w:r>
                    <w:rPr>
                      <w:szCs w:val="21"/>
                    </w:rPr>
                    <w:t>纯水制备用水</w:t>
                  </w:r>
                </w:p>
              </w:tc>
              <w:tc>
                <w:tcPr>
                  <w:tcW w:w="820" w:type="pct"/>
                  <w:vAlign w:val="center"/>
                </w:tcPr>
                <w:p>
                  <w:pPr>
                    <w:autoSpaceDE w:val="0"/>
                    <w:autoSpaceDN w:val="0"/>
                    <w:adjustRightInd w:val="0"/>
                    <w:snapToGrid w:val="0"/>
                    <w:spacing w:line="276" w:lineRule="auto"/>
                    <w:jc w:val="center"/>
                    <w:rPr>
                      <w:szCs w:val="21"/>
                    </w:rPr>
                  </w:pPr>
                  <w:r>
                    <w:rPr>
                      <w:szCs w:val="21"/>
                    </w:rPr>
                    <w:t>47512.16</w:t>
                  </w:r>
                </w:p>
              </w:tc>
              <w:tc>
                <w:tcPr>
                  <w:tcW w:w="921" w:type="pct"/>
                  <w:vAlign w:val="center"/>
                </w:tcPr>
                <w:p>
                  <w:pPr>
                    <w:autoSpaceDE w:val="0"/>
                    <w:autoSpaceDN w:val="0"/>
                    <w:adjustRightInd w:val="0"/>
                    <w:snapToGrid w:val="0"/>
                    <w:spacing w:line="276" w:lineRule="auto"/>
                    <w:jc w:val="center"/>
                    <w:rPr>
                      <w:szCs w:val="21"/>
                    </w:rPr>
                  </w:pPr>
                  <w:r>
                    <w:rPr>
                      <w:szCs w:val="21"/>
                    </w:rPr>
                    <w:t>0</w:t>
                  </w:r>
                </w:p>
              </w:tc>
              <w:tc>
                <w:tcPr>
                  <w:tcW w:w="737" w:type="pct"/>
                  <w:vAlign w:val="center"/>
                </w:tcPr>
                <w:p>
                  <w:pPr>
                    <w:autoSpaceDE w:val="0"/>
                    <w:autoSpaceDN w:val="0"/>
                    <w:adjustRightInd w:val="0"/>
                    <w:snapToGrid w:val="0"/>
                    <w:spacing w:line="276" w:lineRule="auto"/>
                    <w:jc w:val="center"/>
                    <w:rPr>
                      <w:szCs w:val="21"/>
                    </w:rPr>
                  </w:pPr>
                  <w:r>
                    <w:rPr>
                      <w:szCs w:val="21"/>
                    </w:rPr>
                    <w:t>13303.04</w:t>
                  </w:r>
                </w:p>
              </w:tc>
              <w:tc>
                <w:tcPr>
                  <w:tcW w:w="759" w:type="pct"/>
                  <w:vAlign w:val="center"/>
                </w:tcPr>
                <w:p>
                  <w:pPr>
                    <w:autoSpaceDE w:val="0"/>
                    <w:autoSpaceDN w:val="0"/>
                    <w:adjustRightInd w:val="0"/>
                    <w:snapToGrid w:val="0"/>
                    <w:spacing w:line="276" w:lineRule="auto"/>
                    <w:jc w:val="center"/>
                    <w:rPr>
                      <w:szCs w:val="21"/>
                    </w:rPr>
                  </w:pPr>
                  <w:r>
                    <w:rPr>
                      <w:szCs w:val="21"/>
                    </w:rPr>
                    <w:t>13303.04</w:t>
                  </w:r>
                </w:p>
              </w:tc>
              <w:tc>
                <w:tcPr>
                  <w:tcW w:w="700" w:type="pct"/>
                  <w:vMerge w:val="continue"/>
                  <w:vAlign w:val="center"/>
                </w:tcPr>
                <w:p>
                  <w:pPr>
                    <w:autoSpaceDE w:val="0"/>
                    <w:autoSpaceDN w:val="0"/>
                    <w:adjustRightInd w:val="0"/>
                    <w:snapToGrid w:val="0"/>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pct"/>
                  <w:shd w:val="clear" w:color="auto" w:fill="auto"/>
                  <w:vAlign w:val="center"/>
                </w:tcPr>
                <w:p>
                  <w:pPr>
                    <w:autoSpaceDE w:val="0"/>
                    <w:autoSpaceDN w:val="0"/>
                    <w:adjustRightInd w:val="0"/>
                    <w:snapToGrid w:val="0"/>
                    <w:spacing w:line="276" w:lineRule="auto"/>
                    <w:jc w:val="center"/>
                    <w:rPr>
                      <w:szCs w:val="21"/>
                    </w:rPr>
                  </w:pPr>
                  <w:r>
                    <w:rPr>
                      <w:szCs w:val="21"/>
                    </w:rPr>
                    <w:t>花卉种植用水</w:t>
                  </w:r>
                </w:p>
              </w:tc>
              <w:tc>
                <w:tcPr>
                  <w:tcW w:w="820" w:type="pct"/>
                  <w:vAlign w:val="center"/>
                </w:tcPr>
                <w:p>
                  <w:pPr>
                    <w:autoSpaceDE w:val="0"/>
                    <w:autoSpaceDN w:val="0"/>
                    <w:adjustRightInd w:val="0"/>
                    <w:snapToGrid w:val="0"/>
                    <w:spacing w:line="276" w:lineRule="auto"/>
                    <w:jc w:val="center"/>
                    <w:rPr>
                      <w:szCs w:val="21"/>
                    </w:rPr>
                  </w:pPr>
                  <w:r>
                    <w:rPr>
                      <w:szCs w:val="21"/>
                    </w:rPr>
                    <w:t>0</w:t>
                  </w:r>
                </w:p>
              </w:tc>
              <w:tc>
                <w:tcPr>
                  <w:tcW w:w="921" w:type="pct"/>
                  <w:vAlign w:val="center"/>
                </w:tcPr>
                <w:p>
                  <w:pPr>
                    <w:autoSpaceDE w:val="0"/>
                    <w:autoSpaceDN w:val="0"/>
                    <w:adjustRightInd w:val="0"/>
                    <w:snapToGrid w:val="0"/>
                    <w:spacing w:line="276" w:lineRule="auto"/>
                    <w:jc w:val="center"/>
                    <w:rPr>
                      <w:szCs w:val="21"/>
                    </w:rPr>
                  </w:pPr>
                  <w:r>
                    <w:rPr>
                      <w:szCs w:val="21"/>
                    </w:rPr>
                    <w:t>47686.096（46556.896）</w:t>
                  </w:r>
                </w:p>
              </w:tc>
              <w:tc>
                <w:tcPr>
                  <w:tcW w:w="737" w:type="pct"/>
                  <w:vAlign w:val="center"/>
                </w:tcPr>
                <w:p>
                  <w:pPr>
                    <w:autoSpaceDE w:val="0"/>
                    <w:autoSpaceDN w:val="0"/>
                    <w:adjustRightInd w:val="0"/>
                    <w:snapToGrid w:val="0"/>
                    <w:spacing w:line="276" w:lineRule="auto"/>
                    <w:jc w:val="center"/>
                    <w:rPr>
                      <w:szCs w:val="21"/>
                    </w:rPr>
                  </w:pPr>
                  <w:r>
                    <w:rPr>
                      <w:szCs w:val="21"/>
                    </w:rPr>
                    <w:t>452.6</w:t>
                  </w:r>
                </w:p>
              </w:tc>
              <w:tc>
                <w:tcPr>
                  <w:tcW w:w="759" w:type="pct"/>
                  <w:vAlign w:val="center"/>
                </w:tcPr>
                <w:p>
                  <w:pPr>
                    <w:autoSpaceDE w:val="0"/>
                    <w:autoSpaceDN w:val="0"/>
                    <w:adjustRightInd w:val="0"/>
                    <w:snapToGrid w:val="0"/>
                    <w:spacing w:line="276" w:lineRule="auto"/>
                    <w:jc w:val="center"/>
                    <w:rPr>
                      <w:szCs w:val="21"/>
                    </w:rPr>
                  </w:pPr>
                  <w:r>
                    <w:rPr>
                      <w:szCs w:val="21"/>
                    </w:rPr>
                    <w:t>452.6</w:t>
                  </w:r>
                </w:p>
              </w:tc>
              <w:tc>
                <w:tcPr>
                  <w:tcW w:w="700" w:type="pct"/>
                  <w:vAlign w:val="center"/>
                </w:tcPr>
                <w:p>
                  <w:pPr>
                    <w:autoSpaceDE w:val="0"/>
                    <w:autoSpaceDN w:val="0"/>
                    <w:adjustRightInd w:val="0"/>
                    <w:snapToGrid w:val="0"/>
                    <w:spacing w:line="276" w:lineRule="auto"/>
                    <w:jc w:val="center"/>
                    <w:rPr>
                      <w:szCs w:val="21"/>
                    </w:rPr>
                  </w:pPr>
                  <w:r>
                    <w:rPr>
                      <w:szCs w:val="21"/>
                    </w:rPr>
                    <w:t>括号中为污水管网接通时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pct"/>
                  <w:shd w:val="clear" w:color="auto" w:fill="auto"/>
                  <w:vAlign w:val="center"/>
                </w:tcPr>
                <w:p>
                  <w:pPr>
                    <w:autoSpaceDE w:val="0"/>
                    <w:autoSpaceDN w:val="0"/>
                    <w:adjustRightInd w:val="0"/>
                    <w:snapToGrid w:val="0"/>
                    <w:spacing w:line="276" w:lineRule="auto"/>
                    <w:jc w:val="center"/>
                    <w:rPr>
                      <w:szCs w:val="21"/>
                    </w:rPr>
                  </w:pPr>
                  <w:r>
                    <w:rPr>
                      <w:szCs w:val="21"/>
                    </w:rPr>
                    <w:t>包花预清洗用水</w:t>
                  </w:r>
                </w:p>
              </w:tc>
              <w:tc>
                <w:tcPr>
                  <w:tcW w:w="820" w:type="pct"/>
                  <w:vAlign w:val="center"/>
                </w:tcPr>
                <w:p>
                  <w:pPr>
                    <w:autoSpaceDE w:val="0"/>
                    <w:autoSpaceDN w:val="0"/>
                    <w:adjustRightInd w:val="0"/>
                    <w:snapToGrid w:val="0"/>
                    <w:spacing w:line="276" w:lineRule="auto"/>
                    <w:jc w:val="center"/>
                    <w:rPr>
                      <w:szCs w:val="21"/>
                    </w:rPr>
                  </w:pPr>
                  <w:r>
                    <w:rPr>
                      <w:szCs w:val="21"/>
                    </w:rPr>
                    <w:t>547.5</w:t>
                  </w:r>
                </w:p>
              </w:tc>
              <w:tc>
                <w:tcPr>
                  <w:tcW w:w="921" w:type="pct"/>
                  <w:vAlign w:val="center"/>
                </w:tcPr>
                <w:p>
                  <w:pPr>
                    <w:autoSpaceDE w:val="0"/>
                    <w:autoSpaceDN w:val="0"/>
                    <w:adjustRightInd w:val="0"/>
                    <w:snapToGrid w:val="0"/>
                    <w:spacing w:line="276" w:lineRule="auto"/>
                    <w:jc w:val="center"/>
                    <w:rPr>
                      <w:szCs w:val="21"/>
                    </w:rPr>
                  </w:pPr>
                  <w:r>
                    <w:rPr>
                      <w:szCs w:val="21"/>
                    </w:rPr>
                    <w:t>0</w:t>
                  </w:r>
                </w:p>
              </w:tc>
              <w:tc>
                <w:tcPr>
                  <w:tcW w:w="737" w:type="pct"/>
                  <w:vAlign w:val="center"/>
                </w:tcPr>
                <w:p>
                  <w:pPr>
                    <w:autoSpaceDE w:val="0"/>
                    <w:autoSpaceDN w:val="0"/>
                    <w:adjustRightInd w:val="0"/>
                    <w:snapToGrid w:val="0"/>
                    <w:spacing w:line="276" w:lineRule="auto"/>
                    <w:jc w:val="center"/>
                    <w:rPr>
                      <w:szCs w:val="21"/>
                    </w:rPr>
                  </w:pPr>
                  <w:r>
                    <w:rPr>
                      <w:szCs w:val="21"/>
                    </w:rPr>
                    <w:t>438</w:t>
                  </w:r>
                </w:p>
              </w:tc>
              <w:tc>
                <w:tcPr>
                  <w:tcW w:w="759" w:type="pct"/>
                  <w:vAlign w:val="center"/>
                </w:tcPr>
                <w:p>
                  <w:pPr>
                    <w:autoSpaceDE w:val="0"/>
                    <w:autoSpaceDN w:val="0"/>
                    <w:adjustRightInd w:val="0"/>
                    <w:snapToGrid w:val="0"/>
                    <w:spacing w:line="276" w:lineRule="auto"/>
                    <w:jc w:val="center"/>
                    <w:rPr>
                      <w:szCs w:val="21"/>
                    </w:rPr>
                  </w:pPr>
                  <w:r>
                    <w:rPr>
                      <w:szCs w:val="21"/>
                    </w:rPr>
                    <w:t>438</w:t>
                  </w:r>
                </w:p>
              </w:tc>
              <w:tc>
                <w:tcPr>
                  <w:tcW w:w="700" w:type="pct"/>
                  <w:vAlign w:val="center"/>
                </w:tcPr>
                <w:p>
                  <w:pPr>
                    <w:autoSpaceDE w:val="0"/>
                    <w:autoSpaceDN w:val="0"/>
                    <w:adjustRightInd w:val="0"/>
                    <w:snapToGrid w:val="0"/>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pct"/>
                  <w:shd w:val="clear" w:color="auto" w:fill="auto"/>
                  <w:vAlign w:val="center"/>
                </w:tcPr>
                <w:p>
                  <w:pPr>
                    <w:autoSpaceDE w:val="0"/>
                    <w:autoSpaceDN w:val="0"/>
                    <w:adjustRightInd w:val="0"/>
                    <w:snapToGrid w:val="0"/>
                    <w:spacing w:line="276" w:lineRule="auto"/>
                    <w:jc w:val="center"/>
                    <w:rPr>
                      <w:szCs w:val="21"/>
                    </w:rPr>
                  </w:pPr>
                  <w:r>
                    <w:rPr>
                      <w:szCs w:val="21"/>
                    </w:rPr>
                    <w:t>冷凝用水</w:t>
                  </w:r>
                </w:p>
              </w:tc>
              <w:tc>
                <w:tcPr>
                  <w:tcW w:w="820" w:type="pct"/>
                  <w:vAlign w:val="center"/>
                </w:tcPr>
                <w:p>
                  <w:pPr>
                    <w:autoSpaceDE w:val="0"/>
                    <w:autoSpaceDN w:val="0"/>
                    <w:adjustRightInd w:val="0"/>
                    <w:snapToGrid w:val="0"/>
                    <w:spacing w:line="276" w:lineRule="auto"/>
                    <w:jc w:val="center"/>
                    <w:rPr>
                      <w:szCs w:val="21"/>
                    </w:rPr>
                  </w:pPr>
                  <w:r>
                    <w:rPr>
                      <w:szCs w:val="21"/>
                    </w:rPr>
                    <w:t>5</w:t>
                  </w:r>
                </w:p>
              </w:tc>
              <w:tc>
                <w:tcPr>
                  <w:tcW w:w="921" w:type="pct"/>
                  <w:vAlign w:val="center"/>
                </w:tcPr>
                <w:p>
                  <w:pPr>
                    <w:autoSpaceDE w:val="0"/>
                    <w:autoSpaceDN w:val="0"/>
                    <w:adjustRightInd w:val="0"/>
                    <w:snapToGrid w:val="0"/>
                    <w:spacing w:line="276" w:lineRule="auto"/>
                    <w:jc w:val="center"/>
                    <w:rPr>
                      <w:szCs w:val="21"/>
                    </w:rPr>
                  </w:pPr>
                  <w:r>
                    <w:rPr>
                      <w:szCs w:val="21"/>
                    </w:rPr>
                    <w:t>0</w:t>
                  </w:r>
                </w:p>
              </w:tc>
              <w:tc>
                <w:tcPr>
                  <w:tcW w:w="737" w:type="pct"/>
                  <w:vAlign w:val="center"/>
                </w:tcPr>
                <w:p>
                  <w:pPr>
                    <w:autoSpaceDE w:val="0"/>
                    <w:autoSpaceDN w:val="0"/>
                    <w:adjustRightInd w:val="0"/>
                    <w:snapToGrid w:val="0"/>
                    <w:spacing w:line="276" w:lineRule="auto"/>
                    <w:jc w:val="center"/>
                    <w:rPr>
                      <w:szCs w:val="21"/>
                    </w:rPr>
                  </w:pPr>
                  <w:r>
                    <w:rPr>
                      <w:szCs w:val="21"/>
                    </w:rPr>
                    <w:t>5（0）</w:t>
                  </w:r>
                </w:p>
              </w:tc>
              <w:tc>
                <w:tcPr>
                  <w:tcW w:w="759" w:type="pct"/>
                  <w:vAlign w:val="center"/>
                </w:tcPr>
                <w:p>
                  <w:pPr>
                    <w:autoSpaceDE w:val="0"/>
                    <w:autoSpaceDN w:val="0"/>
                    <w:adjustRightInd w:val="0"/>
                    <w:snapToGrid w:val="0"/>
                    <w:spacing w:line="276" w:lineRule="auto"/>
                    <w:jc w:val="center"/>
                    <w:rPr>
                      <w:szCs w:val="21"/>
                    </w:rPr>
                  </w:pPr>
                  <w:r>
                    <w:rPr>
                      <w:szCs w:val="21"/>
                    </w:rPr>
                    <w:t>5（0）</w:t>
                  </w:r>
                </w:p>
              </w:tc>
              <w:tc>
                <w:tcPr>
                  <w:tcW w:w="700" w:type="pct"/>
                  <w:vAlign w:val="center"/>
                </w:tcPr>
                <w:p>
                  <w:pPr>
                    <w:autoSpaceDE w:val="0"/>
                    <w:autoSpaceDN w:val="0"/>
                    <w:adjustRightInd w:val="0"/>
                    <w:snapToGrid w:val="0"/>
                    <w:spacing w:line="276"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pct"/>
                  <w:shd w:val="clear" w:color="auto" w:fill="auto"/>
                  <w:vAlign w:val="center"/>
                </w:tcPr>
                <w:p>
                  <w:pPr>
                    <w:autoSpaceDE w:val="0"/>
                    <w:autoSpaceDN w:val="0"/>
                    <w:adjustRightInd w:val="0"/>
                    <w:snapToGrid w:val="0"/>
                    <w:spacing w:line="276" w:lineRule="auto"/>
                    <w:jc w:val="center"/>
                    <w:rPr>
                      <w:szCs w:val="21"/>
                    </w:rPr>
                  </w:pPr>
                  <w:r>
                    <w:rPr>
                      <w:szCs w:val="21"/>
                    </w:rPr>
                    <w:t>生活用水</w:t>
                  </w:r>
                </w:p>
              </w:tc>
              <w:tc>
                <w:tcPr>
                  <w:tcW w:w="820" w:type="pct"/>
                  <w:vAlign w:val="center"/>
                </w:tcPr>
                <w:p>
                  <w:pPr>
                    <w:autoSpaceDE w:val="0"/>
                    <w:autoSpaceDN w:val="0"/>
                    <w:adjustRightInd w:val="0"/>
                    <w:snapToGrid w:val="0"/>
                    <w:spacing w:line="276" w:lineRule="auto"/>
                    <w:jc w:val="center"/>
                    <w:rPr>
                      <w:szCs w:val="21"/>
                    </w:rPr>
                  </w:pPr>
                  <w:r>
                    <w:rPr>
                      <w:szCs w:val="21"/>
                    </w:rPr>
                    <w:t>1405.25</w:t>
                  </w:r>
                </w:p>
              </w:tc>
              <w:tc>
                <w:tcPr>
                  <w:tcW w:w="921" w:type="pct"/>
                  <w:vAlign w:val="center"/>
                </w:tcPr>
                <w:p>
                  <w:pPr>
                    <w:autoSpaceDE w:val="0"/>
                    <w:autoSpaceDN w:val="0"/>
                    <w:adjustRightInd w:val="0"/>
                    <w:snapToGrid w:val="0"/>
                    <w:spacing w:line="276" w:lineRule="auto"/>
                    <w:jc w:val="center"/>
                    <w:rPr>
                      <w:szCs w:val="21"/>
                    </w:rPr>
                  </w:pPr>
                  <w:r>
                    <w:rPr>
                      <w:szCs w:val="21"/>
                    </w:rPr>
                    <w:t>0</w:t>
                  </w:r>
                </w:p>
              </w:tc>
              <w:tc>
                <w:tcPr>
                  <w:tcW w:w="737" w:type="pct"/>
                  <w:vAlign w:val="center"/>
                </w:tcPr>
                <w:p>
                  <w:pPr>
                    <w:autoSpaceDE w:val="0"/>
                    <w:autoSpaceDN w:val="0"/>
                    <w:adjustRightInd w:val="0"/>
                    <w:snapToGrid w:val="0"/>
                    <w:spacing w:line="276" w:lineRule="auto"/>
                    <w:jc w:val="center"/>
                    <w:rPr>
                      <w:szCs w:val="21"/>
                    </w:rPr>
                  </w:pPr>
                  <w:r>
                    <w:rPr>
                      <w:szCs w:val="21"/>
                    </w:rPr>
                    <w:t>1124.2</w:t>
                  </w:r>
                </w:p>
              </w:tc>
              <w:tc>
                <w:tcPr>
                  <w:tcW w:w="759" w:type="pct"/>
                  <w:vAlign w:val="center"/>
                </w:tcPr>
                <w:p>
                  <w:pPr>
                    <w:autoSpaceDE w:val="0"/>
                    <w:autoSpaceDN w:val="0"/>
                    <w:adjustRightInd w:val="0"/>
                    <w:snapToGrid w:val="0"/>
                    <w:spacing w:line="276" w:lineRule="auto"/>
                    <w:jc w:val="center"/>
                    <w:rPr>
                      <w:szCs w:val="21"/>
                    </w:rPr>
                  </w:pPr>
                  <w:r>
                    <w:rPr>
                      <w:szCs w:val="21"/>
                    </w:rPr>
                    <w:t>1124.2（0）</w:t>
                  </w:r>
                </w:p>
              </w:tc>
              <w:tc>
                <w:tcPr>
                  <w:tcW w:w="700" w:type="pct"/>
                  <w:vAlign w:val="center"/>
                </w:tcPr>
                <w:p>
                  <w:pPr>
                    <w:autoSpaceDE w:val="0"/>
                    <w:autoSpaceDN w:val="0"/>
                    <w:adjustRightInd w:val="0"/>
                    <w:snapToGrid w:val="0"/>
                    <w:spacing w:line="276" w:lineRule="auto"/>
                    <w:jc w:val="center"/>
                    <w:rPr>
                      <w:szCs w:val="21"/>
                    </w:rPr>
                  </w:pPr>
                  <w:r>
                    <w:rPr>
                      <w:szCs w:val="21"/>
                    </w:rPr>
                    <w:t>括号中为污水管网接通时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pct"/>
                  <w:shd w:val="clear" w:color="auto" w:fill="auto"/>
                  <w:vAlign w:val="center"/>
                </w:tcPr>
                <w:p>
                  <w:pPr>
                    <w:autoSpaceDE w:val="0"/>
                    <w:autoSpaceDN w:val="0"/>
                    <w:adjustRightInd w:val="0"/>
                    <w:snapToGrid w:val="0"/>
                    <w:spacing w:line="276" w:lineRule="auto"/>
                    <w:jc w:val="center"/>
                    <w:rPr>
                      <w:szCs w:val="21"/>
                    </w:rPr>
                  </w:pPr>
                  <w:r>
                    <w:rPr>
                      <w:szCs w:val="21"/>
                    </w:rPr>
                    <w:t>初期雨水</w:t>
                  </w:r>
                </w:p>
              </w:tc>
              <w:tc>
                <w:tcPr>
                  <w:tcW w:w="820" w:type="pct"/>
                  <w:vAlign w:val="center"/>
                </w:tcPr>
                <w:p>
                  <w:pPr>
                    <w:autoSpaceDE w:val="0"/>
                    <w:autoSpaceDN w:val="0"/>
                    <w:adjustRightInd w:val="0"/>
                    <w:snapToGrid w:val="0"/>
                    <w:spacing w:line="276" w:lineRule="auto"/>
                    <w:jc w:val="center"/>
                    <w:rPr>
                      <w:szCs w:val="21"/>
                    </w:rPr>
                  </w:pPr>
                  <w:r>
                    <w:rPr>
                      <w:szCs w:val="21"/>
                    </w:rPr>
                    <w:t>/</w:t>
                  </w:r>
                </w:p>
              </w:tc>
              <w:tc>
                <w:tcPr>
                  <w:tcW w:w="921" w:type="pct"/>
                  <w:vAlign w:val="center"/>
                </w:tcPr>
                <w:p>
                  <w:pPr>
                    <w:autoSpaceDE w:val="0"/>
                    <w:autoSpaceDN w:val="0"/>
                    <w:adjustRightInd w:val="0"/>
                    <w:snapToGrid w:val="0"/>
                    <w:spacing w:line="276" w:lineRule="auto"/>
                    <w:jc w:val="center"/>
                    <w:rPr>
                      <w:szCs w:val="21"/>
                    </w:rPr>
                  </w:pPr>
                  <w:r>
                    <w:rPr>
                      <w:szCs w:val="21"/>
                    </w:rPr>
                    <w:t>/</w:t>
                  </w:r>
                </w:p>
              </w:tc>
              <w:tc>
                <w:tcPr>
                  <w:tcW w:w="737" w:type="pct"/>
                  <w:vAlign w:val="center"/>
                </w:tcPr>
                <w:p>
                  <w:pPr>
                    <w:autoSpaceDE w:val="0"/>
                    <w:autoSpaceDN w:val="0"/>
                    <w:adjustRightInd w:val="0"/>
                    <w:snapToGrid w:val="0"/>
                    <w:spacing w:line="276" w:lineRule="auto"/>
                    <w:jc w:val="center"/>
                    <w:rPr>
                      <w:szCs w:val="21"/>
                    </w:rPr>
                  </w:pPr>
                  <w:r>
                    <w:rPr>
                      <w:szCs w:val="21"/>
                    </w:rPr>
                    <w:t>42949.6</w:t>
                  </w:r>
                </w:p>
              </w:tc>
              <w:tc>
                <w:tcPr>
                  <w:tcW w:w="759" w:type="pct"/>
                  <w:vAlign w:val="center"/>
                </w:tcPr>
                <w:p>
                  <w:pPr>
                    <w:autoSpaceDE w:val="0"/>
                    <w:autoSpaceDN w:val="0"/>
                    <w:adjustRightInd w:val="0"/>
                    <w:snapToGrid w:val="0"/>
                    <w:spacing w:line="276" w:lineRule="auto"/>
                    <w:jc w:val="center"/>
                    <w:rPr>
                      <w:szCs w:val="21"/>
                    </w:rPr>
                  </w:pPr>
                  <w:r>
                    <w:rPr>
                      <w:szCs w:val="21"/>
                    </w:rPr>
                    <w:t xml:space="preserve">42949.6                                                                            </w:t>
                  </w:r>
                </w:p>
              </w:tc>
              <w:tc>
                <w:tcPr>
                  <w:tcW w:w="700" w:type="pct"/>
                  <w:vAlign w:val="center"/>
                </w:tcPr>
                <w:p>
                  <w:pPr>
                    <w:autoSpaceDE w:val="0"/>
                    <w:autoSpaceDN w:val="0"/>
                    <w:adjustRightInd w:val="0"/>
                    <w:snapToGrid w:val="0"/>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pct"/>
                  <w:vAlign w:val="center"/>
                </w:tcPr>
                <w:p>
                  <w:pPr>
                    <w:autoSpaceDE w:val="0"/>
                    <w:autoSpaceDN w:val="0"/>
                    <w:adjustRightInd w:val="0"/>
                    <w:snapToGrid w:val="0"/>
                    <w:spacing w:line="276" w:lineRule="auto"/>
                    <w:jc w:val="center"/>
                    <w:rPr>
                      <w:szCs w:val="21"/>
                    </w:rPr>
                  </w:pPr>
                  <w:r>
                    <w:rPr>
                      <w:szCs w:val="21"/>
                    </w:rPr>
                    <w:t>合计</w:t>
                  </w:r>
                </w:p>
              </w:tc>
              <w:tc>
                <w:tcPr>
                  <w:tcW w:w="820" w:type="pct"/>
                  <w:vAlign w:val="center"/>
                </w:tcPr>
                <w:p>
                  <w:pPr>
                    <w:autoSpaceDE w:val="0"/>
                    <w:autoSpaceDN w:val="0"/>
                    <w:adjustRightInd w:val="0"/>
                    <w:snapToGrid w:val="0"/>
                    <w:spacing w:line="276" w:lineRule="auto"/>
                    <w:jc w:val="center"/>
                    <w:rPr>
                      <w:szCs w:val="21"/>
                    </w:rPr>
                  </w:pPr>
                  <w:r>
                    <w:rPr>
                      <w:rFonts w:hint="eastAsia"/>
                      <w:szCs w:val="21"/>
                    </w:rPr>
                    <w:t>49469.91</w:t>
                  </w:r>
                </w:p>
              </w:tc>
              <w:tc>
                <w:tcPr>
                  <w:tcW w:w="921" w:type="pct"/>
                  <w:vAlign w:val="center"/>
                </w:tcPr>
                <w:p>
                  <w:pPr>
                    <w:autoSpaceDE w:val="0"/>
                    <w:autoSpaceDN w:val="0"/>
                    <w:adjustRightInd w:val="0"/>
                    <w:snapToGrid w:val="0"/>
                    <w:spacing w:line="276" w:lineRule="auto"/>
                    <w:jc w:val="center"/>
                    <w:rPr>
                      <w:szCs w:val="21"/>
                    </w:rPr>
                  </w:pPr>
                  <w:r>
                    <w:rPr>
                      <w:szCs w:val="21"/>
                    </w:rPr>
                    <w:t>47686.096（46556.896）</w:t>
                  </w:r>
                </w:p>
              </w:tc>
              <w:tc>
                <w:tcPr>
                  <w:tcW w:w="737" w:type="pct"/>
                  <w:vAlign w:val="center"/>
                </w:tcPr>
                <w:p>
                  <w:pPr>
                    <w:autoSpaceDE w:val="0"/>
                    <w:autoSpaceDN w:val="0"/>
                    <w:adjustRightInd w:val="0"/>
                    <w:snapToGrid w:val="0"/>
                    <w:spacing w:line="276" w:lineRule="auto"/>
                    <w:jc w:val="center"/>
                    <w:rPr>
                      <w:szCs w:val="21"/>
                    </w:rPr>
                  </w:pPr>
                  <w:r>
                    <w:rPr>
                      <w:rFonts w:hint="eastAsia"/>
                      <w:szCs w:val="21"/>
                    </w:rPr>
                    <w:t>59649.56</w:t>
                  </w:r>
                  <w:r>
                    <w:rPr>
                      <w:szCs w:val="21"/>
                    </w:rPr>
                    <w:t>（</w:t>
                  </w:r>
                  <w:r>
                    <w:rPr>
                      <w:rFonts w:hint="eastAsia"/>
                      <w:szCs w:val="21"/>
                    </w:rPr>
                    <w:t>59645.56</w:t>
                  </w:r>
                  <w:r>
                    <w:rPr>
                      <w:szCs w:val="21"/>
                    </w:rPr>
                    <w:t>）</w:t>
                  </w:r>
                </w:p>
              </w:tc>
              <w:tc>
                <w:tcPr>
                  <w:tcW w:w="759" w:type="pct"/>
                  <w:vAlign w:val="center"/>
                </w:tcPr>
                <w:p>
                  <w:pPr>
                    <w:autoSpaceDE w:val="0"/>
                    <w:autoSpaceDN w:val="0"/>
                    <w:adjustRightInd w:val="0"/>
                    <w:snapToGrid w:val="0"/>
                    <w:spacing w:line="276" w:lineRule="auto"/>
                    <w:jc w:val="center"/>
                    <w:rPr>
                      <w:szCs w:val="21"/>
                    </w:rPr>
                  </w:pPr>
                  <w:r>
                    <w:rPr>
                      <w:rFonts w:hint="eastAsia"/>
                      <w:szCs w:val="21"/>
                    </w:rPr>
                    <w:t>59649.56</w:t>
                  </w:r>
                  <w:r>
                    <w:rPr>
                      <w:szCs w:val="21"/>
                    </w:rPr>
                    <w:t>（</w:t>
                  </w:r>
                  <w:r>
                    <w:rPr>
                      <w:rFonts w:hint="eastAsia"/>
                      <w:szCs w:val="21"/>
                    </w:rPr>
                    <w:t>58521.36</w:t>
                  </w:r>
                  <w:r>
                    <w:rPr>
                      <w:szCs w:val="21"/>
                    </w:rPr>
                    <w:t>）</w:t>
                  </w:r>
                </w:p>
              </w:tc>
              <w:tc>
                <w:tcPr>
                  <w:tcW w:w="700" w:type="pct"/>
                  <w:vAlign w:val="center"/>
                </w:tcPr>
                <w:p>
                  <w:pPr>
                    <w:autoSpaceDE w:val="0"/>
                    <w:autoSpaceDN w:val="0"/>
                    <w:adjustRightInd w:val="0"/>
                    <w:snapToGrid w:val="0"/>
                    <w:spacing w:line="276" w:lineRule="auto"/>
                    <w:jc w:val="center"/>
                    <w:rPr>
                      <w:szCs w:val="21"/>
                    </w:rPr>
                  </w:pPr>
                </w:p>
              </w:tc>
            </w:tr>
          </w:tbl>
          <w:p>
            <w:pPr>
              <w:spacing w:line="360" w:lineRule="auto"/>
              <w:ind w:firstLine="480" w:firstLineChars="200"/>
              <w:rPr>
                <w:sz w:val="24"/>
              </w:rPr>
            </w:pPr>
            <w:r>
              <w:rPr>
                <w:sz w:val="24"/>
              </w:rPr>
              <w:t>项目水平衡见下图2-4、图2-5、图2-6</w:t>
            </w:r>
            <w:r>
              <w:rPr>
                <w:rFonts w:hint="eastAsia"/>
                <w:sz w:val="24"/>
              </w:rPr>
              <w:t>、图2</w:t>
            </w:r>
            <w:r>
              <w:rPr>
                <w:sz w:val="24"/>
              </w:rPr>
              <w:t xml:space="preserve">-7。 </w:t>
            </w:r>
          </w:p>
          <w:p>
            <w:pPr>
              <w:spacing w:line="360" w:lineRule="auto"/>
              <w:jc w:val="center"/>
              <w:rPr>
                <w:sz w:val="24"/>
              </w:rPr>
            </w:pPr>
            <w:r>
              <w:rPr>
                <w:sz w:val="24"/>
              </w:rPr>
              <w:object>
                <v:shape id="_x0000_i1026" o:spt="75" type="#_x0000_t75" style="height:288pt;width:411pt;" o:ole="t" filled="f" coordsize="21600,21600">
                  <v:path/>
                  <v:fill on="f" focussize="0,0"/>
                  <v:stroke/>
                  <v:imagedata r:id="rId9" o:title=""/>
                  <o:lock v:ext="edit" aspectratio="f"/>
                  <w10:wrap type="none"/>
                  <w10:anchorlock/>
                </v:shape>
                <o:OLEObject Type="Embed" ProgID="Visio.Drawing.11" ShapeID="_x0000_i1026" DrawAspect="Content" ObjectID="_1468075726" r:id="rId8">
                  <o:LockedField>false</o:LockedField>
                </o:OLEObject>
              </w:object>
            </w:r>
          </w:p>
          <w:p>
            <w:pPr>
              <w:spacing w:line="360" w:lineRule="auto"/>
              <w:jc w:val="center"/>
              <w:rPr>
                <w:b/>
                <w:bCs/>
                <w:sz w:val="24"/>
              </w:rPr>
            </w:pPr>
            <w:r>
              <w:rPr>
                <w:b/>
                <w:bCs/>
                <w:sz w:val="24"/>
              </w:rPr>
              <w:t>图2-4  项目</w:t>
            </w:r>
            <w:r>
              <w:rPr>
                <w:rFonts w:hint="eastAsia"/>
                <w:b/>
                <w:bCs/>
                <w:sz w:val="24"/>
              </w:rPr>
              <w:t>使用锅炉时</w:t>
            </w:r>
            <w:r>
              <w:rPr>
                <w:b/>
                <w:bCs/>
                <w:sz w:val="24"/>
              </w:rPr>
              <w:t>水平衡图 （非雨天）   单位m</w:t>
            </w:r>
            <w:r>
              <w:rPr>
                <w:b/>
                <w:bCs/>
                <w:sz w:val="24"/>
                <w:vertAlign w:val="superscript"/>
              </w:rPr>
              <w:t>3</w:t>
            </w:r>
            <w:r>
              <w:rPr>
                <w:b/>
                <w:bCs/>
                <w:sz w:val="24"/>
              </w:rPr>
              <w:t>/d</w:t>
            </w:r>
          </w:p>
          <w:p>
            <w:pPr>
              <w:pStyle w:val="14"/>
              <w:spacing w:line="360" w:lineRule="auto"/>
              <w:jc w:val="center"/>
              <w:rPr>
                <w:rFonts w:ascii="Times New Roman"/>
                <w:color w:val="auto"/>
              </w:rPr>
            </w:pPr>
            <w:r>
              <w:rPr>
                <w:rFonts w:ascii="Times New Roman"/>
                <w:color w:val="auto"/>
              </w:rPr>
              <w:object>
                <v:shape id="_x0000_i1027" o:spt="75" type="#_x0000_t75" style="height:306pt;width:413.25pt;" o:ole="t" filled="f" coordsize="21600,21600">
                  <v:path/>
                  <v:fill on="f" focussize="0,0"/>
                  <v:stroke/>
                  <v:imagedata r:id="rId11" o:title=""/>
                  <o:lock v:ext="edit" aspectratio="f"/>
                  <w10:wrap type="none"/>
                  <w10:anchorlock/>
                </v:shape>
                <o:OLEObject Type="Embed" ProgID="Visio.Drawing.11" ShapeID="_x0000_i1027" DrawAspect="Content" ObjectID="_1468075727" r:id="rId10">
                  <o:LockedField>false</o:LockedField>
                </o:OLEObject>
              </w:object>
            </w:r>
          </w:p>
          <w:p>
            <w:pPr>
              <w:pStyle w:val="14"/>
              <w:spacing w:line="360" w:lineRule="auto"/>
              <w:jc w:val="center"/>
              <w:rPr>
                <w:b/>
                <w:bCs/>
                <w:color w:val="auto"/>
              </w:rPr>
            </w:pPr>
            <w:r>
              <w:rPr>
                <w:rFonts w:ascii="Times New Roman"/>
                <w:b/>
                <w:bCs/>
                <w:color w:val="auto"/>
              </w:rPr>
              <w:t>图2-5 项目</w:t>
            </w:r>
            <w:r>
              <w:rPr>
                <w:rFonts w:hint="eastAsia"/>
                <w:b/>
                <w:bCs/>
                <w:color w:val="auto"/>
              </w:rPr>
              <w:t>使用锅炉时</w:t>
            </w:r>
            <w:r>
              <w:rPr>
                <w:rFonts w:ascii="Times New Roman"/>
                <w:b/>
                <w:bCs/>
                <w:color w:val="auto"/>
              </w:rPr>
              <w:t>水平衡图 （雨天）   单位m</w:t>
            </w:r>
            <w:r>
              <w:rPr>
                <w:rFonts w:ascii="Times New Roman"/>
                <w:b/>
                <w:bCs/>
                <w:color w:val="auto"/>
                <w:vertAlign w:val="superscript"/>
              </w:rPr>
              <w:t>3</w:t>
            </w:r>
            <w:r>
              <w:rPr>
                <w:rFonts w:ascii="Times New Roman"/>
                <w:b/>
                <w:bCs/>
                <w:color w:val="auto"/>
              </w:rPr>
              <w:t>/d</w:t>
            </w:r>
          </w:p>
          <w:p>
            <w:pPr>
              <w:pStyle w:val="14"/>
              <w:spacing w:line="360" w:lineRule="auto"/>
              <w:jc w:val="center"/>
              <w:rPr>
                <w:color w:val="auto"/>
              </w:rPr>
            </w:pPr>
            <w:r>
              <w:rPr>
                <w:color w:val="auto"/>
              </w:rPr>
              <w:object>
                <v:shape id="_x0000_i1028" o:spt="75" type="#_x0000_t75" style="height:231.75pt;width:426.75pt;" o:ole="t" filled="f" coordsize="21600,21600">
                  <v:path/>
                  <v:fill on="f" focussize="0,0"/>
                  <v:stroke/>
                  <v:imagedata r:id="rId13" o:title=""/>
                  <o:lock v:ext="edit" aspectratio="t"/>
                  <w10:wrap type="none"/>
                  <w10:anchorlock/>
                </v:shape>
                <o:OLEObject Type="Embed" ProgID="Visio.Drawing.11" ShapeID="_x0000_i1028" DrawAspect="Content" ObjectID="_1468075728" r:id="rId12">
                  <o:LockedField>false</o:LockedField>
                </o:OLEObject>
              </w:object>
            </w:r>
          </w:p>
          <w:p>
            <w:pPr>
              <w:pStyle w:val="14"/>
              <w:spacing w:line="360" w:lineRule="auto"/>
              <w:jc w:val="center"/>
              <w:rPr>
                <w:rFonts w:ascii="Times New Roman"/>
                <w:b/>
                <w:bCs/>
                <w:color w:val="auto"/>
              </w:rPr>
            </w:pPr>
            <w:r>
              <w:rPr>
                <w:rFonts w:ascii="Times New Roman"/>
                <w:b/>
                <w:bCs/>
                <w:color w:val="auto"/>
              </w:rPr>
              <w:t>图2-7 项目不使用锅炉水平衡图 （非雨天）   单位m</w:t>
            </w:r>
            <w:r>
              <w:rPr>
                <w:rFonts w:ascii="Times New Roman"/>
                <w:b/>
                <w:bCs/>
                <w:color w:val="auto"/>
                <w:vertAlign w:val="superscript"/>
              </w:rPr>
              <w:t>3</w:t>
            </w:r>
            <w:r>
              <w:rPr>
                <w:rFonts w:ascii="Times New Roman"/>
                <w:b/>
                <w:bCs/>
                <w:color w:val="auto"/>
              </w:rPr>
              <w:t>/d</w:t>
            </w:r>
          </w:p>
          <w:p>
            <w:pPr>
              <w:pStyle w:val="14"/>
              <w:spacing w:line="360" w:lineRule="auto"/>
              <w:jc w:val="center"/>
              <w:rPr>
                <w:b/>
                <w:bCs/>
                <w:color w:val="auto"/>
              </w:rPr>
            </w:pPr>
          </w:p>
          <w:p>
            <w:pPr>
              <w:pStyle w:val="14"/>
              <w:spacing w:line="360" w:lineRule="auto"/>
              <w:jc w:val="center"/>
              <w:rPr>
                <w:b/>
                <w:bCs/>
                <w:color w:val="auto"/>
              </w:rPr>
            </w:pPr>
          </w:p>
          <w:p>
            <w:pPr>
              <w:pStyle w:val="14"/>
              <w:spacing w:line="360" w:lineRule="auto"/>
              <w:jc w:val="center"/>
              <w:rPr>
                <w:b/>
                <w:bCs/>
                <w:color w:val="auto"/>
              </w:rPr>
            </w:pPr>
          </w:p>
          <w:p>
            <w:pPr>
              <w:pStyle w:val="14"/>
              <w:spacing w:line="360" w:lineRule="auto"/>
              <w:jc w:val="center"/>
              <w:rPr>
                <w:b/>
                <w:bCs/>
                <w:color w:val="auto"/>
              </w:rPr>
            </w:pPr>
          </w:p>
          <w:p>
            <w:pPr>
              <w:pStyle w:val="14"/>
              <w:spacing w:line="360" w:lineRule="auto"/>
              <w:jc w:val="center"/>
              <w:rPr>
                <w:rFonts w:ascii="Times New Roman"/>
                <w:color w:val="auto"/>
              </w:rPr>
            </w:pPr>
            <w:r>
              <w:rPr>
                <w:color w:val="auto"/>
              </w:rPr>
              <w:object>
                <v:shape id="_x0000_i1029" o:spt="75" type="#_x0000_t75" style="height:258.75pt;width:435pt;" o:ole="t" filled="f" coordsize="21600,21600">
                  <v:path/>
                  <v:fill on="f" focussize="0,0"/>
                  <v:stroke/>
                  <v:imagedata r:id="rId15" o:title=""/>
                  <o:lock v:ext="edit" aspectratio="t"/>
                  <w10:wrap type="none"/>
                  <w10:anchorlock/>
                </v:shape>
                <o:OLEObject Type="Embed" ProgID="Visio.Drawing.11" ShapeID="_x0000_i1029" DrawAspect="Content" ObjectID="_1468075729" r:id="rId14">
                  <o:LockedField>false</o:LockedField>
                </o:OLEObject>
              </w:object>
            </w:r>
          </w:p>
          <w:p>
            <w:pPr>
              <w:spacing w:before="156" w:beforeLines="50" w:line="360" w:lineRule="auto"/>
              <w:jc w:val="center"/>
              <w:rPr>
                <w:b/>
                <w:bCs/>
                <w:sz w:val="24"/>
              </w:rPr>
            </w:pPr>
            <w:r>
              <w:rPr>
                <w:b/>
                <w:bCs/>
                <w:sz w:val="24"/>
              </w:rPr>
              <w:t>图2-8项目不使用锅炉水平衡图 （雨天）   单位m</w:t>
            </w:r>
            <w:r>
              <w:rPr>
                <w:b/>
                <w:bCs/>
                <w:sz w:val="24"/>
                <w:vertAlign w:val="superscript"/>
              </w:rPr>
              <w:t>3</w:t>
            </w:r>
            <w:r>
              <w:rPr>
                <w:b/>
                <w:bCs/>
                <w:sz w:val="24"/>
              </w:rPr>
              <w:t>/d</w:t>
            </w:r>
          </w:p>
          <w:p>
            <w:pPr>
              <w:spacing w:before="156" w:beforeLines="50" w:line="360" w:lineRule="auto"/>
              <w:jc w:val="center"/>
              <w:rPr>
                <w:sz w:val="24"/>
              </w:rPr>
            </w:pPr>
            <w:r>
              <w:rPr>
                <w:sz w:val="24"/>
              </w:rPr>
              <w:object>
                <v:shape id="_x0000_i1030" o:spt="75" type="#_x0000_t75" style="height:325.5pt;width:424.5pt;" o:ole="t" filled="f" coordsize="21600,21600">
                  <v:path/>
                  <v:fill on="f" focussize="0,0"/>
                  <v:stroke/>
                  <v:imagedata r:id="rId17" o:title=""/>
                  <o:lock v:ext="edit" aspectratio="f"/>
                  <w10:wrap type="none"/>
                  <w10:anchorlock/>
                </v:shape>
                <o:OLEObject Type="Embed" ProgID="Visio.Drawing.11" ShapeID="_x0000_i1030" DrawAspect="Content" ObjectID="_1468075730" r:id="rId16">
                  <o:LockedField>false</o:LockedField>
                </o:OLEObject>
              </w:object>
            </w:r>
          </w:p>
          <w:p>
            <w:pPr>
              <w:spacing w:before="156" w:beforeLines="50" w:line="360" w:lineRule="auto"/>
              <w:jc w:val="center"/>
              <w:rPr>
                <w:sz w:val="24"/>
              </w:rPr>
            </w:pPr>
            <w:r>
              <w:rPr>
                <w:b/>
                <w:bCs/>
                <w:sz w:val="24"/>
              </w:rPr>
              <w:t>图2-6 项目全年水平衡图 （括号内废水为情况二）单位m</w:t>
            </w:r>
            <w:r>
              <w:rPr>
                <w:b/>
                <w:bCs/>
                <w:sz w:val="24"/>
                <w:vertAlign w:val="superscript"/>
              </w:rPr>
              <w:t>3</w:t>
            </w:r>
            <w:r>
              <w:rPr>
                <w:b/>
                <w:bCs/>
                <w:sz w:val="24"/>
              </w:rPr>
              <w:t>/</w:t>
            </w:r>
            <w:r>
              <w:rPr>
                <w:rFonts w:hint="eastAsia"/>
                <w:b/>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pStyle w:val="23"/>
              <w:spacing w:line="360" w:lineRule="auto"/>
              <w:jc w:val="both"/>
              <w:outlineLvl w:val="0"/>
              <w:rPr>
                <w:rFonts w:ascii="Times New Roman" w:hAnsi="Times New Roman" w:eastAsiaTheme="majorEastAsia"/>
                <w:b/>
                <w:bCs/>
                <w:snapToGrid w:val="0"/>
                <w:sz w:val="30"/>
                <w:szCs w:val="30"/>
              </w:rPr>
            </w:pPr>
          </w:p>
        </w:tc>
        <w:tc>
          <w:tcPr>
            <w:tcW w:w="8953" w:type="dxa"/>
          </w:tcPr>
          <w:p>
            <w:pPr>
              <w:pStyle w:val="14"/>
              <w:spacing w:line="360" w:lineRule="auto"/>
              <w:ind w:firstLine="480" w:firstLineChars="200"/>
              <w:jc w:val="both"/>
              <w:rPr>
                <w:rFonts w:ascii="Times New Roman"/>
                <w:color w:val="auto"/>
              </w:rPr>
            </w:pPr>
            <w:r>
              <w:rPr>
                <w:rFonts w:ascii="Times New Roman"/>
                <w:color w:val="auto"/>
              </w:rPr>
              <w:t>情况一：污水管网未接通</w:t>
            </w:r>
          </w:p>
          <w:p>
            <w:pPr>
              <w:pStyle w:val="14"/>
              <w:spacing w:line="360" w:lineRule="auto"/>
              <w:ind w:firstLine="480" w:firstLineChars="200"/>
              <w:jc w:val="both"/>
              <w:rPr>
                <w:rFonts w:ascii="Times New Roman"/>
                <w:color w:val="auto"/>
              </w:rPr>
            </w:pPr>
            <w:r>
              <w:rPr>
                <w:rFonts w:ascii="Times New Roman"/>
                <w:color w:val="auto"/>
              </w:rPr>
              <w:t>根据水平衡图分析，</w:t>
            </w:r>
            <w:r>
              <w:rPr>
                <w:rFonts w:hint="eastAsia" w:ascii="Times New Roman"/>
                <w:color w:val="auto"/>
              </w:rPr>
              <w:t>项目</w:t>
            </w:r>
            <w:r>
              <w:rPr>
                <w:rFonts w:ascii="Times New Roman"/>
                <w:color w:val="auto"/>
              </w:rPr>
              <w:t>年新鲜水用量为11570m</w:t>
            </w:r>
            <w:r>
              <w:rPr>
                <w:rFonts w:ascii="Times New Roman"/>
                <w:color w:val="auto"/>
                <w:vertAlign w:val="superscript"/>
              </w:rPr>
              <w:t>3</w:t>
            </w:r>
            <w:r>
              <w:rPr>
                <w:rFonts w:ascii="Times New Roman"/>
                <w:color w:val="auto"/>
              </w:rPr>
              <w:t>/a，污水回用量为45036.4m</w:t>
            </w:r>
            <w:r>
              <w:rPr>
                <w:rFonts w:ascii="Times New Roman"/>
                <w:color w:val="auto"/>
                <w:vertAlign w:val="superscript"/>
              </w:rPr>
              <w:t>3</w:t>
            </w:r>
            <w:r>
              <w:rPr>
                <w:rFonts w:ascii="Times New Roman"/>
                <w:color w:val="auto"/>
              </w:rPr>
              <w:t>/a，产生的污水回用至花卉种植用水环节，无废水外排。</w:t>
            </w:r>
          </w:p>
          <w:p>
            <w:pPr>
              <w:pStyle w:val="14"/>
              <w:spacing w:line="360" w:lineRule="auto"/>
              <w:ind w:firstLine="480" w:firstLineChars="200"/>
              <w:jc w:val="both"/>
              <w:rPr>
                <w:rFonts w:ascii="Times New Roman"/>
                <w:color w:val="auto"/>
              </w:rPr>
            </w:pPr>
            <w:r>
              <w:rPr>
                <w:rFonts w:ascii="Times New Roman"/>
                <w:color w:val="auto"/>
              </w:rPr>
              <w:t>情况二：污水管网接通</w:t>
            </w:r>
          </w:p>
          <w:p>
            <w:pPr>
              <w:pStyle w:val="14"/>
              <w:spacing w:line="360" w:lineRule="auto"/>
              <w:ind w:firstLine="480" w:firstLineChars="200"/>
              <w:jc w:val="both"/>
              <w:rPr>
                <w:rFonts w:ascii="Times New Roman"/>
                <w:bCs/>
                <w:color w:val="auto"/>
              </w:rPr>
            </w:pPr>
            <w:r>
              <w:rPr>
                <w:rFonts w:ascii="Times New Roman"/>
                <w:color w:val="auto"/>
              </w:rPr>
              <w:t>根据水平衡图分析，项目年新鲜水用量为12694.2m</w:t>
            </w:r>
            <w:r>
              <w:rPr>
                <w:rFonts w:ascii="Times New Roman"/>
                <w:color w:val="auto"/>
                <w:vertAlign w:val="superscript"/>
              </w:rPr>
              <w:t>3</w:t>
            </w:r>
            <w:r>
              <w:rPr>
                <w:rFonts w:ascii="Times New Roman"/>
                <w:color w:val="auto"/>
              </w:rPr>
              <w:t>/a，污水回用量为43912.2m</w:t>
            </w:r>
            <w:r>
              <w:rPr>
                <w:rFonts w:ascii="Times New Roman"/>
                <w:color w:val="auto"/>
                <w:vertAlign w:val="superscript"/>
              </w:rPr>
              <w:t>3</w:t>
            </w:r>
            <w:r>
              <w:rPr>
                <w:rFonts w:ascii="Times New Roman"/>
                <w:color w:val="auto"/>
              </w:rPr>
              <w:t>/a，产生的污水排入污水管网，进入姚安县第二污水处理厂进行处理。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3"/>
              <w:jc w:val="both"/>
              <w:outlineLvl w:val="0"/>
              <w:rPr>
                <w:rFonts w:ascii="Times New Roman" w:hAnsi="Times New Roman" w:eastAsiaTheme="majorEastAsia"/>
                <w:b/>
                <w:bCs/>
                <w:snapToGrid w:val="0"/>
                <w:sz w:val="30"/>
                <w:szCs w:val="30"/>
              </w:rPr>
            </w:pPr>
            <w:bookmarkStart w:id="231" w:name="_Toc8094"/>
            <w:bookmarkStart w:id="232" w:name="_Toc144148027"/>
            <w:r>
              <w:rPr>
                <w:rFonts w:ascii="Times New Roman" w:hAnsi="Times New Roman"/>
                <w:bCs/>
              </w:rPr>
              <w:t>与项目有关的原有环境污染问题</w:t>
            </w:r>
            <w:bookmarkEnd w:id="231"/>
            <w:bookmarkEnd w:id="232"/>
          </w:p>
        </w:tc>
        <w:tc>
          <w:tcPr>
            <w:tcW w:w="8953" w:type="dxa"/>
          </w:tcPr>
          <w:p>
            <w:pPr>
              <w:adjustRightInd w:val="0"/>
              <w:snapToGrid w:val="0"/>
              <w:spacing w:line="360" w:lineRule="auto"/>
              <w:ind w:firstLine="480" w:firstLineChars="200"/>
              <w:rPr>
                <w:bCs/>
                <w:sz w:val="24"/>
              </w:rPr>
            </w:pPr>
            <w:r>
              <w:rPr>
                <w:bCs/>
                <w:sz w:val="24"/>
              </w:rPr>
              <w:t>项目为新建，无</w:t>
            </w:r>
            <w:r>
              <w:rPr>
                <w:rFonts w:hint="eastAsia"/>
                <w:bCs/>
                <w:sz w:val="24"/>
              </w:rPr>
              <w:t>与项目有关的</w:t>
            </w:r>
            <w:r>
              <w:rPr>
                <w:bCs/>
                <w:sz w:val="24"/>
              </w:rPr>
              <w:t>原有</w:t>
            </w:r>
            <w:r>
              <w:rPr>
                <w:rFonts w:hint="eastAsia"/>
                <w:bCs/>
                <w:sz w:val="24"/>
              </w:rPr>
              <w:t>环境</w:t>
            </w:r>
            <w:r>
              <w:rPr>
                <w:bCs/>
                <w:sz w:val="24"/>
              </w:rPr>
              <w:t>污染问题。</w:t>
            </w: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p>
            <w:pPr>
              <w:adjustRightInd w:val="0"/>
              <w:snapToGrid w:val="0"/>
              <w:spacing w:line="360" w:lineRule="auto"/>
              <w:rPr>
                <w:bCs/>
                <w:sz w:val="24"/>
              </w:rPr>
            </w:pPr>
          </w:p>
        </w:tc>
      </w:tr>
    </w:tbl>
    <w:p>
      <w:pPr>
        <w:pStyle w:val="23"/>
        <w:spacing w:line="360" w:lineRule="auto"/>
        <w:jc w:val="both"/>
        <w:outlineLvl w:val="0"/>
        <w:rPr>
          <w:rFonts w:ascii="Times New Roman" w:hAnsi="Times New Roman" w:eastAsiaTheme="majorEastAsia"/>
          <w:b/>
          <w:bCs/>
          <w:snapToGrid w:val="0"/>
          <w:sz w:val="30"/>
          <w:szCs w:val="30"/>
        </w:rPr>
      </w:pPr>
    </w:p>
    <w:p>
      <w:pPr>
        <w:spacing w:line="360" w:lineRule="auto"/>
        <w:rPr>
          <w:sz w:val="24"/>
        </w:rPr>
        <w:sectPr>
          <w:pgSz w:w="11906" w:h="16838"/>
          <w:pgMar w:top="1247" w:right="1247" w:bottom="1247" w:left="1247" w:header="851" w:footer="992" w:gutter="0"/>
          <w:cols w:space="425" w:num="1"/>
          <w:docGrid w:type="linesAndChars" w:linePitch="312" w:charSpace="0"/>
        </w:sectPr>
      </w:pPr>
    </w:p>
    <w:p>
      <w:pPr>
        <w:pStyle w:val="23"/>
        <w:spacing w:line="360" w:lineRule="auto"/>
        <w:jc w:val="center"/>
        <w:outlineLvl w:val="0"/>
        <w:rPr>
          <w:rFonts w:ascii="Times New Roman" w:hAnsi="Times New Roman" w:eastAsiaTheme="majorEastAsia"/>
          <w:b/>
          <w:bCs/>
          <w:snapToGrid w:val="0"/>
          <w:sz w:val="30"/>
          <w:szCs w:val="30"/>
        </w:rPr>
      </w:pPr>
      <w:bookmarkStart w:id="233" w:name="_Toc26550"/>
      <w:bookmarkStart w:id="234" w:name="_Toc144148028"/>
      <w:bookmarkStart w:id="235" w:name="_Toc209"/>
      <w:r>
        <w:rPr>
          <w:rFonts w:ascii="Times New Roman" w:hAnsi="Times New Roman" w:eastAsiaTheme="majorEastAsia"/>
          <w:b/>
          <w:bCs/>
          <w:snapToGrid w:val="0"/>
          <w:sz w:val="30"/>
          <w:szCs w:val="30"/>
        </w:rPr>
        <w:t>三、区域环境质量现状、环境保护目标及评价标准</w:t>
      </w:r>
      <w:bookmarkEnd w:id="233"/>
      <w:bookmarkEnd w:id="234"/>
      <w:bookmarkEnd w:id="235"/>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351" w:type="pct"/>
            <w:vAlign w:val="center"/>
          </w:tcPr>
          <w:p>
            <w:pPr>
              <w:adjustRightInd w:val="0"/>
              <w:snapToGrid w:val="0"/>
              <w:spacing w:line="360" w:lineRule="auto"/>
              <w:jc w:val="center"/>
              <w:rPr>
                <w:kern w:val="0"/>
                <w:sz w:val="24"/>
              </w:rPr>
            </w:pPr>
            <w:r>
              <w:rPr>
                <w:kern w:val="0"/>
                <w:sz w:val="24"/>
              </w:rPr>
              <w:t>区域</w:t>
            </w:r>
          </w:p>
          <w:p>
            <w:pPr>
              <w:adjustRightInd w:val="0"/>
              <w:snapToGrid w:val="0"/>
              <w:spacing w:line="360" w:lineRule="auto"/>
              <w:jc w:val="center"/>
              <w:rPr>
                <w:kern w:val="0"/>
                <w:sz w:val="24"/>
              </w:rPr>
            </w:pPr>
            <w:r>
              <w:rPr>
                <w:kern w:val="0"/>
                <w:sz w:val="24"/>
              </w:rPr>
              <w:t>环境</w:t>
            </w:r>
          </w:p>
          <w:p>
            <w:pPr>
              <w:adjustRightInd w:val="0"/>
              <w:snapToGrid w:val="0"/>
              <w:spacing w:line="360" w:lineRule="auto"/>
              <w:jc w:val="center"/>
              <w:rPr>
                <w:kern w:val="0"/>
                <w:sz w:val="24"/>
              </w:rPr>
            </w:pPr>
            <w:r>
              <w:rPr>
                <w:kern w:val="0"/>
                <w:sz w:val="24"/>
              </w:rPr>
              <w:t>质量</w:t>
            </w:r>
          </w:p>
          <w:p>
            <w:pPr>
              <w:adjustRightInd w:val="0"/>
              <w:snapToGrid w:val="0"/>
              <w:spacing w:line="360" w:lineRule="auto"/>
              <w:jc w:val="center"/>
              <w:rPr>
                <w:kern w:val="0"/>
                <w:sz w:val="24"/>
              </w:rPr>
            </w:pPr>
            <w:r>
              <w:rPr>
                <w:kern w:val="0"/>
                <w:sz w:val="24"/>
              </w:rPr>
              <w:t>现状</w:t>
            </w:r>
          </w:p>
        </w:tc>
        <w:tc>
          <w:tcPr>
            <w:tcW w:w="4649" w:type="pct"/>
            <w:vAlign w:val="center"/>
          </w:tcPr>
          <w:p>
            <w:pPr>
              <w:numPr>
                <w:ilvl w:val="0"/>
                <w:numId w:val="4"/>
              </w:numPr>
              <w:adjustRightInd w:val="0"/>
              <w:snapToGrid w:val="0"/>
              <w:spacing w:line="360" w:lineRule="auto"/>
              <w:jc w:val="left"/>
              <w:rPr>
                <w:b/>
                <w:bCs/>
                <w:kern w:val="0"/>
                <w:sz w:val="24"/>
              </w:rPr>
            </w:pPr>
            <w:r>
              <w:rPr>
                <w:b/>
                <w:bCs/>
                <w:kern w:val="0"/>
                <w:sz w:val="24"/>
              </w:rPr>
              <w:t>环境空气质量现状</w:t>
            </w:r>
          </w:p>
          <w:p>
            <w:pPr>
              <w:pStyle w:val="23"/>
              <w:shd w:val="clear" w:color="auto" w:fill="FFFFFF"/>
              <w:spacing w:before="0" w:beforeAutospacing="0" w:after="0" w:afterAutospacing="0" w:line="360" w:lineRule="auto"/>
              <w:ind w:firstLine="420"/>
              <w:rPr>
                <w:rFonts w:ascii="Times New Roman" w:hAnsi="Times New Roman"/>
                <w:szCs w:val="24"/>
              </w:rPr>
            </w:pPr>
            <w:r>
              <w:rPr>
                <w:rFonts w:ascii="Times New Roman" w:hAnsi="Times New Roman"/>
                <w:szCs w:val="24"/>
              </w:rPr>
              <w:t>项目建设于楚雄州</w:t>
            </w:r>
            <w:r>
              <w:rPr>
                <w:rFonts w:ascii="Times New Roman" w:hAnsi="Times New Roman"/>
                <w:bCs/>
                <w:szCs w:val="24"/>
              </w:rPr>
              <w:t>姚安县光禄镇旧城村</w:t>
            </w:r>
            <w:r>
              <w:rPr>
                <w:rFonts w:ascii="Times New Roman" w:hAnsi="Times New Roman"/>
                <w:szCs w:val="24"/>
              </w:rPr>
              <w:t>，为商业、交通、居民混合区，根据</w:t>
            </w:r>
            <w:r>
              <w:rPr>
                <w:rFonts w:ascii="Times New Roman" w:hAnsi="Times New Roman"/>
              </w:rPr>
              <w:t>《环境空气质量标准》（GB3095-2012）中环境空气功能区划分</w:t>
            </w:r>
            <w:r>
              <w:rPr>
                <w:rFonts w:ascii="Times New Roman" w:hAnsi="Times New Roman"/>
                <w:szCs w:val="24"/>
              </w:rPr>
              <w:t>，该区域大气环境功能区划为二类区，执行GB3095-2012《环境空气质量标准》二级标准。根据《姚安县2022年环境质量状况》：</w:t>
            </w:r>
            <w:r>
              <w:rPr>
                <w:rFonts w:ascii="Times New Roman" w:hAnsi="Times New Roman"/>
                <w:szCs w:val="24"/>
                <w:shd w:val="clear" w:color="auto" w:fill="FFFFFF"/>
              </w:rPr>
              <w:t>我县开展监测的城区环境空气质量点位为</w:t>
            </w:r>
            <w:r>
              <w:rPr>
                <w:rFonts w:hint="eastAsia" w:ascii="Times New Roman" w:hAnsi="Times New Roman"/>
                <w:szCs w:val="24"/>
                <w:shd w:val="clear" w:color="auto" w:fill="FFFFFF"/>
              </w:rPr>
              <w:t>县</w:t>
            </w:r>
            <w:r>
              <w:rPr>
                <w:rFonts w:ascii="Times New Roman" w:hAnsi="Times New Roman"/>
                <w:szCs w:val="24"/>
                <w:shd w:val="clear" w:color="auto" w:fill="FFFFFF"/>
              </w:rPr>
              <w:t>国家综合档案馆六楼楼顶，为省控监测点位，监测项目包含可吸入颗粒物（PM</w:t>
            </w:r>
            <w:r>
              <w:rPr>
                <w:rFonts w:ascii="Times New Roman" w:hAnsi="Times New Roman"/>
                <w:szCs w:val="24"/>
                <w:shd w:val="clear" w:color="auto" w:fill="FFFFFF"/>
                <w:vertAlign w:val="subscript"/>
              </w:rPr>
              <w:t>10</w:t>
            </w:r>
            <w:r>
              <w:rPr>
                <w:rFonts w:ascii="Times New Roman" w:hAnsi="Times New Roman"/>
                <w:szCs w:val="24"/>
                <w:shd w:val="clear" w:color="auto" w:fill="FFFFFF"/>
              </w:rPr>
              <w:t>）、细颗粒物（PM</w:t>
            </w:r>
            <w:r>
              <w:rPr>
                <w:rFonts w:ascii="Times New Roman" w:hAnsi="Times New Roman"/>
                <w:szCs w:val="24"/>
                <w:shd w:val="clear" w:color="auto" w:fill="FFFFFF"/>
                <w:vertAlign w:val="subscript"/>
              </w:rPr>
              <w:t>2.5</w:t>
            </w:r>
            <w:r>
              <w:rPr>
                <w:rFonts w:ascii="Times New Roman" w:hAnsi="Times New Roman"/>
                <w:szCs w:val="24"/>
                <w:shd w:val="clear" w:color="auto" w:fill="FFFFFF"/>
              </w:rPr>
              <w:t>）、二氧化硫（SO</w:t>
            </w:r>
            <w:r>
              <w:rPr>
                <w:rFonts w:ascii="Times New Roman" w:hAnsi="Times New Roman"/>
                <w:szCs w:val="24"/>
                <w:shd w:val="clear" w:color="auto" w:fill="FFFFFF"/>
                <w:vertAlign w:val="subscript"/>
              </w:rPr>
              <w:t>2</w:t>
            </w:r>
            <w:r>
              <w:rPr>
                <w:rFonts w:ascii="Times New Roman" w:hAnsi="Times New Roman"/>
                <w:szCs w:val="24"/>
                <w:shd w:val="clear" w:color="auto" w:fill="FFFFFF"/>
              </w:rPr>
              <w:t>）、二氧化氮（NO</w:t>
            </w:r>
            <w:r>
              <w:rPr>
                <w:rFonts w:ascii="Times New Roman" w:hAnsi="Times New Roman"/>
                <w:szCs w:val="24"/>
                <w:shd w:val="clear" w:color="auto" w:fill="FFFFFF"/>
                <w:vertAlign w:val="subscript"/>
              </w:rPr>
              <w:t>2</w:t>
            </w:r>
            <w:r>
              <w:rPr>
                <w:rFonts w:ascii="Times New Roman" w:hAnsi="Times New Roman"/>
                <w:szCs w:val="24"/>
                <w:shd w:val="clear" w:color="auto" w:fill="FFFFFF"/>
              </w:rPr>
              <w:t>）、一氧化碳（CO）、臭氧（O</w:t>
            </w:r>
            <w:r>
              <w:rPr>
                <w:rFonts w:ascii="Times New Roman" w:hAnsi="Times New Roman"/>
                <w:szCs w:val="24"/>
                <w:shd w:val="clear" w:color="auto" w:fill="FFFFFF"/>
                <w:vertAlign w:val="subscript"/>
              </w:rPr>
              <w:t>3</w:t>
            </w:r>
            <w:r>
              <w:rPr>
                <w:rFonts w:ascii="Times New Roman" w:hAnsi="Times New Roman"/>
                <w:szCs w:val="24"/>
                <w:shd w:val="clear" w:color="auto" w:fill="FFFFFF"/>
              </w:rPr>
              <w:t>）等常规6项、气象五参数（温度、湿度、气压、风向、风速）、能见度，监测频次为24小时连续自动监测，并实时上传和发布数据。</w:t>
            </w:r>
          </w:p>
          <w:p>
            <w:pPr>
              <w:pStyle w:val="23"/>
              <w:shd w:val="clear" w:color="auto" w:fill="FFFFFF"/>
              <w:spacing w:before="0" w:beforeAutospacing="0" w:after="0" w:afterAutospacing="0" w:line="360" w:lineRule="auto"/>
              <w:ind w:firstLine="420"/>
              <w:rPr>
                <w:rFonts w:ascii="Times New Roman" w:hAnsi="Times New Roman"/>
                <w:szCs w:val="24"/>
              </w:rPr>
            </w:pPr>
            <w:r>
              <w:rPr>
                <w:rFonts w:ascii="Times New Roman" w:hAnsi="Times New Roman"/>
                <w:szCs w:val="24"/>
                <w:shd w:val="clear" w:color="auto" w:fill="FFFFFF"/>
              </w:rPr>
              <w:t>（一）环境空气质量优良率情况</w:t>
            </w:r>
          </w:p>
          <w:p>
            <w:pPr>
              <w:pStyle w:val="23"/>
              <w:shd w:val="clear" w:color="auto" w:fill="FFFFFF"/>
              <w:spacing w:before="0" w:beforeAutospacing="0" w:after="0" w:afterAutospacing="0" w:line="360" w:lineRule="auto"/>
              <w:ind w:firstLine="420"/>
              <w:rPr>
                <w:rFonts w:ascii="Times New Roman" w:hAnsi="Times New Roman"/>
                <w:szCs w:val="24"/>
              </w:rPr>
            </w:pPr>
            <w:r>
              <w:rPr>
                <w:rFonts w:ascii="Times New Roman" w:hAnsi="Times New Roman"/>
                <w:szCs w:val="24"/>
                <w:shd w:val="clear" w:color="auto" w:fill="FFFFFF"/>
              </w:rPr>
              <w:t>2022年，姚安县环境空气质量优良率为100%，比2021年的99.7%上升0.3个百分点，2022年姚安县城区环境空气质量优良天数统计表见表3-1。</w:t>
            </w:r>
          </w:p>
          <w:p>
            <w:pPr>
              <w:pStyle w:val="23"/>
              <w:shd w:val="clear" w:color="auto" w:fill="FFFFFF"/>
              <w:spacing w:before="0" w:beforeAutospacing="0" w:after="0" w:afterAutospacing="0" w:line="360" w:lineRule="auto"/>
              <w:ind w:firstLine="420"/>
              <w:jc w:val="center"/>
              <w:rPr>
                <w:rFonts w:ascii="Times New Roman" w:hAnsi="Times New Roman"/>
                <w:b/>
                <w:bCs/>
                <w:szCs w:val="24"/>
              </w:rPr>
            </w:pPr>
            <w:r>
              <w:rPr>
                <w:rFonts w:ascii="Times New Roman" w:hAnsi="Times New Roman"/>
                <w:b/>
                <w:bCs/>
                <w:szCs w:val="24"/>
                <w:shd w:val="clear" w:color="auto" w:fill="FFFFFF"/>
              </w:rPr>
              <w:t>表3-1姚安县城区2022年环境空气质量优良天数统计表</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3"/>
              <w:gridCol w:w="422"/>
              <w:gridCol w:w="598"/>
              <w:gridCol w:w="663"/>
              <w:gridCol w:w="663"/>
              <w:gridCol w:w="663"/>
              <w:gridCol w:w="663"/>
              <w:gridCol w:w="663"/>
              <w:gridCol w:w="597"/>
              <w:gridCol w:w="516"/>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pct"/>
                  <w:gridSpan w:val="6"/>
                  <w:vAlign w:val="center"/>
                </w:tcPr>
                <w:p>
                  <w:pPr>
                    <w:pStyle w:val="23"/>
                    <w:spacing w:before="0" w:beforeAutospacing="0" w:after="0" w:afterAutospacing="0"/>
                    <w:jc w:val="center"/>
                    <w:rPr>
                      <w:rFonts w:ascii="Times New Roman" w:hAnsi="Times New Roman"/>
                      <w:b/>
                      <w:bCs/>
                      <w:sz w:val="18"/>
                      <w:szCs w:val="18"/>
                      <w:shd w:val="clear" w:color="auto" w:fill="FFFFFF"/>
                      <w:lang w:bidi="ar"/>
                    </w:rPr>
                  </w:pPr>
                  <w:r>
                    <w:rPr>
                      <w:rFonts w:ascii="Times New Roman" w:hAnsi="Times New Roman"/>
                      <w:b/>
                      <w:bCs/>
                      <w:sz w:val="18"/>
                      <w:szCs w:val="18"/>
                    </w:rPr>
                    <w:t>2022年监测结果</w:t>
                  </w:r>
                </w:p>
              </w:tc>
              <w:tc>
                <w:tcPr>
                  <w:tcW w:w="2538" w:type="pct"/>
                  <w:gridSpan w:val="7"/>
                  <w:vAlign w:val="center"/>
                </w:tcPr>
                <w:p>
                  <w:pPr>
                    <w:pStyle w:val="23"/>
                    <w:spacing w:before="0" w:beforeAutospacing="0" w:after="0" w:afterAutospacing="0"/>
                    <w:jc w:val="center"/>
                    <w:rPr>
                      <w:rFonts w:ascii="Times New Roman" w:hAnsi="Times New Roman"/>
                      <w:b/>
                      <w:bCs/>
                      <w:sz w:val="18"/>
                      <w:szCs w:val="18"/>
                      <w:shd w:val="clear" w:color="auto" w:fill="FFFFFF"/>
                      <w:lang w:bidi="ar"/>
                    </w:rPr>
                  </w:pPr>
                  <w:r>
                    <w:rPr>
                      <w:rFonts w:ascii="Times New Roman" w:hAnsi="Times New Roman"/>
                      <w:b/>
                      <w:bCs/>
                      <w:sz w:val="18"/>
                      <w:szCs w:val="18"/>
                    </w:rPr>
                    <w:t>2021年监测结果</w:t>
                  </w:r>
                </w:p>
              </w:tc>
              <w:tc>
                <w:tcPr>
                  <w:tcW w:w="355" w:type="pct"/>
                  <w:vAlign w:val="center"/>
                </w:tcPr>
                <w:p>
                  <w:pPr>
                    <w:pStyle w:val="23"/>
                    <w:spacing w:before="0" w:beforeAutospacing="0" w:after="0" w:afterAutospacing="0"/>
                    <w:jc w:val="center"/>
                    <w:rPr>
                      <w:rFonts w:ascii="Times New Roman" w:hAnsi="Times New Roman"/>
                      <w:b/>
                      <w:bCs/>
                      <w:sz w:val="18"/>
                      <w:szCs w:val="18"/>
                      <w:shd w:val="clear" w:color="auto" w:fill="FFFFFF"/>
                      <w:lang w:bidi="ar"/>
                    </w:rPr>
                  </w:pPr>
                  <w:r>
                    <w:rPr>
                      <w:rFonts w:ascii="Times New Roman" w:hAnsi="Times New Roman"/>
                      <w:b/>
                      <w:bCs/>
                      <w:sz w:val="18"/>
                      <w:szCs w:val="18"/>
                    </w:rPr>
                    <w:t>比较结果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有效天数（天）</w:t>
                  </w:r>
                </w:p>
              </w:tc>
              <w:tc>
                <w:tcPr>
                  <w:tcW w:w="381"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优（天）</w:t>
                  </w:r>
                </w:p>
              </w:tc>
              <w:tc>
                <w:tcPr>
                  <w:tcW w:w="381"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良（天）</w:t>
                  </w:r>
                </w:p>
              </w:tc>
              <w:tc>
                <w:tcPr>
                  <w:tcW w:w="380"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轻度污染（天）</w:t>
                  </w:r>
                </w:p>
              </w:tc>
              <w:tc>
                <w:tcPr>
                  <w:tcW w:w="242"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超标污染物</w:t>
                  </w:r>
                </w:p>
              </w:tc>
              <w:tc>
                <w:tcPr>
                  <w:tcW w:w="343"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优良率（%）</w:t>
                  </w:r>
                </w:p>
              </w:tc>
              <w:tc>
                <w:tcPr>
                  <w:tcW w:w="380"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有效天数（天）</w:t>
                  </w:r>
                </w:p>
              </w:tc>
              <w:tc>
                <w:tcPr>
                  <w:tcW w:w="380"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优（天）</w:t>
                  </w:r>
                </w:p>
              </w:tc>
              <w:tc>
                <w:tcPr>
                  <w:tcW w:w="380"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良（天）</w:t>
                  </w:r>
                </w:p>
              </w:tc>
              <w:tc>
                <w:tcPr>
                  <w:tcW w:w="380"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轻度污染（天）</w:t>
                  </w:r>
                </w:p>
              </w:tc>
              <w:tc>
                <w:tcPr>
                  <w:tcW w:w="380"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中度污染（天）</w:t>
                  </w:r>
                </w:p>
              </w:tc>
              <w:tc>
                <w:tcPr>
                  <w:tcW w:w="342"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超标污染物</w:t>
                  </w:r>
                </w:p>
              </w:tc>
              <w:tc>
                <w:tcPr>
                  <w:tcW w:w="296" w:type="pct"/>
                  <w:vAlign w:val="center"/>
                </w:tcPr>
                <w:p>
                  <w:pPr>
                    <w:pStyle w:val="23"/>
                    <w:spacing w:before="0" w:beforeAutospacing="0" w:after="0" w:afterAutospacing="0"/>
                    <w:jc w:val="center"/>
                    <w:rPr>
                      <w:rFonts w:ascii="Times New Roman" w:hAnsi="Times New Roman"/>
                      <w:sz w:val="18"/>
                      <w:szCs w:val="18"/>
                    </w:rPr>
                  </w:pPr>
                  <w:r>
                    <w:rPr>
                      <w:rFonts w:ascii="Times New Roman" w:hAnsi="Times New Roman"/>
                      <w:sz w:val="18"/>
                      <w:szCs w:val="18"/>
                    </w:rPr>
                    <w:t>优良率</w:t>
                  </w:r>
                </w:p>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w:t>
                  </w:r>
                </w:p>
              </w:tc>
              <w:tc>
                <w:tcPr>
                  <w:tcW w:w="355" w:type="pct"/>
                  <w:vAlign w:val="center"/>
                </w:tcPr>
                <w:p>
                  <w:pPr>
                    <w:pStyle w:val="23"/>
                    <w:spacing w:before="0" w:beforeAutospacing="0" w:after="0" w:afterAutospacing="0"/>
                    <w:jc w:val="center"/>
                    <w:rPr>
                      <w:rFonts w:ascii="Times New Roman" w:hAnsi="Times New Roman"/>
                      <w:sz w:val="18"/>
                      <w:szCs w:val="18"/>
                    </w:rPr>
                  </w:pPr>
                  <w:r>
                    <w:rPr>
                      <w:rFonts w:ascii="Times New Roman" w:hAnsi="Times New Roman"/>
                      <w:sz w:val="18"/>
                      <w:szCs w:val="18"/>
                    </w:rPr>
                    <w:t>优良率</w:t>
                  </w:r>
                </w:p>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362</w:t>
                  </w:r>
                </w:p>
              </w:tc>
              <w:tc>
                <w:tcPr>
                  <w:tcW w:w="381"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273</w:t>
                  </w:r>
                </w:p>
              </w:tc>
              <w:tc>
                <w:tcPr>
                  <w:tcW w:w="381"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89</w:t>
                  </w:r>
                </w:p>
              </w:tc>
              <w:tc>
                <w:tcPr>
                  <w:tcW w:w="380"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0</w:t>
                  </w:r>
                </w:p>
              </w:tc>
              <w:tc>
                <w:tcPr>
                  <w:tcW w:w="242"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w:t>
                  </w:r>
                </w:p>
              </w:tc>
              <w:tc>
                <w:tcPr>
                  <w:tcW w:w="343"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100</w:t>
                  </w:r>
                </w:p>
              </w:tc>
              <w:tc>
                <w:tcPr>
                  <w:tcW w:w="380"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363</w:t>
                  </w:r>
                </w:p>
              </w:tc>
              <w:tc>
                <w:tcPr>
                  <w:tcW w:w="380"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244</w:t>
                  </w:r>
                </w:p>
              </w:tc>
              <w:tc>
                <w:tcPr>
                  <w:tcW w:w="380"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119</w:t>
                  </w:r>
                </w:p>
              </w:tc>
              <w:tc>
                <w:tcPr>
                  <w:tcW w:w="380"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1</w:t>
                  </w:r>
                </w:p>
              </w:tc>
              <w:tc>
                <w:tcPr>
                  <w:tcW w:w="380"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0</w:t>
                  </w:r>
                </w:p>
              </w:tc>
              <w:tc>
                <w:tcPr>
                  <w:tcW w:w="342"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PM2.5</w:t>
                  </w:r>
                </w:p>
              </w:tc>
              <w:tc>
                <w:tcPr>
                  <w:tcW w:w="296"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99.7</w:t>
                  </w:r>
                </w:p>
              </w:tc>
              <w:tc>
                <w:tcPr>
                  <w:tcW w:w="355" w:type="pct"/>
                  <w:vAlign w:val="center"/>
                </w:tcPr>
                <w:p>
                  <w:pPr>
                    <w:pStyle w:val="23"/>
                    <w:spacing w:before="0" w:beforeAutospacing="0" w:after="0" w:afterAutospacing="0"/>
                    <w:jc w:val="center"/>
                    <w:rPr>
                      <w:rFonts w:ascii="Times New Roman" w:hAnsi="Times New Roman"/>
                      <w:sz w:val="18"/>
                      <w:szCs w:val="18"/>
                      <w:shd w:val="clear" w:color="auto" w:fill="FFFFFF"/>
                      <w:lang w:bidi="ar"/>
                    </w:rPr>
                  </w:pPr>
                  <w:r>
                    <w:rPr>
                      <w:rFonts w:ascii="Times New Roman" w:hAnsi="Times New Roman"/>
                      <w:sz w:val="18"/>
                      <w:szCs w:val="18"/>
                    </w:rPr>
                    <w:t>0.3%</w:t>
                  </w:r>
                </w:p>
              </w:tc>
            </w:tr>
          </w:tbl>
          <w:p>
            <w:pPr>
              <w:widowControl/>
              <w:shd w:val="clear" w:color="auto" w:fill="FFFFFF"/>
              <w:spacing w:line="360" w:lineRule="auto"/>
              <w:jc w:val="left"/>
              <w:rPr>
                <w:sz w:val="24"/>
              </w:rPr>
            </w:pPr>
            <w:r>
              <w:rPr>
                <w:kern w:val="0"/>
                <w:sz w:val="24"/>
                <w:shd w:val="clear" w:color="auto" w:fill="FFFFFF"/>
                <w:lang w:bidi="ar"/>
              </w:rPr>
              <w:t>（二）综合指数变化情况</w:t>
            </w:r>
          </w:p>
          <w:p>
            <w:pPr>
              <w:pStyle w:val="23"/>
              <w:shd w:val="clear" w:color="auto" w:fill="FFFFFF"/>
              <w:spacing w:before="0" w:beforeAutospacing="0" w:after="0" w:afterAutospacing="0" w:line="360" w:lineRule="auto"/>
              <w:ind w:firstLine="420"/>
              <w:rPr>
                <w:rFonts w:ascii="Times New Roman" w:hAnsi="Times New Roman"/>
                <w:szCs w:val="24"/>
              </w:rPr>
            </w:pPr>
            <w:r>
              <w:rPr>
                <w:rFonts w:ascii="Times New Roman" w:hAnsi="Times New Roman"/>
                <w:szCs w:val="24"/>
                <w:shd w:val="clear" w:color="auto" w:fill="FFFFFF"/>
              </w:rPr>
              <w:t>2022年，姚安县环境空气质量综合指数为2.06，较2021年同期下降21.4个百分点，综合指数呈下降趋势，空气质量有所提升。综合指数变化情况详见表3-2。</w:t>
            </w:r>
          </w:p>
          <w:p>
            <w:pPr>
              <w:pStyle w:val="23"/>
              <w:shd w:val="clear" w:color="auto" w:fill="FFFFFF"/>
              <w:spacing w:before="0" w:beforeAutospacing="0" w:after="0" w:afterAutospacing="0" w:line="360" w:lineRule="auto"/>
              <w:jc w:val="center"/>
              <w:rPr>
                <w:rFonts w:ascii="Times New Roman" w:hAnsi="Times New Roman"/>
                <w:b/>
                <w:bCs/>
                <w:szCs w:val="24"/>
              </w:rPr>
            </w:pPr>
            <w:r>
              <w:rPr>
                <w:rFonts w:ascii="Times New Roman" w:hAnsi="Times New Roman"/>
                <w:b/>
                <w:bCs/>
                <w:szCs w:val="24"/>
                <w:shd w:val="clear" w:color="auto" w:fill="FFFFFF"/>
              </w:rPr>
              <w:t>表3-2 姚安县综合指数变化情况统计表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907"/>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23"/>
                    <w:spacing w:before="0" w:beforeAutospacing="0" w:after="0" w:afterAutospacing="0"/>
                    <w:jc w:val="center"/>
                    <w:rPr>
                      <w:rFonts w:ascii="Times New Roman" w:hAnsi="Times New Roman"/>
                      <w:b/>
                      <w:bCs/>
                      <w:sz w:val="21"/>
                      <w:szCs w:val="21"/>
                      <w:shd w:val="clear" w:color="auto" w:fill="FFFFFF"/>
                      <w:lang w:bidi="ar"/>
                    </w:rPr>
                  </w:pPr>
                  <w:r>
                    <w:rPr>
                      <w:rFonts w:ascii="Times New Roman" w:hAnsi="Times New Roman"/>
                      <w:b/>
                      <w:bCs/>
                      <w:sz w:val="21"/>
                      <w:szCs w:val="21"/>
                    </w:rPr>
                    <w:t>2022年综合指数</w:t>
                  </w:r>
                </w:p>
              </w:tc>
              <w:tc>
                <w:tcPr>
                  <w:tcW w:w="1666" w:type="pct"/>
                  <w:vAlign w:val="center"/>
                </w:tcPr>
                <w:p>
                  <w:pPr>
                    <w:pStyle w:val="23"/>
                    <w:spacing w:before="0" w:beforeAutospacing="0" w:after="0" w:afterAutospacing="0"/>
                    <w:jc w:val="center"/>
                    <w:rPr>
                      <w:rFonts w:ascii="Times New Roman" w:hAnsi="Times New Roman"/>
                      <w:b/>
                      <w:bCs/>
                      <w:sz w:val="21"/>
                      <w:szCs w:val="21"/>
                      <w:shd w:val="clear" w:color="auto" w:fill="FFFFFF"/>
                      <w:lang w:bidi="ar"/>
                    </w:rPr>
                  </w:pPr>
                  <w:r>
                    <w:rPr>
                      <w:rFonts w:ascii="Times New Roman" w:hAnsi="Times New Roman"/>
                      <w:b/>
                      <w:bCs/>
                      <w:sz w:val="21"/>
                      <w:szCs w:val="21"/>
                    </w:rPr>
                    <w:t>2021年综合指数</w:t>
                  </w:r>
                </w:p>
              </w:tc>
              <w:tc>
                <w:tcPr>
                  <w:tcW w:w="1666" w:type="pct"/>
                  <w:vAlign w:val="center"/>
                </w:tcPr>
                <w:p>
                  <w:pPr>
                    <w:pStyle w:val="23"/>
                    <w:spacing w:before="0" w:beforeAutospacing="0" w:after="0" w:afterAutospacing="0"/>
                    <w:jc w:val="center"/>
                    <w:rPr>
                      <w:rFonts w:ascii="Times New Roman" w:hAnsi="Times New Roman"/>
                      <w:b/>
                      <w:bCs/>
                      <w:sz w:val="21"/>
                      <w:szCs w:val="21"/>
                      <w:shd w:val="clear" w:color="auto" w:fill="FFFFFF"/>
                      <w:lang w:bidi="ar"/>
                    </w:rPr>
                  </w:pPr>
                  <w:r>
                    <w:rPr>
                      <w:rFonts w:ascii="Times New Roman" w:hAnsi="Times New Roman"/>
                      <w:b/>
                      <w:bCs/>
                      <w:sz w:val="21"/>
                      <w:szCs w:val="21"/>
                    </w:rPr>
                    <w:t>与2021年对比情况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23"/>
                    <w:spacing w:before="0" w:beforeAutospacing="0" w:after="0" w:afterAutospacing="0"/>
                    <w:jc w:val="center"/>
                    <w:rPr>
                      <w:rFonts w:ascii="Times New Roman" w:hAnsi="Times New Roman"/>
                      <w:sz w:val="21"/>
                      <w:szCs w:val="21"/>
                      <w:shd w:val="clear" w:color="auto" w:fill="FFFFFF"/>
                      <w:lang w:bidi="ar"/>
                    </w:rPr>
                  </w:pPr>
                  <w:r>
                    <w:rPr>
                      <w:rFonts w:ascii="Times New Roman" w:hAnsi="Times New Roman"/>
                      <w:sz w:val="21"/>
                      <w:szCs w:val="21"/>
                    </w:rPr>
                    <w:t>2.06</w:t>
                  </w:r>
                </w:p>
              </w:tc>
              <w:tc>
                <w:tcPr>
                  <w:tcW w:w="1666" w:type="pct"/>
                  <w:vAlign w:val="center"/>
                </w:tcPr>
                <w:p>
                  <w:pPr>
                    <w:pStyle w:val="23"/>
                    <w:spacing w:before="0" w:beforeAutospacing="0" w:after="0" w:afterAutospacing="0"/>
                    <w:jc w:val="center"/>
                    <w:rPr>
                      <w:rFonts w:ascii="Times New Roman" w:hAnsi="Times New Roman"/>
                      <w:sz w:val="21"/>
                      <w:szCs w:val="21"/>
                      <w:shd w:val="clear" w:color="auto" w:fill="FFFFFF"/>
                      <w:lang w:bidi="ar"/>
                    </w:rPr>
                  </w:pPr>
                  <w:r>
                    <w:rPr>
                      <w:rFonts w:ascii="Times New Roman" w:hAnsi="Times New Roman"/>
                      <w:sz w:val="21"/>
                      <w:szCs w:val="21"/>
                    </w:rPr>
                    <w:t>2.62</w:t>
                  </w:r>
                </w:p>
              </w:tc>
              <w:tc>
                <w:tcPr>
                  <w:tcW w:w="1666" w:type="pct"/>
                  <w:vAlign w:val="center"/>
                </w:tcPr>
                <w:p>
                  <w:pPr>
                    <w:pStyle w:val="23"/>
                    <w:spacing w:before="0" w:beforeAutospacing="0" w:after="0" w:afterAutospacing="0"/>
                    <w:jc w:val="center"/>
                    <w:rPr>
                      <w:rFonts w:ascii="Times New Roman" w:hAnsi="Times New Roman"/>
                      <w:sz w:val="21"/>
                      <w:szCs w:val="21"/>
                      <w:shd w:val="clear" w:color="auto" w:fill="FFFFFF"/>
                      <w:lang w:bidi="ar"/>
                    </w:rPr>
                  </w:pPr>
                  <w:r>
                    <w:rPr>
                      <w:rFonts w:ascii="Times New Roman" w:hAnsi="Times New Roman"/>
                      <w:sz w:val="21"/>
                      <w:szCs w:val="21"/>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pStyle w:val="23"/>
                    <w:spacing w:before="0" w:beforeAutospacing="0" w:after="0" w:afterAutospacing="0"/>
                    <w:rPr>
                      <w:rFonts w:ascii="Times New Roman" w:hAnsi="Times New Roman"/>
                      <w:sz w:val="21"/>
                      <w:szCs w:val="21"/>
                      <w:shd w:val="clear" w:color="auto" w:fill="FFFFFF"/>
                      <w:lang w:bidi="ar"/>
                    </w:rPr>
                  </w:pPr>
                  <w:r>
                    <w:rPr>
                      <w:rFonts w:ascii="Times New Roman" w:hAnsi="Times New Roman"/>
                      <w:sz w:val="21"/>
                      <w:szCs w:val="21"/>
                    </w:rPr>
                    <w:t>变化情况为“</w:t>
                  </w:r>
                  <w:r>
                    <w:rPr>
                      <w:rFonts w:hint="eastAsia" w:ascii="Times New Roman" w:hAnsi="Times New Roman"/>
                      <w:sz w:val="21"/>
                      <w:szCs w:val="21"/>
                    </w:rPr>
                    <w:t>－</w:t>
                  </w:r>
                  <w:r>
                    <w:rPr>
                      <w:rFonts w:ascii="Times New Roman" w:hAnsi="Times New Roman"/>
                      <w:sz w:val="21"/>
                      <w:szCs w:val="21"/>
                    </w:rPr>
                    <w:t>”代表空气质量提升</w:t>
                  </w:r>
                </w:p>
              </w:tc>
            </w:tr>
          </w:tbl>
          <w:p>
            <w:pPr>
              <w:widowControl/>
              <w:spacing w:line="360" w:lineRule="auto"/>
              <w:jc w:val="left"/>
              <w:rPr>
                <w:sz w:val="24"/>
              </w:rPr>
            </w:pPr>
            <w:r>
              <w:rPr>
                <w:kern w:val="0"/>
                <w:sz w:val="24"/>
                <w:shd w:val="clear" w:color="auto" w:fill="FFFFFF"/>
                <w:lang w:bidi="ar"/>
              </w:rPr>
              <w:t>（三）监测指标监测结果评价情况</w:t>
            </w:r>
          </w:p>
          <w:p>
            <w:pPr>
              <w:pStyle w:val="23"/>
              <w:shd w:val="clear" w:color="auto" w:fill="FFFFFF"/>
              <w:spacing w:before="0" w:beforeAutospacing="0" w:after="0" w:afterAutospacing="0" w:line="360" w:lineRule="auto"/>
              <w:ind w:firstLine="420"/>
              <w:jc w:val="both"/>
              <w:rPr>
                <w:rFonts w:ascii="Times New Roman" w:hAnsi="Times New Roman"/>
                <w:szCs w:val="24"/>
              </w:rPr>
            </w:pPr>
            <w:r>
              <w:rPr>
                <w:rFonts w:ascii="Times New Roman" w:hAnsi="Times New Roman"/>
                <w:szCs w:val="24"/>
                <w:shd w:val="clear" w:color="auto" w:fill="FFFFFF"/>
              </w:rPr>
              <w:t>从各监测指标评价结果来看，姚安县2022年可吸入颗粒物（PM</w:t>
            </w:r>
            <w:r>
              <w:rPr>
                <w:rFonts w:ascii="Times New Roman" w:hAnsi="Times New Roman"/>
                <w:szCs w:val="24"/>
                <w:shd w:val="clear" w:color="auto" w:fill="FFFFFF"/>
                <w:vertAlign w:val="subscript"/>
              </w:rPr>
              <w:t>10</w:t>
            </w:r>
            <w:r>
              <w:rPr>
                <w:rFonts w:ascii="Times New Roman" w:hAnsi="Times New Roman"/>
                <w:szCs w:val="24"/>
                <w:shd w:val="clear" w:color="auto" w:fill="FFFFFF"/>
              </w:rPr>
              <w:t>）、细颗粒物（PM</w:t>
            </w:r>
            <w:r>
              <w:rPr>
                <w:rFonts w:ascii="Times New Roman" w:hAnsi="Times New Roman"/>
                <w:szCs w:val="24"/>
                <w:shd w:val="clear" w:color="auto" w:fill="FFFFFF"/>
                <w:vertAlign w:val="subscript"/>
              </w:rPr>
              <w:t>2.5</w:t>
            </w:r>
            <w:r>
              <w:rPr>
                <w:rFonts w:ascii="Times New Roman" w:hAnsi="Times New Roman"/>
                <w:szCs w:val="24"/>
                <w:shd w:val="clear" w:color="auto" w:fill="FFFFFF"/>
              </w:rPr>
              <w:t>）、二氧化硫（SO</w:t>
            </w:r>
            <w:r>
              <w:rPr>
                <w:rFonts w:ascii="Times New Roman" w:hAnsi="Times New Roman"/>
                <w:szCs w:val="24"/>
                <w:shd w:val="clear" w:color="auto" w:fill="FFFFFF"/>
                <w:vertAlign w:val="subscript"/>
              </w:rPr>
              <w:t>2</w:t>
            </w:r>
            <w:r>
              <w:rPr>
                <w:rFonts w:ascii="Times New Roman" w:hAnsi="Times New Roman"/>
                <w:szCs w:val="24"/>
                <w:shd w:val="clear" w:color="auto" w:fill="FFFFFF"/>
              </w:rPr>
              <w:t>）、二氧化氮（NO</w:t>
            </w:r>
            <w:r>
              <w:rPr>
                <w:rFonts w:ascii="Times New Roman" w:hAnsi="Times New Roman"/>
                <w:szCs w:val="24"/>
                <w:shd w:val="clear" w:color="auto" w:fill="FFFFFF"/>
                <w:vertAlign w:val="subscript"/>
              </w:rPr>
              <w:t>2</w:t>
            </w:r>
            <w:r>
              <w:rPr>
                <w:rFonts w:ascii="Times New Roman" w:hAnsi="Times New Roman"/>
                <w:szCs w:val="24"/>
                <w:shd w:val="clear" w:color="auto" w:fill="FFFFFF"/>
              </w:rPr>
              <w:t>）4个监测指标年均值及一氧化碳（CO）95百分位数监测结果均为一级，臭氧（O</w:t>
            </w:r>
            <w:r>
              <w:rPr>
                <w:rFonts w:ascii="Times New Roman" w:hAnsi="Times New Roman"/>
                <w:szCs w:val="24"/>
                <w:shd w:val="clear" w:color="auto" w:fill="FFFFFF"/>
                <w:vertAlign w:val="subscript"/>
              </w:rPr>
              <w:t>3</w:t>
            </w:r>
            <w:r>
              <w:rPr>
                <w:rFonts w:ascii="Times New Roman" w:hAnsi="Times New Roman"/>
                <w:szCs w:val="24"/>
                <w:shd w:val="clear" w:color="auto" w:fill="FFFFFF"/>
              </w:rPr>
              <w:t>-8h）90百分位数监测结果为二级，其中，细颗粒物（PM</w:t>
            </w:r>
            <w:r>
              <w:rPr>
                <w:rFonts w:ascii="Times New Roman" w:hAnsi="Times New Roman"/>
                <w:szCs w:val="24"/>
                <w:shd w:val="clear" w:color="auto" w:fill="FFFFFF"/>
                <w:vertAlign w:val="subscript"/>
              </w:rPr>
              <w:t>2.5</w:t>
            </w:r>
            <w:r>
              <w:rPr>
                <w:rFonts w:ascii="Times New Roman" w:hAnsi="Times New Roman"/>
                <w:szCs w:val="24"/>
                <w:shd w:val="clear" w:color="auto" w:fill="FFFFFF"/>
              </w:rPr>
              <w:t>）年均值为11微克每立方米，年均值为一级，达到省级下达的20微克每立方米的考核目标要求，各监测指标评价均为二级及以上，空气质量达标。2022年姚安县城区环境空气质量监测指标评价结果统计表见表3-3。</w:t>
            </w:r>
          </w:p>
          <w:p>
            <w:pPr>
              <w:pStyle w:val="23"/>
              <w:shd w:val="clear" w:color="auto" w:fill="FFFFFF"/>
              <w:spacing w:before="0" w:beforeAutospacing="0" w:after="0" w:afterAutospacing="0" w:line="360" w:lineRule="auto"/>
              <w:ind w:firstLine="420"/>
              <w:rPr>
                <w:rFonts w:ascii="Times New Roman" w:hAnsi="Times New Roman"/>
                <w:b/>
                <w:bCs/>
                <w:szCs w:val="24"/>
              </w:rPr>
            </w:pPr>
            <w:r>
              <w:rPr>
                <w:rFonts w:ascii="Times New Roman" w:hAnsi="Times New Roman"/>
                <w:b/>
                <w:bCs/>
                <w:szCs w:val="24"/>
                <w:shd w:val="clear" w:color="auto" w:fill="FFFFFF"/>
              </w:rPr>
              <w:t>表3-3 姚安县城区2022年环境空气质量监测指标评价统计表</w:t>
            </w:r>
          </w:p>
          <w:p>
            <w:pPr>
              <w:widowControl/>
              <w:shd w:val="clear" w:color="auto" w:fill="FFFFFF"/>
              <w:spacing w:line="360" w:lineRule="auto"/>
              <w:jc w:val="right"/>
              <w:rPr>
                <w:sz w:val="24"/>
              </w:rPr>
            </w:pPr>
            <w:r>
              <w:rPr>
                <w:kern w:val="0"/>
                <w:sz w:val="24"/>
                <w:shd w:val="clear" w:color="auto" w:fill="FFFFFF"/>
                <w:lang w:bidi="ar"/>
              </w:rPr>
              <w:t>单位：CO为mg/m</w:t>
            </w:r>
            <w:r>
              <w:rPr>
                <w:kern w:val="0"/>
                <w:sz w:val="24"/>
                <w:shd w:val="clear" w:color="auto" w:fill="FFFFFF"/>
                <w:vertAlign w:val="superscript"/>
                <w:lang w:bidi="ar"/>
              </w:rPr>
              <w:t>3</w:t>
            </w:r>
            <w:r>
              <w:rPr>
                <w:kern w:val="0"/>
                <w:sz w:val="24"/>
                <w:shd w:val="clear" w:color="auto" w:fill="FFFFFF"/>
                <w:lang w:bidi="ar"/>
              </w:rPr>
              <w:t>，其余均为ug/m</w:t>
            </w:r>
            <w:r>
              <w:rPr>
                <w:kern w:val="0"/>
                <w:sz w:val="24"/>
                <w:shd w:val="clear" w:color="auto" w:fill="FFFFFF"/>
                <w:vertAlign w:val="superscript"/>
                <w:lang w:bidi="ar"/>
              </w:rPr>
              <w:t>3</w:t>
            </w:r>
            <w:r>
              <w:rPr>
                <w:kern w:val="0"/>
                <w:sz w:val="24"/>
                <w:shd w:val="clear" w:color="auto" w:fill="FFFFFF"/>
                <w:lang w:bidi="ar"/>
              </w:rPr>
              <w:t>。</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27"/>
              <w:gridCol w:w="727"/>
              <w:gridCol w:w="727"/>
              <w:gridCol w:w="727"/>
              <w:gridCol w:w="727"/>
              <w:gridCol w:w="727"/>
              <w:gridCol w:w="728"/>
              <w:gridCol w:w="726"/>
              <w:gridCol w:w="727"/>
              <w:gridCol w:w="726"/>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gridSpan w:val="2"/>
                  <w:vAlign w:val="center"/>
                </w:tcPr>
                <w:p>
                  <w:pPr>
                    <w:pStyle w:val="23"/>
                    <w:spacing w:before="0" w:beforeAutospacing="0" w:after="0" w:afterAutospacing="0"/>
                    <w:jc w:val="center"/>
                    <w:rPr>
                      <w:rFonts w:ascii="Times New Roman" w:hAnsi="Times New Roman"/>
                      <w:b/>
                      <w:bCs/>
                      <w:sz w:val="21"/>
                      <w:szCs w:val="21"/>
                      <w:shd w:val="clear" w:color="auto" w:fill="FFFFFF"/>
                    </w:rPr>
                  </w:pPr>
                  <w:r>
                    <w:rPr>
                      <w:rFonts w:ascii="Times New Roman" w:hAnsi="Times New Roman"/>
                      <w:b/>
                      <w:bCs/>
                      <w:sz w:val="21"/>
                      <w:szCs w:val="21"/>
                    </w:rPr>
                    <w:t>PM</w:t>
                  </w:r>
                  <w:r>
                    <w:rPr>
                      <w:rFonts w:ascii="Times New Roman" w:hAnsi="Times New Roman"/>
                      <w:b/>
                      <w:bCs/>
                      <w:sz w:val="21"/>
                      <w:szCs w:val="21"/>
                      <w:vertAlign w:val="subscript"/>
                    </w:rPr>
                    <w:t>10</w:t>
                  </w:r>
                </w:p>
              </w:tc>
              <w:tc>
                <w:tcPr>
                  <w:tcW w:w="832" w:type="pct"/>
                  <w:gridSpan w:val="2"/>
                  <w:vAlign w:val="center"/>
                </w:tcPr>
                <w:p>
                  <w:pPr>
                    <w:pStyle w:val="23"/>
                    <w:spacing w:before="0" w:beforeAutospacing="0" w:after="0" w:afterAutospacing="0"/>
                    <w:jc w:val="center"/>
                    <w:rPr>
                      <w:rFonts w:ascii="Times New Roman" w:hAnsi="Times New Roman"/>
                      <w:b/>
                      <w:bCs/>
                      <w:sz w:val="21"/>
                      <w:szCs w:val="21"/>
                      <w:shd w:val="clear" w:color="auto" w:fill="FFFFFF"/>
                    </w:rPr>
                  </w:pPr>
                  <w:r>
                    <w:rPr>
                      <w:rFonts w:ascii="Times New Roman" w:hAnsi="Times New Roman"/>
                      <w:b/>
                      <w:bCs/>
                      <w:sz w:val="21"/>
                      <w:szCs w:val="21"/>
                    </w:rPr>
                    <w:t>PM</w:t>
                  </w:r>
                  <w:r>
                    <w:rPr>
                      <w:rFonts w:ascii="Times New Roman" w:hAnsi="Times New Roman"/>
                      <w:b/>
                      <w:bCs/>
                      <w:sz w:val="21"/>
                      <w:szCs w:val="21"/>
                      <w:vertAlign w:val="subscript"/>
                    </w:rPr>
                    <w:t>2.5</w:t>
                  </w:r>
                </w:p>
              </w:tc>
              <w:tc>
                <w:tcPr>
                  <w:tcW w:w="832" w:type="pct"/>
                  <w:gridSpan w:val="2"/>
                  <w:vAlign w:val="center"/>
                </w:tcPr>
                <w:p>
                  <w:pPr>
                    <w:pStyle w:val="23"/>
                    <w:spacing w:before="0" w:beforeAutospacing="0" w:after="0" w:afterAutospacing="0"/>
                    <w:jc w:val="center"/>
                    <w:rPr>
                      <w:rFonts w:ascii="Times New Roman" w:hAnsi="Times New Roman"/>
                      <w:b/>
                      <w:bCs/>
                      <w:sz w:val="21"/>
                      <w:szCs w:val="21"/>
                      <w:shd w:val="clear" w:color="auto" w:fill="FFFFFF"/>
                    </w:rPr>
                  </w:pPr>
                  <w:r>
                    <w:rPr>
                      <w:rFonts w:ascii="Times New Roman" w:hAnsi="Times New Roman"/>
                      <w:b/>
                      <w:bCs/>
                      <w:sz w:val="21"/>
                      <w:szCs w:val="21"/>
                    </w:rPr>
                    <w:t>SO</w:t>
                  </w:r>
                  <w:r>
                    <w:rPr>
                      <w:rFonts w:ascii="Times New Roman" w:hAnsi="Times New Roman"/>
                      <w:b/>
                      <w:bCs/>
                      <w:sz w:val="21"/>
                      <w:szCs w:val="21"/>
                      <w:vertAlign w:val="subscript"/>
                    </w:rPr>
                    <w:t>2</w:t>
                  </w:r>
                </w:p>
              </w:tc>
              <w:tc>
                <w:tcPr>
                  <w:tcW w:w="833" w:type="pct"/>
                  <w:gridSpan w:val="2"/>
                  <w:vAlign w:val="center"/>
                </w:tcPr>
                <w:p>
                  <w:pPr>
                    <w:pStyle w:val="23"/>
                    <w:spacing w:before="0" w:beforeAutospacing="0" w:after="0" w:afterAutospacing="0"/>
                    <w:jc w:val="center"/>
                    <w:rPr>
                      <w:rFonts w:ascii="Times New Roman" w:hAnsi="Times New Roman"/>
                      <w:b/>
                      <w:bCs/>
                      <w:sz w:val="21"/>
                      <w:szCs w:val="21"/>
                      <w:shd w:val="clear" w:color="auto" w:fill="FFFFFF"/>
                    </w:rPr>
                  </w:pPr>
                  <w:r>
                    <w:rPr>
                      <w:rFonts w:ascii="Times New Roman" w:hAnsi="Times New Roman"/>
                      <w:b/>
                      <w:bCs/>
                      <w:sz w:val="21"/>
                      <w:szCs w:val="21"/>
                    </w:rPr>
                    <w:t>NO</w:t>
                  </w:r>
                  <w:r>
                    <w:rPr>
                      <w:rFonts w:ascii="Times New Roman" w:hAnsi="Times New Roman"/>
                      <w:b/>
                      <w:bCs/>
                      <w:sz w:val="21"/>
                      <w:szCs w:val="21"/>
                      <w:vertAlign w:val="subscript"/>
                    </w:rPr>
                    <w:t>2</w:t>
                  </w:r>
                </w:p>
              </w:tc>
              <w:tc>
                <w:tcPr>
                  <w:tcW w:w="833" w:type="pct"/>
                  <w:gridSpan w:val="2"/>
                  <w:vAlign w:val="center"/>
                </w:tcPr>
                <w:p>
                  <w:pPr>
                    <w:pStyle w:val="23"/>
                    <w:spacing w:before="0" w:beforeAutospacing="0" w:after="0" w:afterAutospacing="0"/>
                    <w:jc w:val="center"/>
                    <w:rPr>
                      <w:rFonts w:ascii="Times New Roman" w:hAnsi="Times New Roman"/>
                      <w:b/>
                      <w:bCs/>
                      <w:sz w:val="21"/>
                      <w:szCs w:val="21"/>
                      <w:shd w:val="clear" w:color="auto" w:fill="FFFFFF"/>
                    </w:rPr>
                  </w:pPr>
                  <w:r>
                    <w:rPr>
                      <w:rFonts w:ascii="Times New Roman" w:hAnsi="Times New Roman"/>
                      <w:b/>
                      <w:bCs/>
                      <w:sz w:val="21"/>
                      <w:szCs w:val="21"/>
                    </w:rPr>
                    <w:t>CO95百分位数</w:t>
                  </w:r>
                </w:p>
              </w:tc>
              <w:tc>
                <w:tcPr>
                  <w:tcW w:w="833" w:type="pct"/>
                  <w:gridSpan w:val="2"/>
                  <w:vAlign w:val="center"/>
                </w:tcPr>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O</w:t>
                  </w:r>
                  <w:r>
                    <w:rPr>
                      <w:rFonts w:ascii="Times New Roman" w:hAnsi="Times New Roman"/>
                      <w:b/>
                      <w:bCs/>
                      <w:sz w:val="21"/>
                      <w:szCs w:val="21"/>
                      <w:vertAlign w:val="subscript"/>
                    </w:rPr>
                    <w:t>3</w:t>
                  </w:r>
                  <w:r>
                    <w:rPr>
                      <w:rFonts w:ascii="Times New Roman" w:hAnsi="Times New Roman"/>
                      <w:b/>
                      <w:bCs/>
                      <w:sz w:val="21"/>
                      <w:szCs w:val="21"/>
                    </w:rPr>
                    <w:t>-8h</w:t>
                  </w:r>
                </w:p>
                <w:p>
                  <w:pPr>
                    <w:pStyle w:val="23"/>
                    <w:spacing w:before="0" w:beforeAutospacing="0" w:after="0" w:afterAutospacing="0"/>
                    <w:jc w:val="center"/>
                    <w:rPr>
                      <w:rFonts w:ascii="Times New Roman" w:hAnsi="Times New Roman"/>
                      <w:b/>
                      <w:bCs/>
                      <w:sz w:val="21"/>
                      <w:szCs w:val="21"/>
                      <w:shd w:val="clear" w:color="auto" w:fill="FFFFFF"/>
                    </w:rPr>
                  </w:pPr>
                  <w:r>
                    <w:rPr>
                      <w:rFonts w:ascii="Times New Roman" w:hAnsi="Times New Roman"/>
                      <w:b/>
                      <w:bCs/>
                      <w:sz w:val="21"/>
                      <w:szCs w:val="21"/>
                    </w:rPr>
                    <w:t>90百分位数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浓度值</w:t>
                  </w:r>
                </w:p>
              </w:tc>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评价结果</w:t>
                  </w:r>
                </w:p>
              </w:tc>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浓度值</w:t>
                  </w:r>
                </w:p>
              </w:tc>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评价结果</w:t>
                  </w:r>
                </w:p>
              </w:tc>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浓度值</w:t>
                  </w:r>
                </w:p>
              </w:tc>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评价结果</w:t>
                  </w:r>
                </w:p>
              </w:tc>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浓度值</w:t>
                  </w:r>
                </w:p>
              </w:tc>
              <w:tc>
                <w:tcPr>
                  <w:tcW w:w="417"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评价结果</w:t>
                  </w:r>
                </w:p>
              </w:tc>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浓度值</w:t>
                  </w:r>
                </w:p>
              </w:tc>
              <w:tc>
                <w:tcPr>
                  <w:tcW w:w="417"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评价结果</w:t>
                  </w:r>
                </w:p>
              </w:tc>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浓度值</w:t>
                  </w:r>
                </w:p>
              </w:tc>
              <w:tc>
                <w:tcPr>
                  <w:tcW w:w="417"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21</w:t>
                  </w:r>
                </w:p>
              </w:tc>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一级</w:t>
                  </w:r>
                </w:p>
              </w:tc>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11</w:t>
                  </w:r>
                </w:p>
              </w:tc>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一级</w:t>
                  </w:r>
                </w:p>
              </w:tc>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9</w:t>
                  </w:r>
                </w:p>
              </w:tc>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一级</w:t>
                  </w:r>
                </w:p>
              </w:tc>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11</w:t>
                  </w:r>
                </w:p>
              </w:tc>
              <w:tc>
                <w:tcPr>
                  <w:tcW w:w="417"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一级</w:t>
                  </w:r>
                </w:p>
              </w:tc>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1.0</w:t>
                  </w:r>
                </w:p>
              </w:tc>
              <w:tc>
                <w:tcPr>
                  <w:tcW w:w="417"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一级</w:t>
                  </w:r>
                </w:p>
              </w:tc>
              <w:tc>
                <w:tcPr>
                  <w:tcW w:w="416"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118</w:t>
                  </w:r>
                </w:p>
              </w:tc>
              <w:tc>
                <w:tcPr>
                  <w:tcW w:w="417" w:type="pct"/>
                  <w:vAlign w:val="center"/>
                </w:tcPr>
                <w:p>
                  <w:pPr>
                    <w:pStyle w:val="23"/>
                    <w:spacing w:before="0" w:beforeAutospacing="0" w:after="0" w:afterAutospacing="0"/>
                    <w:jc w:val="center"/>
                    <w:rPr>
                      <w:rFonts w:ascii="Times New Roman" w:hAnsi="Times New Roman"/>
                      <w:sz w:val="21"/>
                      <w:szCs w:val="21"/>
                      <w:shd w:val="clear" w:color="auto" w:fill="FFFFFF"/>
                    </w:rPr>
                  </w:pPr>
                  <w:r>
                    <w:rPr>
                      <w:rFonts w:ascii="Times New Roman" w:hAnsi="Times New Roman"/>
                      <w:sz w:val="21"/>
                      <w:szCs w:val="21"/>
                    </w:rPr>
                    <w:t>二级</w:t>
                  </w:r>
                </w:p>
              </w:tc>
            </w:tr>
          </w:tbl>
          <w:p>
            <w:pPr>
              <w:pStyle w:val="23"/>
              <w:shd w:val="clear" w:color="auto" w:fill="FFFFFF"/>
              <w:spacing w:before="0" w:beforeAutospacing="0" w:after="0" w:afterAutospacing="0" w:line="360" w:lineRule="auto"/>
              <w:ind w:firstLine="420"/>
              <w:jc w:val="center"/>
              <w:rPr>
                <w:rFonts w:ascii="Times New Roman" w:hAnsi="Times New Roman"/>
                <w:szCs w:val="24"/>
              </w:rPr>
            </w:pPr>
            <w:r>
              <w:rPr>
                <w:rFonts w:ascii="Times New Roman" w:hAnsi="Times New Roman"/>
                <w:b/>
                <w:bCs/>
                <w:szCs w:val="24"/>
                <w:shd w:val="clear" w:color="auto" w:fill="FFFFFF"/>
              </w:rPr>
              <w:t>表3-4姚安县城区2022年环境空气质量监测指标变化统计表</w:t>
            </w:r>
          </w:p>
          <w:p>
            <w:pPr>
              <w:pStyle w:val="23"/>
              <w:shd w:val="clear" w:color="auto" w:fill="FFFFFF"/>
              <w:spacing w:before="0" w:beforeAutospacing="0" w:after="0" w:afterAutospacing="0" w:line="360" w:lineRule="auto"/>
              <w:jc w:val="right"/>
              <w:rPr>
                <w:rFonts w:ascii="Times New Roman" w:hAnsi="Times New Roman"/>
                <w:szCs w:val="24"/>
              </w:rPr>
            </w:pPr>
            <w:r>
              <w:rPr>
                <w:rFonts w:ascii="Times New Roman" w:hAnsi="Times New Roman"/>
                <w:szCs w:val="24"/>
                <w:shd w:val="clear" w:color="auto" w:fill="FFFFFF"/>
              </w:rPr>
              <w:t>单位：CO为mg/m</w:t>
            </w:r>
            <w:r>
              <w:rPr>
                <w:rFonts w:ascii="Times New Roman" w:hAnsi="Times New Roman"/>
                <w:szCs w:val="24"/>
                <w:shd w:val="clear" w:color="auto" w:fill="FFFFFF"/>
                <w:vertAlign w:val="superscript"/>
              </w:rPr>
              <w:t>3</w:t>
            </w:r>
            <w:r>
              <w:rPr>
                <w:rFonts w:ascii="Times New Roman" w:hAnsi="Times New Roman"/>
                <w:szCs w:val="24"/>
                <w:shd w:val="clear" w:color="auto" w:fill="FFFFFF"/>
              </w:rPr>
              <w:t>，其余均为ug/m</w:t>
            </w:r>
            <w:r>
              <w:rPr>
                <w:rFonts w:ascii="Times New Roman" w:hAnsi="Times New Roman"/>
                <w:szCs w:val="24"/>
                <w:shd w:val="clear" w:color="auto" w:fill="FFFFFF"/>
                <w:vertAlign w:val="superscript"/>
              </w:rPr>
              <w:t>3</w:t>
            </w:r>
            <w:r>
              <w:rPr>
                <w:rFonts w:ascii="Times New Roman" w:hAnsi="Times New Roman"/>
                <w:szCs w:val="24"/>
                <w:shd w:val="clear" w:color="auto" w:fill="FFFFFF"/>
              </w:rPr>
              <w:t>。</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752"/>
              <w:gridCol w:w="722"/>
              <w:gridCol w:w="830"/>
              <w:gridCol w:w="647"/>
              <w:gridCol w:w="750"/>
              <w:gridCol w:w="729"/>
              <w:gridCol w:w="825"/>
              <w:gridCol w:w="619"/>
              <w:gridCol w:w="850"/>
              <w:gridCol w:w="707"/>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pct"/>
                  <w:gridSpan w:val="2"/>
                  <w:vAlign w:val="center"/>
                </w:tcPr>
                <w:p>
                  <w:pPr>
                    <w:pStyle w:val="23"/>
                    <w:spacing w:before="0" w:beforeAutospacing="0" w:after="0" w:afterAutospacing="0"/>
                    <w:jc w:val="center"/>
                    <w:rPr>
                      <w:rFonts w:ascii="Times New Roman" w:hAnsi="Times New Roman"/>
                      <w:b/>
                      <w:bCs/>
                      <w:sz w:val="18"/>
                      <w:szCs w:val="18"/>
                      <w:shd w:val="clear" w:color="auto" w:fill="FFFFFF"/>
                    </w:rPr>
                  </w:pPr>
                  <w:r>
                    <w:rPr>
                      <w:rFonts w:ascii="Times New Roman" w:hAnsi="Times New Roman"/>
                      <w:b/>
                      <w:bCs/>
                      <w:sz w:val="18"/>
                      <w:szCs w:val="18"/>
                    </w:rPr>
                    <w:t>PM</w:t>
                  </w:r>
                  <w:r>
                    <w:rPr>
                      <w:rFonts w:ascii="Times New Roman" w:hAnsi="Times New Roman"/>
                      <w:b/>
                      <w:bCs/>
                      <w:sz w:val="18"/>
                      <w:szCs w:val="18"/>
                      <w:vertAlign w:val="subscript"/>
                    </w:rPr>
                    <w:t>10</w:t>
                  </w:r>
                </w:p>
              </w:tc>
              <w:tc>
                <w:tcPr>
                  <w:tcW w:w="890" w:type="pct"/>
                  <w:gridSpan w:val="2"/>
                  <w:vAlign w:val="center"/>
                </w:tcPr>
                <w:p>
                  <w:pPr>
                    <w:pStyle w:val="23"/>
                    <w:spacing w:before="0" w:beforeAutospacing="0" w:after="0" w:afterAutospacing="0"/>
                    <w:jc w:val="center"/>
                    <w:rPr>
                      <w:rFonts w:ascii="Times New Roman" w:hAnsi="Times New Roman"/>
                      <w:b/>
                      <w:bCs/>
                      <w:sz w:val="18"/>
                      <w:szCs w:val="18"/>
                      <w:shd w:val="clear" w:color="auto" w:fill="FFFFFF"/>
                    </w:rPr>
                  </w:pPr>
                  <w:r>
                    <w:rPr>
                      <w:rFonts w:ascii="Times New Roman" w:hAnsi="Times New Roman"/>
                      <w:b/>
                      <w:bCs/>
                      <w:sz w:val="18"/>
                      <w:szCs w:val="18"/>
                    </w:rPr>
                    <w:t>PM</w:t>
                  </w:r>
                  <w:r>
                    <w:rPr>
                      <w:rFonts w:ascii="Times New Roman" w:hAnsi="Times New Roman"/>
                      <w:b/>
                      <w:bCs/>
                      <w:sz w:val="18"/>
                      <w:szCs w:val="18"/>
                      <w:vertAlign w:val="subscript"/>
                    </w:rPr>
                    <w:t>2.5</w:t>
                  </w:r>
                </w:p>
              </w:tc>
              <w:tc>
                <w:tcPr>
                  <w:tcW w:w="801" w:type="pct"/>
                  <w:gridSpan w:val="2"/>
                  <w:vAlign w:val="center"/>
                </w:tcPr>
                <w:p>
                  <w:pPr>
                    <w:pStyle w:val="23"/>
                    <w:spacing w:before="0" w:beforeAutospacing="0" w:after="0" w:afterAutospacing="0"/>
                    <w:jc w:val="center"/>
                    <w:rPr>
                      <w:rFonts w:ascii="Times New Roman" w:hAnsi="Times New Roman"/>
                      <w:b/>
                      <w:bCs/>
                      <w:sz w:val="18"/>
                      <w:szCs w:val="18"/>
                      <w:shd w:val="clear" w:color="auto" w:fill="FFFFFF"/>
                    </w:rPr>
                  </w:pPr>
                  <w:r>
                    <w:rPr>
                      <w:rFonts w:ascii="Times New Roman" w:hAnsi="Times New Roman"/>
                      <w:b/>
                      <w:bCs/>
                      <w:sz w:val="18"/>
                      <w:szCs w:val="18"/>
                    </w:rPr>
                    <w:t>SO</w:t>
                  </w:r>
                  <w:r>
                    <w:rPr>
                      <w:rFonts w:ascii="Times New Roman" w:hAnsi="Times New Roman"/>
                      <w:b/>
                      <w:bCs/>
                      <w:sz w:val="18"/>
                      <w:szCs w:val="18"/>
                      <w:vertAlign w:val="subscript"/>
                    </w:rPr>
                    <w:t>2</w:t>
                  </w:r>
                </w:p>
              </w:tc>
              <w:tc>
                <w:tcPr>
                  <w:tcW w:w="891" w:type="pct"/>
                  <w:gridSpan w:val="2"/>
                  <w:vAlign w:val="center"/>
                </w:tcPr>
                <w:p>
                  <w:pPr>
                    <w:pStyle w:val="23"/>
                    <w:spacing w:before="0" w:beforeAutospacing="0" w:after="0" w:afterAutospacing="0"/>
                    <w:jc w:val="center"/>
                    <w:rPr>
                      <w:rFonts w:ascii="Times New Roman" w:hAnsi="Times New Roman"/>
                      <w:b/>
                      <w:bCs/>
                      <w:sz w:val="18"/>
                      <w:szCs w:val="18"/>
                      <w:shd w:val="clear" w:color="auto" w:fill="FFFFFF"/>
                    </w:rPr>
                  </w:pPr>
                  <w:r>
                    <w:rPr>
                      <w:rFonts w:ascii="Times New Roman" w:hAnsi="Times New Roman"/>
                      <w:b/>
                      <w:bCs/>
                      <w:sz w:val="18"/>
                      <w:szCs w:val="18"/>
                    </w:rPr>
                    <w:t>NO</w:t>
                  </w:r>
                  <w:r>
                    <w:rPr>
                      <w:rFonts w:ascii="Times New Roman" w:hAnsi="Times New Roman"/>
                      <w:b/>
                      <w:bCs/>
                      <w:sz w:val="18"/>
                      <w:szCs w:val="18"/>
                      <w:vertAlign w:val="subscript"/>
                    </w:rPr>
                    <w:t>2</w:t>
                  </w:r>
                </w:p>
              </w:tc>
              <w:tc>
                <w:tcPr>
                  <w:tcW w:w="842" w:type="pct"/>
                  <w:gridSpan w:val="2"/>
                  <w:vAlign w:val="center"/>
                </w:tcPr>
                <w:p>
                  <w:pPr>
                    <w:pStyle w:val="23"/>
                    <w:spacing w:before="0" w:beforeAutospacing="0" w:after="0" w:afterAutospacing="0"/>
                    <w:jc w:val="center"/>
                    <w:rPr>
                      <w:rFonts w:ascii="Times New Roman" w:hAnsi="Times New Roman"/>
                      <w:b/>
                      <w:bCs/>
                      <w:sz w:val="18"/>
                      <w:szCs w:val="18"/>
                      <w:shd w:val="clear" w:color="auto" w:fill="FFFFFF"/>
                    </w:rPr>
                  </w:pPr>
                  <w:r>
                    <w:rPr>
                      <w:rFonts w:ascii="Times New Roman" w:hAnsi="Times New Roman"/>
                      <w:b/>
                      <w:bCs/>
                      <w:sz w:val="18"/>
                      <w:szCs w:val="18"/>
                    </w:rPr>
                    <w:t>CO 95百分位数</w:t>
                  </w:r>
                </w:p>
              </w:tc>
              <w:tc>
                <w:tcPr>
                  <w:tcW w:w="828" w:type="pct"/>
                  <w:gridSpan w:val="2"/>
                  <w:vAlign w:val="center"/>
                </w:tcPr>
                <w:p>
                  <w:pPr>
                    <w:pStyle w:val="23"/>
                    <w:spacing w:before="0" w:beforeAutospacing="0" w:after="0" w:afterAutospacing="0"/>
                    <w:jc w:val="center"/>
                    <w:rPr>
                      <w:rFonts w:ascii="Times New Roman" w:hAnsi="Times New Roman"/>
                      <w:b/>
                      <w:bCs/>
                      <w:sz w:val="18"/>
                      <w:szCs w:val="18"/>
                    </w:rPr>
                  </w:pPr>
                  <w:r>
                    <w:rPr>
                      <w:rFonts w:ascii="Times New Roman" w:hAnsi="Times New Roman"/>
                      <w:b/>
                      <w:bCs/>
                      <w:sz w:val="18"/>
                      <w:szCs w:val="18"/>
                    </w:rPr>
                    <w:t>O</w:t>
                  </w:r>
                  <w:r>
                    <w:rPr>
                      <w:rFonts w:ascii="Times New Roman" w:hAnsi="Times New Roman"/>
                      <w:b/>
                      <w:bCs/>
                      <w:sz w:val="18"/>
                      <w:szCs w:val="18"/>
                      <w:vertAlign w:val="subscript"/>
                    </w:rPr>
                    <w:t>3</w:t>
                  </w:r>
                  <w:r>
                    <w:rPr>
                      <w:rFonts w:ascii="Times New Roman" w:hAnsi="Times New Roman"/>
                      <w:b/>
                      <w:bCs/>
                      <w:sz w:val="18"/>
                      <w:szCs w:val="18"/>
                    </w:rPr>
                    <w:t>-8h</w:t>
                  </w:r>
                </w:p>
                <w:p>
                  <w:pPr>
                    <w:pStyle w:val="23"/>
                    <w:spacing w:before="0" w:beforeAutospacing="0" w:after="0" w:afterAutospacing="0"/>
                    <w:jc w:val="center"/>
                    <w:rPr>
                      <w:rFonts w:ascii="Times New Roman" w:hAnsi="Times New Roman"/>
                      <w:b/>
                      <w:bCs/>
                      <w:sz w:val="18"/>
                      <w:szCs w:val="18"/>
                      <w:shd w:val="clear" w:color="auto" w:fill="FFFFFF"/>
                    </w:rPr>
                  </w:pPr>
                  <w:r>
                    <w:rPr>
                      <w:rFonts w:ascii="Times New Roman" w:hAnsi="Times New Roman"/>
                      <w:b/>
                      <w:bCs/>
                      <w:sz w:val="18"/>
                      <w:szCs w:val="18"/>
                    </w:rPr>
                    <w:t>90百分位数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浓度值</w:t>
                  </w:r>
                </w:p>
              </w:tc>
              <w:tc>
                <w:tcPr>
                  <w:tcW w:w="431"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同比变化</w:t>
                  </w:r>
                </w:p>
              </w:tc>
              <w:tc>
                <w:tcPr>
                  <w:tcW w:w="414"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浓度值</w:t>
                  </w:r>
                </w:p>
              </w:tc>
              <w:tc>
                <w:tcPr>
                  <w:tcW w:w="476"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同比变化</w:t>
                  </w:r>
                </w:p>
              </w:tc>
              <w:tc>
                <w:tcPr>
                  <w:tcW w:w="371"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浓度值</w:t>
                  </w:r>
                </w:p>
              </w:tc>
              <w:tc>
                <w:tcPr>
                  <w:tcW w:w="430"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同比变化</w:t>
                  </w:r>
                </w:p>
              </w:tc>
              <w:tc>
                <w:tcPr>
                  <w:tcW w:w="418"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浓度值</w:t>
                  </w:r>
                </w:p>
              </w:tc>
              <w:tc>
                <w:tcPr>
                  <w:tcW w:w="473"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同比变化</w:t>
                  </w:r>
                </w:p>
              </w:tc>
              <w:tc>
                <w:tcPr>
                  <w:tcW w:w="355"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浓度值</w:t>
                  </w:r>
                </w:p>
              </w:tc>
              <w:tc>
                <w:tcPr>
                  <w:tcW w:w="487"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同比变化</w:t>
                  </w:r>
                </w:p>
              </w:tc>
              <w:tc>
                <w:tcPr>
                  <w:tcW w:w="405"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浓度值</w:t>
                  </w:r>
                </w:p>
              </w:tc>
              <w:tc>
                <w:tcPr>
                  <w:tcW w:w="423"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同比变化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21</w:t>
                  </w:r>
                </w:p>
              </w:tc>
              <w:tc>
                <w:tcPr>
                  <w:tcW w:w="431"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-34.4%</w:t>
                  </w:r>
                </w:p>
              </w:tc>
              <w:tc>
                <w:tcPr>
                  <w:tcW w:w="414"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11</w:t>
                  </w:r>
                </w:p>
              </w:tc>
              <w:tc>
                <w:tcPr>
                  <w:tcW w:w="476"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-26.7%</w:t>
                  </w:r>
                </w:p>
              </w:tc>
              <w:tc>
                <w:tcPr>
                  <w:tcW w:w="371"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9</w:t>
                  </w:r>
                </w:p>
              </w:tc>
              <w:tc>
                <w:tcPr>
                  <w:tcW w:w="430"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-10.0%</w:t>
                  </w:r>
                </w:p>
              </w:tc>
              <w:tc>
                <w:tcPr>
                  <w:tcW w:w="418"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11</w:t>
                  </w:r>
                </w:p>
              </w:tc>
              <w:tc>
                <w:tcPr>
                  <w:tcW w:w="473"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-31.2%</w:t>
                  </w:r>
                </w:p>
              </w:tc>
              <w:tc>
                <w:tcPr>
                  <w:tcW w:w="355"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1</w:t>
                  </w:r>
                </w:p>
              </w:tc>
              <w:tc>
                <w:tcPr>
                  <w:tcW w:w="487"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-9.1%</w:t>
                  </w:r>
                </w:p>
              </w:tc>
              <w:tc>
                <w:tcPr>
                  <w:tcW w:w="405"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118</w:t>
                  </w:r>
                </w:p>
              </w:tc>
              <w:tc>
                <w:tcPr>
                  <w:tcW w:w="423" w:type="pct"/>
                  <w:vAlign w:val="center"/>
                </w:tcPr>
                <w:p>
                  <w:pPr>
                    <w:pStyle w:val="23"/>
                    <w:spacing w:before="0" w:beforeAutospacing="0" w:after="0" w:afterAutospacing="0"/>
                    <w:jc w:val="center"/>
                    <w:rPr>
                      <w:rFonts w:ascii="Times New Roman" w:hAnsi="Times New Roman"/>
                      <w:sz w:val="18"/>
                      <w:szCs w:val="18"/>
                      <w:shd w:val="clear" w:color="auto" w:fill="FFFFFF"/>
                    </w:rPr>
                  </w:pPr>
                  <w:r>
                    <w:rPr>
                      <w:rFonts w:ascii="Times New Roman" w:hAnsi="Times New Roman"/>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vAlign w:val="center"/>
                </w:tcPr>
                <w:p>
                  <w:pPr>
                    <w:pStyle w:val="23"/>
                    <w:spacing w:before="0" w:beforeAutospacing="0" w:after="0" w:afterAutospacing="0"/>
                    <w:rPr>
                      <w:rFonts w:ascii="Times New Roman" w:hAnsi="Times New Roman"/>
                      <w:sz w:val="18"/>
                      <w:szCs w:val="18"/>
                    </w:rPr>
                  </w:pPr>
                  <w:r>
                    <w:rPr>
                      <w:rFonts w:ascii="Times New Roman" w:hAnsi="Times New Roman"/>
                      <w:sz w:val="18"/>
                      <w:szCs w:val="18"/>
                    </w:rPr>
                    <w:t>变化情况为“</w:t>
                  </w:r>
                  <w:r>
                    <w:rPr>
                      <w:rFonts w:hint="eastAsia" w:ascii="Times New Roman" w:hAnsi="Times New Roman"/>
                      <w:sz w:val="18"/>
                      <w:szCs w:val="18"/>
                    </w:rPr>
                    <w:t>－</w:t>
                  </w:r>
                  <w:r>
                    <w:rPr>
                      <w:rFonts w:ascii="Times New Roman" w:hAnsi="Times New Roman"/>
                      <w:sz w:val="18"/>
                      <w:szCs w:val="18"/>
                    </w:rPr>
                    <w:t>”代表空气质量提升</w:t>
                  </w:r>
                </w:p>
              </w:tc>
            </w:tr>
          </w:tbl>
          <w:p>
            <w:pPr>
              <w:widowControl/>
              <w:spacing w:line="360" w:lineRule="auto"/>
              <w:ind w:firstLine="480" w:firstLineChars="200"/>
              <w:rPr>
                <w:sz w:val="24"/>
              </w:rPr>
            </w:pPr>
            <w:r>
              <w:rPr>
                <w:sz w:val="24"/>
              </w:rPr>
              <w:t>姚安县2022年全年六项基本污染物（SO</w:t>
            </w:r>
            <w:r>
              <w:rPr>
                <w:sz w:val="24"/>
                <w:vertAlign w:val="subscript"/>
              </w:rPr>
              <w:t>2</w:t>
            </w:r>
            <w:r>
              <w:rPr>
                <w:sz w:val="24"/>
              </w:rPr>
              <w:t>、NO</w:t>
            </w:r>
            <w:r>
              <w:rPr>
                <w:sz w:val="24"/>
                <w:vertAlign w:val="subscript"/>
              </w:rPr>
              <w:t>2</w:t>
            </w:r>
            <w:r>
              <w:rPr>
                <w:sz w:val="24"/>
              </w:rPr>
              <w:t>、PM</w:t>
            </w:r>
            <w:r>
              <w:rPr>
                <w:sz w:val="24"/>
                <w:vertAlign w:val="subscript"/>
              </w:rPr>
              <w:t>10</w:t>
            </w:r>
            <w:r>
              <w:rPr>
                <w:sz w:val="24"/>
              </w:rPr>
              <w:t>、PM</w:t>
            </w:r>
            <w:r>
              <w:rPr>
                <w:sz w:val="24"/>
                <w:vertAlign w:val="subscript"/>
              </w:rPr>
              <w:t>2.5</w:t>
            </w:r>
            <w:r>
              <w:rPr>
                <w:sz w:val="24"/>
              </w:rPr>
              <w:t>、CO和O</w:t>
            </w:r>
            <w:r>
              <w:rPr>
                <w:sz w:val="24"/>
                <w:vertAlign w:val="subscript"/>
              </w:rPr>
              <w:t>3</w:t>
            </w:r>
            <w:r>
              <w:rPr>
                <w:sz w:val="24"/>
              </w:rPr>
              <w:t>）年均浓度均达标，日均值的相应保证率浓度达标。其环境空气质量为优良，综上，可判定所涉及的姚安县属于环境空气质量达标区</w:t>
            </w:r>
            <w:r>
              <w:rPr>
                <w:kern w:val="0"/>
                <w:sz w:val="24"/>
              </w:rPr>
              <w:t>。</w:t>
            </w:r>
          </w:p>
          <w:p>
            <w:pPr>
              <w:widowControl/>
              <w:spacing w:line="360" w:lineRule="auto"/>
              <w:ind w:firstLine="480" w:firstLineChars="200"/>
              <w:rPr>
                <w:kern w:val="0"/>
                <w:sz w:val="24"/>
              </w:rPr>
            </w:pPr>
            <w:r>
              <w:rPr>
                <w:kern w:val="0"/>
                <w:sz w:val="24"/>
              </w:rPr>
              <w:t>为了解项目区周围大气环境现状，云南花当家园艺有限公司委托云南聚盈环保科技有限公司2023年3月30日的YNJY-[2023]-03036号监测报告（附件6）</w:t>
            </w:r>
            <w:r>
              <w:rPr>
                <w:rFonts w:hint="eastAsia"/>
                <w:kern w:val="0"/>
                <w:sz w:val="24"/>
              </w:rPr>
              <w:t>，</w:t>
            </w:r>
            <w:r>
              <w:rPr>
                <w:kern w:val="0"/>
                <w:sz w:val="24"/>
              </w:rPr>
              <w:t>项目厂界大气环境质量可以达到《环境空气质量标准》（</w:t>
            </w:r>
            <w:r>
              <w:rPr>
                <w:sz w:val="24"/>
              </w:rPr>
              <w:t>GB3095-2012</w:t>
            </w:r>
            <w:r>
              <w:rPr>
                <w:kern w:val="0"/>
                <w:sz w:val="24"/>
              </w:rPr>
              <w:t>）二级标准。</w:t>
            </w:r>
          </w:p>
          <w:p>
            <w:pPr>
              <w:autoSpaceDE w:val="0"/>
              <w:autoSpaceDN w:val="0"/>
              <w:adjustRightInd w:val="0"/>
              <w:snapToGrid w:val="0"/>
              <w:spacing w:line="360" w:lineRule="auto"/>
              <w:jc w:val="center"/>
              <w:rPr>
                <w:b/>
                <w:bCs/>
                <w:sz w:val="24"/>
              </w:rPr>
            </w:pPr>
            <w:r>
              <w:rPr>
                <w:b/>
                <w:bCs/>
                <w:sz w:val="24"/>
              </w:rPr>
              <w:t>表3-5  环境空气质量现状</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1937"/>
              <w:gridCol w:w="2198"/>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368" w:type="pct"/>
                  <w:vMerge w:val="restart"/>
                  <w:vAlign w:val="center"/>
                </w:tcPr>
                <w:p>
                  <w:pPr>
                    <w:widowControl/>
                    <w:jc w:val="center"/>
                    <w:rPr>
                      <w:b/>
                      <w:bCs/>
                      <w:kern w:val="0"/>
                      <w:szCs w:val="21"/>
                    </w:rPr>
                  </w:pPr>
                  <w:r>
                    <w:rPr>
                      <w:b/>
                      <w:bCs/>
                      <w:kern w:val="0"/>
                      <w:szCs w:val="21"/>
                    </w:rPr>
                    <w:t>监测点位</w:t>
                  </w:r>
                </w:p>
              </w:tc>
              <w:tc>
                <w:tcPr>
                  <w:tcW w:w="1110" w:type="pct"/>
                  <w:vMerge w:val="restart"/>
                  <w:vAlign w:val="center"/>
                </w:tcPr>
                <w:p>
                  <w:pPr>
                    <w:widowControl/>
                    <w:jc w:val="center"/>
                    <w:rPr>
                      <w:b/>
                      <w:bCs/>
                      <w:kern w:val="0"/>
                      <w:szCs w:val="21"/>
                    </w:rPr>
                  </w:pPr>
                  <w:r>
                    <w:rPr>
                      <w:b/>
                      <w:bCs/>
                      <w:kern w:val="0"/>
                      <w:szCs w:val="21"/>
                    </w:rPr>
                    <w:t>检测时间</w:t>
                  </w:r>
                </w:p>
              </w:tc>
              <w:tc>
                <w:tcPr>
                  <w:tcW w:w="1260" w:type="pct"/>
                  <w:vAlign w:val="center"/>
                </w:tcPr>
                <w:p>
                  <w:pPr>
                    <w:widowControl/>
                    <w:jc w:val="center"/>
                    <w:rPr>
                      <w:b/>
                      <w:bCs/>
                      <w:kern w:val="0"/>
                      <w:szCs w:val="21"/>
                    </w:rPr>
                  </w:pPr>
                  <w:r>
                    <w:rPr>
                      <w:b/>
                      <w:bCs/>
                      <w:kern w:val="0"/>
                      <w:szCs w:val="21"/>
                    </w:rPr>
                    <w:t>检测项目</w:t>
                  </w:r>
                </w:p>
              </w:tc>
              <w:tc>
                <w:tcPr>
                  <w:tcW w:w="2169" w:type="dxa"/>
                  <w:vAlign w:val="center"/>
                </w:tcPr>
                <w:p>
                  <w:pPr>
                    <w:widowControl/>
                    <w:jc w:val="center"/>
                    <w:rPr>
                      <w:b/>
                      <w:bCs/>
                      <w:kern w:val="0"/>
                      <w:szCs w:val="21"/>
                    </w:rPr>
                  </w:pPr>
                  <w:r>
                    <w:rPr>
                      <w:b/>
                      <w:bCs/>
                      <w:kern w:val="0"/>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368" w:type="pct"/>
                  <w:vMerge w:val="continue"/>
                  <w:vAlign w:val="center"/>
                </w:tcPr>
                <w:p>
                  <w:pPr>
                    <w:widowControl/>
                    <w:jc w:val="center"/>
                    <w:rPr>
                      <w:szCs w:val="21"/>
                    </w:rPr>
                  </w:pPr>
                </w:p>
              </w:tc>
              <w:tc>
                <w:tcPr>
                  <w:tcW w:w="1110" w:type="pct"/>
                  <w:vMerge w:val="continue"/>
                  <w:vAlign w:val="center"/>
                </w:tcPr>
                <w:p>
                  <w:pPr>
                    <w:widowControl/>
                    <w:jc w:val="center"/>
                    <w:rPr>
                      <w:szCs w:val="21"/>
                    </w:rPr>
                  </w:pPr>
                </w:p>
              </w:tc>
              <w:tc>
                <w:tcPr>
                  <w:tcW w:w="1260" w:type="pct"/>
                  <w:vAlign w:val="center"/>
                </w:tcPr>
                <w:p>
                  <w:pPr>
                    <w:widowControl/>
                    <w:jc w:val="center"/>
                    <w:rPr>
                      <w:b/>
                      <w:bCs/>
                      <w:kern w:val="0"/>
                      <w:szCs w:val="21"/>
                    </w:rPr>
                  </w:pPr>
                  <w:r>
                    <w:rPr>
                      <w:b/>
                      <w:bCs/>
                      <w:kern w:val="0"/>
                      <w:szCs w:val="21"/>
                    </w:rPr>
                    <w:t>氮氧化物mg/m</w:t>
                  </w:r>
                  <w:r>
                    <w:rPr>
                      <w:b/>
                      <w:bCs/>
                      <w:kern w:val="0"/>
                      <w:szCs w:val="21"/>
                      <w:vertAlign w:val="superscript"/>
                    </w:rPr>
                    <w:t>3</w:t>
                  </w:r>
                </w:p>
              </w:tc>
              <w:tc>
                <w:tcPr>
                  <w:tcW w:w="2169" w:type="dxa"/>
                  <w:vAlign w:val="center"/>
                </w:tcPr>
                <w:p>
                  <w:pPr>
                    <w:widowControl/>
                    <w:jc w:val="center"/>
                    <w:rPr>
                      <w:b/>
                      <w:bCs/>
                      <w:kern w:val="0"/>
                      <w:szCs w:val="21"/>
                    </w:rPr>
                  </w:pPr>
                  <w:r>
                    <w:rPr>
                      <w:b/>
                      <w:bCs/>
                      <w:kern w:val="0"/>
                      <w:szCs w:val="21"/>
                    </w:rPr>
                    <w:t>氮氧化物mg/m</w:t>
                  </w:r>
                  <w:r>
                    <w:rPr>
                      <w:b/>
                      <w:bCs/>
                      <w:kern w:val="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8" w:type="pct"/>
                  <w:vMerge w:val="restart"/>
                  <w:vAlign w:val="center"/>
                </w:tcPr>
                <w:p>
                  <w:pPr>
                    <w:widowControl/>
                    <w:jc w:val="center"/>
                    <w:rPr>
                      <w:kern w:val="0"/>
                      <w:szCs w:val="21"/>
                    </w:rPr>
                  </w:pPr>
                  <w:r>
                    <w:rPr>
                      <w:kern w:val="0"/>
                      <w:szCs w:val="21"/>
                    </w:rPr>
                    <w:t>荷福新村幼儿园G1</w:t>
                  </w:r>
                </w:p>
              </w:tc>
              <w:tc>
                <w:tcPr>
                  <w:tcW w:w="1110" w:type="pct"/>
                  <w:vAlign w:val="center"/>
                </w:tcPr>
                <w:p>
                  <w:pPr>
                    <w:widowControl/>
                    <w:jc w:val="center"/>
                    <w:rPr>
                      <w:kern w:val="0"/>
                      <w:szCs w:val="21"/>
                    </w:rPr>
                  </w:pPr>
                  <w:r>
                    <w:rPr>
                      <w:kern w:val="0"/>
                      <w:szCs w:val="21"/>
                    </w:rPr>
                    <w:t>2023/03/26</w:t>
                  </w:r>
                </w:p>
              </w:tc>
              <w:tc>
                <w:tcPr>
                  <w:tcW w:w="1260" w:type="pct"/>
                  <w:vAlign w:val="center"/>
                </w:tcPr>
                <w:p>
                  <w:pPr>
                    <w:widowControl/>
                    <w:jc w:val="center"/>
                    <w:rPr>
                      <w:kern w:val="0"/>
                      <w:szCs w:val="21"/>
                    </w:rPr>
                  </w:pPr>
                  <w:r>
                    <w:rPr>
                      <w:kern w:val="0"/>
                      <w:szCs w:val="21"/>
                    </w:rPr>
                    <w:t>0.033</w:t>
                  </w:r>
                </w:p>
              </w:tc>
              <w:tc>
                <w:tcPr>
                  <w:tcW w:w="2169" w:type="dxa"/>
                  <w:vAlign w:val="center"/>
                </w:tcPr>
                <w:p>
                  <w:pPr>
                    <w:widowControl/>
                    <w:jc w:val="center"/>
                    <w:rPr>
                      <w:kern w:val="0"/>
                      <w:szCs w:val="21"/>
                    </w:rPr>
                  </w:pPr>
                  <w:r>
                    <w:rPr>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8" w:type="pct"/>
                  <w:vMerge w:val="continue"/>
                  <w:vAlign w:val="center"/>
                </w:tcPr>
                <w:p>
                  <w:pPr>
                    <w:widowControl/>
                    <w:jc w:val="center"/>
                    <w:rPr>
                      <w:kern w:val="0"/>
                      <w:szCs w:val="21"/>
                    </w:rPr>
                  </w:pPr>
                </w:p>
              </w:tc>
              <w:tc>
                <w:tcPr>
                  <w:tcW w:w="1110" w:type="pct"/>
                  <w:vAlign w:val="center"/>
                </w:tcPr>
                <w:p>
                  <w:pPr>
                    <w:widowControl/>
                    <w:jc w:val="center"/>
                    <w:rPr>
                      <w:kern w:val="0"/>
                      <w:szCs w:val="21"/>
                    </w:rPr>
                  </w:pPr>
                  <w:r>
                    <w:rPr>
                      <w:kern w:val="0"/>
                      <w:szCs w:val="21"/>
                    </w:rPr>
                    <w:t>2023/03/27</w:t>
                  </w:r>
                </w:p>
              </w:tc>
              <w:tc>
                <w:tcPr>
                  <w:tcW w:w="1260" w:type="pct"/>
                  <w:vAlign w:val="center"/>
                </w:tcPr>
                <w:p>
                  <w:pPr>
                    <w:widowControl/>
                    <w:jc w:val="center"/>
                    <w:rPr>
                      <w:kern w:val="0"/>
                      <w:szCs w:val="21"/>
                    </w:rPr>
                  </w:pPr>
                  <w:r>
                    <w:rPr>
                      <w:kern w:val="0"/>
                      <w:szCs w:val="21"/>
                    </w:rPr>
                    <w:t>0.032</w:t>
                  </w:r>
                </w:p>
              </w:tc>
              <w:tc>
                <w:tcPr>
                  <w:tcW w:w="2169" w:type="dxa"/>
                  <w:vAlign w:val="center"/>
                </w:tcPr>
                <w:p>
                  <w:pPr>
                    <w:widowControl/>
                    <w:jc w:val="center"/>
                    <w:rPr>
                      <w:kern w:val="0"/>
                      <w:szCs w:val="21"/>
                    </w:rPr>
                  </w:pPr>
                  <w:r>
                    <w:rPr>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8" w:type="pct"/>
                  <w:vMerge w:val="continue"/>
                  <w:vAlign w:val="center"/>
                </w:tcPr>
                <w:p>
                  <w:pPr>
                    <w:widowControl/>
                    <w:jc w:val="center"/>
                    <w:rPr>
                      <w:kern w:val="0"/>
                      <w:szCs w:val="21"/>
                    </w:rPr>
                  </w:pPr>
                </w:p>
              </w:tc>
              <w:tc>
                <w:tcPr>
                  <w:tcW w:w="1110" w:type="pct"/>
                  <w:vAlign w:val="center"/>
                </w:tcPr>
                <w:p>
                  <w:pPr>
                    <w:widowControl/>
                    <w:jc w:val="center"/>
                    <w:rPr>
                      <w:kern w:val="0"/>
                      <w:szCs w:val="21"/>
                    </w:rPr>
                  </w:pPr>
                  <w:r>
                    <w:rPr>
                      <w:kern w:val="0"/>
                      <w:szCs w:val="21"/>
                    </w:rPr>
                    <w:t>2023/03/28</w:t>
                  </w:r>
                </w:p>
              </w:tc>
              <w:tc>
                <w:tcPr>
                  <w:tcW w:w="1260" w:type="pct"/>
                  <w:vAlign w:val="center"/>
                </w:tcPr>
                <w:p>
                  <w:pPr>
                    <w:widowControl/>
                    <w:jc w:val="center"/>
                    <w:rPr>
                      <w:kern w:val="0"/>
                      <w:szCs w:val="21"/>
                    </w:rPr>
                  </w:pPr>
                  <w:r>
                    <w:rPr>
                      <w:kern w:val="0"/>
                      <w:szCs w:val="21"/>
                    </w:rPr>
                    <w:t>0.033</w:t>
                  </w:r>
                </w:p>
              </w:tc>
              <w:tc>
                <w:tcPr>
                  <w:tcW w:w="2169" w:type="dxa"/>
                  <w:vAlign w:val="center"/>
                </w:tcPr>
                <w:p>
                  <w:pPr>
                    <w:widowControl/>
                    <w:jc w:val="center"/>
                    <w:rPr>
                      <w:kern w:val="0"/>
                      <w:szCs w:val="21"/>
                    </w:rPr>
                  </w:pPr>
                  <w:r>
                    <w:rPr>
                      <w:kern w:val="0"/>
                      <w:szCs w:val="21"/>
                    </w:rPr>
                    <w:t>0.1</w:t>
                  </w:r>
                </w:p>
              </w:tc>
            </w:tr>
          </w:tbl>
          <w:p>
            <w:pPr>
              <w:widowControl/>
              <w:spacing w:line="360" w:lineRule="auto"/>
              <w:ind w:firstLine="480" w:firstLineChars="200"/>
              <w:jc w:val="left"/>
              <w:rPr>
                <w:b/>
                <w:bCs/>
                <w:kern w:val="0"/>
                <w:sz w:val="24"/>
              </w:rPr>
            </w:pPr>
            <w:r>
              <w:rPr>
                <w:rFonts w:eastAsiaTheme="minorEastAsia"/>
                <w:sz w:val="24"/>
              </w:rPr>
              <w:t>该区域大气环境功能区满足《环境空气质量标准》（GB3095-2012）二级标准。</w:t>
            </w:r>
          </w:p>
          <w:p>
            <w:pPr>
              <w:numPr>
                <w:ilvl w:val="0"/>
                <w:numId w:val="4"/>
              </w:numPr>
              <w:adjustRightInd w:val="0"/>
              <w:snapToGrid w:val="0"/>
              <w:spacing w:line="360" w:lineRule="auto"/>
              <w:jc w:val="left"/>
              <w:rPr>
                <w:b/>
                <w:bCs/>
                <w:kern w:val="0"/>
                <w:sz w:val="24"/>
              </w:rPr>
            </w:pPr>
            <w:r>
              <w:rPr>
                <w:b/>
                <w:bCs/>
                <w:kern w:val="0"/>
                <w:sz w:val="24"/>
              </w:rPr>
              <w:t>地表水环境质量现状</w:t>
            </w:r>
          </w:p>
          <w:p>
            <w:pPr>
              <w:widowControl/>
              <w:spacing w:line="360" w:lineRule="auto"/>
              <w:ind w:firstLine="480" w:firstLineChars="200"/>
              <w:rPr>
                <w:sz w:val="24"/>
              </w:rPr>
            </w:pPr>
            <w:r>
              <w:rPr>
                <w:sz w:val="24"/>
              </w:rPr>
              <w:t>项目区主要地表水为西运河，位于本项目东面，相距约1866m。西运河属蜻蛉河支流，上游为西运河，下游为洋派河。项目南面259m处有洋派河支流。根据《云南省水功能区划（第二版）》（云南省水利厅，2013年10月），由姚安县太平至大姚县团塘，涉及功能区为蜻蛉河姚安</w:t>
            </w:r>
            <w:r>
              <w:rPr>
                <w:rFonts w:hint="eastAsia"/>
                <w:sz w:val="24"/>
              </w:rPr>
              <w:t>－</w:t>
            </w:r>
            <w:r>
              <w:rPr>
                <w:sz w:val="24"/>
              </w:rPr>
              <w:t xml:space="preserve">大姚开发利用区，属于长江流域金沙江干流区，水环境功能为农灌为主，兼有工业用水，属于《地表水环境质量标准》（GB3838-2002）的Ⅲ类水功能。 </w:t>
            </w:r>
          </w:p>
          <w:p>
            <w:pPr>
              <w:pStyle w:val="23"/>
              <w:shd w:val="clear" w:color="auto" w:fill="FFFFFF"/>
              <w:spacing w:before="0" w:beforeAutospacing="0" w:after="0" w:afterAutospacing="0" w:line="360" w:lineRule="auto"/>
              <w:ind w:firstLine="420"/>
              <w:jc w:val="both"/>
              <w:rPr>
                <w:rFonts w:ascii="Times New Roman" w:hAnsi="Times New Roman"/>
                <w:szCs w:val="24"/>
                <w:shd w:val="clear" w:color="auto" w:fill="FFFFFF"/>
              </w:rPr>
            </w:pPr>
            <w:r>
              <w:rPr>
                <w:rFonts w:ascii="Times New Roman" w:hAnsi="Times New Roman"/>
                <w:szCs w:val="24"/>
              </w:rPr>
              <w:t>根据《姚安县2022年环境质量状况》</w:t>
            </w:r>
            <w:r>
              <w:rPr>
                <w:rFonts w:hint="eastAsia" w:ascii="Times New Roman" w:hAnsi="Times New Roman"/>
                <w:szCs w:val="24"/>
                <w:shd w:val="clear" w:color="auto" w:fill="FFFFFF"/>
              </w:rPr>
              <w:t>，姚安县</w:t>
            </w:r>
            <w:r>
              <w:rPr>
                <w:rFonts w:ascii="Times New Roman" w:hAnsi="Times New Roman"/>
                <w:szCs w:val="24"/>
                <w:shd w:val="clear" w:color="auto" w:fill="FFFFFF"/>
              </w:rPr>
              <w:t>共设国控断面1个，省控断面4个，监测频次为每月一次。国控断面为渔泡江地索坡脚（经度：100.9986°，纬度：25.6900°），省控断面为蜻蛉河王家桥（经度：101.2272°，纬度：25.6053°）、蜻蛉河源头姚安太平（经度：101.2361°，纬度：25.3950°）、红梅水库（经度：101.1698°，纬度：25.3391°），渔泡江新民大桥（经度：100.9841°，纬度：25.6311°）。2022年，渔泡江地索坡脚、渔泡江新民大桥水质类别为Ⅱ类，水质状况为优，蜻蛉河源头姚安太平断面、红梅水库水质类别为Ⅲ类，水质状况为良好；蜻蛉河王家桥水质类别为Ⅴ类，水质状况为中度污染。水质状况为优（水质类别为优Ⅰ类—Ⅱ类）的断面有2个，占40%，水质状况为良（水质类别为Ⅲ类）的断面有2个、占40%，水质状况为中度污染（水质类别为Ⅴ类）的断面有1个，占20%。姚安县2022年5个国控、省控监测断面水质优良率为80%，各断面水质监测结果见表3-6。</w:t>
            </w:r>
          </w:p>
          <w:p>
            <w:pPr>
              <w:spacing w:line="360" w:lineRule="auto"/>
              <w:ind w:firstLine="480" w:firstLineChars="200"/>
              <w:rPr>
                <w:sz w:val="24"/>
              </w:rPr>
            </w:pPr>
            <w:r>
              <w:rPr>
                <w:b/>
                <w:bCs/>
                <w:kern w:val="0"/>
                <w:sz w:val="24"/>
                <w:shd w:val="clear" w:color="auto" w:fill="FFFFFF"/>
                <w:lang w:bidi="ar"/>
              </w:rPr>
              <w:t>表3-6</w:t>
            </w:r>
            <w:r>
              <w:rPr>
                <w:rFonts w:hint="eastAsia"/>
                <w:b/>
                <w:bCs/>
                <w:kern w:val="0"/>
                <w:sz w:val="24"/>
                <w:shd w:val="clear" w:color="auto" w:fill="FFFFFF"/>
                <w:lang w:bidi="ar"/>
              </w:rPr>
              <w:t xml:space="preserve"> </w:t>
            </w:r>
            <w:r>
              <w:rPr>
                <w:b/>
                <w:bCs/>
                <w:kern w:val="0"/>
                <w:sz w:val="24"/>
                <w:shd w:val="clear" w:color="auto" w:fill="FFFFFF"/>
                <w:lang w:bidi="ar"/>
              </w:rPr>
              <w:t>2022年姚安县国控、省控断面监测结果（年均值）汇总表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62"/>
              <w:gridCol w:w="886"/>
              <w:gridCol w:w="770"/>
              <w:gridCol w:w="769"/>
              <w:gridCol w:w="874"/>
              <w:gridCol w:w="733"/>
              <w:gridCol w:w="822"/>
              <w:gridCol w:w="972"/>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Merge w:val="restart"/>
                  <w:vAlign w:val="center"/>
                </w:tcPr>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序号</w:t>
                  </w:r>
                </w:p>
              </w:tc>
              <w:tc>
                <w:tcPr>
                  <w:tcW w:w="2498" w:type="pct"/>
                  <w:gridSpan w:val="5"/>
                  <w:vAlign w:val="center"/>
                </w:tcPr>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断面（点位）信息</w:t>
                  </w:r>
                </w:p>
              </w:tc>
              <w:tc>
                <w:tcPr>
                  <w:tcW w:w="891" w:type="pct"/>
                  <w:gridSpan w:val="2"/>
                  <w:vAlign w:val="center"/>
                </w:tcPr>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监测情况</w:t>
                  </w:r>
                </w:p>
              </w:tc>
              <w:tc>
                <w:tcPr>
                  <w:tcW w:w="1109" w:type="pct"/>
                  <w:gridSpan w:val="2"/>
                  <w:vAlign w:val="center"/>
                </w:tcPr>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Merge w:val="continue"/>
                  <w:vAlign w:val="center"/>
                </w:tcPr>
                <w:p>
                  <w:pPr>
                    <w:jc w:val="center"/>
                    <w:rPr>
                      <w:b/>
                      <w:bCs/>
                      <w:szCs w:val="21"/>
                    </w:rPr>
                  </w:pPr>
                </w:p>
              </w:tc>
              <w:tc>
                <w:tcPr>
                  <w:tcW w:w="608" w:type="pct"/>
                  <w:vAlign w:val="center"/>
                </w:tcPr>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断面（点位）名称</w:t>
                  </w:r>
                </w:p>
              </w:tc>
              <w:tc>
                <w:tcPr>
                  <w:tcW w:w="507" w:type="pct"/>
                  <w:vAlign w:val="center"/>
                </w:tcPr>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所在河流</w:t>
                  </w:r>
                </w:p>
              </w:tc>
              <w:tc>
                <w:tcPr>
                  <w:tcW w:w="441" w:type="pct"/>
                  <w:vAlign w:val="center"/>
                </w:tcPr>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所在流域</w:t>
                  </w:r>
                </w:p>
              </w:tc>
              <w:tc>
                <w:tcPr>
                  <w:tcW w:w="441" w:type="pct"/>
                  <w:vAlign w:val="center"/>
                </w:tcPr>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所在乡镇</w:t>
                  </w:r>
                </w:p>
              </w:tc>
              <w:tc>
                <w:tcPr>
                  <w:tcW w:w="500" w:type="pct"/>
                  <w:vAlign w:val="center"/>
                </w:tcPr>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断面性质</w:t>
                  </w:r>
                </w:p>
              </w:tc>
              <w:tc>
                <w:tcPr>
                  <w:tcW w:w="420" w:type="pct"/>
                  <w:vAlign w:val="center"/>
                </w:tcPr>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水质</w:t>
                  </w:r>
                </w:p>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类别</w:t>
                  </w:r>
                </w:p>
              </w:tc>
              <w:tc>
                <w:tcPr>
                  <w:tcW w:w="470" w:type="pct"/>
                  <w:vAlign w:val="center"/>
                </w:tcPr>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水质</w:t>
                  </w:r>
                </w:p>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状况</w:t>
                  </w:r>
                </w:p>
              </w:tc>
              <w:tc>
                <w:tcPr>
                  <w:tcW w:w="557" w:type="pct"/>
                  <w:vAlign w:val="center"/>
                </w:tcPr>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上年水</w:t>
                  </w:r>
                </w:p>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质类别</w:t>
                  </w:r>
                </w:p>
              </w:tc>
              <w:tc>
                <w:tcPr>
                  <w:tcW w:w="552" w:type="pct"/>
                  <w:vAlign w:val="center"/>
                </w:tcPr>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同比上年水</w:t>
                  </w:r>
                </w:p>
                <w:p>
                  <w:pPr>
                    <w:pStyle w:val="23"/>
                    <w:spacing w:before="0" w:beforeAutospacing="0" w:after="0" w:afterAutospacing="0"/>
                    <w:jc w:val="center"/>
                    <w:rPr>
                      <w:rFonts w:ascii="Times New Roman" w:hAnsi="Times New Roman"/>
                      <w:b/>
                      <w:bCs/>
                      <w:sz w:val="21"/>
                      <w:szCs w:val="21"/>
                    </w:rPr>
                  </w:pPr>
                  <w:r>
                    <w:rPr>
                      <w:rFonts w:ascii="Times New Roman" w:hAnsi="Times New Roman"/>
                      <w:b/>
                      <w:bCs/>
                      <w:sz w:val="21"/>
                      <w:szCs w:val="21"/>
                    </w:rPr>
                    <w:t>质变化情况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1</w:t>
                  </w:r>
                </w:p>
              </w:tc>
              <w:tc>
                <w:tcPr>
                  <w:tcW w:w="608"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地索村坡脚</w:t>
                  </w:r>
                </w:p>
              </w:tc>
              <w:tc>
                <w:tcPr>
                  <w:tcW w:w="507"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渔泡江</w:t>
                  </w:r>
                </w:p>
              </w:tc>
              <w:tc>
                <w:tcPr>
                  <w:tcW w:w="441" w:type="pct"/>
                  <w:vMerge w:val="restar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长江</w:t>
                  </w:r>
                </w:p>
              </w:tc>
              <w:tc>
                <w:tcPr>
                  <w:tcW w:w="441"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左门乡</w:t>
                  </w:r>
                </w:p>
              </w:tc>
              <w:tc>
                <w:tcPr>
                  <w:tcW w:w="500"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国控</w:t>
                  </w:r>
                </w:p>
              </w:tc>
              <w:tc>
                <w:tcPr>
                  <w:tcW w:w="420"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Ⅱ类</w:t>
                  </w:r>
                </w:p>
              </w:tc>
              <w:tc>
                <w:tcPr>
                  <w:tcW w:w="470"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优</w:t>
                  </w:r>
                </w:p>
              </w:tc>
              <w:tc>
                <w:tcPr>
                  <w:tcW w:w="557"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Ⅱ类</w:t>
                  </w:r>
                </w:p>
              </w:tc>
              <w:tc>
                <w:tcPr>
                  <w:tcW w:w="552"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2</w:t>
                  </w:r>
                </w:p>
              </w:tc>
              <w:tc>
                <w:tcPr>
                  <w:tcW w:w="608"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新民大桥</w:t>
                  </w:r>
                </w:p>
              </w:tc>
              <w:tc>
                <w:tcPr>
                  <w:tcW w:w="507"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渔泡江</w:t>
                  </w:r>
                </w:p>
              </w:tc>
              <w:tc>
                <w:tcPr>
                  <w:tcW w:w="441" w:type="pct"/>
                  <w:vMerge w:val="continue"/>
                  <w:vAlign w:val="center"/>
                </w:tcPr>
                <w:p>
                  <w:pPr>
                    <w:jc w:val="center"/>
                    <w:rPr>
                      <w:szCs w:val="21"/>
                    </w:rPr>
                  </w:pPr>
                </w:p>
              </w:tc>
              <w:tc>
                <w:tcPr>
                  <w:tcW w:w="441"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楚雄州大理州交界</w:t>
                  </w:r>
                </w:p>
              </w:tc>
              <w:tc>
                <w:tcPr>
                  <w:tcW w:w="500" w:type="pct"/>
                  <w:vMerge w:val="restar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省控</w:t>
                  </w:r>
                </w:p>
              </w:tc>
              <w:tc>
                <w:tcPr>
                  <w:tcW w:w="420"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Ⅱ类</w:t>
                  </w:r>
                </w:p>
              </w:tc>
              <w:tc>
                <w:tcPr>
                  <w:tcW w:w="470"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优</w:t>
                  </w:r>
                </w:p>
              </w:tc>
              <w:tc>
                <w:tcPr>
                  <w:tcW w:w="557"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__</w:t>
                  </w:r>
                </w:p>
              </w:tc>
              <w:tc>
                <w:tcPr>
                  <w:tcW w:w="552"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3</w:t>
                  </w:r>
                </w:p>
              </w:tc>
              <w:tc>
                <w:tcPr>
                  <w:tcW w:w="608"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姚安太平</w:t>
                  </w:r>
                </w:p>
              </w:tc>
              <w:tc>
                <w:tcPr>
                  <w:tcW w:w="507"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蜻蛉河</w:t>
                  </w:r>
                </w:p>
              </w:tc>
              <w:tc>
                <w:tcPr>
                  <w:tcW w:w="441" w:type="pct"/>
                  <w:vMerge w:val="continue"/>
                  <w:vAlign w:val="center"/>
                </w:tcPr>
                <w:p>
                  <w:pPr>
                    <w:jc w:val="center"/>
                    <w:rPr>
                      <w:szCs w:val="21"/>
                    </w:rPr>
                  </w:pPr>
                </w:p>
              </w:tc>
              <w:tc>
                <w:tcPr>
                  <w:tcW w:w="441"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太平镇</w:t>
                  </w:r>
                </w:p>
              </w:tc>
              <w:tc>
                <w:tcPr>
                  <w:tcW w:w="500" w:type="pct"/>
                  <w:vMerge w:val="continue"/>
                  <w:vAlign w:val="center"/>
                </w:tcPr>
                <w:p>
                  <w:pPr>
                    <w:jc w:val="center"/>
                    <w:rPr>
                      <w:szCs w:val="21"/>
                    </w:rPr>
                  </w:pPr>
                </w:p>
              </w:tc>
              <w:tc>
                <w:tcPr>
                  <w:tcW w:w="420"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Ⅲ类</w:t>
                  </w:r>
                </w:p>
              </w:tc>
              <w:tc>
                <w:tcPr>
                  <w:tcW w:w="470"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良好</w:t>
                  </w:r>
                </w:p>
              </w:tc>
              <w:tc>
                <w:tcPr>
                  <w:tcW w:w="557"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Ⅱ类</w:t>
                  </w:r>
                </w:p>
              </w:tc>
              <w:tc>
                <w:tcPr>
                  <w:tcW w:w="552"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有所下降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4</w:t>
                  </w:r>
                </w:p>
              </w:tc>
              <w:tc>
                <w:tcPr>
                  <w:tcW w:w="608"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红梅水库</w:t>
                  </w:r>
                </w:p>
              </w:tc>
              <w:tc>
                <w:tcPr>
                  <w:tcW w:w="507"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湖库（渔泡江）</w:t>
                  </w:r>
                </w:p>
              </w:tc>
              <w:tc>
                <w:tcPr>
                  <w:tcW w:w="441" w:type="pct"/>
                  <w:vMerge w:val="continue"/>
                  <w:vAlign w:val="center"/>
                </w:tcPr>
                <w:p>
                  <w:pPr>
                    <w:jc w:val="center"/>
                    <w:rPr>
                      <w:szCs w:val="21"/>
                    </w:rPr>
                  </w:pPr>
                </w:p>
              </w:tc>
              <w:tc>
                <w:tcPr>
                  <w:tcW w:w="441"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弥兴镇</w:t>
                  </w:r>
                </w:p>
              </w:tc>
              <w:tc>
                <w:tcPr>
                  <w:tcW w:w="500" w:type="pct"/>
                  <w:vMerge w:val="continue"/>
                  <w:vAlign w:val="center"/>
                </w:tcPr>
                <w:p>
                  <w:pPr>
                    <w:jc w:val="center"/>
                    <w:rPr>
                      <w:szCs w:val="21"/>
                    </w:rPr>
                  </w:pPr>
                </w:p>
              </w:tc>
              <w:tc>
                <w:tcPr>
                  <w:tcW w:w="420"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Ⅲ类</w:t>
                  </w:r>
                </w:p>
              </w:tc>
              <w:tc>
                <w:tcPr>
                  <w:tcW w:w="470"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良好</w:t>
                  </w:r>
                </w:p>
              </w:tc>
              <w:tc>
                <w:tcPr>
                  <w:tcW w:w="557"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Ⅲ类</w:t>
                  </w:r>
                </w:p>
              </w:tc>
              <w:tc>
                <w:tcPr>
                  <w:tcW w:w="552"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5</w:t>
                  </w:r>
                </w:p>
              </w:tc>
              <w:tc>
                <w:tcPr>
                  <w:tcW w:w="608"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王家桥</w:t>
                  </w:r>
                </w:p>
              </w:tc>
              <w:tc>
                <w:tcPr>
                  <w:tcW w:w="507"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蜻蛉河</w:t>
                  </w:r>
                </w:p>
              </w:tc>
              <w:tc>
                <w:tcPr>
                  <w:tcW w:w="441" w:type="pct"/>
                  <w:vMerge w:val="continue"/>
                  <w:vAlign w:val="center"/>
                </w:tcPr>
                <w:p>
                  <w:pPr>
                    <w:jc w:val="center"/>
                    <w:rPr>
                      <w:szCs w:val="21"/>
                    </w:rPr>
                  </w:pPr>
                </w:p>
              </w:tc>
              <w:tc>
                <w:tcPr>
                  <w:tcW w:w="441"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光禄镇</w:t>
                  </w:r>
                </w:p>
              </w:tc>
              <w:tc>
                <w:tcPr>
                  <w:tcW w:w="500" w:type="pct"/>
                  <w:vMerge w:val="continue"/>
                  <w:vAlign w:val="center"/>
                </w:tcPr>
                <w:p>
                  <w:pPr>
                    <w:jc w:val="center"/>
                    <w:rPr>
                      <w:szCs w:val="21"/>
                    </w:rPr>
                  </w:pPr>
                </w:p>
              </w:tc>
              <w:tc>
                <w:tcPr>
                  <w:tcW w:w="420"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Ⅴ类</w:t>
                  </w:r>
                </w:p>
              </w:tc>
              <w:tc>
                <w:tcPr>
                  <w:tcW w:w="470"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中度污染</w:t>
                  </w:r>
                </w:p>
              </w:tc>
              <w:tc>
                <w:tcPr>
                  <w:tcW w:w="557"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Ⅴ类</w:t>
                  </w:r>
                </w:p>
              </w:tc>
              <w:tc>
                <w:tcPr>
                  <w:tcW w:w="552" w:type="pct"/>
                  <w:vAlign w:val="center"/>
                </w:tcPr>
                <w:p>
                  <w:pPr>
                    <w:pStyle w:val="23"/>
                    <w:spacing w:before="0" w:beforeAutospacing="0" w:after="0" w:afterAutospacing="0"/>
                    <w:jc w:val="center"/>
                    <w:rPr>
                      <w:rFonts w:ascii="Times New Roman" w:hAnsi="Times New Roman"/>
                      <w:sz w:val="21"/>
                      <w:szCs w:val="21"/>
                    </w:rPr>
                  </w:pPr>
                  <w:r>
                    <w:rPr>
                      <w:rFonts w:ascii="Times New Roman" w:hAnsi="Times New Roman"/>
                      <w:sz w:val="21"/>
                      <w:szCs w:val="21"/>
                    </w:rPr>
                    <w:t>无明显变化</w:t>
                  </w:r>
                </w:p>
              </w:tc>
            </w:tr>
          </w:tbl>
          <w:p>
            <w:pPr>
              <w:spacing w:line="360" w:lineRule="auto"/>
              <w:ind w:firstLine="480" w:firstLineChars="200"/>
              <w:rPr>
                <w:sz w:val="24"/>
              </w:rPr>
            </w:pPr>
            <w:r>
              <w:rPr>
                <w:sz w:val="24"/>
              </w:rPr>
              <w:t>目前，项目所在区域地表水环境质量不稳定，环境承载能力不强。水质不稳定原因：姚安县污水处理厂下游村庄的生活污水未经污水处理厂处理直接经沟渠排入蜻蛉河，蜻蛉河周边农田灌溉水排入蜻蛉河。但是本项目废水不直接排入地表水体。</w:t>
            </w:r>
          </w:p>
          <w:p>
            <w:pPr>
              <w:numPr>
                <w:ilvl w:val="0"/>
                <w:numId w:val="4"/>
              </w:numPr>
              <w:adjustRightInd w:val="0"/>
              <w:snapToGrid w:val="0"/>
              <w:spacing w:line="360" w:lineRule="auto"/>
              <w:jc w:val="left"/>
              <w:rPr>
                <w:b/>
                <w:bCs/>
                <w:kern w:val="0"/>
                <w:sz w:val="24"/>
              </w:rPr>
            </w:pPr>
            <w:r>
              <w:rPr>
                <w:b/>
                <w:bCs/>
                <w:kern w:val="0"/>
                <w:sz w:val="24"/>
              </w:rPr>
              <w:t>声环境质量现状</w:t>
            </w:r>
          </w:p>
          <w:p>
            <w:pPr>
              <w:adjustRightInd w:val="0"/>
              <w:snapToGrid w:val="0"/>
              <w:spacing w:line="360" w:lineRule="auto"/>
              <w:ind w:firstLine="480" w:firstLineChars="200"/>
              <w:rPr>
                <w:kern w:val="0"/>
                <w:sz w:val="24"/>
              </w:rPr>
            </w:pPr>
            <w:r>
              <w:rPr>
                <w:kern w:val="0"/>
                <w:sz w:val="24"/>
              </w:rPr>
              <w:t>项目位于</w:t>
            </w:r>
            <w:r>
              <w:rPr>
                <w:sz w:val="24"/>
              </w:rPr>
              <w:t>楚雄州</w:t>
            </w:r>
            <w:r>
              <w:rPr>
                <w:bCs/>
                <w:sz w:val="24"/>
              </w:rPr>
              <w:t>姚安县光禄镇旧城村</w:t>
            </w:r>
            <w:r>
              <w:rPr>
                <w:kern w:val="0"/>
                <w:sz w:val="24"/>
              </w:rPr>
              <w:t>，厂区南面紧邻姚旧罗线，北面是嘉橙农业有限公司，西面和南面为空地，东面为宇锦园艺有限公司；周边50米范围内有声环境保护目标杨家村，因此</w:t>
            </w:r>
            <w:r>
              <w:rPr>
                <w:rFonts w:hint="eastAsia"/>
                <w:kern w:val="0"/>
                <w:sz w:val="24"/>
              </w:rPr>
              <w:t>项目区及周边</w:t>
            </w:r>
            <w:r>
              <w:rPr>
                <w:kern w:val="0"/>
                <w:sz w:val="24"/>
              </w:rPr>
              <w:t>声环境执行《声环境质量标准》（GB3096-2008）2类标准。根据云南聚盈环保科技有限公司2023年3月30日的YNJY-[2023]-03036号监测报告（附件6），项目厂界声环境质量可以达到《声环境质量标准》（GB3096-2008）2类，项目所在区域属于声环境达标区。</w:t>
            </w:r>
          </w:p>
          <w:p>
            <w:pPr>
              <w:autoSpaceDE w:val="0"/>
              <w:autoSpaceDN w:val="0"/>
              <w:adjustRightInd w:val="0"/>
              <w:snapToGrid w:val="0"/>
              <w:spacing w:line="360" w:lineRule="auto"/>
              <w:jc w:val="center"/>
              <w:rPr>
                <w:b/>
                <w:bCs/>
                <w:sz w:val="24"/>
              </w:rPr>
            </w:pPr>
            <w:r>
              <w:rPr>
                <w:b/>
                <w:bCs/>
                <w:sz w:val="24"/>
              </w:rPr>
              <w:t>表3-7  声环境质量现状</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745"/>
              <w:gridCol w:w="1745"/>
              <w:gridCol w:w="17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99" w:type="pct"/>
                  <w:tcBorders>
                    <w:tl2br w:val="single" w:color="auto" w:sz="4" w:space="0"/>
                  </w:tcBorders>
                </w:tcPr>
                <w:p>
                  <w:pPr>
                    <w:widowControl/>
                    <w:jc w:val="center"/>
                    <w:rPr>
                      <w:b/>
                      <w:bCs/>
                      <w:kern w:val="0"/>
                      <w:szCs w:val="21"/>
                    </w:rPr>
                  </w:pPr>
                  <w:r>
                    <w:rPr>
                      <w:b/>
                      <w:bCs/>
                      <w:kern w:val="0"/>
                      <w:szCs w:val="21"/>
                    </w:rPr>
                    <w:t xml:space="preserve">      位置</w:t>
                  </w:r>
                </w:p>
                <w:p>
                  <w:pPr>
                    <w:widowControl/>
                    <w:rPr>
                      <w:b/>
                      <w:bCs/>
                      <w:kern w:val="0"/>
                      <w:szCs w:val="21"/>
                    </w:rPr>
                  </w:pPr>
                  <w:r>
                    <w:rPr>
                      <w:b/>
                      <w:bCs/>
                      <w:kern w:val="0"/>
                      <w:szCs w:val="21"/>
                    </w:rPr>
                    <w:t>时间</w:t>
                  </w:r>
                </w:p>
              </w:tc>
              <w:tc>
                <w:tcPr>
                  <w:tcW w:w="1000" w:type="pct"/>
                  <w:vAlign w:val="center"/>
                </w:tcPr>
                <w:p>
                  <w:pPr>
                    <w:widowControl/>
                    <w:jc w:val="center"/>
                    <w:rPr>
                      <w:b/>
                      <w:bCs/>
                      <w:kern w:val="0"/>
                      <w:szCs w:val="21"/>
                    </w:rPr>
                  </w:pPr>
                  <w:r>
                    <w:rPr>
                      <w:b/>
                      <w:bCs/>
                      <w:kern w:val="0"/>
                      <w:szCs w:val="21"/>
                    </w:rPr>
                    <w:t>厂界北侧</w:t>
                  </w:r>
                </w:p>
              </w:tc>
              <w:tc>
                <w:tcPr>
                  <w:tcW w:w="1000" w:type="pct"/>
                  <w:vAlign w:val="center"/>
                </w:tcPr>
                <w:p>
                  <w:pPr>
                    <w:widowControl/>
                    <w:jc w:val="center"/>
                    <w:rPr>
                      <w:b/>
                      <w:bCs/>
                      <w:kern w:val="0"/>
                      <w:szCs w:val="21"/>
                    </w:rPr>
                  </w:pPr>
                  <w:r>
                    <w:rPr>
                      <w:b/>
                      <w:bCs/>
                      <w:kern w:val="0"/>
                      <w:szCs w:val="21"/>
                    </w:rPr>
                    <w:t>厂界西侧</w:t>
                  </w:r>
                </w:p>
              </w:tc>
              <w:tc>
                <w:tcPr>
                  <w:tcW w:w="1000" w:type="pct"/>
                  <w:vAlign w:val="center"/>
                </w:tcPr>
                <w:p>
                  <w:pPr>
                    <w:widowControl/>
                    <w:jc w:val="center"/>
                    <w:rPr>
                      <w:b/>
                      <w:bCs/>
                      <w:kern w:val="0"/>
                      <w:szCs w:val="21"/>
                    </w:rPr>
                  </w:pPr>
                  <w:r>
                    <w:rPr>
                      <w:b/>
                      <w:bCs/>
                      <w:kern w:val="0"/>
                      <w:szCs w:val="21"/>
                    </w:rPr>
                    <w:t>厂界南侧</w:t>
                  </w:r>
                </w:p>
              </w:tc>
              <w:tc>
                <w:tcPr>
                  <w:tcW w:w="1000" w:type="pct"/>
                  <w:vAlign w:val="center"/>
                </w:tcPr>
                <w:p>
                  <w:pPr>
                    <w:widowControl/>
                    <w:jc w:val="center"/>
                    <w:rPr>
                      <w:b/>
                      <w:bCs/>
                      <w:kern w:val="0"/>
                      <w:szCs w:val="21"/>
                    </w:rPr>
                  </w:pPr>
                  <w:r>
                    <w:rPr>
                      <w:b/>
                      <w:bCs/>
                      <w:kern w:val="0"/>
                      <w:szCs w:val="21"/>
                    </w:rPr>
                    <w:t>厂界东侧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pct"/>
                  <w:vAlign w:val="center"/>
                </w:tcPr>
                <w:p>
                  <w:pPr>
                    <w:widowControl/>
                    <w:jc w:val="center"/>
                    <w:rPr>
                      <w:kern w:val="0"/>
                      <w:szCs w:val="21"/>
                    </w:rPr>
                  </w:pPr>
                  <w:r>
                    <w:rPr>
                      <w:kern w:val="0"/>
                      <w:szCs w:val="21"/>
                    </w:rPr>
                    <w:t>昼间</w:t>
                  </w:r>
                </w:p>
              </w:tc>
              <w:tc>
                <w:tcPr>
                  <w:tcW w:w="1000" w:type="pct"/>
                  <w:vAlign w:val="center"/>
                </w:tcPr>
                <w:p>
                  <w:pPr>
                    <w:widowControl/>
                    <w:jc w:val="center"/>
                    <w:rPr>
                      <w:kern w:val="0"/>
                      <w:szCs w:val="21"/>
                    </w:rPr>
                  </w:pPr>
                  <w:r>
                    <w:rPr>
                      <w:kern w:val="0"/>
                      <w:szCs w:val="21"/>
                    </w:rPr>
                    <w:t>53</w:t>
                  </w:r>
                </w:p>
              </w:tc>
              <w:tc>
                <w:tcPr>
                  <w:tcW w:w="1000" w:type="pct"/>
                  <w:vAlign w:val="center"/>
                </w:tcPr>
                <w:p>
                  <w:pPr>
                    <w:widowControl/>
                    <w:jc w:val="center"/>
                    <w:rPr>
                      <w:kern w:val="0"/>
                      <w:szCs w:val="21"/>
                    </w:rPr>
                  </w:pPr>
                  <w:r>
                    <w:rPr>
                      <w:kern w:val="0"/>
                      <w:szCs w:val="21"/>
                    </w:rPr>
                    <w:t>55</w:t>
                  </w:r>
                </w:p>
              </w:tc>
              <w:tc>
                <w:tcPr>
                  <w:tcW w:w="1000" w:type="pct"/>
                  <w:vAlign w:val="center"/>
                </w:tcPr>
                <w:p>
                  <w:pPr>
                    <w:widowControl/>
                    <w:jc w:val="center"/>
                    <w:rPr>
                      <w:kern w:val="0"/>
                      <w:szCs w:val="21"/>
                    </w:rPr>
                  </w:pPr>
                  <w:r>
                    <w:rPr>
                      <w:kern w:val="0"/>
                      <w:szCs w:val="21"/>
                    </w:rPr>
                    <w:t>51</w:t>
                  </w:r>
                </w:p>
              </w:tc>
              <w:tc>
                <w:tcPr>
                  <w:tcW w:w="1000" w:type="pct"/>
                  <w:vAlign w:val="center"/>
                </w:tcPr>
                <w:p>
                  <w:pPr>
                    <w:widowControl/>
                    <w:jc w:val="center"/>
                    <w:rPr>
                      <w:kern w:val="0"/>
                      <w:szCs w:val="21"/>
                    </w:rPr>
                  </w:pPr>
                  <w:r>
                    <w:rPr>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vAlign w:val="center"/>
                </w:tcPr>
                <w:p>
                  <w:pPr>
                    <w:widowControl/>
                    <w:jc w:val="center"/>
                    <w:rPr>
                      <w:kern w:val="0"/>
                      <w:szCs w:val="21"/>
                    </w:rPr>
                  </w:pPr>
                  <w:r>
                    <w:rPr>
                      <w:kern w:val="0"/>
                      <w:szCs w:val="21"/>
                    </w:rPr>
                    <w:t>夜间</w:t>
                  </w:r>
                </w:p>
              </w:tc>
              <w:tc>
                <w:tcPr>
                  <w:tcW w:w="1000" w:type="pct"/>
                  <w:vAlign w:val="center"/>
                </w:tcPr>
                <w:p>
                  <w:pPr>
                    <w:widowControl/>
                    <w:jc w:val="center"/>
                    <w:rPr>
                      <w:kern w:val="0"/>
                      <w:szCs w:val="21"/>
                    </w:rPr>
                  </w:pPr>
                  <w:r>
                    <w:rPr>
                      <w:kern w:val="0"/>
                      <w:szCs w:val="21"/>
                    </w:rPr>
                    <w:t>41</w:t>
                  </w:r>
                </w:p>
              </w:tc>
              <w:tc>
                <w:tcPr>
                  <w:tcW w:w="1000" w:type="pct"/>
                  <w:vAlign w:val="center"/>
                </w:tcPr>
                <w:p>
                  <w:pPr>
                    <w:widowControl/>
                    <w:jc w:val="center"/>
                    <w:rPr>
                      <w:kern w:val="0"/>
                      <w:szCs w:val="21"/>
                    </w:rPr>
                  </w:pPr>
                  <w:r>
                    <w:rPr>
                      <w:kern w:val="0"/>
                      <w:szCs w:val="21"/>
                    </w:rPr>
                    <w:t>42</w:t>
                  </w:r>
                </w:p>
              </w:tc>
              <w:tc>
                <w:tcPr>
                  <w:tcW w:w="1000" w:type="pct"/>
                  <w:vAlign w:val="center"/>
                </w:tcPr>
                <w:p>
                  <w:pPr>
                    <w:widowControl/>
                    <w:jc w:val="center"/>
                    <w:rPr>
                      <w:kern w:val="0"/>
                      <w:szCs w:val="21"/>
                    </w:rPr>
                  </w:pPr>
                  <w:r>
                    <w:rPr>
                      <w:kern w:val="0"/>
                      <w:szCs w:val="21"/>
                    </w:rPr>
                    <w:t>42</w:t>
                  </w:r>
                </w:p>
              </w:tc>
              <w:tc>
                <w:tcPr>
                  <w:tcW w:w="1000" w:type="pct"/>
                  <w:vAlign w:val="center"/>
                </w:tcPr>
                <w:p>
                  <w:pPr>
                    <w:widowControl/>
                    <w:jc w:val="center"/>
                    <w:rPr>
                      <w:kern w:val="0"/>
                      <w:szCs w:val="21"/>
                    </w:rPr>
                  </w:pPr>
                  <w:r>
                    <w:rPr>
                      <w:kern w:val="0"/>
                      <w:szCs w:val="21"/>
                    </w:rPr>
                    <w:t>44</w:t>
                  </w:r>
                </w:p>
              </w:tc>
            </w:tr>
          </w:tbl>
          <w:p>
            <w:pPr>
              <w:wordWrap w:val="0"/>
              <w:autoSpaceDE w:val="0"/>
              <w:autoSpaceDN w:val="0"/>
              <w:adjustRightInd w:val="0"/>
              <w:spacing w:line="360" w:lineRule="auto"/>
              <w:ind w:firstLine="480" w:firstLineChars="200"/>
              <w:rPr>
                <w:bCs/>
                <w:sz w:val="24"/>
              </w:rPr>
            </w:pPr>
            <w:r>
              <w:rPr>
                <w:bCs/>
                <w:sz w:val="24"/>
              </w:rPr>
              <w:t>从以上监测结果可知，项目所在区域声环境</w:t>
            </w:r>
            <w:r>
              <w:rPr>
                <w:rFonts w:hint="eastAsia"/>
                <w:bCs/>
                <w:sz w:val="24"/>
              </w:rPr>
              <w:t>能够</w:t>
            </w:r>
            <w:r>
              <w:rPr>
                <w:bCs/>
                <w:sz w:val="24"/>
              </w:rPr>
              <w:t>满足《声环境质量标准》（GB3096-2008）2类标准要求。</w:t>
            </w:r>
          </w:p>
          <w:p>
            <w:pPr>
              <w:wordWrap w:val="0"/>
              <w:autoSpaceDE w:val="0"/>
              <w:autoSpaceDN w:val="0"/>
              <w:adjustRightInd w:val="0"/>
              <w:spacing w:line="360" w:lineRule="auto"/>
              <w:rPr>
                <w:b/>
                <w:sz w:val="24"/>
              </w:rPr>
            </w:pPr>
            <w:r>
              <w:rPr>
                <w:b/>
                <w:sz w:val="24"/>
              </w:rPr>
              <w:t>4、生态环境质量现状</w:t>
            </w:r>
          </w:p>
          <w:p>
            <w:pPr>
              <w:wordWrap w:val="0"/>
              <w:autoSpaceDE w:val="0"/>
              <w:autoSpaceDN w:val="0"/>
              <w:adjustRightInd w:val="0"/>
              <w:spacing w:line="360" w:lineRule="auto"/>
              <w:ind w:firstLine="480" w:firstLineChars="200"/>
              <w:rPr>
                <w:bCs/>
                <w:sz w:val="24"/>
              </w:rPr>
            </w:pPr>
            <w:r>
              <w:rPr>
                <w:bCs/>
                <w:sz w:val="24"/>
              </w:rPr>
              <w:t>项目位于云南省楚雄州姚安县光禄镇旧城村，经过现场勘查，项目用地平整，项目用地内无高大乔灌木，主要为低矮杂草，场地被稀疏草本植物覆盖。项目区内没有大型动物分布，主要为老鼠、麻雀等。</w:t>
            </w:r>
          </w:p>
          <w:p>
            <w:pPr>
              <w:wordWrap w:val="0"/>
              <w:autoSpaceDE w:val="0"/>
              <w:autoSpaceDN w:val="0"/>
              <w:adjustRightInd w:val="0"/>
              <w:spacing w:line="360" w:lineRule="auto"/>
              <w:ind w:firstLine="480" w:firstLineChars="200"/>
              <w:rPr>
                <w:kern w:val="0"/>
                <w:sz w:val="24"/>
              </w:rPr>
            </w:pPr>
            <w:r>
              <w:rPr>
                <w:bCs/>
                <w:sz w:val="24"/>
              </w:rPr>
              <w:t>项目区内植被种类较为单一，生态结构较简单，生物多样性较差，生态环境自身调控能力较弱。项目区内没有当地特有物种，生态环境质量一般。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351" w:type="pct"/>
            <w:vAlign w:val="center"/>
          </w:tcPr>
          <w:p>
            <w:pPr>
              <w:adjustRightInd w:val="0"/>
              <w:snapToGrid w:val="0"/>
              <w:spacing w:line="360" w:lineRule="auto"/>
              <w:jc w:val="center"/>
              <w:rPr>
                <w:kern w:val="0"/>
                <w:sz w:val="24"/>
              </w:rPr>
            </w:pPr>
            <w:r>
              <w:rPr>
                <w:kern w:val="0"/>
                <w:sz w:val="24"/>
              </w:rPr>
              <w:t>环境</w:t>
            </w:r>
          </w:p>
          <w:p>
            <w:pPr>
              <w:adjustRightInd w:val="0"/>
              <w:snapToGrid w:val="0"/>
              <w:spacing w:line="360" w:lineRule="auto"/>
              <w:jc w:val="center"/>
              <w:rPr>
                <w:kern w:val="0"/>
                <w:sz w:val="24"/>
              </w:rPr>
            </w:pPr>
            <w:r>
              <w:rPr>
                <w:kern w:val="0"/>
                <w:sz w:val="24"/>
              </w:rPr>
              <w:t>保护</w:t>
            </w:r>
          </w:p>
          <w:p>
            <w:pPr>
              <w:adjustRightInd w:val="0"/>
              <w:snapToGrid w:val="0"/>
              <w:spacing w:line="360" w:lineRule="auto"/>
              <w:jc w:val="center"/>
              <w:rPr>
                <w:kern w:val="0"/>
                <w:sz w:val="24"/>
              </w:rPr>
            </w:pPr>
            <w:r>
              <w:rPr>
                <w:kern w:val="0"/>
                <w:sz w:val="24"/>
              </w:rPr>
              <w:t>目标</w:t>
            </w:r>
          </w:p>
        </w:tc>
        <w:tc>
          <w:tcPr>
            <w:tcW w:w="4649" w:type="pct"/>
            <w:vAlign w:val="center"/>
          </w:tcPr>
          <w:p>
            <w:pPr>
              <w:wordWrap w:val="0"/>
              <w:autoSpaceDE w:val="0"/>
              <w:autoSpaceDN w:val="0"/>
              <w:adjustRightInd w:val="0"/>
              <w:spacing w:line="360" w:lineRule="auto"/>
              <w:ind w:firstLine="480" w:firstLineChars="200"/>
              <w:rPr>
                <w:bCs/>
                <w:sz w:val="24"/>
                <w:lang w:val="zh-CN"/>
              </w:rPr>
            </w:pPr>
            <w:r>
              <w:rPr>
                <w:bCs/>
                <w:sz w:val="24"/>
              </w:rPr>
              <w:t>根据《建设项目环境影响报告表编制技术指南（污染影响类）（试行）》，</w:t>
            </w:r>
            <w:r>
              <w:rPr>
                <w:bCs/>
                <w:sz w:val="24"/>
                <w:lang w:val="zh-CN"/>
              </w:rPr>
              <w:t>厂界外500米范围内的</w:t>
            </w:r>
            <w:r>
              <w:rPr>
                <w:bCs/>
                <w:sz w:val="24"/>
              </w:rPr>
              <w:t>大气环境</w:t>
            </w:r>
            <w:r>
              <w:rPr>
                <w:bCs/>
                <w:sz w:val="24"/>
                <w:lang w:val="zh-CN"/>
              </w:rPr>
              <w:t>保护目标</w:t>
            </w:r>
            <w:r>
              <w:rPr>
                <w:bCs/>
                <w:sz w:val="24"/>
              </w:rPr>
              <w:t>见下表</w:t>
            </w:r>
            <w:r>
              <w:rPr>
                <w:bCs/>
                <w:sz w:val="24"/>
                <w:lang w:val="zh-CN"/>
              </w:rPr>
              <w:t>。</w:t>
            </w:r>
          </w:p>
          <w:p>
            <w:pPr>
              <w:autoSpaceDE w:val="0"/>
              <w:autoSpaceDN w:val="0"/>
              <w:adjustRightInd w:val="0"/>
              <w:snapToGrid w:val="0"/>
              <w:spacing w:line="360" w:lineRule="auto"/>
              <w:jc w:val="center"/>
              <w:rPr>
                <w:b/>
                <w:bCs/>
                <w:sz w:val="24"/>
              </w:rPr>
            </w:pPr>
            <w:r>
              <w:rPr>
                <w:b/>
                <w:bCs/>
                <w:sz w:val="24"/>
              </w:rPr>
              <w:t>表</w:t>
            </w:r>
            <w:r>
              <w:rPr>
                <w:b/>
                <w:sz w:val="24"/>
                <w:lang w:val="zh-CN"/>
              </w:rPr>
              <w:t>3-</w:t>
            </w:r>
            <w:r>
              <w:rPr>
                <w:b/>
                <w:sz w:val="24"/>
              </w:rPr>
              <w:t>8</w:t>
            </w:r>
            <w:r>
              <w:rPr>
                <w:b/>
                <w:sz w:val="24"/>
                <w:lang w:val="zh-CN"/>
              </w:rPr>
              <w:t xml:space="preserve"> </w:t>
            </w:r>
            <w:r>
              <w:rPr>
                <w:b/>
                <w:bCs/>
                <w:sz w:val="24"/>
              </w:rPr>
              <w:t xml:space="preserve"> 环境空气保护目标一览表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240"/>
              <w:gridCol w:w="1248"/>
              <w:gridCol w:w="902"/>
              <w:gridCol w:w="1110"/>
              <w:gridCol w:w="1234"/>
              <w:gridCol w:w="752"/>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99" w:type="pct"/>
                  <w:vMerge w:val="restart"/>
                  <w:noWrap/>
                  <w:vAlign w:val="center"/>
                </w:tcPr>
                <w:p>
                  <w:pPr>
                    <w:widowControl/>
                    <w:jc w:val="center"/>
                    <w:rPr>
                      <w:b/>
                      <w:bCs/>
                      <w:kern w:val="0"/>
                      <w:szCs w:val="21"/>
                    </w:rPr>
                  </w:pPr>
                  <w:r>
                    <w:rPr>
                      <w:b/>
                      <w:bCs/>
                      <w:kern w:val="0"/>
                      <w:szCs w:val="21"/>
                    </w:rPr>
                    <w:t>名称</w:t>
                  </w:r>
                </w:p>
              </w:tc>
              <w:tc>
                <w:tcPr>
                  <w:tcW w:w="1424" w:type="pct"/>
                  <w:gridSpan w:val="2"/>
                  <w:vAlign w:val="center"/>
                </w:tcPr>
                <w:p>
                  <w:pPr>
                    <w:ind w:left="120" w:right="120"/>
                    <w:jc w:val="center"/>
                    <w:rPr>
                      <w:b/>
                      <w:bCs/>
                      <w:kern w:val="0"/>
                      <w:szCs w:val="21"/>
                    </w:rPr>
                  </w:pPr>
                  <w:r>
                    <w:rPr>
                      <w:b/>
                      <w:bCs/>
                      <w:kern w:val="0"/>
                      <w:szCs w:val="21"/>
                    </w:rPr>
                    <w:t>坐标</w:t>
                  </w:r>
                </w:p>
              </w:tc>
              <w:tc>
                <w:tcPr>
                  <w:tcW w:w="517" w:type="pct"/>
                  <w:vMerge w:val="restart"/>
                  <w:vAlign w:val="center"/>
                </w:tcPr>
                <w:p>
                  <w:pPr>
                    <w:widowControl/>
                    <w:jc w:val="center"/>
                    <w:rPr>
                      <w:b/>
                      <w:bCs/>
                      <w:kern w:val="0"/>
                      <w:szCs w:val="21"/>
                    </w:rPr>
                  </w:pPr>
                  <w:r>
                    <w:rPr>
                      <w:b/>
                      <w:bCs/>
                      <w:kern w:val="0"/>
                      <w:szCs w:val="21"/>
                    </w:rPr>
                    <w:t>相对方位</w:t>
                  </w:r>
                </w:p>
              </w:tc>
              <w:tc>
                <w:tcPr>
                  <w:tcW w:w="635" w:type="pct"/>
                  <w:vMerge w:val="restart"/>
                  <w:vAlign w:val="center"/>
                </w:tcPr>
                <w:p>
                  <w:pPr>
                    <w:widowControl/>
                    <w:jc w:val="center"/>
                    <w:rPr>
                      <w:b/>
                      <w:bCs/>
                      <w:kern w:val="0"/>
                      <w:szCs w:val="21"/>
                    </w:rPr>
                  </w:pPr>
                  <w:r>
                    <w:rPr>
                      <w:b/>
                      <w:bCs/>
                      <w:kern w:val="0"/>
                      <w:szCs w:val="21"/>
                    </w:rPr>
                    <w:t>相对距离m</w:t>
                  </w:r>
                </w:p>
              </w:tc>
              <w:tc>
                <w:tcPr>
                  <w:tcW w:w="706" w:type="pct"/>
                  <w:vMerge w:val="restart"/>
                  <w:vAlign w:val="center"/>
                </w:tcPr>
                <w:p>
                  <w:pPr>
                    <w:widowControl/>
                    <w:jc w:val="center"/>
                    <w:rPr>
                      <w:b/>
                      <w:bCs/>
                      <w:kern w:val="0"/>
                      <w:szCs w:val="21"/>
                    </w:rPr>
                  </w:pPr>
                  <w:r>
                    <w:rPr>
                      <w:b/>
                      <w:bCs/>
                      <w:kern w:val="0"/>
                      <w:szCs w:val="21"/>
                    </w:rPr>
                    <w:t>保护内容</w:t>
                  </w:r>
                </w:p>
              </w:tc>
              <w:tc>
                <w:tcPr>
                  <w:tcW w:w="431" w:type="pct"/>
                  <w:vMerge w:val="restart"/>
                  <w:vAlign w:val="center"/>
                </w:tcPr>
                <w:p>
                  <w:pPr>
                    <w:widowControl/>
                    <w:jc w:val="center"/>
                    <w:rPr>
                      <w:b/>
                      <w:bCs/>
                      <w:kern w:val="0"/>
                      <w:szCs w:val="21"/>
                    </w:rPr>
                  </w:pPr>
                  <w:r>
                    <w:rPr>
                      <w:b/>
                      <w:bCs/>
                      <w:kern w:val="0"/>
                      <w:szCs w:val="21"/>
                    </w:rPr>
                    <w:t>保护对象</w:t>
                  </w:r>
                </w:p>
              </w:tc>
              <w:tc>
                <w:tcPr>
                  <w:tcW w:w="584" w:type="pct"/>
                  <w:vMerge w:val="restart"/>
                  <w:vAlign w:val="center"/>
                </w:tcPr>
                <w:p>
                  <w:pPr>
                    <w:widowControl/>
                    <w:jc w:val="center"/>
                    <w:rPr>
                      <w:b/>
                      <w:bCs/>
                      <w:kern w:val="0"/>
                      <w:szCs w:val="21"/>
                    </w:rPr>
                  </w:pPr>
                  <w:r>
                    <w:rPr>
                      <w:b/>
                      <w:bCs/>
                      <w:kern w:val="0"/>
                      <w:szCs w:val="21"/>
                    </w:rP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99" w:type="pct"/>
                  <w:vMerge w:val="continue"/>
                  <w:noWrap/>
                  <w:vAlign w:val="center"/>
                </w:tcPr>
                <w:p>
                  <w:pPr>
                    <w:ind w:left="120" w:right="120"/>
                    <w:jc w:val="center"/>
                    <w:rPr>
                      <w:szCs w:val="21"/>
                    </w:rPr>
                  </w:pPr>
                </w:p>
              </w:tc>
              <w:tc>
                <w:tcPr>
                  <w:tcW w:w="710" w:type="pct"/>
                  <w:vAlign w:val="center"/>
                </w:tcPr>
                <w:p>
                  <w:pPr>
                    <w:ind w:left="120" w:right="120"/>
                    <w:jc w:val="center"/>
                    <w:rPr>
                      <w:b/>
                      <w:bCs/>
                      <w:szCs w:val="21"/>
                    </w:rPr>
                  </w:pPr>
                  <w:r>
                    <w:rPr>
                      <w:b/>
                      <w:bCs/>
                      <w:szCs w:val="21"/>
                    </w:rPr>
                    <w:t>经度</w:t>
                  </w:r>
                </w:p>
              </w:tc>
              <w:tc>
                <w:tcPr>
                  <w:tcW w:w="713" w:type="pct"/>
                  <w:noWrap/>
                  <w:vAlign w:val="center"/>
                </w:tcPr>
                <w:p>
                  <w:pPr>
                    <w:ind w:left="120" w:right="120"/>
                    <w:jc w:val="center"/>
                    <w:rPr>
                      <w:b/>
                      <w:bCs/>
                      <w:szCs w:val="21"/>
                    </w:rPr>
                  </w:pPr>
                  <w:r>
                    <w:rPr>
                      <w:b/>
                      <w:bCs/>
                      <w:szCs w:val="21"/>
                    </w:rPr>
                    <w:t>纬度</w:t>
                  </w:r>
                </w:p>
              </w:tc>
              <w:tc>
                <w:tcPr>
                  <w:tcW w:w="517" w:type="pct"/>
                  <w:vMerge w:val="continue"/>
                  <w:vAlign w:val="center"/>
                </w:tcPr>
                <w:p>
                  <w:pPr>
                    <w:widowControl/>
                    <w:jc w:val="center"/>
                    <w:rPr>
                      <w:kern w:val="0"/>
                      <w:szCs w:val="21"/>
                    </w:rPr>
                  </w:pPr>
                </w:p>
              </w:tc>
              <w:tc>
                <w:tcPr>
                  <w:tcW w:w="635" w:type="pct"/>
                  <w:vMerge w:val="continue"/>
                  <w:vAlign w:val="center"/>
                </w:tcPr>
                <w:p>
                  <w:pPr>
                    <w:widowControl/>
                    <w:jc w:val="center"/>
                    <w:rPr>
                      <w:kern w:val="0"/>
                      <w:szCs w:val="21"/>
                    </w:rPr>
                  </w:pPr>
                </w:p>
              </w:tc>
              <w:tc>
                <w:tcPr>
                  <w:tcW w:w="706" w:type="pct"/>
                  <w:vMerge w:val="continue"/>
                  <w:vAlign w:val="center"/>
                </w:tcPr>
                <w:p>
                  <w:pPr>
                    <w:widowControl/>
                    <w:jc w:val="center"/>
                    <w:rPr>
                      <w:kern w:val="0"/>
                      <w:szCs w:val="21"/>
                    </w:rPr>
                  </w:pPr>
                </w:p>
              </w:tc>
              <w:tc>
                <w:tcPr>
                  <w:tcW w:w="431" w:type="pct"/>
                  <w:vMerge w:val="continue"/>
                  <w:vAlign w:val="center"/>
                </w:tcPr>
                <w:p>
                  <w:pPr>
                    <w:widowControl/>
                    <w:jc w:val="center"/>
                    <w:rPr>
                      <w:kern w:val="0"/>
                      <w:szCs w:val="21"/>
                    </w:rPr>
                  </w:pPr>
                </w:p>
              </w:tc>
              <w:tc>
                <w:tcPr>
                  <w:tcW w:w="584" w:type="pct"/>
                  <w:vMerge w:val="continue"/>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99" w:type="pct"/>
                  <w:noWrap/>
                  <w:vAlign w:val="center"/>
                </w:tcPr>
                <w:p>
                  <w:pPr>
                    <w:widowControl/>
                    <w:jc w:val="center"/>
                    <w:rPr>
                      <w:kern w:val="0"/>
                      <w:szCs w:val="21"/>
                    </w:rPr>
                  </w:pPr>
                  <w:r>
                    <w:rPr>
                      <w:kern w:val="0"/>
                      <w:szCs w:val="21"/>
                    </w:rPr>
                    <w:t>杨家村</w:t>
                  </w:r>
                </w:p>
              </w:tc>
              <w:tc>
                <w:tcPr>
                  <w:tcW w:w="710" w:type="pct"/>
                  <w:vAlign w:val="center"/>
                </w:tcPr>
                <w:p>
                  <w:pPr>
                    <w:ind w:right="120"/>
                    <w:jc w:val="center"/>
                    <w:rPr>
                      <w:kern w:val="0"/>
                      <w:szCs w:val="21"/>
                    </w:rPr>
                  </w:pPr>
                  <w:r>
                    <w:rPr>
                      <w:kern w:val="0"/>
                      <w:szCs w:val="21"/>
                    </w:rPr>
                    <w:t>101°11′49.283″</w:t>
                  </w:r>
                </w:p>
              </w:tc>
              <w:tc>
                <w:tcPr>
                  <w:tcW w:w="713" w:type="pct"/>
                  <w:noWrap/>
                  <w:vAlign w:val="center"/>
                </w:tcPr>
                <w:p>
                  <w:pPr>
                    <w:ind w:right="120"/>
                    <w:jc w:val="center"/>
                    <w:rPr>
                      <w:kern w:val="0"/>
                      <w:szCs w:val="21"/>
                    </w:rPr>
                  </w:pPr>
                  <w:r>
                    <w:rPr>
                      <w:kern w:val="0"/>
                      <w:szCs w:val="21"/>
                    </w:rPr>
                    <w:t>25°33′49.767″</w:t>
                  </w:r>
                </w:p>
              </w:tc>
              <w:tc>
                <w:tcPr>
                  <w:tcW w:w="517" w:type="pct"/>
                  <w:tcMar>
                    <w:top w:w="0" w:type="dxa"/>
                    <w:left w:w="57" w:type="dxa"/>
                    <w:bottom w:w="0" w:type="dxa"/>
                    <w:right w:w="57" w:type="dxa"/>
                  </w:tcMar>
                  <w:vAlign w:val="center"/>
                </w:tcPr>
                <w:p>
                  <w:pPr>
                    <w:ind w:left="120" w:right="120"/>
                    <w:jc w:val="center"/>
                    <w:rPr>
                      <w:kern w:val="0"/>
                      <w:szCs w:val="21"/>
                    </w:rPr>
                  </w:pPr>
                  <w:r>
                    <w:rPr>
                      <w:kern w:val="0"/>
                      <w:szCs w:val="21"/>
                    </w:rPr>
                    <w:t>西南</w:t>
                  </w:r>
                </w:p>
              </w:tc>
              <w:tc>
                <w:tcPr>
                  <w:tcW w:w="635" w:type="pct"/>
                  <w:vAlign w:val="center"/>
                </w:tcPr>
                <w:p>
                  <w:pPr>
                    <w:ind w:left="120" w:right="120"/>
                    <w:jc w:val="center"/>
                    <w:rPr>
                      <w:kern w:val="0"/>
                      <w:szCs w:val="21"/>
                    </w:rPr>
                  </w:pPr>
                  <w:r>
                    <w:rPr>
                      <w:kern w:val="0"/>
                      <w:szCs w:val="21"/>
                    </w:rPr>
                    <w:t>26</w:t>
                  </w:r>
                </w:p>
              </w:tc>
              <w:tc>
                <w:tcPr>
                  <w:tcW w:w="706" w:type="pct"/>
                  <w:vAlign w:val="center"/>
                </w:tcPr>
                <w:p>
                  <w:pPr>
                    <w:ind w:right="120"/>
                    <w:jc w:val="center"/>
                    <w:rPr>
                      <w:kern w:val="0"/>
                      <w:szCs w:val="21"/>
                    </w:rPr>
                  </w:pPr>
                  <w:r>
                    <w:rPr>
                      <w:kern w:val="0"/>
                      <w:szCs w:val="21"/>
                    </w:rPr>
                    <w:t>372户，</w:t>
                  </w:r>
                </w:p>
                <w:p>
                  <w:pPr>
                    <w:ind w:right="120"/>
                    <w:jc w:val="center"/>
                    <w:rPr>
                      <w:kern w:val="0"/>
                      <w:szCs w:val="21"/>
                    </w:rPr>
                  </w:pPr>
                  <w:r>
                    <w:rPr>
                      <w:kern w:val="0"/>
                      <w:szCs w:val="21"/>
                    </w:rPr>
                    <w:t>1302人</w:t>
                  </w:r>
                </w:p>
              </w:tc>
              <w:tc>
                <w:tcPr>
                  <w:tcW w:w="431" w:type="pct"/>
                  <w:vMerge w:val="restart"/>
                  <w:vAlign w:val="center"/>
                </w:tcPr>
                <w:p>
                  <w:pPr>
                    <w:widowControl/>
                    <w:jc w:val="center"/>
                    <w:rPr>
                      <w:szCs w:val="21"/>
                    </w:rPr>
                  </w:pPr>
                  <w:r>
                    <w:rPr>
                      <w:kern w:val="0"/>
                      <w:szCs w:val="21"/>
                    </w:rPr>
                    <w:t>居民区</w:t>
                  </w:r>
                </w:p>
              </w:tc>
              <w:tc>
                <w:tcPr>
                  <w:tcW w:w="584" w:type="pct"/>
                  <w:vMerge w:val="restart"/>
                  <w:vAlign w:val="center"/>
                </w:tcPr>
                <w:p>
                  <w:pPr>
                    <w:widowControl/>
                    <w:jc w:val="center"/>
                    <w:rPr>
                      <w:kern w:val="0"/>
                      <w:szCs w:val="21"/>
                    </w:rPr>
                  </w:pPr>
                  <w:r>
                    <w:rPr>
                      <w:szCs w:val="21"/>
                    </w:rPr>
                    <w:t>环境空气二类功能区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99" w:type="pct"/>
                  <w:noWrap/>
                  <w:vAlign w:val="center"/>
                </w:tcPr>
                <w:p>
                  <w:pPr>
                    <w:widowControl/>
                    <w:jc w:val="center"/>
                    <w:rPr>
                      <w:kern w:val="0"/>
                      <w:szCs w:val="21"/>
                    </w:rPr>
                  </w:pPr>
                  <w:r>
                    <w:rPr>
                      <w:kern w:val="0"/>
                      <w:szCs w:val="21"/>
                    </w:rPr>
                    <w:t>福光村</w:t>
                  </w:r>
                </w:p>
              </w:tc>
              <w:tc>
                <w:tcPr>
                  <w:tcW w:w="710" w:type="pct"/>
                  <w:vAlign w:val="center"/>
                </w:tcPr>
                <w:p>
                  <w:pPr>
                    <w:ind w:right="120"/>
                    <w:jc w:val="center"/>
                    <w:rPr>
                      <w:kern w:val="0"/>
                      <w:szCs w:val="21"/>
                    </w:rPr>
                  </w:pPr>
                  <w:r>
                    <w:rPr>
                      <w:kern w:val="0"/>
                      <w:szCs w:val="21"/>
                    </w:rPr>
                    <w:t>101°15′15.040″</w:t>
                  </w:r>
                </w:p>
              </w:tc>
              <w:tc>
                <w:tcPr>
                  <w:tcW w:w="713" w:type="pct"/>
                  <w:noWrap/>
                  <w:vAlign w:val="center"/>
                </w:tcPr>
                <w:p>
                  <w:pPr>
                    <w:ind w:right="120"/>
                    <w:jc w:val="center"/>
                    <w:rPr>
                      <w:kern w:val="0"/>
                      <w:szCs w:val="21"/>
                    </w:rPr>
                  </w:pPr>
                  <w:r>
                    <w:rPr>
                      <w:kern w:val="0"/>
                      <w:szCs w:val="21"/>
                    </w:rPr>
                    <w:t>25°34′1.245″</w:t>
                  </w:r>
                </w:p>
              </w:tc>
              <w:tc>
                <w:tcPr>
                  <w:tcW w:w="517" w:type="pct"/>
                  <w:tcMar>
                    <w:top w:w="0" w:type="dxa"/>
                    <w:left w:w="57" w:type="dxa"/>
                    <w:bottom w:w="0" w:type="dxa"/>
                    <w:right w:w="57" w:type="dxa"/>
                  </w:tcMar>
                  <w:vAlign w:val="center"/>
                </w:tcPr>
                <w:p>
                  <w:pPr>
                    <w:ind w:left="120" w:right="120"/>
                    <w:jc w:val="center"/>
                    <w:rPr>
                      <w:kern w:val="0"/>
                      <w:szCs w:val="21"/>
                    </w:rPr>
                  </w:pPr>
                  <w:r>
                    <w:rPr>
                      <w:kern w:val="0"/>
                      <w:szCs w:val="21"/>
                    </w:rPr>
                    <w:t>东北</w:t>
                  </w:r>
                </w:p>
              </w:tc>
              <w:tc>
                <w:tcPr>
                  <w:tcW w:w="635" w:type="pct"/>
                  <w:vAlign w:val="center"/>
                </w:tcPr>
                <w:p>
                  <w:pPr>
                    <w:ind w:left="120" w:right="120"/>
                    <w:jc w:val="center"/>
                    <w:rPr>
                      <w:kern w:val="0"/>
                      <w:szCs w:val="21"/>
                    </w:rPr>
                  </w:pPr>
                  <w:r>
                    <w:rPr>
                      <w:kern w:val="0"/>
                      <w:szCs w:val="21"/>
                    </w:rPr>
                    <w:t>351</w:t>
                  </w:r>
                </w:p>
              </w:tc>
              <w:tc>
                <w:tcPr>
                  <w:tcW w:w="706" w:type="pct"/>
                  <w:vAlign w:val="center"/>
                </w:tcPr>
                <w:p>
                  <w:pPr>
                    <w:ind w:right="120"/>
                    <w:jc w:val="center"/>
                    <w:rPr>
                      <w:kern w:val="0"/>
                      <w:szCs w:val="21"/>
                    </w:rPr>
                  </w:pPr>
                  <w:r>
                    <w:rPr>
                      <w:kern w:val="0"/>
                      <w:szCs w:val="21"/>
                    </w:rPr>
                    <w:t>16户，56人</w:t>
                  </w:r>
                </w:p>
              </w:tc>
              <w:tc>
                <w:tcPr>
                  <w:tcW w:w="431" w:type="pct"/>
                  <w:vMerge w:val="continue"/>
                  <w:vAlign w:val="center"/>
                </w:tcPr>
                <w:p>
                  <w:pPr>
                    <w:widowControl/>
                    <w:jc w:val="center"/>
                    <w:rPr>
                      <w:kern w:val="0"/>
                      <w:szCs w:val="21"/>
                    </w:rPr>
                  </w:pPr>
                </w:p>
              </w:tc>
              <w:tc>
                <w:tcPr>
                  <w:tcW w:w="58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99" w:type="pct"/>
                  <w:noWrap/>
                  <w:vAlign w:val="center"/>
                </w:tcPr>
                <w:p>
                  <w:pPr>
                    <w:widowControl/>
                    <w:jc w:val="center"/>
                    <w:rPr>
                      <w:kern w:val="0"/>
                      <w:szCs w:val="21"/>
                    </w:rPr>
                  </w:pPr>
                  <w:r>
                    <w:rPr>
                      <w:kern w:val="0"/>
                      <w:szCs w:val="21"/>
                    </w:rPr>
                    <w:t>荷福新村幼儿园</w:t>
                  </w:r>
                </w:p>
              </w:tc>
              <w:tc>
                <w:tcPr>
                  <w:tcW w:w="710" w:type="pct"/>
                  <w:vAlign w:val="center"/>
                </w:tcPr>
                <w:p>
                  <w:pPr>
                    <w:ind w:right="120"/>
                    <w:jc w:val="center"/>
                    <w:rPr>
                      <w:kern w:val="0"/>
                      <w:szCs w:val="21"/>
                    </w:rPr>
                  </w:pPr>
                  <w:r>
                    <w:rPr>
                      <w:kern w:val="0"/>
                      <w:szCs w:val="21"/>
                    </w:rPr>
                    <w:t>101°12′15.040″</w:t>
                  </w:r>
                </w:p>
              </w:tc>
              <w:tc>
                <w:tcPr>
                  <w:tcW w:w="713" w:type="pct"/>
                  <w:noWrap/>
                  <w:vAlign w:val="center"/>
                </w:tcPr>
                <w:p>
                  <w:pPr>
                    <w:ind w:right="120"/>
                    <w:jc w:val="center"/>
                    <w:rPr>
                      <w:kern w:val="0"/>
                      <w:szCs w:val="21"/>
                    </w:rPr>
                  </w:pPr>
                  <w:r>
                    <w:rPr>
                      <w:kern w:val="0"/>
                      <w:szCs w:val="21"/>
                    </w:rPr>
                    <w:t>25°34′6.311″</w:t>
                  </w:r>
                </w:p>
              </w:tc>
              <w:tc>
                <w:tcPr>
                  <w:tcW w:w="517" w:type="pct"/>
                  <w:tcMar>
                    <w:top w:w="0" w:type="dxa"/>
                    <w:left w:w="57" w:type="dxa"/>
                    <w:bottom w:w="0" w:type="dxa"/>
                    <w:right w:w="57" w:type="dxa"/>
                  </w:tcMar>
                  <w:vAlign w:val="center"/>
                </w:tcPr>
                <w:p>
                  <w:pPr>
                    <w:ind w:left="120" w:right="120"/>
                    <w:jc w:val="center"/>
                    <w:rPr>
                      <w:kern w:val="0"/>
                      <w:szCs w:val="21"/>
                    </w:rPr>
                  </w:pPr>
                  <w:r>
                    <w:rPr>
                      <w:kern w:val="0"/>
                      <w:szCs w:val="21"/>
                    </w:rPr>
                    <w:t>东北</w:t>
                  </w:r>
                </w:p>
              </w:tc>
              <w:tc>
                <w:tcPr>
                  <w:tcW w:w="635" w:type="pct"/>
                  <w:vAlign w:val="center"/>
                </w:tcPr>
                <w:p>
                  <w:pPr>
                    <w:ind w:left="120" w:right="120"/>
                    <w:jc w:val="center"/>
                    <w:rPr>
                      <w:kern w:val="0"/>
                      <w:szCs w:val="21"/>
                    </w:rPr>
                  </w:pPr>
                  <w:r>
                    <w:rPr>
                      <w:kern w:val="0"/>
                      <w:szCs w:val="21"/>
                    </w:rPr>
                    <w:t>367</w:t>
                  </w:r>
                </w:p>
              </w:tc>
              <w:tc>
                <w:tcPr>
                  <w:tcW w:w="706" w:type="pct"/>
                  <w:vAlign w:val="center"/>
                </w:tcPr>
                <w:p>
                  <w:pPr>
                    <w:ind w:right="120"/>
                    <w:jc w:val="center"/>
                    <w:rPr>
                      <w:kern w:val="0"/>
                      <w:szCs w:val="21"/>
                    </w:rPr>
                  </w:pPr>
                  <w:r>
                    <w:rPr>
                      <w:kern w:val="0"/>
                      <w:szCs w:val="21"/>
                    </w:rPr>
                    <w:t>359人</w:t>
                  </w:r>
                </w:p>
              </w:tc>
              <w:tc>
                <w:tcPr>
                  <w:tcW w:w="431" w:type="pct"/>
                  <w:vMerge w:val="continue"/>
                  <w:vAlign w:val="center"/>
                </w:tcPr>
                <w:p>
                  <w:pPr>
                    <w:widowControl/>
                    <w:jc w:val="center"/>
                    <w:rPr>
                      <w:kern w:val="0"/>
                      <w:szCs w:val="21"/>
                    </w:rPr>
                  </w:pPr>
                </w:p>
              </w:tc>
              <w:tc>
                <w:tcPr>
                  <w:tcW w:w="58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99" w:type="pct"/>
                  <w:noWrap/>
                  <w:vAlign w:val="center"/>
                </w:tcPr>
                <w:p>
                  <w:pPr>
                    <w:widowControl/>
                    <w:jc w:val="center"/>
                    <w:rPr>
                      <w:kern w:val="0"/>
                      <w:szCs w:val="21"/>
                    </w:rPr>
                  </w:pPr>
                  <w:r>
                    <w:rPr>
                      <w:kern w:val="0"/>
                      <w:szCs w:val="21"/>
                    </w:rPr>
                    <w:t>住宅区</w:t>
                  </w:r>
                </w:p>
              </w:tc>
              <w:tc>
                <w:tcPr>
                  <w:tcW w:w="710" w:type="pct"/>
                  <w:vAlign w:val="center"/>
                </w:tcPr>
                <w:p>
                  <w:pPr>
                    <w:ind w:right="120"/>
                    <w:jc w:val="center"/>
                    <w:rPr>
                      <w:kern w:val="0"/>
                      <w:szCs w:val="21"/>
                    </w:rPr>
                  </w:pPr>
                  <w:r>
                    <w:rPr>
                      <w:kern w:val="0"/>
                      <w:szCs w:val="21"/>
                    </w:rPr>
                    <w:t>101°12′11.834″</w:t>
                  </w:r>
                </w:p>
              </w:tc>
              <w:tc>
                <w:tcPr>
                  <w:tcW w:w="713" w:type="pct"/>
                  <w:noWrap/>
                  <w:vAlign w:val="center"/>
                </w:tcPr>
                <w:p>
                  <w:pPr>
                    <w:ind w:right="120"/>
                    <w:jc w:val="center"/>
                    <w:rPr>
                      <w:kern w:val="0"/>
                      <w:szCs w:val="21"/>
                    </w:rPr>
                  </w:pPr>
                  <w:r>
                    <w:rPr>
                      <w:kern w:val="0"/>
                      <w:szCs w:val="21"/>
                    </w:rPr>
                    <w:t>25°34′6.253″</w:t>
                  </w:r>
                </w:p>
              </w:tc>
              <w:tc>
                <w:tcPr>
                  <w:tcW w:w="517" w:type="pct"/>
                  <w:tcMar>
                    <w:top w:w="0" w:type="dxa"/>
                    <w:left w:w="57" w:type="dxa"/>
                    <w:bottom w:w="0" w:type="dxa"/>
                    <w:right w:w="57" w:type="dxa"/>
                  </w:tcMar>
                  <w:vAlign w:val="center"/>
                </w:tcPr>
                <w:p>
                  <w:pPr>
                    <w:ind w:left="120" w:right="120"/>
                    <w:jc w:val="center"/>
                    <w:rPr>
                      <w:kern w:val="0"/>
                      <w:szCs w:val="21"/>
                    </w:rPr>
                  </w:pPr>
                  <w:r>
                    <w:rPr>
                      <w:kern w:val="0"/>
                      <w:szCs w:val="21"/>
                    </w:rPr>
                    <w:t>东北</w:t>
                  </w:r>
                </w:p>
              </w:tc>
              <w:tc>
                <w:tcPr>
                  <w:tcW w:w="635" w:type="pct"/>
                  <w:vAlign w:val="center"/>
                </w:tcPr>
                <w:p>
                  <w:pPr>
                    <w:ind w:left="120" w:right="120"/>
                    <w:jc w:val="center"/>
                    <w:rPr>
                      <w:kern w:val="0"/>
                      <w:szCs w:val="21"/>
                    </w:rPr>
                  </w:pPr>
                  <w:r>
                    <w:rPr>
                      <w:kern w:val="0"/>
                      <w:szCs w:val="21"/>
                    </w:rPr>
                    <w:t>291</w:t>
                  </w:r>
                </w:p>
              </w:tc>
              <w:tc>
                <w:tcPr>
                  <w:tcW w:w="706" w:type="pct"/>
                  <w:vAlign w:val="center"/>
                </w:tcPr>
                <w:p>
                  <w:pPr>
                    <w:ind w:right="120"/>
                    <w:jc w:val="center"/>
                    <w:rPr>
                      <w:kern w:val="0"/>
                      <w:szCs w:val="21"/>
                    </w:rPr>
                  </w:pPr>
                  <w:r>
                    <w:rPr>
                      <w:kern w:val="0"/>
                      <w:szCs w:val="21"/>
                    </w:rPr>
                    <w:t>12户，41人</w:t>
                  </w:r>
                </w:p>
              </w:tc>
              <w:tc>
                <w:tcPr>
                  <w:tcW w:w="431" w:type="pct"/>
                  <w:vMerge w:val="continue"/>
                  <w:vAlign w:val="center"/>
                </w:tcPr>
                <w:p>
                  <w:pPr>
                    <w:widowControl/>
                    <w:jc w:val="center"/>
                    <w:rPr>
                      <w:kern w:val="0"/>
                      <w:szCs w:val="21"/>
                    </w:rPr>
                  </w:pPr>
                </w:p>
              </w:tc>
              <w:tc>
                <w:tcPr>
                  <w:tcW w:w="584" w:type="pct"/>
                  <w:vMerge w:val="continue"/>
                  <w:vAlign w:val="center"/>
                </w:tcPr>
                <w:p>
                  <w:pPr>
                    <w:widowControl/>
                    <w:jc w:val="center"/>
                    <w:rPr>
                      <w:szCs w:val="21"/>
                    </w:rPr>
                  </w:pPr>
                </w:p>
              </w:tc>
            </w:tr>
          </w:tbl>
          <w:p>
            <w:pPr>
              <w:wordWrap w:val="0"/>
              <w:autoSpaceDE w:val="0"/>
              <w:autoSpaceDN w:val="0"/>
              <w:adjustRightInd w:val="0"/>
              <w:spacing w:before="156" w:beforeLines="50" w:line="360" w:lineRule="auto"/>
              <w:ind w:firstLine="480" w:firstLineChars="200"/>
              <w:rPr>
                <w:bCs/>
                <w:sz w:val="24"/>
              </w:rPr>
            </w:pPr>
            <w:r>
              <w:rPr>
                <w:bCs/>
                <w:sz w:val="24"/>
              </w:rPr>
              <w:t>厂界外50米范围内</w:t>
            </w:r>
            <w:r>
              <w:rPr>
                <w:rFonts w:hint="eastAsia"/>
                <w:bCs/>
                <w:sz w:val="24"/>
              </w:rPr>
              <w:t>没有</w:t>
            </w:r>
            <w:r>
              <w:rPr>
                <w:bCs/>
                <w:sz w:val="24"/>
              </w:rPr>
              <w:t>声环境保护目标。</w:t>
            </w:r>
          </w:p>
          <w:p>
            <w:pPr>
              <w:wordWrap w:val="0"/>
              <w:autoSpaceDE w:val="0"/>
              <w:autoSpaceDN w:val="0"/>
              <w:adjustRightInd w:val="0"/>
              <w:spacing w:line="360" w:lineRule="auto"/>
              <w:ind w:firstLine="480" w:firstLineChars="200"/>
              <w:rPr>
                <w:bCs/>
                <w:sz w:val="24"/>
                <w:lang w:val="zh-CN"/>
              </w:rPr>
            </w:pPr>
            <w:r>
              <w:rPr>
                <w:bCs/>
                <w:sz w:val="24"/>
              </w:rPr>
              <w:t>项目区主要地表水</w:t>
            </w:r>
            <w:r>
              <w:rPr>
                <w:bCs/>
                <w:sz w:val="24"/>
                <w:lang w:val="zh-CN"/>
              </w:rPr>
              <w:t>为西运</w:t>
            </w:r>
            <w:r>
              <w:rPr>
                <w:bCs/>
                <w:sz w:val="24"/>
              </w:rPr>
              <w:t>河</w:t>
            </w:r>
            <w:r>
              <w:rPr>
                <w:bCs/>
                <w:sz w:val="24"/>
                <w:lang w:val="zh-CN"/>
              </w:rPr>
              <w:t>，位于本项目</w:t>
            </w:r>
            <w:r>
              <w:rPr>
                <w:bCs/>
                <w:sz w:val="24"/>
              </w:rPr>
              <w:t>东面</w:t>
            </w:r>
            <w:r>
              <w:rPr>
                <w:bCs/>
                <w:sz w:val="24"/>
                <w:lang w:val="zh-CN"/>
              </w:rPr>
              <w:t>，相距</w:t>
            </w:r>
            <w:r>
              <w:rPr>
                <w:bCs/>
                <w:sz w:val="24"/>
              </w:rPr>
              <w:t>约1866</w:t>
            </w:r>
            <w:r>
              <w:rPr>
                <w:bCs/>
                <w:sz w:val="24"/>
                <w:lang w:val="zh-CN"/>
              </w:rPr>
              <w:t>m。</w:t>
            </w:r>
          </w:p>
          <w:p>
            <w:pPr>
              <w:wordWrap w:val="0"/>
              <w:autoSpaceDE w:val="0"/>
              <w:autoSpaceDN w:val="0"/>
              <w:adjustRightInd w:val="0"/>
              <w:spacing w:line="360" w:lineRule="auto"/>
              <w:ind w:firstLine="480" w:firstLineChars="200"/>
              <w:jc w:val="center"/>
              <w:rPr>
                <w:b/>
                <w:sz w:val="24"/>
                <w:lang w:val="zh-CN"/>
              </w:rPr>
            </w:pPr>
            <w:r>
              <w:rPr>
                <w:b/>
                <w:sz w:val="24"/>
                <w:lang w:val="zh-CN"/>
              </w:rPr>
              <w:t>表3-</w:t>
            </w:r>
            <w:r>
              <w:rPr>
                <w:b/>
                <w:sz w:val="24"/>
              </w:rPr>
              <w:t>9</w:t>
            </w:r>
            <w:r>
              <w:rPr>
                <w:b/>
                <w:sz w:val="24"/>
                <w:lang w:val="zh-CN"/>
              </w:rPr>
              <w:t xml:space="preserve">  地表水环境保护目标一览表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134"/>
              <w:gridCol w:w="1356"/>
              <w:gridCol w:w="1588"/>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blHeader/>
                <w:jc w:val="center"/>
              </w:trPr>
              <w:tc>
                <w:tcPr>
                  <w:tcW w:w="844" w:type="pct"/>
                  <w:vAlign w:val="center"/>
                </w:tcPr>
                <w:p>
                  <w:pPr>
                    <w:widowControl/>
                    <w:jc w:val="center"/>
                    <w:rPr>
                      <w:b/>
                      <w:bCs/>
                      <w:kern w:val="0"/>
                      <w:szCs w:val="21"/>
                    </w:rPr>
                  </w:pPr>
                  <w:r>
                    <w:rPr>
                      <w:b/>
                      <w:bCs/>
                      <w:kern w:val="0"/>
                      <w:szCs w:val="21"/>
                    </w:rPr>
                    <w:t>环境要素</w:t>
                  </w:r>
                </w:p>
              </w:tc>
              <w:tc>
                <w:tcPr>
                  <w:tcW w:w="650" w:type="pct"/>
                  <w:vAlign w:val="center"/>
                </w:tcPr>
                <w:p>
                  <w:pPr>
                    <w:widowControl/>
                    <w:jc w:val="center"/>
                    <w:rPr>
                      <w:b/>
                      <w:bCs/>
                      <w:kern w:val="0"/>
                      <w:szCs w:val="21"/>
                    </w:rPr>
                  </w:pPr>
                  <w:r>
                    <w:rPr>
                      <w:b/>
                      <w:bCs/>
                      <w:kern w:val="0"/>
                      <w:szCs w:val="21"/>
                    </w:rPr>
                    <w:t>保护对象名称</w:t>
                  </w:r>
                </w:p>
              </w:tc>
              <w:tc>
                <w:tcPr>
                  <w:tcW w:w="777" w:type="pct"/>
                  <w:vAlign w:val="center"/>
                </w:tcPr>
                <w:p>
                  <w:pPr>
                    <w:widowControl/>
                    <w:jc w:val="center"/>
                    <w:rPr>
                      <w:b/>
                      <w:bCs/>
                      <w:kern w:val="0"/>
                      <w:szCs w:val="21"/>
                    </w:rPr>
                  </w:pPr>
                  <w:r>
                    <w:rPr>
                      <w:b/>
                      <w:bCs/>
                      <w:kern w:val="0"/>
                      <w:szCs w:val="21"/>
                    </w:rPr>
                    <w:t>相对厂址方位</w:t>
                  </w:r>
                </w:p>
              </w:tc>
              <w:tc>
                <w:tcPr>
                  <w:tcW w:w="910" w:type="pct"/>
                  <w:vAlign w:val="center"/>
                </w:tcPr>
                <w:p>
                  <w:pPr>
                    <w:widowControl/>
                    <w:jc w:val="center"/>
                    <w:rPr>
                      <w:b/>
                      <w:bCs/>
                      <w:kern w:val="0"/>
                      <w:szCs w:val="21"/>
                    </w:rPr>
                  </w:pPr>
                  <w:r>
                    <w:rPr>
                      <w:b/>
                      <w:bCs/>
                      <w:kern w:val="0"/>
                      <w:szCs w:val="21"/>
                    </w:rPr>
                    <w:t>相对厂界距离</w:t>
                  </w:r>
                  <w:r>
                    <w:rPr>
                      <w:rFonts w:hint="eastAsia"/>
                      <w:b/>
                      <w:bCs/>
                      <w:kern w:val="0"/>
                      <w:szCs w:val="21"/>
                    </w:rPr>
                    <w:t>（</w:t>
                  </w:r>
                  <w:r>
                    <w:rPr>
                      <w:b/>
                      <w:bCs/>
                      <w:kern w:val="0"/>
                      <w:szCs w:val="21"/>
                    </w:rPr>
                    <w:t>m</w:t>
                  </w:r>
                  <w:r>
                    <w:rPr>
                      <w:rFonts w:hint="eastAsia"/>
                      <w:b/>
                      <w:bCs/>
                      <w:kern w:val="0"/>
                      <w:szCs w:val="21"/>
                    </w:rPr>
                    <w:t>）</w:t>
                  </w:r>
                </w:p>
              </w:tc>
              <w:tc>
                <w:tcPr>
                  <w:tcW w:w="1817" w:type="pct"/>
                  <w:vAlign w:val="center"/>
                </w:tcPr>
                <w:p>
                  <w:pPr>
                    <w:widowControl/>
                    <w:jc w:val="center"/>
                    <w:rPr>
                      <w:b/>
                      <w:bCs/>
                      <w:kern w:val="0"/>
                      <w:szCs w:val="21"/>
                    </w:rPr>
                  </w:pPr>
                  <w:r>
                    <w:rPr>
                      <w:b/>
                      <w:bCs/>
                      <w:kern w:val="0"/>
                      <w:szCs w:val="21"/>
                    </w:rPr>
                    <w:t>环境功能区及执行标准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844" w:type="pct"/>
                  <w:vAlign w:val="center"/>
                </w:tcPr>
                <w:p>
                  <w:pPr>
                    <w:widowControl/>
                    <w:jc w:val="center"/>
                    <w:rPr>
                      <w:kern w:val="0"/>
                      <w:szCs w:val="21"/>
                    </w:rPr>
                  </w:pPr>
                  <w:r>
                    <w:rPr>
                      <w:kern w:val="0"/>
                      <w:szCs w:val="21"/>
                    </w:rPr>
                    <w:t>地表水环境</w:t>
                  </w:r>
                </w:p>
              </w:tc>
              <w:tc>
                <w:tcPr>
                  <w:tcW w:w="650" w:type="pct"/>
                  <w:vAlign w:val="center"/>
                </w:tcPr>
                <w:p>
                  <w:pPr>
                    <w:widowControl/>
                    <w:jc w:val="center"/>
                    <w:rPr>
                      <w:kern w:val="0"/>
                      <w:szCs w:val="21"/>
                    </w:rPr>
                  </w:pPr>
                  <w:r>
                    <w:rPr>
                      <w:bCs/>
                      <w:szCs w:val="21"/>
                    </w:rPr>
                    <w:t>西运河</w:t>
                  </w:r>
                </w:p>
              </w:tc>
              <w:tc>
                <w:tcPr>
                  <w:tcW w:w="777" w:type="pct"/>
                  <w:vAlign w:val="center"/>
                </w:tcPr>
                <w:p>
                  <w:pPr>
                    <w:widowControl/>
                    <w:jc w:val="center"/>
                    <w:rPr>
                      <w:kern w:val="0"/>
                      <w:szCs w:val="21"/>
                    </w:rPr>
                  </w:pPr>
                  <w:r>
                    <w:rPr>
                      <w:kern w:val="0"/>
                      <w:szCs w:val="21"/>
                    </w:rPr>
                    <w:t>东</w:t>
                  </w:r>
                </w:p>
              </w:tc>
              <w:tc>
                <w:tcPr>
                  <w:tcW w:w="910" w:type="pct"/>
                  <w:vAlign w:val="center"/>
                </w:tcPr>
                <w:p>
                  <w:pPr>
                    <w:widowControl/>
                    <w:jc w:val="center"/>
                    <w:rPr>
                      <w:kern w:val="0"/>
                      <w:szCs w:val="21"/>
                    </w:rPr>
                  </w:pPr>
                  <w:r>
                    <w:rPr>
                      <w:kern w:val="0"/>
                      <w:szCs w:val="21"/>
                    </w:rPr>
                    <w:t>1866</w:t>
                  </w:r>
                </w:p>
              </w:tc>
              <w:tc>
                <w:tcPr>
                  <w:tcW w:w="1817" w:type="pct"/>
                  <w:vAlign w:val="center"/>
                </w:tcPr>
                <w:p>
                  <w:pPr>
                    <w:widowControl/>
                    <w:jc w:val="center"/>
                    <w:rPr>
                      <w:kern w:val="0"/>
                      <w:szCs w:val="21"/>
                    </w:rPr>
                  </w:pPr>
                  <w:r>
                    <w:rPr>
                      <w:szCs w:val="21"/>
                    </w:rPr>
                    <w:t>Ⅲ</w:t>
                  </w:r>
                  <w:r>
                    <w:rPr>
                      <w:kern w:val="0"/>
                      <w:szCs w:val="21"/>
                    </w:rPr>
                    <w:t>类功能区，《地表水环境质量标准》(GB3838-2002)</w:t>
                  </w:r>
                  <w:r>
                    <w:rPr>
                      <w:szCs w:val="21"/>
                    </w:rPr>
                    <w:t>Ⅲ</w:t>
                  </w:r>
                  <w:r>
                    <w:rPr>
                      <w:kern w:val="0"/>
                      <w:szCs w:val="21"/>
                    </w:rPr>
                    <w:t>类标准</w:t>
                  </w:r>
                </w:p>
              </w:tc>
            </w:tr>
          </w:tbl>
          <w:p>
            <w:pPr>
              <w:wordWrap w:val="0"/>
              <w:autoSpaceDE w:val="0"/>
              <w:autoSpaceDN w:val="0"/>
              <w:adjustRightInd w:val="0"/>
              <w:spacing w:before="156" w:beforeLines="50" w:line="360" w:lineRule="auto"/>
              <w:rPr>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51" w:type="pct"/>
            <w:tcMar>
              <w:left w:w="28" w:type="dxa"/>
              <w:right w:w="28" w:type="dxa"/>
            </w:tcMar>
            <w:vAlign w:val="center"/>
          </w:tcPr>
          <w:p>
            <w:pPr>
              <w:adjustRightInd w:val="0"/>
              <w:snapToGrid w:val="0"/>
              <w:spacing w:line="360" w:lineRule="auto"/>
              <w:jc w:val="center"/>
              <w:rPr>
                <w:kern w:val="0"/>
                <w:sz w:val="24"/>
              </w:rPr>
            </w:pPr>
            <w:r>
              <w:rPr>
                <w:kern w:val="0"/>
                <w:sz w:val="24"/>
              </w:rPr>
              <w:t>污染</w:t>
            </w:r>
          </w:p>
          <w:p>
            <w:pPr>
              <w:adjustRightInd w:val="0"/>
              <w:snapToGrid w:val="0"/>
              <w:spacing w:line="360" w:lineRule="auto"/>
              <w:jc w:val="center"/>
              <w:rPr>
                <w:kern w:val="0"/>
                <w:sz w:val="24"/>
              </w:rPr>
            </w:pPr>
            <w:r>
              <w:rPr>
                <w:kern w:val="0"/>
                <w:sz w:val="24"/>
              </w:rPr>
              <w:t>物排</w:t>
            </w:r>
          </w:p>
          <w:p>
            <w:pPr>
              <w:adjustRightInd w:val="0"/>
              <w:snapToGrid w:val="0"/>
              <w:spacing w:line="360" w:lineRule="auto"/>
              <w:jc w:val="center"/>
              <w:rPr>
                <w:kern w:val="0"/>
                <w:sz w:val="24"/>
              </w:rPr>
            </w:pPr>
            <w:r>
              <w:rPr>
                <w:kern w:val="0"/>
                <w:sz w:val="24"/>
              </w:rPr>
              <w:t>放控</w:t>
            </w:r>
          </w:p>
          <w:p>
            <w:pPr>
              <w:adjustRightInd w:val="0"/>
              <w:snapToGrid w:val="0"/>
              <w:spacing w:line="360" w:lineRule="auto"/>
              <w:jc w:val="center"/>
              <w:rPr>
                <w:kern w:val="0"/>
                <w:sz w:val="24"/>
              </w:rPr>
            </w:pPr>
            <w:r>
              <w:rPr>
                <w:kern w:val="0"/>
                <w:sz w:val="24"/>
              </w:rPr>
              <w:t>制标</w:t>
            </w:r>
          </w:p>
          <w:p>
            <w:pPr>
              <w:adjustRightInd w:val="0"/>
              <w:snapToGrid w:val="0"/>
              <w:spacing w:line="360" w:lineRule="auto"/>
              <w:jc w:val="center"/>
              <w:rPr>
                <w:kern w:val="0"/>
                <w:sz w:val="24"/>
              </w:rPr>
            </w:pPr>
            <w:r>
              <w:rPr>
                <w:kern w:val="0"/>
                <w:sz w:val="24"/>
              </w:rPr>
              <w:t>准</w:t>
            </w:r>
          </w:p>
        </w:tc>
        <w:tc>
          <w:tcPr>
            <w:tcW w:w="4649" w:type="pct"/>
            <w:vAlign w:val="center"/>
          </w:tcPr>
          <w:p>
            <w:pPr>
              <w:spacing w:line="360" w:lineRule="auto"/>
              <w:rPr>
                <w:b/>
                <w:bCs/>
                <w:sz w:val="24"/>
              </w:rPr>
            </w:pPr>
            <w:r>
              <w:rPr>
                <w:b/>
                <w:bCs/>
                <w:sz w:val="24"/>
              </w:rPr>
              <w:t>1、大气污染物排放标准</w:t>
            </w:r>
          </w:p>
          <w:p>
            <w:pPr>
              <w:spacing w:line="360" w:lineRule="auto"/>
              <w:ind w:firstLine="480" w:firstLineChars="200"/>
              <w:rPr>
                <w:sz w:val="24"/>
              </w:rPr>
            </w:pPr>
            <w:r>
              <w:rPr>
                <w:sz w:val="24"/>
              </w:rPr>
              <w:t>（1）无组织废气</w:t>
            </w:r>
          </w:p>
          <w:p>
            <w:pPr>
              <w:wordWrap w:val="0"/>
              <w:autoSpaceDE w:val="0"/>
              <w:autoSpaceDN w:val="0"/>
              <w:adjustRightInd w:val="0"/>
              <w:spacing w:line="360" w:lineRule="auto"/>
              <w:ind w:firstLine="480" w:firstLineChars="200"/>
              <w:rPr>
                <w:bCs/>
                <w:sz w:val="24"/>
              </w:rPr>
            </w:pPr>
            <w:r>
              <w:rPr>
                <w:sz w:val="24"/>
              </w:rPr>
              <w:t>施工期废气主要为扬尘，施工扬尘执行《大气污染物</w:t>
            </w:r>
            <w:r>
              <w:rPr>
                <w:bCs/>
                <w:sz w:val="24"/>
              </w:rPr>
              <w:t>综合排放标准》（GB 16297-1996）</w:t>
            </w:r>
            <w:r>
              <w:rPr>
                <w:rFonts w:hint="eastAsia"/>
                <w:bCs/>
                <w:sz w:val="24"/>
              </w:rPr>
              <w:t>表2无组织排放监控浓度</w:t>
            </w:r>
            <w:r>
              <w:rPr>
                <w:bCs/>
                <w:sz w:val="24"/>
              </w:rPr>
              <w:t>标准限值。</w:t>
            </w:r>
          </w:p>
          <w:p>
            <w:pPr>
              <w:wordWrap w:val="0"/>
              <w:autoSpaceDE w:val="0"/>
              <w:autoSpaceDN w:val="0"/>
              <w:adjustRightInd w:val="0"/>
              <w:spacing w:line="360" w:lineRule="auto"/>
              <w:ind w:firstLine="480" w:firstLineChars="200"/>
              <w:jc w:val="center"/>
              <w:rPr>
                <w:b/>
                <w:sz w:val="24"/>
                <w:vertAlign w:val="superscript"/>
              </w:rPr>
            </w:pPr>
            <w:r>
              <w:rPr>
                <w:b/>
                <w:sz w:val="24"/>
              </w:rPr>
              <w:t>表3-10 大气污染物综合排放标准  单位：mg/m</w:t>
            </w:r>
            <w:r>
              <w:rPr>
                <w:b/>
                <w:sz w:val="24"/>
                <w:vertAlign w:val="superscript"/>
              </w:rPr>
              <w:t>3</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3166"/>
              <w:gridCol w:w="4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54" w:type="pct"/>
                  <w:vAlign w:val="center"/>
                </w:tcPr>
                <w:p>
                  <w:pPr>
                    <w:pStyle w:val="13"/>
                    <w:jc w:val="center"/>
                    <w:rPr>
                      <w:rFonts w:ascii="Times New Roman" w:hAnsi="Times New Roman"/>
                      <w:b/>
                      <w:bCs/>
                      <w:szCs w:val="21"/>
                    </w:rPr>
                  </w:pPr>
                  <w:r>
                    <w:rPr>
                      <w:rFonts w:ascii="Times New Roman" w:hAnsi="Times New Roman"/>
                      <w:b/>
                      <w:bCs/>
                      <w:szCs w:val="21"/>
                    </w:rPr>
                    <w:t>序号</w:t>
                  </w:r>
                </w:p>
              </w:tc>
              <w:tc>
                <w:tcPr>
                  <w:tcW w:w="1813" w:type="pct"/>
                  <w:vAlign w:val="center"/>
                </w:tcPr>
                <w:p>
                  <w:pPr>
                    <w:pStyle w:val="13"/>
                    <w:jc w:val="center"/>
                    <w:rPr>
                      <w:rFonts w:ascii="Times New Roman" w:hAnsi="Times New Roman"/>
                      <w:b/>
                      <w:bCs/>
                      <w:szCs w:val="21"/>
                    </w:rPr>
                  </w:pPr>
                  <w:r>
                    <w:rPr>
                      <w:rFonts w:ascii="Times New Roman" w:hAnsi="Times New Roman"/>
                      <w:b/>
                      <w:bCs/>
                      <w:szCs w:val="21"/>
                    </w:rPr>
                    <w:t>控制项目</w:t>
                  </w:r>
                </w:p>
              </w:tc>
              <w:tc>
                <w:tcPr>
                  <w:tcW w:w="2331" w:type="pct"/>
                  <w:vAlign w:val="center"/>
                </w:tcPr>
                <w:p>
                  <w:pPr>
                    <w:pStyle w:val="13"/>
                    <w:jc w:val="center"/>
                    <w:rPr>
                      <w:rFonts w:ascii="Times New Roman" w:hAnsi="Times New Roman"/>
                      <w:b/>
                      <w:bCs/>
                      <w:szCs w:val="21"/>
                    </w:rPr>
                  </w:pPr>
                  <w:r>
                    <w:rPr>
                      <w:rFonts w:ascii="Times New Roman" w:hAnsi="Times New Roman"/>
                      <w:b/>
                      <w:bCs/>
                      <w:szCs w:val="21"/>
                    </w:rPr>
                    <w:t>周界外浓度最高点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4" w:type="pct"/>
                  <w:vAlign w:val="center"/>
                </w:tcPr>
                <w:p>
                  <w:pPr>
                    <w:pStyle w:val="13"/>
                    <w:jc w:val="center"/>
                    <w:rPr>
                      <w:rFonts w:ascii="Times New Roman" w:hAnsi="Times New Roman"/>
                      <w:szCs w:val="21"/>
                    </w:rPr>
                  </w:pPr>
                  <w:r>
                    <w:rPr>
                      <w:rFonts w:ascii="Times New Roman" w:hAnsi="Times New Roman"/>
                      <w:szCs w:val="21"/>
                    </w:rPr>
                    <w:t>1</w:t>
                  </w:r>
                </w:p>
              </w:tc>
              <w:tc>
                <w:tcPr>
                  <w:tcW w:w="1813" w:type="pct"/>
                  <w:vAlign w:val="center"/>
                </w:tcPr>
                <w:p>
                  <w:pPr>
                    <w:pStyle w:val="13"/>
                    <w:jc w:val="center"/>
                    <w:rPr>
                      <w:rFonts w:ascii="Times New Roman" w:hAnsi="Times New Roman"/>
                      <w:szCs w:val="21"/>
                    </w:rPr>
                  </w:pPr>
                  <w:r>
                    <w:rPr>
                      <w:rFonts w:ascii="Times New Roman" w:hAnsi="Times New Roman"/>
                      <w:szCs w:val="21"/>
                    </w:rPr>
                    <w:t>颗粒物</w:t>
                  </w:r>
                </w:p>
              </w:tc>
              <w:tc>
                <w:tcPr>
                  <w:tcW w:w="2331" w:type="pct"/>
                  <w:vAlign w:val="center"/>
                </w:tcPr>
                <w:p>
                  <w:pPr>
                    <w:pStyle w:val="13"/>
                    <w:jc w:val="center"/>
                    <w:rPr>
                      <w:rFonts w:ascii="Times New Roman" w:hAnsi="Times New Roman"/>
                      <w:szCs w:val="21"/>
                    </w:rPr>
                  </w:pPr>
                  <w:r>
                    <w:rPr>
                      <w:rFonts w:ascii="Times New Roman" w:hAnsi="Times New Roman"/>
                      <w:szCs w:val="21"/>
                    </w:rPr>
                    <w:t>1.0</w:t>
                  </w:r>
                </w:p>
              </w:tc>
            </w:tr>
          </w:tbl>
          <w:p>
            <w:pPr>
              <w:numPr>
                <w:ilvl w:val="0"/>
                <w:numId w:val="5"/>
              </w:numPr>
              <w:spacing w:line="360" w:lineRule="auto"/>
              <w:rPr>
                <w:sz w:val="24"/>
              </w:rPr>
            </w:pPr>
            <w:r>
              <w:rPr>
                <w:sz w:val="24"/>
              </w:rPr>
              <w:t>有组织废气</w:t>
            </w:r>
          </w:p>
          <w:p>
            <w:pPr>
              <w:wordWrap w:val="0"/>
              <w:autoSpaceDE w:val="0"/>
              <w:autoSpaceDN w:val="0"/>
              <w:adjustRightInd w:val="0"/>
              <w:spacing w:line="360" w:lineRule="auto"/>
              <w:ind w:firstLine="480" w:firstLineChars="200"/>
              <w:rPr>
                <w:sz w:val="24"/>
              </w:rPr>
            </w:pPr>
            <w:r>
              <w:rPr>
                <w:sz w:val="24"/>
              </w:rPr>
              <w:t>运营期废气主要为锅炉燃烧产生的烟尘、SO</w:t>
            </w:r>
            <w:r>
              <w:rPr>
                <w:sz w:val="24"/>
                <w:vertAlign w:val="subscript"/>
              </w:rPr>
              <w:t>2</w:t>
            </w:r>
            <w:r>
              <w:rPr>
                <w:sz w:val="24"/>
              </w:rPr>
              <w:t>、NOx</w:t>
            </w:r>
            <w:r>
              <w:rPr>
                <w:rFonts w:hint="eastAsia"/>
                <w:sz w:val="24"/>
              </w:rPr>
              <w:t>，</w:t>
            </w:r>
            <w:r>
              <w:rPr>
                <w:sz w:val="24"/>
              </w:rPr>
              <w:t>执行《锅炉大气污染物排放标准》（GB13271-2014）中燃煤锅炉</w:t>
            </w:r>
            <w:r>
              <w:rPr>
                <w:rFonts w:hint="eastAsia"/>
                <w:sz w:val="24"/>
              </w:rPr>
              <w:t>（生物质锅炉参照燃煤锅炉标准执行）</w:t>
            </w:r>
            <w:r>
              <w:rPr>
                <w:sz w:val="24"/>
              </w:rPr>
              <w:t>、燃气锅炉标准要求；食堂油烟参照执行《饮食业油烟排放标准》（GB18483-2001）</w:t>
            </w:r>
            <w:r>
              <w:rPr>
                <w:rFonts w:hint="eastAsia"/>
                <w:sz w:val="24"/>
              </w:rPr>
              <w:t>中</w:t>
            </w:r>
            <w:r>
              <w:rPr>
                <w:sz w:val="24"/>
              </w:rPr>
              <w:t>小型标准的要求。</w:t>
            </w:r>
          </w:p>
          <w:p>
            <w:pPr>
              <w:autoSpaceDE w:val="0"/>
              <w:autoSpaceDN w:val="0"/>
              <w:adjustRightInd w:val="0"/>
              <w:spacing w:line="360" w:lineRule="auto"/>
              <w:jc w:val="center"/>
              <w:rPr>
                <w:b/>
                <w:sz w:val="24"/>
              </w:rPr>
            </w:pPr>
            <w:r>
              <w:rPr>
                <w:b/>
                <w:sz w:val="24"/>
              </w:rPr>
              <w:t>表3-11锅炉大气污染物排放浓度限值 单位：mg/m</w:t>
            </w:r>
            <w:r>
              <w:rPr>
                <w:b/>
                <w:sz w:val="24"/>
                <w:vertAlign w:val="superscript"/>
              </w:rPr>
              <w:t>3</w:t>
            </w:r>
            <w:r>
              <w:rPr>
                <w:b/>
                <w:sz w:val="24"/>
              </w:rPr>
              <w:t>（烟气黑度除外）</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6"/>
              <w:gridCol w:w="1258"/>
              <w:gridCol w:w="1349"/>
              <w:gridCol w:w="1286"/>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33" w:type="pct"/>
                  <w:vAlign w:val="center"/>
                </w:tcPr>
                <w:p>
                  <w:pPr>
                    <w:pStyle w:val="13"/>
                    <w:jc w:val="center"/>
                    <w:rPr>
                      <w:rFonts w:ascii="Times New Roman" w:hAnsi="Times New Roman"/>
                      <w:b/>
                      <w:bCs/>
                      <w:szCs w:val="21"/>
                    </w:rPr>
                  </w:pPr>
                  <w:r>
                    <w:rPr>
                      <w:rFonts w:ascii="Times New Roman" w:hAnsi="Times New Roman"/>
                      <w:b/>
                      <w:bCs/>
                      <w:szCs w:val="21"/>
                    </w:rPr>
                    <w:t>项目</w:t>
                  </w:r>
                </w:p>
              </w:tc>
              <w:tc>
                <w:tcPr>
                  <w:tcW w:w="721" w:type="pct"/>
                  <w:vAlign w:val="center"/>
                </w:tcPr>
                <w:p>
                  <w:pPr>
                    <w:pStyle w:val="13"/>
                    <w:jc w:val="center"/>
                    <w:rPr>
                      <w:rFonts w:ascii="Times New Roman" w:hAnsi="Times New Roman"/>
                      <w:b/>
                      <w:bCs/>
                      <w:szCs w:val="21"/>
                    </w:rPr>
                  </w:pPr>
                  <w:r>
                    <w:rPr>
                      <w:rFonts w:ascii="Times New Roman" w:hAnsi="Times New Roman"/>
                      <w:b/>
                      <w:bCs/>
                      <w:szCs w:val="21"/>
                    </w:rPr>
                    <w:t>SO</w:t>
                  </w:r>
                  <w:r>
                    <w:rPr>
                      <w:rFonts w:ascii="Times New Roman" w:hAnsi="Times New Roman"/>
                      <w:b/>
                      <w:bCs/>
                      <w:szCs w:val="21"/>
                      <w:vertAlign w:val="subscript"/>
                    </w:rPr>
                    <w:t>2</w:t>
                  </w:r>
                </w:p>
              </w:tc>
              <w:tc>
                <w:tcPr>
                  <w:tcW w:w="773" w:type="pct"/>
                  <w:vAlign w:val="center"/>
                </w:tcPr>
                <w:p>
                  <w:pPr>
                    <w:pStyle w:val="13"/>
                    <w:jc w:val="center"/>
                    <w:rPr>
                      <w:rFonts w:ascii="Times New Roman" w:hAnsi="Times New Roman"/>
                      <w:b/>
                      <w:bCs/>
                      <w:szCs w:val="21"/>
                    </w:rPr>
                  </w:pPr>
                  <w:r>
                    <w:rPr>
                      <w:rFonts w:ascii="Times New Roman" w:hAnsi="Times New Roman"/>
                      <w:b/>
                      <w:bCs/>
                      <w:szCs w:val="21"/>
                    </w:rPr>
                    <w:t>NOx</w:t>
                  </w:r>
                </w:p>
              </w:tc>
              <w:tc>
                <w:tcPr>
                  <w:tcW w:w="736" w:type="pct"/>
                  <w:vAlign w:val="center"/>
                </w:tcPr>
                <w:p>
                  <w:pPr>
                    <w:pStyle w:val="13"/>
                    <w:jc w:val="center"/>
                    <w:rPr>
                      <w:rFonts w:ascii="Times New Roman" w:hAnsi="Times New Roman"/>
                      <w:b/>
                      <w:bCs/>
                      <w:szCs w:val="21"/>
                    </w:rPr>
                  </w:pPr>
                  <w:r>
                    <w:rPr>
                      <w:rFonts w:ascii="Times New Roman" w:hAnsi="Times New Roman"/>
                      <w:b/>
                      <w:bCs/>
                      <w:szCs w:val="21"/>
                    </w:rPr>
                    <w:t>烟尘</w:t>
                  </w:r>
                </w:p>
              </w:tc>
              <w:tc>
                <w:tcPr>
                  <w:tcW w:w="1034" w:type="pct"/>
                  <w:vAlign w:val="center"/>
                </w:tcPr>
                <w:p>
                  <w:pPr>
                    <w:pStyle w:val="13"/>
                    <w:jc w:val="center"/>
                    <w:rPr>
                      <w:rFonts w:ascii="Times New Roman" w:hAnsi="Times New Roman"/>
                      <w:b/>
                      <w:bCs/>
                      <w:szCs w:val="21"/>
                    </w:rPr>
                  </w:pPr>
                  <w:r>
                    <w:rPr>
                      <w:rFonts w:ascii="Times New Roman" w:hAnsi="Times New Roman"/>
                      <w:b/>
                      <w:bCs/>
                      <w:szCs w:val="21"/>
                    </w:rPr>
                    <w:t>烟气黑度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733" w:type="pct"/>
                  <w:vAlign w:val="center"/>
                </w:tcPr>
                <w:p>
                  <w:pPr>
                    <w:pStyle w:val="13"/>
                    <w:jc w:val="center"/>
                    <w:rPr>
                      <w:rFonts w:ascii="Times New Roman" w:hAnsi="Times New Roman"/>
                      <w:szCs w:val="21"/>
                    </w:rPr>
                  </w:pPr>
                  <w:r>
                    <w:rPr>
                      <w:rFonts w:hint="eastAsia" w:ascii="Times New Roman" w:hAnsi="Times New Roman"/>
                      <w:szCs w:val="21"/>
                    </w:rPr>
                    <w:t>燃煤锅炉</w:t>
                  </w:r>
                </w:p>
              </w:tc>
              <w:tc>
                <w:tcPr>
                  <w:tcW w:w="721" w:type="pct"/>
                  <w:vAlign w:val="center"/>
                </w:tcPr>
                <w:p>
                  <w:pPr>
                    <w:pStyle w:val="13"/>
                    <w:jc w:val="center"/>
                    <w:rPr>
                      <w:rFonts w:ascii="Times New Roman" w:hAnsi="Times New Roman"/>
                      <w:szCs w:val="21"/>
                    </w:rPr>
                  </w:pPr>
                  <w:r>
                    <w:rPr>
                      <w:rFonts w:ascii="Times New Roman" w:hAnsi="Times New Roman"/>
                      <w:szCs w:val="21"/>
                    </w:rPr>
                    <w:t>300</w:t>
                  </w:r>
                </w:p>
              </w:tc>
              <w:tc>
                <w:tcPr>
                  <w:tcW w:w="773" w:type="pct"/>
                  <w:vAlign w:val="center"/>
                </w:tcPr>
                <w:p>
                  <w:pPr>
                    <w:pStyle w:val="13"/>
                    <w:jc w:val="center"/>
                    <w:rPr>
                      <w:rFonts w:ascii="Times New Roman" w:hAnsi="Times New Roman"/>
                      <w:szCs w:val="21"/>
                    </w:rPr>
                  </w:pPr>
                  <w:r>
                    <w:rPr>
                      <w:rFonts w:ascii="Times New Roman" w:hAnsi="Times New Roman"/>
                      <w:szCs w:val="21"/>
                    </w:rPr>
                    <w:t>300</w:t>
                  </w:r>
                </w:p>
              </w:tc>
              <w:tc>
                <w:tcPr>
                  <w:tcW w:w="736" w:type="pct"/>
                  <w:vAlign w:val="center"/>
                </w:tcPr>
                <w:p>
                  <w:pPr>
                    <w:pStyle w:val="13"/>
                    <w:jc w:val="center"/>
                    <w:rPr>
                      <w:rFonts w:ascii="Times New Roman" w:hAnsi="Times New Roman"/>
                      <w:szCs w:val="21"/>
                    </w:rPr>
                  </w:pPr>
                  <w:r>
                    <w:rPr>
                      <w:rFonts w:ascii="Times New Roman" w:hAnsi="Times New Roman"/>
                      <w:szCs w:val="21"/>
                    </w:rPr>
                    <w:t>50</w:t>
                  </w:r>
                </w:p>
              </w:tc>
              <w:tc>
                <w:tcPr>
                  <w:tcW w:w="1034" w:type="pct"/>
                  <w:vMerge w:val="restart"/>
                  <w:vAlign w:val="center"/>
                </w:tcPr>
                <w:p>
                  <w:pPr>
                    <w:pStyle w:val="13"/>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733" w:type="pct"/>
                  <w:vAlign w:val="center"/>
                </w:tcPr>
                <w:p>
                  <w:pPr>
                    <w:pStyle w:val="13"/>
                    <w:jc w:val="center"/>
                    <w:rPr>
                      <w:rFonts w:ascii="Times New Roman" w:hAnsi="Times New Roman"/>
                      <w:szCs w:val="21"/>
                    </w:rPr>
                  </w:pPr>
                  <w:r>
                    <w:rPr>
                      <w:rFonts w:hint="eastAsia" w:ascii="Times New Roman" w:hAnsi="Times New Roman"/>
                      <w:szCs w:val="21"/>
                    </w:rPr>
                    <w:t>燃气锅炉</w:t>
                  </w:r>
                </w:p>
              </w:tc>
              <w:tc>
                <w:tcPr>
                  <w:tcW w:w="721" w:type="pct"/>
                  <w:vAlign w:val="center"/>
                </w:tcPr>
                <w:p>
                  <w:pPr>
                    <w:pStyle w:val="13"/>
                    <w:jc w:val="center"/>
                    <w:rPr>
                      <w:rFonts w:ascii="Times New Roman" w:hAnsi="Times New Roman"/>
                      <w:szCs w:val="21"/>
                    </w:rPr>
                  </w:pPr>
                  <w:r>
                    <w:rPr>
                      <w:rFonts w:ascii="Times New Roman" w:hAnsi="Times New Roman"/>
                      <w:szCs w:val="21"/>
                    </w:rPr>
                    <w:t>50</w:t>
                  </w:r>
                </w:p>
              </w:tc>
              <w:tc>
                <w:tcPr>
                  <w:tcW w:w="773" w:type="pct"/>
                  <w:vAlign w:val="center"/>
                </w:tcPr>
                <w:p>
                  <w:pPr>
                    <w:pStyle w:val="13"/>
                    <w:jc w:val="center"/>
                    <w:rPr>
                      <w:rFonts w:ascii="Times New Roman" w:hAnsi="Times New Roman"/>
                      <w:szCs w:val="21"/>
                    </w:rPr>
                  </w:pPr>
                  <w:r>
                    <w:rPr>
                      <w:rFonts w:ascii="Times New Roman" w:hAnsi="Times New Roman"/>
                      <w:szCs w:val="21"/>
                    </w:rPr>
                    <w:t>200</w:t>
                  </w:r>
                </w:p>
              </w:tc>
              <w:tc>
                <w:tcPr>
                  <w:tcW w:w="736" w:type="pct"/>
                  <w:vAlign w:val="center"/>
                </w:tcPr>
                <w:p>
                  <w:pPr>
                    <w:pStyle w:val="13"/>
                    <w:jc w:val="center"/>
                    <w:rPr>
                      <w:rFonts w:ascii="Times New Roman" w:hAnsi="Times New Roman"/>
                      <w:szCs w:val="21"/>
                    </w:rPr>
                  </w:pPr>
                  <w:r>
                    <w:rPr>
                      <w:rFonts w:ascii="Times New Roman" w:hAnsi="Times New Roman"/>
                      <w:szCs w:val="21"/>
                    </w:rPr>
                    <w:t>20</w:t>
                  </w:r>
                </w:p>
              </w:tc>
              <w:tc>
                <w:tcPr>
                  <w:tcW w:w="1034" w:type="pct"/>
                  <w:vMerge w:val="continue"/>
                  <w:vAlign w:val="center"/>
                </w:tcPr>
                <w:p>
                  <w:pPr>
                    <w:pStyle w:val="13"/>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3" w:type="pct"/>
                  <w:vAlign w:val="center"/>
                </w:tcPr>
                <w:p>
                  <w:pPr>
                    <w:pStyle w:val="13"/>
                    <w:jc w:val="center"/>
                    <w:rPr>
                      <w:rFonts w:ascii="Times New Roman" w:hAnsi="Times New Roman"/>
                      <w:szCs w:val="21"/>
                    </w:rPr>
                  </w:pPr>
                  <w:r>
                    <w:rPr>
                      <w:rFonts w:ascii="Times New Roman" w:hAnsi="Times New Roman"/>
                      <w:szCs w:val="21"/>
                    </w:rPr>
                    <w:t>污染物浓度监测位置</w:t>
                  </w:r>
                </w:p>
              </w:tc>
              <w:tc>
                <w:tcPr>
                  <w:tcW w:w="2231" w:type="pct"/>
                  <w:gridSpan w:val="3"/>
                  <w:vAlign w:val="center"/>
                </w:tcPr>
                <w:p>
                  <w:pPr>
                    <w:pStyle w:val="13"/>
                    <w:jc w:val="center"/>
                    <w:rPr>
                      <w:rFonts w:ascii="Times New Roman" w:hAnsi="Times New Roman"/>
                      <w:szCs w:val="21"/>
                    </w:rPr>
                  </w:pPr>
                  <w:r>
                    <w:rPr>
                      <w:rFonts w:ascii="Times New Roman" w:hAnsi="Times New Roman"/>
                      <w:szCs w:val="21"/>
                    </w:rPr>
                    <w:t>烟囱或烟道</w:t>
                  </w:r>
                </w:p>
              </w:tc>
              <w:tc>
                <w:tcPr>
                  <w:tcW w:w="1034" w:type="pct"/>
                  <w:vAlign w:val="center"/>
                </w:tcPr>
                <w:p>
                  <w:pPr>
                    <w:pStyle w:val="13"/>
                    <w:jc w:val="center"/>
                    <w:rPr>
                      <w:rFonts w:ascii="Times New Roman" w:hAnsi="Times New Roman"/>
                      <w:szCs w:val="21"/>
                    </w:rPr>
                  </w:pPr>
                  <w:r>
                    <w:rPr>
                      <w:rFonts w:ascii="Times New Roman" w:hAnsi="Times New Roman"/>
                      <w:szCs w:val="21"/>
                    </w:rPr>
                    <w:t>烟囱排放口</w:t>
                  </w:r>
                </w:p>
              </w:tc>
            </w:tr>
          </w:tbl>
          <w:p>
            <w:pPr>
              <w:autoSpaceDE w:val="0"/>
              <w:autoSpaceDN w:val="0"/>
              <w:adjustRightInd w:val="0"/>
              <w:spacing w:line="360" w:lineRule="auto"/>
              <w:jc w:val="center"/>
              <w:rPr>
                <w:sz w:val="24"/>
              </w:rPr>
            </w:pPr>
            <w:r>
              <w:rPr>
                <w:b/>
                <w:sz w:val="24"/>
              </w:rPr>
              <w:t>表 3-12 《饮食业油烟排放标准》</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2199"/>
              <w:gridCol w:w="2075"/>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361" w:type="pct"/>
                  <w:vAlign w:val="center"/>
                </w:tcPr>
                <w:p>
                  <w:pPr>
                    <w:pStyle w:val="13"/>
                    <w:jc w:val="center"/>
                    <w:rPr>
                      <w:rFonts w:ascii="Times New Roman" w:hAnsi="Times New Roman"/>
                      <w:b/>
                      <w:bCs/>
                      <w:szCs w:val="21"/>
                    </w:rPr>
                  </w:pPr>
                  <w:r>
                    <w:rPr>
                      <w:rFonts w:ascii="Times New Roman" w:hAnsi="Times New Roman"/>
                      <w:b/>
                      <w:bCs/>
                      <w:szCs w:val="21"/>
                    </w:rPr>
                    <w:t xml:space="preserve">污染物 </w:t>
                  </w:r>
                </w:p>
              </w:tc>
              <w:tc>
                <w:tcPr>
                  <w:tcW w:w="1260" w:type="pct"/>
                  <w:vAlign w:val="center"/>
                </w:tcPr>
                <w:p>
                  <w:pPr>
                    <w:pStyle w:val="13"/>
                    <w:jc w:val="center"/>
                    <w:rPr>
                      <w:rFonts w:ascii="Times New Roman" w:hAnsi="Times New Roman"/>
                      <w:b/>
                      <w:bCs/>
                      <w:szCs w:val="21"/>
                    </w:rPr>
                  </w:pPr>
                  <w:r>
                    <w:rPr>
                      <w:rFonts w:ascii="Times New Roman" w:hAnsi="Times New Roman"/>
                      <w:b/>
                      <w:bCs/>
                      <w:szCs w:val="21"/>
                    </w:rPr>
                    <w:t xml:space="preserve">油烟浓度 </w:t>
                  </w:r>
                </w:p>
              </w:tc>
              <w:tc>
                <w:tcPr>
                  <w:tcW w:w="1189" w:type="pct"/>
                  <w:vAlign w:val="center"/>
                </w:tcPr>
                <w:p>
                  <w:pPr>
                    <w:pStyle w:val="13"/>
                    <w:jc w:val="center"/>
                    <w:rPr>
                      <w:rFonts w:ascii="Times New Roman" w:hAnsi="Times New Roman"/>
                      <w:b/>
                      <w:bCs/>
                      <w:szCs w:val="21"/>
                    </w:rPr>
                  </w:pPr>
                  <w:r>
                    <w:rPr>
                      <w:rFonts w:ascii="Times New Roman" w:hAnsi="Times New Roman"/>
                      <w:b/>
                      <w:bCs/>
                      <w:szCs w:val="21"/>
                    </w:rPr>
                    <w:t>最低去除率</w:t>
                  </w:r>
                </w:p>
              </w:tc>
              <w:tc>
                <w:tcPr>
                  <w:tcW w:w="1189" w:type="pct"/>
                  <w:vAlign w:val="center"/>
                </w:tcPr>
                <w:p>
                  <w:pPr>
                    <w:pStyle w:val="13"/>
                    <w:jc w:val="center"/>
                    <w:rPr>
                      <w:rFonts w:ascii="Times New Roman" w:hAnsi="Times New Roman"/>
                      <w:b/>
                      <w:bCs/>
                      <w:szCs w:val="21"/>
                    </w:rPr>
                  </w:pPr>
                  <w:r>
                    <w:rPr>
                      <w:rFonts w:ascii="Times New Roman" w:hAnsi="Times New Roman"/>
                      <w:b/>
                      <w:bCs/>
                      <w:szCs w:val="21"/>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61" w:type="pct"/>
                  <w:vAlign w:val="center"/>
                </w:tcPr>
                <w:p>
                  <w:pPr>
                    <w:pStyle w:val="13"/>
                    <w:jc w:val="center"/>
                    <w:rPr>
                      <w:rFonts w:ascii="Times New Roman" w:hAnsi="Times New Roman"/>
                      <w:szCs w:val="21"/>
                    </w:rPr>
                  </w:pPr>
                  <w:r>
                    <w:rPr>
                      <w:rFonts w:ascii="Times New Roman" w:hAnsi="Times New Roman"/>
                      <w:szCs w:val="21"/>
                    </w:rPr>
                    <w:t xml:space="preserve">最高排放浓度 </w:t>
                  </w:r>
                </w:p>
              </w:tc>
              <w:tc>
                <w:tcPr>
                  <w:tcW w:w="1260" w:type="pct"/>
                  <w:vAlign w:val="center"/>
                </w:tcPr>
                <w:p>
                  <w:pPr>
                    <w:pStyle w:val="13"/>
                    <w:jc w:val="center"/>
                    <w:rPr>
                      <w:rFonts w:ascii="Times New Roman" w:hAnsi="Times New Roman"/>
                      <w:szCs w:val="21"/>
                    </w:rPr>
                  </w:pPr>
                  <w:r>
                    <w:rPr>
                      <w:rFonts w:ascii="Times New Roman" w:hAnsi="Times New Roman"/>
                      <w:szCs w:val="21"/>
                    </w:rPr>
                    <w:t>≤2.0mg/m</w:t>
                  </w:r>
                  <w:r>
                    <w:rPr>
                      <w:rFonts w:ascii="Times New Roman" w:hAnsi="Times New Roman"/>
                      <w:szCs w:val="21"/>
                      <w:vertAlign w:val="superscript"/>
                    </w:rPr>
                    <w:t>3</w:t>
                  </w:r>
                </w:p>
              </w:tc>
              <w:tc>
                <w:tcPr>
                  <w:tcW w:w="1189" w:type="pct"/>
                  <w:vAlign w:val="center"/>
                </w:tcPr>
                <w:p>
                  <w:pPr>
                    <w:pStyle w:val="13"/>
                    <w:jc w:val="center"/>
                    <w:rPr>
                      <w:rFonts w:ascii="Times New Roman" w:hAnsi="Times New Roman"/>
                      <w:szCs w:val="21"/>
                    </w:rPr>
                  </w:pPr>
                  <w:r>
                    <w:rPr>
                      <w:rFonts w:ascii="Times New Roman" w:hAnsi="Times New Roman"/>
                      <w:szCs w:val="21"/>
                    </w:rPr>
                    <w:t>≥60%</w:t>
                  </w:r>
                </w:p>
              </w:tc>
              <w:tc>
                <w:tcPr>
                  <w:tcW w:w="1189" w:type="pct"/>
                  <w:vAlign w:val="center"/>
                </w:tcPr>
                <w:p>
                  <w:pPr>
                    <w:pStyle w:val="13"/>
                    <w:jc w:val="center"/>
                    <w:rPr>
                      <w:rFonts w:ascii="Times New Roman" w:hAnsi="Times New Roman"/>
                      <w:szCs w:val="21"/>
                    </w:rPr>
                  </w:pPr>
                  <w:r>
                    <w:rPr>
                      <w:rFonts w:ascii="Times New Roman" w:hAnsi="Times New Roman"/>
                      <w:szCs w:val="21"/>
                    </w:rPr>
                    <w:t>小型</w:t>
                  </w:r>
                </w:p>
              </w:tc>
            </w:tr>
          </w:tbl>
          <w:p>
            <w:pPr>
              <w:spacing w:line="360" w:lineRule="auto"/>
              <w:rPr>
                <w:b/>
                <w:bCs/>
                <w:sz w:val="24"/>
              </w:rPr>
            </w:pPr>
            <w:r>
              <w:rPr>
                <w:b/>
                <w:bCs/>
                <w:sz w:val="24"/>
              </w:rPr>
              <w:t>2、噪声污染物排放标准</w:t>
            </w:r>
          </w:p>
          <w:p>
            <w:pPr>
              <w:spacing w:line="360" w:lineRule="auto"/>
              <w:ind w:firstLine="480" w:firstLineChars="200"/>
              <w:rPr>
                <w:sz w:val="24"/>
              </w:rPr>
            </w:pPr>
            <w:r>
              <w:rPr>
                <w:sz w:val="24"/>
              </w:rPr>
              <w:t>运营期项目</w:t>
            </w:r>
            <w:r>
              <w:rPr>
                <w:rFonts w:hint="eastAsia"/>
                <w:sz w:val="24"/>
              </w:rPr>
              <w:t>厂界</w:t>
            </w:r>
            <w:r>
              <w:rPr>
                <w:sz w:val="24"/>
              </w:rPr>
              <w:t>噪声排放执行《工业企业厂界环境噪声排放标准》（GB12348-2008）2类标准。具体标准值见表3-13。</w:t>
            </w:r>
          </w:p>
          <w:p>
            <w:pPr>
              <w:autoSpaceDE w:val="0"/>
              <w:autoSpaceDN w:val="0"/>
              <w:spacing w:before="156" w:beforeLines="50" w:line="360" w:lineRule="auto"/>
              <w:jc w:val="center"/>
              <w:outlineLvl w:val="0"/>
              <w:rPr>
                <w:b/>
                <w:sz w:val="24"/>
              </w:rPr>
            </w:pPr>
            <w:bookmarkStart w:id="236" w:name="_Toc4484"/>
            <w:bookmarkStart w:id="237" w:name="_Toc11013"/>
            <w:bookmarkStart w:id="238" w:name="_Toc4045"/>
            <w:bookmarkStart w:id="239" w:name="_Toc144148029"/>
            <w:bookmarkStart w:id="240" w:name="_Toc6341"/>
            <w:r>
              <w:rPr>
                <w:b/>
                <w:sz w:val="24"/>
              </w:rPr>
              <w:t>表3-13 工业企业厂界环境噪声排放标准  单位：dB(A)</w:t>
            </w:r>
            <w:bookmarkEnd w:id="236"/>
            <w:bookmarkEnd w:id="237"/>
            <w:bookmarkEnd w:id="238"/>
            <w:bookmarkEnd w:id="239"/>
            <w:bookmarkEnd w:id="240"/>
          </w:p>
          <w:tbl>
            <w:tblPr>
              <w:tblStyle w:val="26"/>
              <w:tblpPr w:leftFromText="180" w:rightFromText="180" w:vertAnchor="text" w:horzAnchor="margin" w:tblpXSpec="center" w:tblpY="8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3975"/>
              <w:gridCol w:w="1506"/>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27" w:type="pct"/>
                  <w:vMerge w:val="restart"/>
                  <w:vAlign w:val="center"/>
                </w:tcPr>
                <w:p>
                  <w:pPr>
                    <w:pStyle w:val="33"/>
                    <w:spacing w:before="0" w:after="0"/>
                    <w:rPr>
                      <w:rFonts w:eastAsia="宋体"/>
                      <w:b/>
                      <w:bCs/>
                      <w:sz w:val="21"/>
                      <w:szCs w:val="21"/>
                    </w:rPr>
                  </w:pPr>
                  <w:r>
                    <w:rPr>
                      <w:rFonts w:eastAsia="宋体"/>
                      <w:b/>
                      <w:bCs/>
                      <w:sz w:val="21"/>
                      <w:szCs w:val="21"/>
                    </w:rPr>
                    <w:t>类别</w:t>
                  </w:r>
                </w:p>
              </w:tc>
              <w:tc>
                <w:tcPr>
                  <w:tcW w:w="2277" w:type="pct"/>
                  <w:vMerge w:val="restart"/>
                  <w:vAlign w:val="center"/>
                </w:tcPr>
                <w:p>
                  <w:pPr>
                    <w:pStyle w:val="33"/>
                    <w:spacing w:before="0" w:after="0"/>
                    <w:rPr>
                      <w:rFonts w:eastAsia="宋体"/>
                      <w:b/>
                      <w:bCs/>
                      <w:kern w:val="2"/>
                      <w:sz w:val="21"/>
                      <w:szCs w:val="21"/>
                    </w:rPr>
                  </w:pPr>
                  <w:r>
                    <w:rPr>
                      <w:rFonts w:eastAsia="宋体"/>
                      <w:b/>
                      <w:bCs/>
                      <w:kern w:val="2"/>
                      <w:sz w:val="21"/>
                      <w:szCs w:val="21"/>
                    </w:rPr>
                    <w:t>适用区域</w:t>
                  </w:r>
                </w:p>
              </w:tc>
              <w:tc>
                <w:tcPr>
                  <w:tcW w:w="1695" w:type="pct"/>
                  <w:gridSpan w:val="2"/>
                  <w:vAlign w:val="center"/>
                </w:tcPr>
                <w:p>
                  <w:pPr>
                    <w:pStyle w:val="33"/>
                    <w:spacing w:before="0" w:after="0"/>
                    <w:rPr>
                      <w:rFonts w:eastAsia="宋体"/>
                      <w:b/>
                      <w:bCs/>
                      <w:sz w:val="21"/>
                      <w:szCs w:val="21"/>
                    </w:rPr>
                  </w:pPr>
                  <w:r>
                    <w:rPr>
                      <w:rFonts w:eastAsia="宋体"/>
                      <w:b/>
                      <w:bCs/>
                      <w:sz w:val="21"/>
                      <w:szCs w:val="21"/>
                    </w:rPr>
                    <w:t>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pct"/>
                  <w:vMerge w:val="continue"/>
                  <w:vAlign w:val="center"/>
                </w:tcPr>
                <w:p>
                  <w:pPr>
                    <w:pStyle w:val="33"/>
                    <w:spacing w:before="0" w:after="0"/>
                    <w:rPr>
                      <w:rFonts w:eastAsia="宋体"/>
                      <w:b/>
                      <w:bCs/>
                      <w:sz w:val="21"/>
                      <w:szCs w:val="21"/>
                    </w:rPr>
                  </w:pPr>
                </w:p>
              </w:tc>
              <w:tc>
                <w:tcPr>
                  <w:tcW w:w="2277" w:type="pct"/>
                  <w:vMerge w:val="continue"/>
                  <w:vAlign w:val="center"/>
                </w:tcPr>
                <w:p>
                  <w:pPr>
                    <w:pStyle w:val="33"/>
                    <w:spacing w:before="0" w:after="0"/>
                    <w:rPr>
                      <w:rFonts w:eastAsia="宋体"/>
                      <w:b/>
                      <w:bCs/>
                      <w:kern w:val="2"/>
                      <w:sz w:val="21"/>
                      <w:szCs w:val="21"/>
                    </w:rPr>
                  </w:pPr>
                </w:p>
              </w:tc>
              <w:tc>
                <w:tcPr>
                  <w:tcW w:w="863" w:type="pct"/>
                  <w:vAlign w:val="center"/>
                </w:tcPr>
                <w:p>
                  <w:pPr>
                    <w:pStyle w:val="33"/>
                    <w:spacing w:before="0" w:after="0"/>
                    <w:rPr>
                      <w:rFonts w:eastAsia="宋体"/>
                      <w:b/>
                      <w:bCs/>
                      <w:sz w:val="21"/>
                      <w:szCs w:val="21"/>
                    </w:rPr>
                  </w:pPr>
                  <w:r>
                    <w:rPr>
                      <w:rFonts w:eastAsia="宋体"/>
                      <w:b/>
                      <w:bCs/>
                      <w:sz w:val="21"/>
                      <w:szCs w:val="21"/>
                    </w:rPr>
                    <w:t>昼间</w:t>
                  </w:r>
                </w:p>
              </w:tc>
              <w:tc>
                <w:tcPr>
                  <w:tcW w:w="832" w:type="pct"/>
                  <w:vAlign w:val="center"/>
                </w:tcPr>
                <w:p>
                  <w:pPr>
                    <w:pStyle w:val="33"/>
                    <w:spacing w:before="0" w:after="0"/>
                    <w:rPr>
                      <w:rFonts w:eastAsia="宋体"/>
                      <w:b/>
                      <w:bCs/>
                      <w:sz w:val="21"/>
                      <w:szCs w:val="21"/>
                    </w:rPr>
                  </w:pPr>
                  <w:r>
                    <w:rPr>
                      <w:rFonts w:eastAsia="宋体"/>
                      <w:b/>
                      <w:bCs/>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27" w:type="pct"/>
                  <w:vAlign w:val="center"/>
                </w:tcPr>
                <w:p>
                  <w:pPr>
                    <w:pStyle w:val="33"/>
                    <w:spacing w:before="0" w:after="0"/>
                    <w:rPr>
                      <w:rFonts w:eastAsia="宋体"/>
                      <w:sz w:val="21"/>
                      <w:szCs w:val="21"/>
                    </w:rPr>
                  </w:pPr>
                  <w:r>
                    <w:rPr>
                      <w:rFonts w:eastAsia="宋体"/>
                      <w:sz w:val="21"/>
                      <w:szCs w:val="21"/>
                    </w:rPr>
                    <w:t xml:space="preserve">2类 </w:t>
                  </w:r>
                </w:p>
              </w:tc>
              <w:tc>
                <w:tcPr>
                  <w:tcW w:w="2277" w:type="pct"/>
                  <w:vAlign w:val="center"/>
                </w:tcPr>
                <w:p>
                  <w:pPr>
                    <w:pStyle w:val="33"/>
                    <w:spacing w:before="0" w:after="0"/>
                    <w:rPr>
                      <w:rFonts w:eastAsia="宋体"/>
                      <w:kern w:val="2"/>
                      <w:sz w:val="21"/>
                      <w:szCs w:val="21"/>
                    </w:rPr>
                  </w:pPr>
                  <w:r>
                    <w:rPr>
                      <w:rFonts w:eastAsia="宋体"/>
                      <w:kern w:val="2"/>
                      <w:sz w:val="21"/>
                      <w:szCs w:val="21"/>
                    </w:rPr>
                    <w:t>项目厂界</w:t>
                  </w:r>
                </w:p>
              </w:tc>
              <w:tc>
                <w:tcPr>
                  <w:tcW w:w="863" w:type="pct"/>
                  <w:vAlign w:val="center"/>
                </w:tcPr>
                <w:p>
                  <w:pPr>
                    <w:pStyle w:val="33"/>
                    <w:spacing w:before="0" w:after="0"/>
                    <w:rPr>
                      <w:rFonts w:eastAsia="宋体"/>
                      <w:sz w:val="21"/>
                      <w:szCs w:val="21"/>
                    </w:rPr>
                  </w:pPr>
                  <w:r>
                    <w:rPr>
                      <w:rFonts w:eastAsia="宋体"/>
                      <w:sz w:val="21"/>
                      <w:szCs w:val="21"/>
                    </w:rPr>
                    <w:t>60</w:t>
                  </w:r>
                </w:p>
              </w:tc>
              <w:tc>
                <w:tcPr>
                  <w:tcW w:w="832" w:type="pct"/>
                  <w:vAlign w:val="center"/>
                </w:tcPr>
                <w:p>
                  <w:pPr>
                    <w:pStyle w:val="33"/>
                    <w:spacing w:before="0" w:after="0"/>
                    <w:rPr>
                      <w:rFonts w:eastAsia="宋体"/>
                      <w:sz w:val="21"/>
                      <w:szCs w:val="21"/>
                    </w:rPr>
                  </w:pPr>
                  <w:r>
                    <w:rPr>
                      <w:rFonts w:eastAsia="宋体"/>
                      <w:sz w:val="21"/>
                      <w:szCs w:val="21"/>
                    </w:rPr>
                    <w:t>50</w:t>
                  </w:r>
                </w:p>
              </w:tc>
            </w:tr>
          </w:tbl>
          <w:p>
            <w:pPr>
              <w:spacing w:before="156" w:beforeLines="50" w:line="360" w:lineRule="auto"/>
              <w:rPr>
                <w:b/>
                <w:bCs/>
                <w:sz w:val="24"/>
              </w:rPr>
            </w:pPr>
            <w:r>
              <w:rPr>
                <w:b/>
                <w:bCs/>
                <w:sz w:val="24"/>
              </w:rPr>
              <w:t>3、水污染物排放标准</w:t>
            </w:r>
          </w:p>
          <w:p>
            <w:pPr>
              <w:spacing w:line="360" w:lineRule="auto"/>
              <w:ind w:firstLine="480" w:firstLineChars="200"/>
              <w:rPr>
                <w:sz w:val="24"/>
              </w:rPr>
            </w:pPr>
            <w:r>
              <w:rPr>
                <w:sz w:val="24"/>
              </w:rPr>
              <w:t>（1）接入姚安县第二污水处理厂之前</w:t>
            </w:r>
          </w:p>
          <w:p>
            <w:pPr>
              <w:spacing w:line="360" w:lineRule="auto"/>
              <w:ind w:firstLine="480" w:firstLineChars="200"/>
              <w:rPr>
                <w:sz w:val="24"/>
              </w:rPr>
            </w:pPr>
            <w:r>
              <w:rPr>
                <w:sz w:val="24"/>
              </w:rPr>
              <w:t>本项目食堂含油污水经隔油池隔油后与其他生活污水一起排入化粪池中处理后，进入项目自建污水处理站处理后回用于种植基地浇灌、配肥等，不外排。</w:t>
            </w:r>
            <w:r>
              <w:rPr>
                <w:rFonts w:hint="eastAsia"/>
                <w:sz w:val="24"/>
              </w:rPr>
              <w:t>参照</w:t>
            </w:r>
            <w:r>
              <w:rPr>
                <w:sz w:val="24"/>
              </w:rPr>
              <w:t>执行</w:t>
            </w:r>
            <w:r>
              <w:rPr>
                <w:sz w:val="24"/>
                <w:lang w:bidi="ar"/>
              </w:rPr>
              <w:t>《城市污水再生利用-</w:t>
            </w:r>
            <w:r>
              <w:rPr>
                <w:rFonts w:hint="eastAsia"/>
                <w:sz w:val="24"/>
                <w:lang w:bidi="ar"/>
              </w:rPr>
              <w:t>农田灌溉用水水质</w:t>
            </w:r>
            <w:r>
              <w:rPr>
                <w:sz w:val="24"/>
                <w:lang w:bidi="ar"/>
              </w:rPr>
              <w:t>》（GB/T</w:t>
            </w:r>
            <w:r>
              <w:rPr>
                <w:rFonts w:hint="eastAsia"/>
                <w:sz w:val="24"/>
                <w:lang w:bidi="ar"/>
              </w:rPr>
              <w:t>20922</w:t>
            </w:r>
            <w:r>
              <w:rPr>
                <w:sz w:val="24"/>
                <w:lang w:bidi="ar"/>
              </w:rPr>
              <w:t>-20</w:t>
            </w:r>
            <w:r>
              <w:rPr>
                <w:rFonts w:hint="eastAsia"/>
                <w:sz w:val="24"/>
                <w:lang w:bidi="ar"/>
              </w:rPr>
              <w:t>07</w:t>
            </w:r>
            <w:r>
              <w:rPr>
                <w:sz w:val="24"/>
                <w:lang w:bidi="ar"/>
              </w:rPr>
              <w:t>）</w:t>
            </w:r>
            <w:r>
              <w:rPr>
                <w:rFonts w:hint="eastAsia"/>
                <w:sz w:val="24"/>
                <w:lang w:bidi="ar"/>
              </w:rPr>
              <w:t>中旱地谷物、油料作物</w:t>
            </w:r>
            <w:r>
              <w:rPr>
                <w:sz w:val="24"/>
              </w:rPr>
              <w:t>标准。</w:t>
            </w:r>
          </w:p>
          <w:p>
            <w:pPr>
              <w:spacing w:line="360" w:lineRule="auto"/>
              <w:ind w:firstLine="480" w:firstLineChars="200"/>
              <w:jc w:val="center"/>
              <w:rPr>
                <w:b/>
                <w:bCs/>
                <w:sz w:val="24"/>
              </w:rPr>
            </w:pPr>
            <w:r>
              <w:rPr>
                <w:b/>
                <w:bCs/>
                <w:sz w:val="24"/>
              </w:rPr>
              <w:t>表3-14 项目再生水回用标准  mg/L（pH无量纲）</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781"/>
              <w:gridCol w:w="946"/>
              <w:gridCol w:w="1030"/>
              <w:gridCol w:w="597"/>
              <w:gridCol w:w="1343"/>
              <w:gridCol w:w="1041"/>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pct"/>
                  <w:vAlign w:val="center"/>
                </w:tcPr>
                <w:p>
                  <w:pPr>
                    <w:jc w:val="center"/>
                    <w:rPr>
                      <w:b/>
                      <w:bCs/>
                      <w:szCs w:val="21"/>
                    </w:rPr>
                  </w:pPr>
                  <w:r>
                    <w:rPr>
                      <w:b/>
                      <w:bCs/>
                      <w:szCs w:val="21"/>
                    </w:rPr>
                    <w:t>污染物</w:t>
                  </w:r>
                </w:p>
              </w:tc>
              <w:tc>
                <w:tcPr>
                  <w:tcW w:w="447" w:type="pct"/>
                  <w:vAlign w:val="center"/>
                </w:tcPr>
                <w:p>
                  <w:pPr>
                    <w:jc w:val="center"/>
                    <w:rPr>
                      <w:b/>
                      <w:bCs/>
                      <w:szCs w:val="21"/>
                    </w:rPr>
                  </w:pPr>
                  <w:r>
                    <w:rPr>
                      <w:b/>
                      <w:bCs/>
                      <w:szCs w:val="21"/>
                    </w:rPr>
                    <w:t>pH</w:t>
                  </w:r>
                </w:p>
              </w:tc>
              <w:tc>
                <w:tcPr>
                  <w:tcW w:w="542" w:type="pct"/>
                  <w:vAlign w:val="center"/>
                </w:tcPr>
                <w:p>
                  <w:pPr>
                    <w:jc w:val="center"/>
                    <w:rPr>
                      <w:b/>
                      <w:bCs/>
                      <w:szCs w:val="21"/>
                    </w:rPr>
                  </w:pPr>
                  <w:r>
                    <w:rPr>
                      <w:b/>
                      <w:bCs/>
                      <w:szCs w:val="21"/>
                    </w:rPr>
                    <w:t>BOD</w:t>
                  </w:r>
                  <w:r>
                    <w:rPr>
                      <w:b/>
                      <w:bCs/>
                      <w:szCs w:val="21"/>
                      <w:vertAlign w:val="subscript"/>
                    </w:rPr>
                    <w:t>5</w:t>
                  </w:r>
                </w:p>
              </w:tc>
              <w:tc>
                <w:tcPr>
                  <w:tcW w:w="590" w:type="pct"/>
                  <w:vAlign w:val="center"/>
                </w:tcPr>
                <w:p>
                  <w:pPr>
                    <w:jc w:val="center"/>
                    <w:rPr>
                      <w:b/>
                      <w:bCs/>
                      <w:szCs w:val="21"/>
                    </w:rPr>
                  </w:pPr>
                  <w:r>
                    <w:rPr>
                      <w:b/>
                      <w:bCs/>
                      <w:szCs w:val="21"/>
                    </w:rPr>
                    <w:t>CODcr</w:t>
                  </w:r>
                </w:p>
              </w:tc>
              <w:tc>
                <w:tcPr>
                  <w:tcW w:w="342" w:type="pct"/>
                  <w:vAlign w:val="center"/>
                </w:tcPr>
                <w:p>
                  <w:pPr>
                    <w:jc w:val="center"/>
                    <w:rPr>
                      <w:b/>
                      <w:bCs/>
                      <w:szCs w:val="21"/>
                    </w:rPr>
                  </w:pPr>
                  <w:r>
                    <w:rPr>
                      <w:b/>
                      <w:bCs/>
                      <w:szCs w:val="21"/>
                    </w:rPr>
                    <w:t>SS</w:t>
                  </w:r>
                </w:p>
              </w:tc>
              <w:tc>
                <w:tcPr>
                  <w:tcW w:w="769" w:type="pct"/>
                  <w:vAlign w:val="center"/>
                </w:tcPr>
                <w:p>
                  <w:pPr>
                    <w:jc w:val="center"/>
                    <w:rPr>
                      <w:b/>
                      <w:bCs/>
                      <w:szCs w:val="21"/>
                    </w:rPr>
                  </w:pPr>
                  <w:r>
                    <w:rPr>
                      <w:b/>
                      <w:bCs/>
                      <w:szCs w:val="21"/>
                    </w:rPr>
                    <w:t>动植物油</w:t>
                  </w:r>
                </w:p>
              </w:tc>
              <w:tc>
                <w:tcPr>
                  <w:tcW w:w="597" w:type="pct"/>
                  <w:vAlign w:val="center"/>
                </w:tcPr>
                <w:p>
                  <w:pPr>
                    <w:jc w:val="center"/>
                    <w:rPr>
                      <w:b/>
                      <w:bCs/>
                      <w:szCs w:val="21"/>
                    </w:rPr>
                  </w:pPr>
                  <w:r>
                    <w:rPr>
                      <w:b/>
                      <w:bCs/>
                      <w:szCs w:val="21"/>
                    </w:rPr>
                    <w:t>氨氮</w:t>
                  </w:r>
                </w:p>
              </w:tc>
              <w:tc>
                <w:tcPr>
                  <w:tcW w:w="597" w:type="pct"/>
                  <w:vAlign w:val="center"/>
                </w:tcPr>
                <w:p>
                  <w:pPr>
                    <w:jc w:val="center"/>
                    <w:rPr>
                      <w:b/>
                      <w:bCs/>
                      <w:szCs w:val="21"/>
                    </w:rPr>
                  </w:pPr>
                  <w:r>
                    <w:rPr>
                      <w:b/>
                      <w:bCs/>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2" w:type="pct"/>
                  <w:vAlign w:val="center"/>
                </w:tcPr>
                <w:p>
                  <w:pPr>
                    <w:ind w:firstLine="105" w:firstLineChars="50"/>
                    <w:jc w:val="center"/>
                    <w:rPr>
                      <w:szCs w:val="21"/>
                    </w:rPr>
                  </w:pPr>
                  <w:r>
                    <w:rPr>
                      <w:szCs w:val="21"/>
                    </w:rPr>
                    <w:t>GB/T 20922-2007</w:t>
                  </w:r>
                </w:p>
              </w:tc>
              <w:tc>
                <w:tcPr>
                  <w:tcW w:w="447" w:type="pct"/>
                  <w:vAlign w:val="center"/>
                </w:tcPr>
                <w:p>
                  <w:pPr>
                    <w:jc w:val="center"/>
                    <w:rPr>
                      <w:szCs w:val="21"/>
                    </w:rPr>
                  </w:pPr>
                  <w:r>
                    <w:rPr>
                      <w:kern w:val="0"/>
                      <w:szCs w:val="21"/>
                    </w:rPr>
                    <w:t>5.5</w:t>
                  </w:r>
                  <w:r>
                    <w:rPr>
                      <w:rFonts w:hint="eastAsia"/>
                      <w:kern w:val="0"/>
                      <w:szCs w:val="21"/>
                    </w:rPr>
                    <w:t>~</w:t>
                  </w:r>
                  <w:r>
                    <w:rPr>
                      <w:kern w:val="0"/>
                      <w:szCs w:val="21"/>
                    </w:rPr>
                    <w:t>8.5</w:t>
                  </w:r>
                </w:p>
              </w:tc>
              <w:tc>
                <w:tcPr>
                  <w:tcW w:w="542" w:type="pct"/>
                  <w:vAlign w:val="center"/>
                </w:tcPr>
                <w:p>
                  <w:pPr>
                    <w:pStyle w:val="34"/>
                    <w:widowControl w:val="0"/>
                    <w:spacing w:before="0" w:beforeAutospacing="0" w:after="0" w:afterAutospacing="0"/>
                    <w:rPr>
                      <w:rFonts w:ascii="Times New Roman" w:hAnsi="Times New Roman"/>
                      <w:sz w:val="21"/>
                      <w:szCs w:val="21"/>
                    </w:rPr>
                  </w:pPr>
                  <w:r>
                    <w:rPr>
                      <w:rFonts w:ascii="Times New Roman" w:hAnsi="Times New Roman"/>
                      <w:kern w:val="2"/>
                      <w:sz w:val="21"/>
                      <w:szCs w:val="21"/>
                    </w:rPr>
                    <w:t>≤80</w:t>
                  </w:r>
                </w:p>
              </w:tc>
              <w:tc>
                <w:tcPr>
                  <w:tcW w:w="590" w:type="pct"/>
                  <w:vAlign w:val="center"/>
                </w:tcPr>
                <w:p>
                  <w:pPr>
                    <w:jc w:val="center"/>
                    <w:rPr>
                      <w:szCs w:val="21"/>
                    </w:rPr>
                  </w:pPr>
                  <w:r>
                    <w:rPr>
                      <w:szCs w:val="21"/>
                    </w:rPr>
                    <w:t>180</w:t>
                  </w:r>
                </w:p>
              </w:tc>
              <w:tc>
                <w:tcPr>
                  <w:tcW w:w="342" w:type="pct"/>
                  <w:vAlign w:val="center"/>
                </w:tcPr>
                <w:p>
                  <w:pPr>
                    <w:jc w:val="center"/>
                    <w:rPr>
                      <w:szCs w:val="21"/>
                    </w:rPr>
                  </w:pPr>
                  <w:r>
                    <w:rPr>
                      <w:szCs w:val="21"/>
                    </w:rPr>
                    <w:t>90</w:t>
                  </w:r>
                </w:p>
              </w:tc>
              <w:tc>
                <w:tcPr>
                  <w:tcW w:w="769" w:type="pct"/>
                  <w:vAlign w:val="center"/>
                </w:tcPr>
                <w:p>
                  <w:pPr>
                    <w:jc w:val="center"/>
                    <w:rPr>
                      <w:szCs w:val="21"/>
                    </w:rPr>
                  </w:pPr>
                  <w:r>
                    <w:rPr>
                      <w:szCs w:val="21"/>
                    </w:rPr>
                    <w:t>/</w:t>
                  </w:r>
                </w:p>
              </w:tc>
              <w:tc>
                <w:tcPr>
                  <w:tcW w:w="597" w:type="pct"/>
                  <w:vAlign w:val="center"/>
                </w:tcPr>
                <w:p>
                  <w:pPr>
                    <w:jc w:val="center"/>
                    <w:rPr>
                      <w:szCs w:val="21"/>
                    </w:rPr>
                  </w:pPr>
                  <w:r>
                    <w:rPr>
                      <w:szCs w:val="21"/>
                    </w:rPr>
                    <w:t>/</w:t>
                  </w:r>
                </w:p>
              </w:tc>
              <w:tc>
                <w:tcPr>
                  <w:tcW w:w="597" w:type="pct"/>
                  <w:vAlign w:val="center"/>
                </w:tcPr>
                <w:p>
                  <w:pPr>
                    <w:jc w:val="center"/>
                    <w:rPr>
                      <w:szCs w:val="21"/>
                    </w:rPr>
                  </w:pPr>
                  <w:r>
                    <w:rPr>
                      <w:szCs w:val="21"/>
                    </w:rPr>
                    <w:t>/</w:t>
                  </w:r>
                </w:p>
              </w:tc>
            </w:tr>
          </w:tbl>
          <w:p>
            <w:pPr>
              <w:pStyle w:val="14"/>
              <w:spacing w:line="360" w:lineRule="auto"/>
              <w:ind w:left="480"/>
              <w:rPr>
                <w:rFonts w:ascii="Times New Roman"/>
                <w:color w:val="auto"/>
              </w:rPr>
            </w:pPr>
            <w:r>
              <w:rPr>
                <w:rFonts w:ascii="Times New Roman"/>
                <w:color w:val="auto"/>
              </w:rPr>
              <w:t>（2）接入姚安县第二污水处理厂之后</w:t>
            </w:r>
          </w:p>
          <w:p>
            <w:pPr>
              <w:pStyle w:val="14"/>
              <w:spacing w:line="360" w:lineRule="auto"/>
              <w:ind w:firstLine="480" w:firstLineChars="200"/>
              <w:rPr>
                <w:rFonts w:ascii="Times New Roman"/>
                <w:color w:val="auto"/>
              </w:rPr>
            </w:pPr>
            <w:r>
              <w:rPr>
                <w:rFonts w:ascii="Times New Roman"/>
                <w:color w:val="auto"/>
              </w:rPr>
              <w:t>项目食堂废水经过隔油池处理后进入化粪池处理之后排入姚安县第二污水处理厂处理。员工生活污水经过化粪池处理后排入污水管网，排入姚安县第二污水处理厂处理。执行《污水排入城镇下水道水质标准》（GB/T31962-2015）A等级标准。</w:t>
            </w:r>
          </w:p>
          <w:p>
            <w:pPr>
              <w:spacing w:line="360" w:lineRule="auto"/>
              <w:ind w:firstLine="480" w:firstLineChars="200"/>
              <w:jc w:val="center"/>
              <w:rPr>
                <w:b/>
                <w:bCs/>
                <w:sz w:val="24"/>
              </w:rPr>
            </w:pPr>
            <w:r>
              <w:rPr>
                <w:b/>
                <w:bCs/>
                <w:sz w:val="24"/>
              </w:rPr>
              <w:t>表3-15 项目生活污水排放标准  mg/L（pH无量纲）</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976"/>
              <w:gridCol w:w="879"/>
              <w:gridCol w:w="935"/>
              <w:gridCol w:w="853"/>
              <w:gridCol w:w="1281"/>
              <w:gridCol w:w="869"/>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9" w:type="pct"/>
                  <w:vAlign w:val="center"/>
                </w:tcPr>
                <w:p>
                  <w:pPr>
                    <w:spacing w:line="360" w:lineRule="auto"/>
                    <w:jc w:val="center"/>
                    <w:rPr>
                      <w:b/>
                      <w:bCs/>
                      <w:szCs w:val="21"/>
                    </w:rPr>
                  </w:pPr>
                  <w:r>
                    <w:rPr>
                      <w:b/>
                      <w:bCs/>
                      <w:szCs w:val="21"/>
                    </w:rPr>
                    <w:t>污染物</w:t>
                  </w:r>
                </w:p>
              </w:tc>
              <w:tc>
                <w:tcPr>
                  <w:tcW w:w="559" w:type="pct"/>
                  <w:vAlign w:val="center"/>
                </w:tcPr>
                <w:p>
                  <w:pPr>
                    <w:spacing w:line="360" w:lineRule="auto"/>
                    <w:jc w:val="center"/>
                    <w:rPr>
                      <w:b/>
                      <w:bCs/>
                      <w:szCs w:val="21"/>
                    </w:rPr>
                  </w:pPr>
                  <w:r>
                    <w:rPr>
                      <w:b/>
                      <w:bCs/>
                      <w:szCs w:val="21"/>
                    </w:rPr>
                    <w:t>pH</w:t>
                  </w:r>
                </w:p>
              </w:tc>
              <w:tc>
                <w:tcPr>
                  <w:tcW w:w="503" w:type="pct"/>
                  <w:vAlign w:val="center"/>
                </w:tcPr>
                <w:p>
                  <w:pPr>
                    <w:spacing w:line="360" w:lineRule="auto"/>
                    <w:jc w:val="center"/>
                    <w:rPr>
                      <w:b/>
                      <w:bCs/>
                      <w:szCs w:val="21"/>
                    </w:rPr>
                  </w:pPr>
                  <w:r>
                    <w:rPr>
                      <w:b/>
                      <w:bCs/>
                      <w:szCs w:val="21"/>
                    </w:rPr>
                    <w:t>BOD</w:t>
                  </w:r>
                  <w:r>
                    <w:rPr>
                      <w:b/>
                      <w:bCs/>
                      <w:szCs w:val="21"/>
                      <w:vertAlign w:val="subscript"/>
                    </w:rPr>
                    <w:t>5</w:t>
                  </w:r>
                </w:p>
              </w:tc>
              <w:tc>
                <w:tcPr>
                  <w:tcW w:w="536" w:type="pct"/>
                  <w:vAlign w:val="center"/>
                </w:tcPr>
                <w:p>
                  <w:pPr>
                    <w:spacing w:line="360" w:lineRule="auto"/>
                    <w:jc w:val="center"/>
                    <w:rPr>
                      <w:b/>
                      <w:bCs/>
                      <w:szCs w:val="21"/>
                    </w:rPr>
                  </w:pPr>
                  <w:r>
                    <w:rPr>
                      <w:b/>
                      <w:bCs/>
                      <w:szCs w:val="21"/>
                    </w:rPr>
                    <w:t>CODcr</w:t>
                  </w:r>
                </w:p>
              </w:tc>
              <w:tc>
                <w:tcPr>
                  <w:tcW w:w="489" w:type="pct"/>
                  <w:vAlign w:val="center"/>
                </w:tcPr>
                <w:p>
                  <w:pPr>
                    <w:spacing w:line="360" w:lineRule="auto"/>
                    <w:jc w:val="center"/>
                    <w:rPr>
                      <w:b/>
                      <w:bCs/>
                      <w:szCs w:val="21"/>
                    </w:rPr>
                  </w:pPr>
                  <w:r>
                    <w:rPr>
                      <w:b/>
                      <w:bCs/>
                      <w:szCs w:val="21"/>
                    </w:rPr>
                    <w:t>SS</w:t>
                  </w:r>
                </w:p>
              </w:tc>
              <w:tc>
                <w:tcPr>
                  <w:tcW w:w="733" w:type="pct"/>
                  <w:vAlign w:val="center"/>
                </w:tcPr>
                <w:p>
                  <w:pPr>
                    <w:spacing w:line="360" w:lineRule="auto"/>
                    <w:jc w:val="center"/>
                    <w:rPr>
                      <w:b/>
                      <w:bCs/>
                      <w:szCs w:val="21"/>
                    </w:rPr>
                  </w:pPr>
                  <w:r>
                    <w:rPr>
                      <w:b/>
                      <w:bCs/>
                      <w:szCs w:val="21"/>
                    </w:rPr>
                    <w:t>动植物油</w:t>
                  </w:r>
                </w:p>
              </w:tc>
              <w:tc>
                <w:tcPr>
                  <w:tcW w:w="498" w:type="pct"/>
                  <w:vAlign w:val="center"/>
                </w:tcPr>
                <w:p>
                  <w:pPr>
                    <w:spacing w:line="360" w:lineRule="auto"/>
                    <w:jc w:val="center"/>
                    <w:rPr>
                      <w:b/>
                      <w:bCs/>
                      <w:szCs w:val="21"/>
                    </w:rPr>
                  </w:pPr>
                  <w:r>
                    <w:rPr>
                      <w:b/>
                      <w:bCs/>
                      <w:szCs w:val="21"/>
                    </w:rPr>
                    <w:t>氨氮</w:t>
                  </w:r>
                </w:p>
              </w:tc>
              <w:tc>
                <w:tcPr>
                  <w:tcW w:w="519" w:type="pct"/>
                  <w:vAlign w:val="center"/>
                </w:tcPr>
                <w:p>
                  <w:pPr>
                    <w:spacing w:line="360" w:lineRule="auto"/>
                    <w:jc w:val="center"/>
                    <w:rPr>
                      <w:b/>
                      <w:bCs/>
                      <w:szCs w:val="21"/>
                    </w:rPr>
                  </w:pPr>
                  <w:r>
                    <w:rPr>
                      <w:b/>
                      <w:bCs/>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vAlign w:val="center"/>
                </w:tcPr>
                <w:p>
                  <w:pPr>
                    <w:spacing w:line="360" w:lineRule="auto"/>
                    <w:ind w:firstLine="105" w:firstLineChars="50"/>
                    <w:jc w:val="center"/>
                    <w:rPr>
                      <w:szCs w:val="21"/>
                    </w:rPr>
                  </w:pPr>
                  <w:r>
                    <w:rPr>
                      <w:szCs w:val="21"/>
                    </w:rPr>
                    <w:t>GB/T31962-2015</w:t>
                  </w:r>
                </w:p>
              </w:tc>
              <w:tc>
                <w:tcPr>
                  <w:tcW w:w="559" w:type="pct"/>
                  <w:vAlign w:val="center"/>
                </w:tcPr>
                <w:p>
                  <w:pPr>
                    <w:spacing w:line="360" w:lineRule="auto"/>
                    <w:jc w:val="center"/>
                    <w:rPr>
                      <w:szCs w:val="21"/>
                    </w:rPr>
                  </w:pPr>
                  <w:r>
                    <w:rPr>
                      <w:kern w:val="0"/>
                      <w:szCs w:val="21"/>
                    </w:rPr>
                    <w:t>6.5~9.5</w:t>
                  </w:r>
                </w:p>
              </w:tc>
              <w:tc>
                <w:tcPr>
                  <w:tcW w:w="503" w:type="pct"/>
                  <w:vAlign w:val="center"/>
                </w:tcPr>
                <w:p>
                  <w:pPr>
                    <w:pStyle w:val="34"/>
                    <w:widowControl w:val="0"/>
                    <w:spacing w:before="0" w:beforeAutospacing="0" w:after="0" w:afterAutospacing="0" w:line="360" w:lineRule="auto"/>
                    <w:rPr>
                      <w:rFonts w:ascii="Times New Roman" w:hAnsi="Times New Roman"/>
                      <w:sz w:val="21"/>
                      <w:szCs w:val="21"/>
                    </w:rPr>
                  </w:pPr>
                  <w:r>
                    <w:rPr>
                      <w:rFonts w:ascii="Times New Roman" w:hAnsi="Times New Roman"/>
                      <w:kern w:val="2"/>
                      <w:sz w:val="21"/>
                      <w:szCs w:val="21"/>
                    </w:rPr>
                    <w:t>≤350</w:t>
                  </w:r>
                </w:p>
              </w:tc>
              <w:tc>
                <w:tcPr>
                  <w:tcW w:w="536" w:type="pct"/>
                  <w:vAlign w:val="center"/>
                </w:tcPr>
                <w:p>
                  <w:pPr>
                    <w:spacing w:line="360" w:lineRule="auto"/>
                    <w:jc w:val="center"/>
                    <w:rPr>
                      <w:szCs w:val="21"/>
                    </w:rPr>
                  </w:pPr>
                  <w:r>
                    <w:rPr>
                      <w:szCs w:val="21"/>
                    </w:rPr>
                    <w:t>≤500</w:t>
                  </w:r>
                </w:p>
              </w:tc>
              <w:tc>
                <w:tcPr>
                  <w:tcW w:w="489" w:type="pct"/>
                  <w:vAlign w:val="center"/>
                </w:tcPr>
                <w:p>
                  <w:pPr>
                    <w:spacing w:line="360" w:lineRule="auto"/>
                    <w:jc w:val="center"/>
                    <w:rPr>
                      <w:szCs w:val="21"/>
                    </w:rPr>
                  </w:pPr>
                  <w:r>
                    <w:rPr>
                      <w:szCs w:val="21"/>
                    </w:rPr>
                    <w:t>≤400</w:t>
                  </w:r>
                </w:p>
              </w:tc>
              <w:tc>
                <w:tcPr>
                  <w:tcW w:w="733" w:type="pct"/>
                  <w:vAlign w:val="center"/>
                </w:tcPr>
                <w:p>
                  <w:pPr>
                    <w:spacing w:line="360" w:lineRule="auto"/>
                    <w:jc w:val="center"/>
                    <w:rPr>
                      <w:szCs w:val="21"/>
                    </w:rPr>
                  </w:pPr>
                  <w:r>
                    <w:rPr>
                      <w:szCs w:val="21"/>
                    </w:rPr>
                    <w:t>≤100</w:t>
                  </w:r>
                </w:p>
              </w:tc>
              <w:tc>
                <w:tcPr>
                  <w:tcW w:w="498" w:type="pct"/>
                  <w:vAlign w:val="center"/>
                </w:tcPr>
                <w:p>
                  <w:pPr>
                    <w:spacing w:line="360" w:lineRule="auto"/>
                    <w:jc w:val="center"/>
                    <w:rPr>
                      <w:szCs w:val="21"/>
                    </w:rPr>
                  </w:pPr>
                  <w:r>
                    <w:rPr>
                      <w:szCs w:val="21"/>
                    </w:rPr>
                    <w:t>≤45</w:t>
                  </w:r>
                </w:p>
              </w:tc>
              <w:tc>
                <w:tcPr>
                  <w:tcW w:w="519" w:type="pct"/>
                  <w:vAlign w:val="center"/>
                </w:tcPr>
                <w:p>
                  <w:pPr>
                    <w:spacing w:line="360" w:lineRule="auto"/>
                    <w:jc w:val="center"/>
                    <w:rPr>
                      <w:szCs w:val="21"/>
                    </w:rPr>
                  </w:pPr>
                  <w:r>
                    <w:rPr>
                      <w:szCs w:val="21"/>
                    </w:rPr>
                    <w:t>≤8</w:t>
                  </w:r>
                </w:p>
              </w:tc>
            </w:tr>
          </w:tbl>
          <w:p>
            <w:pPr>
              <w:spacing w:line="360" w:lineRule="auto"/>
              <w:rPr>
                <w:b/>
                <w:bCs/>
                <w:sz w:val="24"/>
              </w:rPr>
            </w:pPr>
            <w:r>
              <w:rPr>
                <w:b/>
                <w:bCs/>
                <w:sz w:val="24"/>
              </w:rPr>
              <w:t>4、固体废物</w:t>
            </w:r>
          </w:p>
          <w:p>
            <w:pPr>
              <w:adjustRightInd w:val="0"/>
              <w:snapToGrid w:val="0"/>
              <w:spacing w:line="360" w:lineRule="auto"/>
              <w:ind w:firstLine="480" w:firstLineChars="200"/>
              <w:rPr>
                <w:sz w:val="24"/>
              </w:rPr>
            </w:pPr>
            <w:r>
              <w:rPr>
                <w:sz w:val="24"/>
              </w:rPr>
              <w:t>危险废物贮存、处置执行《危险废物贮存污染控制标准》（GB18597-2023）。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pPr>
              <w:adjustRightInd w:val="0"/>
              <w:snapToGrid w:val="0"/>
              <w:spacing w:line="360" w:lineRule="auto"/>
              <w:jc w:val="center"/>
              <w:rPr>
                <w:kern w:val="0"/>
                <w:sz w:val="24"/>
              </w:rPr>
            </w:pPr>
            <w:r>
              <w:rPr>
                <w:kern w:val="0"/>
                <w:sz w:val="24"/>
              </w:rPr>
              <w:t>总量</w:t>
            </w:r>
          </w:p>
          <w:p>
            <w:pPr>
              <w:adjustRightInd w:val="0"/>
              <w:snapToGrid w:val="0"/>
              <w:spacing w:line="360" w:lineRule="auto"/>
              <w:jc w:val="center"/>
              <w:rPr>
                <w:kern w:val="0"/>
                <w:sz w:val="24"/>
              </w:rPr>
            </w:pPr>
            <w:r>
              <w:rPr>
                <w:kern w:val="0"/>
                <w:sz w:val="24"/>
              </w:rPr>
              <w:t>控制</w:t>
            </w:r>
          </w:p>
          <w:p>
            <w:pPr>
              <w:adjustRightInd w:val="0"/>
              <w:snapToGrid w:val="0"/>
              <w:spacing w:line="360" w:lineRule="auto"/>
              <w:jc w:val="center"/>
              <w:rPr>
                <w:kern w:val="0"/>
                <w:sz w:val="24"/>
              </w:rPr>
            </w:pPr>
            <w:r>
              <w:rPr>
                <w:kern w:val="0"/>
                <w:sz w:val="24"/>
              </w:rPr>
              <w:t>指标</w:t>
            </w:r>
          </w:p>
        </w:tc>
        <w:tc>
          <w:tcPr>
            <w:tcW w:w="4649" w:type="pct"/>
          </w:tcPr>
          <w:p>
            <w:pPr>
              <w:spacing w:line="360" w:lineRule="auto"/>
              <w:ind w:firstLine="480" w:firstLineChars="200"/>
              <w:rPr>
                <w:sz w:val="24"/>
              </w:rPr>
            </w:pPr>
            <w:r>
              <w:rPr>
                <w:sz w:val="24"/>
              </w:rPr>
              <w:t>据该建设项目排污状况以及环保行政主管部门对总量控制的要求，提出总量控制指标。</w:t>
            </w:r>
          </w:p>
          <w:p>
            <w:pPr>
              <w:pStyle w:val="7"/>
              <w:spacing w:line="360" w:lineRule="auto"/>
              <w:ind w:firstLine="480" w:firstLineChars="200"/>
              <w:rPr>
                <w:kern w:val="2"/>
                <w:szCs w:val="24"/>
              </w:rPr>
            </w:pPr>
            <w:r>
              <w:rPr>
                <w:kern w:val="2"/>
                <w:szCs w:val="24"/>
              </w:rPr>
              <w:t>1、废水：</w:t>
            </w:r>
            <w:r>
              <w:rPr>
                <w:szCs w:val="24"/>
              </w:rPr>
              <w:t>项目排放污水1124.20m</w:t>
            </w:r>
            <w:r>
              <w:rPr>
                <w:szCs w:val="24"/>
                <w:vertAlign w:val="superscript"/>
              </w:rPr>
              <w:t>3</w:t>
            </w:r>
            <w:r>
              <w:rPr>
                <w:szCs w:val="24"/>
              </w:rPr>
              <w:t>/d，</w:t>
            </w:r>
            <w:r>
              <w:rPr>
                <w:rFonts w:hint="eastAsia"/>
              </w:rPr>
              <w:t>其中：</w:t>
            </w:r>
            <w:r>
              <w:t>COD0.23t/a，氨氮0.017t/a，总磷0.002t/a，</w:t>
            </w:r>
            <w:r>
              <w:rPr>
                <w:szCs w:val="24"/>
              </w:rPr>
              <w:t>前期未接入污水管网时，全部由自建污水处理站处理后回用，无外排，不需要设总量控制指标；后期接入污水管网后，污水排入姚安县第二污水处理厂，本项目总量控制指标已经纳入姚安县第二污水处理厂总量控制指标，本项目不单独设总量控制指标。因此，本项目不设废水总量控制指标。</w:t>
            </w:r>
          </w:p>
          <w:p>
            <w:pPr>
              <w:pStyle w:val="7"/>
              <w:spacing w:line="360" w:lineRule="auto"/>
              <w:ind w:firstLine="480" w:firstLineChars="200"/>
            </w:pPr>
            <w:r>
              <w:rPr>
                <w:szCs w:val="24"/>
              </w:rPr>
              <w:t>2、废气：</w:t>
            </w:r>
            <w:r>
              <w:t>本项目使用天然气锅炉，废气量为1474.1万m</w:t>
            </w:r>
            <w:r>
              <w:rPr>
                <w:vertAlign w:val="superscript"/>
              </w:rPr>
              <w:t>3</w:t>
            </w:r>
            <w:r>
              <w:t>/a，NO</w:t>
            </w:r>
            <w:r>
              <w:rPr>
                <w:rFonts w:hint="eastAsia"/>
                <w:vertAlign w:val="subscript"/>
              </w:rPr>
              <w:t>x</w:t>
            </w:r>
            <w:r>
              <w:t>排放量为2.2t/a，SO</w:t>
            </w:r>
            <w:r>
              <w:rPr>
                <w:vertAlign w:val="subscript"/>
              </w:rPr>
              <w:t>2</w:t>
            </w:r>
            <w:r>
              <w:t>排放量为0.027t/a，颗粒物的排放量为0.14t/a；</w:t>
            </w:r>
          </w:p>
          <w:p>
            <w:pPr>
              <w:pStyle w:val="7"/>
              <w:spacing w:line="360" w:lineRule="auto"/>
              <w:ind w:firstLine="480" w:firstLineChars="200"/>
            </w:pPr>
            <w:r>
              <w:t>本项目使用生物质锅炉，废气量为</w:t>
            </w:r>
            <w:r>
              <w:rPr>
                <w:rFonts w:hint="eastAsia"/>
              </w:rPr>
              <w:t>512.18</w:t>
            </w:r>
            <w:r>
              <w:t>万m</w:t>
            </w:r>
            <w:r>
              <w:rPr>
                <w:vertAlign w:val="superscript"/>
              </w:rPr>
              <w:t>3</w:t>
            </w:r>
            <w:r>
              <w:t>/a，NO</w:t>
            </w:r>
            <w:r>
              <w:rPr>
                <w:vertAlign w:val="subscript"/>
              </w:rPr>
              <w:t>X</w:t>
            </w:r>
            <w:r>
              <w:t>排放量为0.</w:t>
            </w:r>
            <w:r>
              <w:rPr>
                <w:rFonts w:hint="eastAsia"/>
              </w:rPr>
              <w:t>84</w:t>
            </w:r>
            <w:r>
              <w:t>t/a，SO</w:t>
            </w:r>
            <w:r>
              <w:rPr>
                <w:vertAlign w:val="subscript"/>
              </w:rPr>
              <w:t>2</w:t>
            </w:r>
            <w:r>
              <w:t>排放量为0.</w:t>
            </w:r>
            <w:r>
              <w:rPr>
                <w:rFonts w:hint="eastAsia"/>
              </w:rPr>
              <w:t>56</w:t>
            </w:r>
            <w:r>
              <w:t>t/a，颗粒物的排放量为0.00</w:t>
            </w:r>
            <w:r>
              <w:rPr>
                <w:rFonts w:hint="eastAsia"/>
              </w:rPr>
              <w:t>1</w:t>
            </w:r>
            <w:r>
              <w:t>t/a；</w:t>
            </w:r>
          </w:p>
          <w:p>
            <w:pPr>
              <w:spacing w:line="360" w:lineRule="auto"/>
              <w:ind w:firstLine="480" w:firstLineChars="200"/>
              <w:rPr>
                <w:sz w:val="24"/>
              </w:rPr>
            </w:pPr>
            <w:r>
              <w:rPr>
                <w:sz w:val="24"/>
              </w:rPr>
              <w:t>综上所述，本项目废气总量控制指标为锅炉排放废气量</w:t>
            </w:r>
            <w:r>
              <w:rPr>
                <w:rFonts w:hint="eastAsia"/>
                <w:sz w:val="24"/>
              </w:rPr>
              <w:t>1986.28</w:t>
            </w:r>
            <w:r>
              <w:rPr>
                <w:sz w:val="24"/>
              </w:rPr>
              <w:t>万m</w:t>
            </w:r>
            <w:r>
              <w:rPr>
                <w:sz w:val="24"/>
                <w:vertAlign w:val="superscript"/>
              </w:rPr>
              <w:t>3</w:t>
            </w:r>
            <w:r>
              <w:rPr>
                <w:sz w:val="24"/>
              </w:rPr>
              <w:t>/a，NO</w:t>
            </w:r>
            <w:r>
              <w:rPr>
                <w:sz w:val="24"/>
                <w:vertAlign w:val="subscript"/>
              </w:rPr>
              <w:t>X</w:t>
            </w:r>
            <w:r>
              <w:rPr>
                <w:sz w:val="24"/>
              </w:rPr>
              <w:t>排放量为</w:t>
            </w:r>
            <w:r>
              <w:rPr>
                <w:rFonts w:hint="eastAsia"/>
                <w:sz w:val="24"/>
              </w:rPr>
              <w:t>3.04</w:t>
            </w:r>
            <w:r>
              <w:rPr>
                <w:sz w:val="24"/>
              </w:rPr>
              <w:t>t/a，SO</w:t>
            </w:r>
            <w:r>
              <w:rPr>
                <w:sz w:val="24"/>
                <w:vertAlign w:val="subscript"/>
              </w:rPr>
              <w:t>2</w:t>
            </w:r>
            <w:r>
              <w:rPr>
                <w:sz w:val="24"/>
              </w:rPr>
              <w:t>排放量为0.</w:t>
            </w:r>
            <w:r>
              <w:rPr>
                <w:rFonts w:hint="eastAsia"/>
                <w:sz w:val="24"/>
              </w:rPr>
              <w:t>577</w:t>
            </w:r>
            <w:r>
              <w:rPr>
                <w:sz w:val="24"/>
              </w:rPr>
              <w:t>t/a，颗粒物的排放量为</w:t>
            </w:r>
            <w:r>
              <w:rPr>
                <w:rFonts w:hint="eastAsia"/>
                <w:sz w:val="24"/>
              </w:rPr>
              <w:t>0.141</w:t>
            </w:r>
            <w:r>
              <w:rPr>
                <w:sz w:val="24"/>
              </w:rPr>
              <w:t>t/a。</w:t>
            </w:r>
          </w:p>
          <w:p>
            <w:pPr>
              <w:numPr>
                <w:ilvl w:val="0"/>
                <w:numId w:val="6"/>
              </w:numPr>
              <w:spacing w:line="360" w:lineRule="auto"/>
              <w:ind w:firstLine="480" w:firstLineChars="200"/>
              <w:rPr>
                <w:kern w:val="0"/>
                <w:sz w:val="24"/>
              </w:rPr>
            </w:pPr>
            <w:r>
              <w:rPr>
                <w:sz w:val="24"/>
              </w:rPr>
              <w:t>固体废物处置率100%。</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c>
      </w:tr>
    </w:tbl>
    <w:p>
      <w:pPr>
        <w:spacing w:line="360" w:lineRule="auto"/>
        <w:rPr>
          <w:kern w:val="0"/>
          <w:sz w:val="24"/>
          <w:szCs w:val="20"/>
          <w:vertAlign w:val="subscript"/>
        </w:rPr>
      </w:pPr>
    </w:p>
    <w:p>
      <w:pPr>
        <w:rPr>
          <w:sz w:val="24"/>
        </w:rPr>
        <w:sectPr>
          <w:pgSz w:w="11906" w:h="16838"/>
          <w:pgMar w:top="1247" w:right="1247" w:bottom="1247" w:left="1247" w:header="851" w:footer="992" w:gutter="0"/>
          <w:cols w:space="425" w:num="1"/>
          <w:docGrid w:type="linesAndChars" w:linePitch="312" w:charSpace="0"/>
        </w:sectPr>
      </w:pPr>
    </w:p>
    <w:p>
      <w:pPr>
        <w:pStyle w:val="23"/>
        <w:spacing w:line="360" w:lineRule="auto"/>
        <w:jc w:val="center"/>
        <w:outlineLvl w:val="0"/>
        <w:rPr>
          <w:rFonts w:ascii="Times New Roman" w:hAnsi="Times New Roman"/>
          <w:b/>
          <w:bCs/>
          <w:snapToGrid w:val="0"/>
          <w:sz w:val="30"/>
          <w:szCs w:val="30"/>
        </w:rPr>
      </w:pPr>
      <w:bookmarkStart w:id="241" w:name="_Toc144148030"/>
      <w:bookmarkStart w:id="242" w:name="_Toc25921"/>
      <w:bookmarkStart w:id="243" w:name="_Toc16595"/>
      <w:r>
        <w:rPr>
          <w:rFonts w:ascii="Times New Roman" w:hAnsi="Times New Roman"/>
          <w:b/>
          <w:bCs/>
          <w:snapToGrid w:val="0"/>
          <w:sz w:val="30"/>
          <w:szCs w:val="30"/>
        </w:rPr>
        <w:t>四、主要环境影响和保护措施</w:t>
      </w:r>
      <w:bookmarkEnd w:id="241"/>
      <w:bookmarkEnd w:id="242"/>
      <w:bookmarkEnd w:id="243"/>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88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tcMar>
              <w:left w:w="28" w:type="dxa"/>
              <w:right w:w="28" w:type="dxa"/>
            </w:tcMar>
            <w:vAlign w:val="center"/>
          </w:tcPr>
          <w:p>
            <w:pPr>
              <w:pStyle w:val="23"/>
              <w:adjustRightInd w:val="0"/>
              <w:snapToGrid w:val="0"/>
              <w:spacing w:before="0" w:beforeAutospacing="0" w:after="0" w:afterAutospacing="0" w:line="360" w:lineRule="auto"/>
              <w:jc w:val="center"/>
              <w:rPr>
                <w:rFonts w:ascii="Times New Roman" w:hAnsi="Times New Roman"/>
                <w:kern w:val="2"/>
                <w:szCs w:val="24"/>
              </w:rPr>
            </w:pPr>
            <w:r>
              <w:rPr>
                <w:rFonts w:ascii="Times New Roman" w:hAnsi="Times New Roman"/>
                <w:kern w:val="2"/>
                <w:szCs w:val="24"/>
              </w:rPr>
              <w:t>施工</w:t>
            </w:r>
          </w:p>
          <w:p>
            <w:pPr>
              <w:pStyle w:val="23"/>
              <w:adjustRightInd w:val="0"/>
              <w:snapToGrid w:val="0"/>
              <w:spacing w:before="0" w:beforeAutospacing="0" w:after="0" w:afterAutospacing="0" w:line="360" w:lineRule="auto"/>
              <w:jc w:val="center"/>
              <w:rPr>
                <w:rFonts w:ascii="Times New Roman" w:hAnsi="Times New Roman"/>
                <w:kern w:val="2"/>
                <w:szCs w:val="24"/>
              </w:rPr>
            </w:pPr>
            <w:r>
              <w:rPr>
                <w:rFonts w:ascii="Times New Roman" w:hAnsi="Times New Roman"/>
                <w:kern w:val="2"/>
                <w:szCs w:val="24"/>
              </w:rPr>
              <w:t>期环</w:t>
            </w:r>
          </w:p>
          <w:p>
            <w:pPr>
              <w:pStyle w:val="23"/>
              <w:adjustRightInd w:val="0"/>
              <w:snapToGrid w:val="0"/>
              <w:spacing w:before="0" w:beforeAutospacing="0" w:after="0" w:afterAutospacing="0" w:line="360" w:lineRule="auto"/>
              <w:jc w:val="center"/>
              <w:rPr>
                <w:rFonts w:ascii="Times New Roman" w:hAnsi="Times New Roman"/>
                <w:kern w:val="2"/>
                <w:szCs w:val="24"/>
              </w:rPr>
            </w:pPr>
            <w:r>
              <w:rPr>
                <w:rFonts w:ascii="Times New Roman" w:hAnsi="Times New Roman"/>
                <w:kern w:val="2"/>
                <w:szCs w:val="24"/>
              </w:rPr>
              <w:t>境保</w:t>
            </w:r>
          </w:p>
          <w:p>
            <w:pPr>
              <w:pStyle w:val="23"/>
              <w:adjustRightInd w:val="0"/>
              <w:snapToGrid w:val="0"/>
              <w:spacing w:before="0" w:beforeAutospacing="0" w:after="0" w:afterAutospacing="0" w:line="360" w:lineRule="auto"/>
              <w:jc w:val="center"/>
              <w:rPr>
                <w:rFonts w:ascii="Times New Roman" w:hAnsi="Times New Roman"/>
                <w:kern w:val="2"/>
                <w:szCs w:val="24"/>
              </w:rPr>
            </w:pPr>
            <w:r>
              <w:rPr>
                <w:rFonts w:ascii="Times New Roman" w:hAnsi="Times New Roman"/>
                <w:kern w:val="2"/>
                <w:szCs w:val="24"/>
              </w:rPr>
              <w:t>护措</w:t>
            </w:r>
          </w:p>
          <w:p>
            <w:pPr>
              <w:adjustRightInd w:val="0"/>
              <w:snapToGrid w:val="0"/>
              <w:spacing w:line="360" w:lineRule="auto"/>
              <w:ind w:firstLine="480" w:firstLineChars="200"/>
              <w:rPr>
                <w:bCs/>
                <w:sz w:val="24"/>
              </w:rPr>
            </w:pPr>
            <w:r>
              <w:rPr>
                <w:sz w:val="24"/>
              </w:rPr>
              <w:t>施</w:t>
            </w:r>
          </w:p>
        </w:tc>
        <w:tc>
          <w:tcPr>
            <w:tcW w:w="9057" w:type="dxa"/>
            <w:vAlign w:val="center"/>
          </w:tcPr>
          <w:p>
            <w:pPr>
              <w:adjustRightInd w:val="0"/>
              <w:snapToGrid w:val="0"/>
              <w:spacing w:line="360" w:lineRule="auto"/>
              <w:ind w:firstLine="480" w:firstLineChars="200"/>
              <w:rPr>
                <w:bCs/>
                <w:sz w:val="24"/>
              </w:rPr>
            </w:pPr>
            <w:r>
              <w:rPr>
                <w:bCs/>
                <w:sz w:val="24"/>
              </w:rPr>
              <w:t>本项目</w:t>
            </w:r>
            <w:r>
              <w:rPr>
                <w:sz w:val="24"/>
              </w:rPr>
              <w:t>新建一台4t的天然气锅炉和一台2t的生物质锅炉及其附属设施，以及新增部分环保设施，工程量较小，主要涉及锅炉的安装、花卉种植大棚和食堂等的修建</w:t>
            </w:r>
            <w:r>
              <w:rPr>
                <w:bCs/>
                <w:sz w:val="24"/>
              </w:rPr>
              <w:t>。</w:t>
            </w:r>
          </w:p>
          <w:p>
            <w:pPr>
              <w:adjustRightInd w:val="0"/>
              <w:snapToGrid w:val="0"/>
              <w:spacing w:line="360" w:lineRule="auto"/>
              <w:rPr>
                <w:b/>
                <w:sz w:val="24"/>
              </w:rPr>
            </w:pPr>
            <w:r>
              <w:rPr>
                <w:b/>
                <w:sz w:val="24"/>
              </w:rPr>
              <w:t>1、施工期废气污染防治措施：</w:t>
            </w:r>
          </w:p>
          <w:p>
            <w:pPr>
              <w:adjustRightInd w:val="0"/>
              <w:snapToGrid w:val="0"/>
              <w:spacing w:line="360" w:lineRule="auto"/>
              <w:ind w:firstLine="480" w:firstLineChars="200"/>
              <w:rPr>
                <w:bCs/>
                <w:sz w:val="24"/>
              </w:rPr>
            </w:pPr>
            <w:r>
              <w:rPr>
                <w:bCs/>
                <w:sz w:val="24"/>
              </w:rPr>
              <w:t>①加强施工场地洒水降尘，及时清理废土。</w:t>
            </w:r>
          </w:p>
          <w:p>
            <w:pPr>
              <w:adjustRightInd w:val="0"/>
              <w:snapToGrid w:val="0"/>
              <w:spacing w:line="360" w:lineRule="auto"/>
              <w:ind w:firstLine="480" w:firstLineChars="200"/>
              <w:rPr>
                <w:bCs/>
                <w:sz w:val="24"/>
              </w:rPr>
            </w:pPr>
            <w:r>
              <w:rPr>
                <w:bCs/>
                <w:sz w:val="24"/>
              </w:rPr>
              <w:t>②该项目在开挖土方和土方回填过程中会产生一定的扬尘，在施工过程中应注意文明施工，做到洒水作业，减少扬尘对周围环境的污染。</w:t>
            </w:r>
          </w:p>
          <w:p>
            <w:pPr>
              <w:adjustRightInd w:val="0"/>
              <w:snapToGrid w:val="0"/>
              <w:spacing w:line="360" w:lineRule="auto"/>
              <w:ind w:firstLine="480" w:firstLineChars="200"/>
              <w:rPr>
                <w:bCs/>
                <w:sz w:val="24"/>
              </w:rPr>
            </w:pPr>
            <w:r>
              <w:rPr>
                <w:bCs/>
                <w:sz w:val="24"/>
              </w:rPr>
              <w:t>③建材在装卸、堆放、拌和过程中会产生粉灰外逸，施工单位必须加强施工区的规划管理，将建筑材料（主要是黄砂、石子）的堆场用</w:t>
            </w:r>
            <w:r>
              <w:rPr>
                <w:rFonts w:hint="eastAsia"/>
                <w:bCs/>
                <w:sz w:val="24"/>
              </w:rPr>
              <w:t>篷布</w:t>
            </w:r>
            <w:r>
              <w:rPr>
                <w:bCs/>
                <w:sz w:val="24"/>
              </w:rPr>
              <w:t>遮盖建筑材料。</w:t>
            </w:r>
          </w:p>
          <w:p>
            <w:pPr>
              <w:adjustRightInd w:val="0"/>
              <w:snapToGrid w:val="0"/>
              <w:spacing w:line="360" w:lineRule="auto"/>
              <w:ind w:firstLine="480" w:firstLineChars="200"/>
              <w:rPr>
                <w:bCs/>
                <w:sz w:val="24"/>
              </w:rPr>
            </w:pPr>
            <w:r>
              <w:rPr>
                <w:bCs/>
                <w:sz w:val="24"/>
              </w:rPr>
              <w:t>④厂内建材运输道路应定期洒水清扫，保持车辆出入路面清洁、湿润，以减少汽车轮胎与路面接触而引起的地面扬尘污染，并尽量减缓行驶车速。</w:t>
            </w:r>
          </w:p>
          <w:p>
            <w:pPr>
              <w:adjustRightInd w:val="0"/>
              <w:snapToGrid w:val="0"/>
              <w:spacing w:line="360" w:lineRule="auto"/>
              <w:rPr>
                <w:b/>
                <w:sz w:val="24"/>
              </w:rPr>
            </w:pPr>
            <w:r>
              <w:rPr>
                <w:b/>
                <w:sz w:val="24"/>
              </w:rPr>
              <w:t>2、施工期废水污染防治措施：</w:t>
            </w:r>
          </w:p>
          <w:p>
            <w:pPr>
              <w:adjustRightInd w:val="0"/>
              <w:snapToGrid w:val="0"/>
              <w:spacing w:line="360" w:lineRule="auto"/>
              <w:ind w:firstLine="480" w:firstLineChars="200"/>
              <w:rPr>
                <w:bCs/>
                <w:sz w:val="24"/>
              </w:rPr>
            </w:pPr>
            <w:r>
              <w:rPr>
                <w:bCs/>
                <w:sz w:val="24"/>
              </w:rPr>
              <w:t>设置专门的施工设备、工具清洗水池，清洗后的废水，施工人员清洗水，初期雨水在池内沉淀后，用于场地洒水降尘和绿化。</w:t>
            </w:r>
          </w:p>
          <w:p>
            <w:pPr>
              <w:adjustRightInd w:val="0"/>
              <w:snapToGrid w:val="0"/>
              <w:spacing w:line="360" w:lineRule="auto"/>
              <w:rPr>
                <w:bCs/>
                <w:sz w:val="24"/>
              </w:rPr>
            </w:pPr>
            <w:r>
              <w:rPr>
                <w:b/>
                <w:sz w:val="24"/>
              </w:rPr>
              <w:t>3、施工期噪声污染防治措施：</w:t>
            </w:r>
          </w:p>
          <w:p>
            <w:pPr>
              <w:adjustRightInd w:val="0"/>
              <w:snapToGrid w:val="0"/>
              <w:spacing w:line="360" w:lineRule="auto"/>
              <w:ind w:firstLine="480" w:firstLineChars="200"/>
              <w:rPr>
                <w:bCs/>
                <w:sz w:val="24"/>
              </w:rPr>
            </w:pPr>
            <w:r>
              <w:rPr>
                <w:bCs/>
                <w:sz w:val="24"/>
              </w:rPr>
              <w:t>①合理安排作业时间，尽量避免夜间施工。</w:t>
            </w:r>
          </w:p>
          <w:p>
            <w:pPr>
              <w:adjustRightInd w:val="0"/>
              <w:snapToGrid w:val="0"/>
              <w:spacing w:line="360" w:lineRule="auto"/>
              <w:ind w:firstLine="480" w:firstLineChars="200"/>
              <w:rPr>
                <w:bCs/>
                <w:sz w:val="24"/>
              </w:rPr>
            </w:pPr>
            <w:r>
              <w:rPr>
                <w:bCs/>
                <w:sz w:val="24"/>
              </w:rPr>
              <w:t>②建筑材料运输车辆尽量在白天进行，并控制鸣笛。</w:t>
            </w:r>
          </w:p>
          <w:p>
            <w:pPr>
              <w:adjustRightInd w:val="0"/>
              <w:snapToGrid w:val="0"/>
              <w:spacing w:line="360" w:lineRule="auto"/>
              <w:rPr>
                <w:bCs/>
                <w:sz w:val="24"/>
              </w:rPr>
            </w:pPr>
            <w:r>
              <w:rPr>
                <w:b/>
                <w:sz w:val="24"/>
              </w:rPr>
              <w:t>4、施工期固体废物处置措施：</w:t>
            </w:r>
          </w:p>
          <w:p>
            <w:pPr>
              <w:adjustRightInd w:val="0"/>
              <w:snapToGrid w:val="0"/>
              <w:spacing w:line="360" w:lineRule="auto"/>
              <w:ind w:firstLine="480" w:firstLineChars="200"/>
              <w:rPr>
                <w:bCs/>
                <w:sz w:val="24"/>
              </w:rPr>
            </w:pPr>
            <w:r>
              <w:rPr>
                <w:bCs/>
                <w:sz w:val="24"/>
              </w:rPr>
              <w:t>①施工产生的建筑垃圾能回收利用的外售当地废品收购站，不能回收利用的按照当地建筑垃圾管理要求进行处置。</w:t>
            </w:r>
          </w:p>
          <w:p>
            <w:pPr>
              <w:adjustRightInd w:val="0"/>
              <w:snapToGrid w:val="0"/>
              <w:spacing w:line="360" w:lineRule="auto"/>
              <w:ind w:firstLine="480" w:firstLineChars="200"/>
              <w:rPr>
                <w:bCs/>
                <w:sz w:val="24"/>
              </w:rPr>
            </w:pPr>
            <w:r>
              <w:rPr>
                <w:bCs/>
                <w:sz w:val="24"/>
              </w:rPr>
              <w:t>②施工人员产生的生活垃圾禁止随意丢弃，充分利用现有的垃圾收集设施集中收集，委托当地环卫部门定期清运处置。</w:t>
            </w:r>
          </w:p>
          <w:p>
            <w:pPr>
              <w:adjustRightInd w:val="0"/>
              <w:snapToGrid w:val="0"/>
              <w:spacing w:line="360" w:lineRule="auto"/>
              <w:ind w:firstLine="480" w:firstLineChars="200"/>
              <w:rPr>
                <w:bCs/>
                <w:spacing w:val="-10"/>
                <w:sz w:val="24"/>
              </w:rPr>
            </w:pPr>
            <w:r>
              <w:rPr>
                <w:bCs/>
                <w:sz w:val="24"/>
              </w:rPr>
              <w:t>综上，项目后续施工期工程量较小，各类污染物的产生量有限，只要建设单位严格落实环评提出的环境保护措施，施工期对周围环境影响较小。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tcMar>
              <w:left w:w="28" w:type="dxa"/>
              <w:right w:w="28" w:type="dxa"/>
            </w:tcMar>
            <w:vAlign w:val="center"/>
          </w:tcPr>
          <w:p>
            <w:pPr>
              <w:adjustRightInd w:val="0"/>
              <w:snapToGrid w:val="0"/>
              <w:spacing w:line="360" w:lineRule="auto"/>
              <w:jc w:val="center"/>
              <w:rPr>
                <w:bCs/>
                <w:sz w:val="24"/>
              </w:rPr>
            </w:pPr>
            <w:r>
              <w:rPr>
                <w:bCs/>
                <w:sz w:val="24"/>
              </w:rPr>
              <w:t>运营</w:t>
            </w:r>
          </w:p>
          <w:p>
            <w:pPr>
              <w:adjustRightInd w:val="0"/>
              <w:snapToGrid w:val="0"/>
              <w:spacing w:line="360" w:lineRule="auto"/>
              <w:jc w:val="center"/>
              <w:rPr>
                <w:bCs/>
                <w:sz w:val="24"/>
              </w:rPr>
            </w:pPr>
            <w:r>
              <w:rPr>
                <w:bCs/>
                <w:sz w:val="24"/>
              </w:rPr>
              <w:t>期环</w:t>
            </w:r>
          </w:p>
          <w:p>
            <w:pPr>
              <w:adjustRightInd w:val="0"/>
              <w:snapToGrid w:val="0"/>
              <w:spacing w:line="360" w:lineRule="auto"/>
              <w:jc w:val="center"/>
              <w:rPr>
                <w:bCs/>
                <w:sz w:val="24"/>
              </w:rPr>
            </w:pPr>
            <w:r>
              <w:rPr>
                <w:bCs/>
                <w:sz w:val="24"/>
              </w:rPr>
              <w:t>境影</w:t>
            </w:r>
          </w:p>
          <w:p>
            <w:pPr>
              <w:adjustRightInd w:val="0"/>
              <w:snapToGrid w:val="0"/>
              <w:spacing w:line="360" w:lineRule="auto"/>
              <w:jc w:val="center"/>
              <w:rPr>
                <w:bCs/>
                <w:sz w:val="24"/>
              </w:rPr>
            </w:pPr>
            <w:r>
              <w:rPr>
                <w:bCs/>
                <w:sz w:val="24"/>
              </w:rPr>
              <w:t>响和</w:t>
            </w:r>
          </w:p>
          <w:p>
            <w:pPr>
              <w:adjustRightInd w:val="0"/>
              <w:snapToGrid w:val="0"/>
              <w:spacing w:line="360" w:lineRule="auto"/>
              <w:jc w:val="center"/>
              <w:rPr>
                <w:bCs/>
                <w:sz w:val="24"/>
              </w:rPr>
            </w:pPr>
            <w:r>
              <w:rPr>
                <w:bCs/>
                <w:sz w:val="24"/>
              </w:rPr>
              <w:t>保护</w:t>
            </w:r>
          </w:p>
          <w:p>
            <w:pPr>
              <w:spacing w:line="360" w:lineRule="auto"/>
              <w:rPr>
                <w:b/>
                <w:bCs/>
                <w:sz w:val="24"/>
              </w:rPr>
            </w:pPr>
            <w:r>
              <w:rPr>
                <w:bCs/>
                <w:sz w:val="24"/>
              </w:rPr>
              <w:t>措施</w:t>
            </w:r>
          </w:p>
        </w:tc>
        <w:tc>
          <w:tcPr>
            <w:tcW w:w="9057" w:type="dxa"/>
            <w:vAlign w:val="center"/>
          </w:tcPr>
          <w:p>
            <w:pPr>
              <w:spacing w:line="360" w:lineRule="auto"/>
              <w:rPr>
                <w:b/>
                <w:bCs/>
                <w:sz w:val="24"/>
              </w:rPr>
            </w:pPr>
            <w:r>
              <w:rPr>
                <w:b/>
                <w:bCs/>
                <w:sz w:val="24"/>
              </w:rPr>
              <w:t>1、大气环境影响分析</w:t>
            </w:r>
          </w:p>
          <w:p>
            <w:pPr>
              <w:pStyle w:val="35"/>
              <w:spacing w:line="360" w:lineRule="auto"/>
              <w:ind w:left="480"/>
              <w:rPr>
                <w:b/>
                <w:bCs/>
                <w:sz w:val="24"/>
                <w:szCs w:val="24"/>
              </w:rPr>
            </w:pPr>
            <w:r>
              <w:rPr>
                <w:b/>
                <w:bCs/>
                <w:sz w:val="24"/>
                <w:szCs w:val="24"/>
              </w:rPr>
              <w:t>（1）产排污环节</w:t>
            </w:r>
          </w:p>
          <w:p>
            <w:pPr>
              <w:pStyle w:val="35"/>
              <w:spacing w:line="360" w:lineRule="auto"/>
              <w:ind w:left="480"/>
              <w:rPr>
                <w:sz w:val="24"/>
                <w:szCs w:val="24"/>
              </w:rPr>
            </w:pPr>
            <w:r>
              <w:rPr>
                <w:b/>
                <w:bCs/>
                <w:sz w:val="24"/>
                <w:szCs w:val="24"/>
              </w:rPr>
              <w:t>①天然气锅炉废气（G1）</w:t>
            </w:r>
          </w:p>
          <w:p>
            <w:pPr>
              <w:pStyle w:val="35"/>
              <w:spacing w:line="360" w:lineRule="auto"/>
              <w:ind w:firstLine="480" w:firstLineChars="200"/>
              <w:jc w:val="both"/>
              <w:rPr>
                <w:sz w:val="24"/>
                <w:szCs w:val="24"/>
              </w:rPr>
            </w:pPr>
            <w:r>
              <w:rPr>
                <w:sz w:val="24"/>
                <w:szCs w:val="24"/>
              </w:rPr>
              <w:t>本项目设置一台天然气锅炉，锅炉规格为4t/h，一台生物质成型颗粒燃料锅炉，锅炉规格为2t/h。两台锅炉同时运行。每天运行18h，每年运行152天。天然气使用量约500m</w:t>
            </w:r>
            <w:r>
              <w:rPr>
                <w:sz w:val="24"/>
                <w:szCs w:val="24"/>
                <w:vertAlign w:val="superscript"/>
              </w:rPr>
              <w:t>3</w:t>
            </w:r>
            <w:r>
              <w:rPr>
                <w:sz w:val="24"/>
                <w:szCs w:val="24"/>
              </w:rPr>
              <w:t>/h，136.8万m</w:t>
            </w:r>
            <w:r>
              <w:rPr>
                <w:sz w:val="24"/>
                <w:szCs w:val="24"/>
                <w:vertAlign w:val="superscript"/>
              </w:rPr>
              <w:t>3</w:t>
            </w:r>
            <w:r>
              <w:rPr>
                <w:sz w:val="24"/>
                <w:szCs w:val="24"/>
              </w:rPr>
              <w:t>/a；生物质成型颗粒燃料使用量约</w:t>
            </w:r>
            <w:r>
              <w:rPr>
                <w:rFonts w:hint="eastAsia"/>
                <w:sz w:val="24"/>
                <w:szCs w:val="24"/>
              </w:rPr>
              <w:t>0.3</w:t>
            </w:r>
            <w:r>
              <w:rPr>
                <w:sz w:val="24"/>
                <w:szCs w:val="24"/>
              </w:rPr>
              <w:t>t/h，</w:t>
            </w:r>
            <w:r>
              <w:rPr>
                <w:rFonts w:hint="eastAsia"/>
                <w:sz w:val="24"/>
                <w:szCs w:val="24"/>
              </w:rPr>
              <w:t>820.8</w:t>
            </w:r>
            <w:r>
              <w:rPr>
                <w:sz w:val="24"/>
                <w:szCs w:val="24"/>
              </w:rPr>
              <w:t>t/a。根据《排放源统计调查产排污核算方法和系数手册》，天然气锅炉废气污染物的产污系数如下：废气量的产排污系数107753Nm</w:t>
            </w:r>
            <w:r>
              <w:rPr>
                <w:sz w:val="24"/>
                <w:szCs w:val="24"/>
                <w:vertAlign w:val="superscript"/>
              </w:rPr>
              <w:t>3</w:t>
            </w:r>
            <w:r>
              <w:rPr>
                <w:sz w:val="24"/>
                <w:szCs w:val="24"/>
              </w:rPr>
              <w:t>/万立方米</w:t>
            </w:r>
            <w:r>
              <w:rPr>
                <w:rFonts w:hint="eastAsia"/>
                <w:sz w:val="24"/>
                <w:szCs w:val="24"/>
              </w:rPr>
              <w:t>－</w:t>
            </w:r>
            <w:r>
              <w:rPr>
                <w:sz w:val="24"/>
                <w:szCs w:val="24"/>
              </w:rPr>
              <w:t>原料，SO</w:t>
            </w:r>
            <w:r>
              <w:rPr>
                <w:sz w:val="24"/>
                <w:szCs w:val="24"/>
                <w:vertAlign w:val="subscript"/>
              </w:rPr>
              <w:t>2</w:t>
            </w:r>
            <w:r>
              <w:rPr>
                <w:sz w:val="24"/>
                <w:szCs w:val="24"/>
              </w:rPr>
              <w:t xml:space="preserve"> 产污系数：0.02S千克/万立方米</w:t>
            </w:r>
            <w:r>
              <w:rPr>
                <w:rFonts w:hint="eastAsia"/>
                <w:sz w:val="24"/>
                <w:szCs w:val="24"/>
              </w:rPr>
              <w:t>－</w:t>
            </w:r>
            <w:r>
              <w:rPr>
                <w:sz w:val="24"/>
                <w:szCs w:val="24"/>
              </w:rPr>
              <w:t>原料，NO</w:t>
            </w:r>
            <w:r>
              <w:rPr>
                <w:sz w:val="24"/>
                <w:szCs w:val="24"/>
                <w:vertAlign w:val="subscript"/>
              </w:rPr>
              <w:t>X</w:t>
            </w:r>
            <w:r>
              <w:rPr>
                <w:sz w:val="24"/>
                <w:szCs w:val="24"/>
              </w:rPr>
              <w:t>产污系数：15.87kg/万立方米</w:t>
            </w:r>
            <w:r>
              <w:rPr>
                <w:rFonts w:hint="eastAsia"/>
                <w:sz w:val="24"/>
                <w:szCs w:val="24"/>
              </w:rPr>
              <w:t>－</w:t>
            </w:r>
            <w:r>
              <w:rPr>
                <w:sz w:val="24"/>
                <w:szCs w:val="24"/>
              </w:rPr>
              <w:t>原料（低氮燃烧</w:t>
            </w:r>
            <w:r>
              <w:rPr>
                <w:rFonts w:hint="eastAsia"/>
                <w:sz w:val="24"/>
                <w:szCs w:val="24"/>
              </w:rPr>
              <w:t>－</w:t>
            </w:r>
            <w:r>
              <w:rPr>
                <w:sz w:val="24"/>
                <w:szCs w:val="24"/>
              </w:rPr>
              <w:t>国内一般）。</w:t>
            </w:r>
          </w:p>
          <w:p>
            <w:pPr>
              <w:spacing w:line="360" w:lineRule="auto"/>
              <w:ind w:firstLine="480" w:firstLineChars="200"/>
              <w:rPr>
                <w:sz w:val="24"/>
              </w:rPr>
            </w:pPr>
            <w:r>
              <w:rPr>
                <w:sz w:val="24"/>
              </w:rPr>
              <w:t>根据业主提供资料，用气质量标准：中缅管道天然气质量标准或国家公布的工业用气标准。按照国家天然气标准</w:t>
            </w:r>
            <w:r>
              <w:rPr>
                <w:rFonts w:hint="eastAsia"/>
                <w:sz w:val="24"/>
              </w:rPr>
              <w:t>（</w:t>
            </w:r>
            <w:r>
              <w:rPr>
                <w:sz w:val="24"/>
              </w:rPr>
              <w:t>GB17820-2018</w:t>
            </w:r>
            <w:r>
              <w:rPr>
                <w:rFonts w:hint="eastAsia"/>
                <w:sz w:val="24"/>
              </w:rPr>
              <w:t>）</w:t>
            </w:r>
            <w:r>
              <w:rPr>
                <w:sz w:val="24"/>
              </w:rPr>
              <w:t>规定，天然气按含硫量、高位发热值、硫化氢和二氧化碳含量分为两类，一类含硫量≤20mg/m</w:t>
            </w:r>
            <w:r>
              <w:rPr>
                <w:sz w:val="24"/>
                <w:vertAlign w:val="superscript"/>
              </w:rPr>
              <w:t>3</w:t>
            </w:r>
            <w:r>
              <w:rPr>
                <w:sz w:val="24"/>
              </w:rPr>
              <w:t>，二类≤100mg/m</w:t>
            </w:r>
            <w:r>
              <w:rPr>
                <w:sz w:val="24"/>
                <w:vertAlign w:val="superscript"/>
              </w:rPr>
              <w:t>3</w:t>
            </w:r>
            <w:r>
              <w:rPr>
                <w:sz w:val="24"/>
              </w:rPr>
              <w:t>。</w:t>
            </w:r>
          </w:p>
          <w:p>
            <w:pPr>
              <w:spacing w:line="360" w:lineRule="auto"/>
              <w:ind w:firstLine="480" w:firstLineChars="200"/>
              <w:rPr>
                <w:sz w:val="24"/>
              </w:rPr>
            </w:pPr>
            <w:r>
              <w:rPr>
                <w:sz w:val="24"/>
              </w:rPr>
              <w:t>中缅管道输送的天然气甲烷含量较高，其热值、总硫含量、硫化氢含量和二氧化碳含量指标已达到《天然气》（GB17820-2018）二类气质量标准的要求，本项目天然气含硫量按最低标准二类100mg/m</w:t>
            </w:r>
            <w:r>
              <w:rPr>
                <w:sz w:val="24"/>
                <w:vertAlign w:val="superscript"/>
              </w:rPr>
              <w:t>3</w:t>
            </w:r>
            <w:r>
              <w:rPr>
                <w:sz w:val="24"/>
              </w:rPr>
              <w:t>计。</w:t>
            </w:r>
          </w:p>
          <w:p>
            <w:pPr>
              <w:pStyle w:val="13"/>
              <w:spacing w:line="360" w:lineRule="auto"/>
              <w:ind w:firstLine="480" w:firstLineChars="200"/>
              <w:rPr>
                <w:rFonts w:ascii="Times New Roman" w:hAnsi="Times New Roman"/>
                <w:sz w:val="24"/>
              </w:rPr>
            </w:pPr>
            <w:r>
              <w:rPr>
                <w:rFonts w:ascii="Times New Roman" w:hAnsi="Times New Roman"/>
                <w:sz w:val="24"/>
              </w:rPr>
              <w:t>废气量为：107753Nm</w:t>
            </w:r>
            <w:r>
              <w:rPr>
                <w:rFonts w:ascii="Times New Roman" w:hAnsi="Times New Roman"/>
                <w:sz w:val="24"/>
                <w:vertAlign w:val="superscript"/>
              </w:rPr>
              <w:t>3</w:t>
            </w:r>
            <w:r>
              <w:rPr>
                <w:rFonts w:ascii="Times New Roman" w:hAnsi="Times New Roman"/>
                <w:sz w:val="24"/>
              </w:rPr>
              <w:t>/万立方米-原料=107753×136.8=1474.1万m</w:t>
            </w:r>
            <w:r>
              <w:rPr>
                <w:rFonts w:ascii="Times New Roman" w:hAnsi="Times New Roman"/>
                <w:sz w:val="24"/>
                <w:vertAlign w:val="superscript"/>
              </w:rPr>
              <w:t>3</w:t>
            </w:r>
            <w:r>
              <w:rPr>
                <w:rFonts w:ascii="Times New Roman" w:hAnsi="Times New Roman"/>
                <w:sz w:val="24"/>
              </w:rPr>
              <w:t>/a</w:t>
            </w:r>
          </w:p>
          <w:p>
            <w:pPr>
              <w:spacing w:line="360" w:lineRule="auto"/>
              <w:ind w:firstLine="480" w:firstLineChars="200"/>
              <w:rPr>
                <w:sz w:val="24"/>
              </w:rPr>
            </w:pPr>
            <w:r>
              <w:rPr>
                <w:sz w:val="24"/>
              </w:rPr>
              <w:t>SO</w:t>
            </w:r>
            <w:r>
              <w:rPr>
                <w:sz w:val="24"/>
                <w:vertAlign w:val="subscript"/>
              </w:rPr>
              <w:t>2</w:t>
            </w:r>
            <w:r>
              <w:rPr>
                <w:sz w:val="24"/>
              </w:rPr>
              <w:t>的产生浓度为：0.02S/107753=0.02×100×106/107753=18.6mg/m</w:t>
            </w:r>
            <w:r>
              <w:rPr>
                <w:sz w:val="24"/>
                <w:vertAlign w:val="superscript"/>
              </w:rPr>
              <w:t>3</w:t>
            </w:r>
            <w:r>
              <w:rPr>
                <w:sz w:val="24"/>
              </w:rPr>
              <w:t>；产生速率为：0.02×100×500/10000=0.1kg/h，0.02×100×136.8/10000=0.027t/a。</w:t>
            </w:r>
          </w:p>
          <w:p>
            <w:pPr>
              <w:spacing w:line="360" w:lineRule="auto"/>
              <w:ind w:firstLine="480" w:firstLineChars="200"/>
              <w:rPr>
                <w:sz w:val="24"/>
              </w:rPr>
            </w:pPr>
            <w:r>
              <w:rPr>
                <w:sz w:val="24"/>
              </w:rPr>
              <w:t>NO</w:t>
            </w:r>
            <w:r>
              <w:rPr>
                <w:sz w:val="24"/>
                <w:vertAlign w:val="subscript"/>
              </w:rPr>
              <w:t>X</w:t>
            </w:r>
            <w:r>
              <w:rPr>
                <w:sz w:val="24"/>
              </w:rPr>
              <w:t>的产生浓度为：15.87/107753=15.87×106/107753=147.3mg/m</w:t>
            </w:r>
            <w:r>
              <w:rPr>
                <w:sz w:val="24"/>
                <w:vertAlign w:val="superscript"/>
              </w:rPr>
              <w:t>3</w:t>
            </w:r>
            <w:r>
              <w:rPr>
                <w:sz w:val="24"/>
              </w:rPr>
              <w:t>；产生速率为：15.87×500/10000=0.79kg/h，15.87×136.8/1000=2.2t/a。</w:t>
            </w:r>
          </w:p>
          <w:p>
            <w:pPr>
              <w:spacing w:line="360" w:lineRule="auto"/>
              <w:ind w:firstLine="480" w:firstLineChars="200"/>
              <w:rPr>
                <w:sz w:val="24"/>
              </w:rPr>
            </w:pPr>
            <w:r>
              <w:rPr>
                <w:sz w:val="24"/>
              </w:rPr>
              <w:t>颗粒物（以PM</w:t>
            </w:r>
            <w:r>
              <w:rPr>
                <w:sz w:val="24"/>
                <w:vertAlign w:val="subscript"/>
              </w:rPr>
              <w:t>10</w:t>
            </w:r>
            <w:r>
              <w:rPr>
                <w:sz w:val="24"/>
              </w:rPr>
              <w:t>计）的排放系数参照《排污申报登记实用手册》中烟尘的产污系数为1.04千克/万立方米</w:t>
            </w:r>
            <w:r>
              <w:rPr>
                <w:rFonts w:hint="eastAsia"/>
                <w:sz w:val="24"/>
              </w:rPr>
              <w:t>－</w:t>
            </w:r>
            <w:r>
              <w:rPr>
                <w:sz w:val="24"/>
              </w:rPr>
              <w:t>燃料。</w:t>
            </w:r>
          </w:p>
          <w:p>
            <w:pPr>
              <w:spacing w:line="360" w:lineRule="auto"/>
              <w:ind w:firstLine="480" w:firstLineChars="200"/>
              <w:rPr>
                <w:sz w:val="24"/>
              </w:rPr>
            </w:pPr>
            <w:r>
              <w:rPr>
                <w:sz w:val="24"/>
              </w:rPr>
              <w:t>颗粒物的产生浓度为：1.04×106/107753=9.7mg/m</w:t>
            </w:r>
            <w:r>
              <w:rPr>
                <w:sz w:val="24"/>
                <w:vertAlign w:val="superscript"/>
              </w:rPr>
              <w:t>3</w:t>
            </w:r>
            <w:r>
              <w:rPr>
                <w:sz w:val="24"/>
              </w:rPr>
              <w:t>；产生速率为：1.04×500/10000=0.05kg/h，1.04×136.8/1000=0.14t/a。</w:t>
            </w:r>
          </w:p>
          <w:p>
            <w:pPr>
              <w:pStyle w:val="35"/>
              <w:spacing w:line="360" w:lineRule="auto"/>
              <w:ind w:left="480"/>
              <w:rPr>
                <w:sz w:val="24"/>
                <w:szCs w:val="24"/>
              </w:rPr>
            </w:pPr>
            <w:r>
              <w:rPr>
                <w:b/>
                <w:bCs/>
                <w:sz w:val="24"/>
                <w:szCs w:val="24"/>
              </w:rPr>
              <w:t>②生物质锅炉废气（G2）</w:t>
            </w:r>
          </w:p>
          <w:p>
            <w:pPr>
              <w:pStyle w:val="35"/>
              <w:spacing w:line="360" w:lineRule="auto"/>
              <w:ind w:firstLine="480" w:firstLineChars="200"/>
              <w:jc w:val="both"/>
              <w:rPr>
                <w:sz w:val="24"/>
                <w:szCs w:val="24"/>
              </w:rPr>
            </w:pPr>
            <w:r>
              <w:rPr>
                <w:sz w:val="24"/>
                <w:szCs w:val="24"/>
              </w:rPr>
              <w:t>生物质成型颗粒燃料使用量约0.</w:t>
            </w:r>
            <w:r>
              <w:rPr>
                <w:rFonts w:hint="eastAsia"/>
                <w:sz w:val="24"/>
                <w:szCs w:val="24"/>
              </w:rPr>
              <w:t>3</w:t>
            </w:r>
            <w:r>
              <w:rPr>
                <w:sz w:val="24"/>
                <w:szCs w:val="24"/>
              </w:rPr>
              <w:t>t/h，</w:t>
            </w:r>
            <w:r>
              <w:rPr>
                <w:rFonts w:hint="eastAsia"/>
                <w:sz w:val="24"/>
                <w:szCs w:val="24"/>
              </w:rPr>
              <w:t>820.8</w:t>
            </w:r>
            <w:r>
              <w:rPr>
                <w:sz w:val="24"/>
                <w:szCs w:val="24"/>
              </w:rPr>
              <w:t>t/a。根据《排放源统计调查产排污核算方法和系数手册》。生物质成型燃料锅炉废气污染物的产污系数如下：废气量的产排污系数6240Nm</w:t>
            </w:r>
            <w:r>
              <w:rPr>
                <w:sz w:val="24"/>
                <w:szCs w:val="24"/>
                <w:vertAlign w:val="superscript"/>
              </w:rPr>
              <w:t>3</w:t>
            </w:r>
            <w:r>
              <w:rPr>
                <w:sz w:val="24"/>
                <w:szCs w:val="24"/>
              </w:rPr>
              <w:t>/t-原料，SO</w:t>
            </w:r>
            <w:r>
              <w:rPr>
                <w:sz w:val="24"/>
                <w:szCs w:val="24"/>
                <w:vertAlign w:val="subscript"/>
              </w:rPr>
              <w:t>2</w:t>
            </w:r>
            <w:r>
              <w:rPr>
                <w:sz w:val="24"/>
                <w:szCs w:val="24"/>
              </w:rPr>
              <w:t>产污系数：17S=0.68kg/t-原料，烟尘（颗粒物）产污系数：0.5kg/t-原料，NO</w:t>
            </w:r>
            <w:r>
              <w:rPr>
                <w:sz w:val="24"/>
                <w:szCs w:val="24"/>
                <w:vertAlign w:val="subscript"/>
              </w:rPr>
              <w:t>X</w:t>
            </w:r>
            <w:r>
              <w:rPr>
                <w:sz w:val="24"/>
                <w:szCs w:val="24"/>
              </w:rPr>
              <w:t>产污系数：1.02kg/t-原料。</w:t>
            </w:r>
          </w:p>
          <w:p>
            <w:pPr>
              <w:pStyle w:val="35"/>
              <w:spacing w:line="360" w:lineRule="auto"/>
              <w:ind w:firstLine="480" w:firstLineChars="200"/>
              <w:jc w:val="both"/>
              <w:rPr>
                <w:sz w:val="24"/>
                <w:szCs w:val="24"/>
              </w:rPr>
            </w:pPr>
            <w:r>
              <w:rPr>
                <w:sz w:val="24"/>
                <w:szCs w:val="24"/>
              </w:rPr>
              <w:t>废气量为：6240Nm</w:t>
            </w:r>
            <w:r>
              <w:rPr>
                <w:sz w:val="24"/>
                <w:szCs w:val="24"/>
                <w:vertAlign w:val="superscript"/>
              </w:rPr>
              <w:t>3</w:t>
            </w:r>
            <w:r>
              <w:rPr>
                <w:sz w:val="24"/>
                <w:szCs w:val="24"/>
              </w:rPr>
              <w:t>/t-原料=6240×</w:t>
            </w:r>
            <w:r>
              <w:rPr>
                <w:rFonts w:hint="eastAsia"/>
                <w:sz w:val="24"/>
                <w:szCs w:val="24"/>
              </w:rPr>
              <w:t>820.8</w:t>
            </w:r>
            <w:r>
              <w:rPr>
                <w:sz w:val="24"/>
                <w:szCs w:val="24"/>
              </w:rPr>
              <w:t>=</w:t>
            </w:r>
            <w:r>
              <w:rPr>
                <w:rFonts w:hint="eastAsia"/>
                <w:sz w:val="24"/>
                <w:szCs w:val="24"/>
              </w:rPr>
              <w:t>512.18</w:t>
            </w:r>
            <w:r>
              <w:rPr>
                <w:sz w:val="24"/>
                <w:szCs w:val="24"/>
              </w:rPr>
              <w:t>万Nm</w:t>
            </w:r>
            <w:r>
              <w:rPr>
                <w:sz w:val="24"/>
                <w:szCs w:val="24"/>
                <w:vertAlign w:val="superscript"/>
              </w:rPr>
              <w:t>3</w:t>
            </w:r>
            <w:r>
              <w:rPr>
                <w:sz w:val="24"/>
                <w:szCs w:val="24"/>
              </w:rPr>
              <w:t>/a</w:t>
            </w:r>
          </w:p>
          <w:p>
            <w:pPr>
              <w:pStyle w:val="35"/>
              <w:spacing w:line="360" w:lineRule="auto"/>
              <w:ind w:firstLine="480" w:firstLineChars="200"/>
              <w:jc w:val="both"/>
              <w:rPr>
                <w:sz w:val="24"/>
                <w:szCs w:val="24"/>
              </w:rPr>
            </w:pPr>
            <w:r>
              <w:rPr>
                <w:sz w:val="24"/>
                <w:szCs w:val="24"/>
              </w:rPr>
              <w:t>SO</w:t>
            </w:r>
            <w:r>
              <w:rPr>
                <w:sz w:val="24"/>
                <w:szCs w:val="24"/>
                <w:vertAlign w:val="subscript"/>
              </w:rPr>
              <w:t>2</w:t>
            </w:r>
            <w:r>
              <w:rPr>
                <w:sz w:val="24"/>
                <w:szCs w:val="24"/>
              </w:rPr>
              <w:t>的产生浓度为：17S/6240=0.68×10</w:t>
            </w:r>
            <w:r>
              <w:rPr>
                <w:sz w:val="24"/>
                <w:szCs w:val="24"/>
                <w:vertAlign w:val="superscript"/>
              </w:rPr>
              <w:t>6</w:t>
            </w:r>
            <w:r>
              <w:rPr>
                <w:sz w:val="24"/>
                <w:szCs w:val="24"/>
              </w:rPr>
              <w:t>/6240=108.97mg/m</w:t>
            </w:r>
            <w:r>
              <w:rPr>
                <w:sz w:val="24"/>
                <w:szCs w:val="24"/>
                <w:vertAlign w:val="superscript"/>
              </w:rPr>
              <w:t>3</w:t>
            </w:r>
            <w:r>
              <w:rPr>
                <w:sz w:val="24"/>
                <w:szCs w:val="24"/>
              </w:rPr>
              <w:t>；产生速率为：0.68×0.</w:t>
            </w:r>
            <w:r>
              <w:rPr>
                <w:rFonts w:hint="eastAsia"/>
                <w:sz w:val="24"/>
                <w:szCs w:val="24"/>
              </w:rPr>
              <w:t>3</w:t>
            </w:r>
            <w:r>
              <w:rPr>
                <w:sz w:val="24"/>
                <w:szCs w:val="24"/>
              </w:rPr>
              <w:t>=0.</w:t>
            </w:r>
            <w:r>
              <w:rPr>
                <w:rFonts w:hint="eastAsia"/>
                <w:sz w:val="24"/>
                <w:szCs w:val="24"/>
              </w:rPr>
              <w:t>2</w:t>
            </w:r>
            <w:r>
              <w:rPr>
                <w:sz w:val="24"/>
                <w:szCs w:val="24"/>
              </w:rPr>
              <w:t>kg/h，0.68×</w:t>
            </w:r>
            <w:r>
              <w:rPr>
                <w:rFonts w:hint="eastAsia"/>
                <w:sz w:val="24"/>
                <w:szCs w:val="24"/>
              </w:rPr>
              <w:t>820.8</w:t>
            </w:r>
            <w:r>
              <w:rPr>
                <w:sz w:val="24"/>
                <w:szCs w:val="24"/>
              </w:rPr>
              <w:t xml:space="preserve"> /1000=0.</w:t>
            </w:r>
            <w:r>
              <w:rPr>
                <w:rFonts w:hint="eastAsia"/>
                <w:sz w:val="24"/>
                <w:szCs w:val="24"/>
              </w:rPr>
              <w:t>56</w:t>
            </w:r>
            <w:r>
              <w:rPr>
                <w:sz w:val="24"/>
                <w:szCs w:val="24"/>
              </w:rPr>
              <w:t>t/a。</w:t>
            </w:r>
          </w:p>
          <w:p>
            <w:pPr>
              <w:pStyle w:val="24"/>
              <w:spacing w:before="0" w:after="0" w:line="360" w:lineRule="auto"/>
              <w:ind w:firstLine="480" w:firstLineChars="200"/>
              <w:rPr>
                <w:sz w:val="24"/>
                <w:szCs w:val="24"/>
              </w:rPr>
            </w:pPr>
            <w:r>
              <w:rPr>
                <w:sz w:val="24"/>
                <w:szCs w:val="24"/>
              </w:rPr>
              <w:t>NO</w:t>
            </w:r>
            <w:r>
              <w:rPr>
                <w:sz w:val="24"/>
                <w:szCs w:val="24"/>
                <w:vertAlign w:val="subscript"/>
              </w:rPr>
              <w:t>X</w:t>
            </w:r>
            <w:r>
              <w:rPr>
                <w:sz w:val="24"/>
                <w:szCs w:val="24"/>
              </w:rPr>
              <w:t>的</w:t>
            </w:r>
            <w:r>
              <w:rPr>
                <w:rFonts w:hint="eastAsia"/>
                <w:sz w:val="24"/>
                <w:szCs w:val="24"/>
              </w:rPr>
              <w:t>产生浓度</w:t>
            </w:r>
            <w:r>
              <w:rPr>
                <w:sz w:val="24"/>
                <w:szCs w:val="24"/>
              </w:rPr>
              <w:t>为：1.02/107753=1.02×106/6240=163.46mg/m</w:t>
            </w:r>
            <w:r>
              <w:rPr>
                <w:sz w:val="24"/>
                <w:szCs w:val="24"/>
                <w:vertAlign w:val="superscript"/>
              </w:rPr>
              <w:t>3</w:t>
            </w:r>
            <w:r>
              <w:rPr>
                <w:sz w:val="24"/>
                <w:szCs w:val="24"/>
              </w:rPr>
              <w:t>；产生速率为：1.02×0.</w:t>
            </w:r>
            <w:r>
              <w:rPr>
                <w:rFonts w:hint="eastAsia"/>
                <w:sz w:val="24"/>
                <w:szCs w:val="24"/>
              </w:rPr>
              <w:t>3</w:t>
            </w:r>
            <w:r>
              <w:rPr>
                <w:sz w:val="24"/>
                <w:szCs w:val="24"/>
              </w:rPr>
              <w:t>=0.</w:t>
            </w:r>
            <w:r>
              <w:rPr>
                <w:rFonts w:hint="eastAsia"/>
                <w:sz w:val="24"/>
                <w:szCs w:val="24"/>
              </w:rPr>
              <w:t>31</w:t>
            </w:r>
            <w:r>
              <w:rPr>
                <w:sz w:val="24"/>
                <w:szCs w:val="24"/>
              </w:rPr>
              <w:t>kg/h，1.02×</w:t>
            </w:r>
            <w:r>
              <w:rPr>
                <w:rFonts w:hint="eastAsia"/>
                <w:sz w:val="24"/>
                <w:szCs w:val="24"/>
              </w:rPr>
              <w:t>820.8</w:t>
            </w:r>
            <w:r>
              <w:rPr>
                <w:sz w:val="24"/>
                <w:szCs w:val="24"/>
              </w:rPr>
              <w:t>/1000=</w:t>
            </w:r>
            <w:r>
              <w:rPr>
                <w:rFonts w:hint="eastAsia"/>
                <w:sz w:val="24"/>
                <w:szCs w:val="24"/>
              </w:rPr>
              <w:t>0.84</w:t>
            </w:r>
            <w:r>
              <w:rPr>
                <w:sz w:val="24"/>
                <w:szCs w:val="24"/>
              </w:rPr>
              <w:t>t/a。</w:t>
            </w:r>
          </w:p>
          <w:p>
            <w:pPr>
              <w:pStyle w:val="24"/>
              <w:spacing w:before="0" w:after="0" w:line="360" w:lineRule="auto"/>
              <w:ind w:firstLine="240"/>
              <w:rPr>
                <w:sz w:val="24"/>
                <w:szCs w:val="24"/>
              </w:rPr>
            </w:pPr>
            <w:r>
              <w:rPr>
                <w:sz w:val="24"/>
                <w:szCs w:val="24"/>
              </w:rPr>
              <w:t>颗粒物的产生浓度为：0.5×106/6240=80.13mg/m</w:t>
            </w:r>
            <w:r>
              <w:rPr>
                <w:sz w:val="24"/>
                <w:szCs w:val="24"/>
                <w:vertAlign w:val="superscript"/>
              </w:rPr>
              <w:t>3</w:t>
            </w:r>
            <w:r>
              <w:rPr>
                <w:sz w:val="24"/>
                <w:szCs w:val="24"/>
              </w:rPr>
              <w:t>；产生速率为：0.5×</w:t>
            </w:r>
            <w:r>
              <w:rPr>
                <w:rFonts w:hint="eastAsia"/>
                <w:sz w:val="24"/>
                <w:szCs w:val="24"/>
              </w:rPr>
              <w:t>0.3</w:t>
            </w:r>
            <w:r>
              <w:rPr>
                <w:sz w:val="24"/>
                <w:szCs w:val="24"/>
              </w:rPr>
              <w:t>=</w:t>
            </w:r>
            <w:r>
              <w:rPr>
                <w:rFonts w:hint="eastAsia"/>
                <w:sz w:val="24"/>
                <w:szCs w:val="24"/>
              </w:rPr>
              <w:t>0.15</w:t>
            </w:r>
            <w:r>
              <w:rPr>
                <w:sz w:val="24"/>
                <w:szCs w:val="24"/>
              </w:rPr>
              <w:t>kg/h，0.5×</w:t>
            </w:r>
            <w:r>
              <w:rPr>
                <w:rFonts w:hint="eastAsia"/>
                <w:sz w:val="24"/>
                <w:szCs w:val="24"/>
              </w:rPr>
              <w:t>820.8</w:t>
            </w:r>
            <w:r>
              <w:rPr>
                <w:sz w:val="24"/>
                <w:szCs w:val="24"/>
              </w:rPr>
              <w:t>/1000=</w:t>
            </w:r>
            <w:r>
              <w:rPr>
                <w:rFonts w:hint="eastAsia"/>
                <w:sz w:val="24"/>
                <w:szCs w:val="24"/>
              </w:rPr>
              <w:t>0.41</w:t>
            </w:r>
            <w:r>
              <w:rPr>
                <w:sz w:val="24"/>
                <w:szCs w:val="24"/>
              </w:rPr>
              <w:t>t/a。</w:t>
            </w:r>
          </w:p>
          <w:p>
            <w:pPr>
              <w:pStyle w:val="35"/>
              <w:spacing w:line="360" w:lineRule="auto"/>
              <w:ind w:firstLine="480" w:firstLineChars="200"/>
              <w:jc w:val="both"/>
              <w:rPr>
                <w:sz w:val="24"/>
                <w:szCs w:val="24"/>
              </w:rPr>
            </w:pPr>
            <w:r>
              <w:rPr>
                <w:sz w:val="24"/>
                <w:szCs w:val="24"/>
              </w:rPr>
              <w:t xml:space="preserve">锅炉废气产排情况详见下表： </w:t>
            </w:r>
          </w:p>
          <w:p>
            <w:pPr>
              <w:widowControl/>
              <w:spacing w:line="360" w:lineRule="auto"/>
              <w:jc w:val="center"/>
              <w:rPr>
                <w:b/>
                <w:bCs/>
                <w:sz w:val="24"/>
              </w:rPr>
            </w:pPr>
            <w:r>
              <w:rPr>
                <w:b/>
                <w:bCs/>
                <w:sz w:val="24"/>
              </w:rPr>
              <w:t>表4-1 项目锅炉废气产排情况</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983"/>
              <w:gridCol w:w="949"/>
              <w:gridCol w:w="17"/>
              <w:gridCol w:w="915"/>
              <w:gridCol w:w="775"/>
              <w:gridCol w:w="1059"/>
              <w:gridCol w:w="947"/>
              <w:gridCol w:w="116"/>
              <w:gridCol w:w="108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vAlign w:val="center"/>
                </w:tcPr>
                <w:p>
                  <w:pPr>
                    <w:pStyle w:val="35"/>
                    <w:jc w:val="center"/>
                    <w:rPr>
                      <w:b/>
                      <w:bCs/>
                      <w:sz w:val="21"/>
                      <w:szCs w:val="21"/>
                    </w:rPr>
                  </w:pPr>
                  <w:r>
                    <w:rPr>
                      <w:b/>
                      <w:bCs/>
                      <w:sz w:val="21"/>
                      <w:szCs w:val="21"/>
                    </w:rPr>
                    <w:t>产生环节</w:t>
                  </w:r>
                </w:p>
              </w:tc>
              <w:tc>
                <w:tcPr>
                  <w:tcW w:w="575" w:type="pct"/>
                  <w:vAlign w:val="center"/>
                </w:tcPr>
                <w:p>
                  <w:pPr>
                    <w:pStyle w:val="35"/>
                    <w:jc w:val="center"/>
                    <w:rPr>
                      <w:b/>
                      <w:bCs/>
                      <w:sz w:val="21"/>
                      <w:szCs w:val="21"/>
                    </w:rPr>
                  </w:pPr>
                  <w:r>
                    <w:rPr>
                      <w:b/>
                      <w:bCs/>
                      <w:sz w:val="21"/>
                      <w:szCs w:val="21"/>
                    </w:rPr>
                    <w:t>污染物</w:t>
                  </w:r>
                </w:p>
              </w:tc>
              <w:tc>
                <w:tcPr>
                  <w:tcW w:w="567" w:type="pct"/>
                  <w:gridSpan w:val="2"/>
                  <w:vAlign w:val="center"/>
                </w:tcPr>
                <w:p>
                  <w:pPr>
                    <w:widowControl/>
                    <w:jc w:val="center"/>
                    <w:rPr>
                      <w:b/>
                      <w:bCs/>
                      <w:szCs w:val="21"/>
                    </w:rPr>
                  </w:pPr>
                  <w:r>
                    <w:rPr>
                      <w:b/>
                      <w:bCs/>
                      <w:szCs w:val="21"/>
                    </w:rPr>
                    <w:t>产生浓度</w:t>
                  </w:r>
                </w:p>
                <w:p>
                  <w:pPr>
                    <w:widowControl/>
                    <w:jc w:val="center"/>
                    <w:rPr>
                      <w:b/>
                      <w:bCs/>
                      <w:szCs w:val="21"/>
                    </w:rPr>
                  </w:pPr>
                  <w:r>
                    <w:rPr>
                      <w:b/>
                      <w:bCs/>
                      <w:szCs w:val="21"/>
                    </w:rPr>
                    <w:t>mg/m</w:t>
                  </w:r>
                  <w:r>
                    <w:rPr>
                      <w:b/>
                      <w:bCs/>
                      <w:szCs w:val="21"/>
                      <w:vertAlign w:val="superscript"/>
                    </w:rPr>
                    <w:t>3</w:t>
                  </w:r>
                </w:p>
              </w:tc>
              <w:tc>
                <w:tcPr>
                  <w:tcW w:w="537" w:type="pct"/>
                  <w:vAlign w:val="center"/>
                </w:tcPr>
                <w:p>
                  <w:pPr>
                    <w:widowControl/>
                    <w:jc w:val="center"/>
                    <w:rPr>
                      <w:b/>
                      <w:bCs/>
                      <w:szCs w:val="21"/>
                    </w:rPr>
                  </w:pPr>
                  <w:r>
                    <w:rPr>
                      <w:b/>
                      <w:bCs/>
                      <w:szCs w:val="21"/>
                    </w:rPr>
                    <w:t>产生</w:t>
                  </w:r>
                </w:p>
                <w:p>
                  <w:pPr>
                    <w:widowControl/>
                    <w:jc w:val="center"/>
                    <w:rPr>
                      <w:b/>
                      <w:bCs/>
                      <w:szCs w:val="21"/>
                    </w:rPr>
                  </w:pPr>
                  <w:r>
                    <w:rPr>
                      <w:b/>
                      <w:bCs/>
                      <w:szCs w:val="21"/>
                    </w:rPr>
                    <w:t>速率 kg/h</w:t>
                  </w:r>
                </w:p>
              </w:tc>
              <w:tc>
                <w:tcPr>
                  <w:tcW w:w="454" w:type="pct"/>
                  <w:vAlign w:val="center"/>
                </w:tcPr>
                <w:p>
                  <w:pPr>
                    <w:widowControl/>
                    <w:jc w:val="center"/>
                    <w:rPr>
                      <w:b/>
                      <w:bCs/>
                      <w:szCs w:val="21"/>
                    </w:rPr>
                  </w:pPr>
                  <w:r>
                    <w:rPr>
                      <w:b/>
                      <w:bCs/>
                      <w:szCs w:val="21"/>
                    </w:rPr>
                    <w:t>处置措施</w:t>
                  </w:r>
                </w:p>
              </w:tc>
              <w:tc>
                <w:tcPr>
                  <w:tcW w:w="619" w:type="pct"/>
                  <w:vAlign w:val="center"/>
                </w:tcPr>
                <w:p>
                  <w:pPr>
                    <w:widowControl/>
                    <w:jc w:val="center"/>
                    <w:rPr>
                      <w:b/>
                      <w:bCs/>
                      <w:szCs w:val="21"/>
                    </w:rPr>
                  </w:pPr>
                  <w:r>
                    <w:rPr>
                      <w:b/>
                      <w:bCs/>
                      <w:szCs w:val="21"/>
                    </w:rPr>
                    <w:t>排放</w:t>
                  </w:r>
                </w:p>
                <w:p>
                  <w:pPr>
                    <w:widowControl/>
                    <w:jc w:val="center"/>
                    <w:rPr>
                      <w:b/>
                      <w:bCs/>
                      <w:szCs w:val="21"/>
                    </w:rPr>
                  </w:pPr>
                  <w:r>
                    <w:rPr>
                      <w:b/>
                      <w:bCs/>
                      <w:szCs w:val="21"/>
                    </w:rPr>
                    <w:t>浓度</w:t>
                  </w:r>
                </w:p>
                <w:p>
                  <w:pPr>
                    <w:widowControl/>
                    <w:jc w:val="center"/>
                    <w:rPr>
                      <w:b/>
                      <w:bCs/>
                      <w:szCs w:val="21"/>
                    </w:rPr>
                  </w:pPr>
                  <w:r>
                    <w:rPr>
                      <w:b/>
                      <w:bCs/>
                      <w:szCs w:val="21"/>
                    </w:rPr>
                    <w:t>mg/m</w:t>
                  </w:r>
                  <w:r>
                    <w:rPr>
                      <w:b/>
                      <w:bCs/>
                      <w:szCs w:val="21"/>
                      <w:vertAlign w:val="superscript"/>
                    </w:rPr>
                    <w:t>3</w:t>
                  </w:r>
                </w:p>
              </w:tc>
              <w:tc>
                <w:tcPr>
                  <w:tcW w:w="554" w:type="pct"/>
                  <w:vAlign w:val="center"/>
                </w:tcPr>
                <w:p>
                  <w:pPr>
                    <w:widowControl/>
                    <w:jc w:val="center"/>
                    <w:rPr>
                      <w:b/>
                      <w:bCs/>
                      <w:szCs w:val="21"/>
                    </w:rPr>
                  </w:pPr>
                  <w:r>
                    <w:rPr>
                      <w:b/>
                      <w:bCs/>
                      <w:szCs w:val="21"/>
                    </w:rPr>
                    <w:t>排放</w:t>
                  </w:r>
                </w:p>
                <w:p>
                  <w:pPr>
                    <w:widowControl/>
                    <w:jc w:val="center"/>
                    <w:rPr>
                      <w:b/>
                      <w:bCs/>
                      <w:szCs w:val="21"/>
                    </w:rPr>
                  </w:pPr>
                  <w:r>
                    <w:rPr>
                      <w:b/>
                      <w:bCs/>
                      <w:szCs w:val="21"/>
                    </w:rPr>
                    <w:t>速率</w:t>
                  </w:r>
                </w:p>
                <w:p>
                  <w:pPr>
                    <w:widowControl/>
                    <w:jc w:val="center"/>
                    <w:rPr>
                      <w:b/>
                      <w:bCs/>
                      <w:szCs w:val="21"/>
                    </w:rPr>
                  </w:pPr>
                  <w:r>
                    <w:rPr>
                      <w:b/>
                      <w:bCs/>
                      <w:szCs w:val="21"/>
                    </w:rPr>
                    <w:t>kg/h</w:t>
                  </w:r>
                </w:p>
              </w:tc>
              <w:tc>
                <w:tcPr>
                  <w:tcW w:w="704" w:type="pct"/>
                  <w:gridSpan w:val="2"/>
                  <w:vAlign w:val="center"/>
                </w:tcPr>
                <w:p>
                  <w:pPr>
                    <w:widowControl/>
                    <w:jc w:val="center"/>
                    <w:rPr>
                      <w:b/>
                      <w:bCs/>
                      <w:szCs w:val="21"/>
                    </w:rPr>
                  </w:pPr>
                  <w:r>
                    <w:rPr>
                      <w:b/>
                      <w:bCs/>
                      <w:szCs w:val="21"/>
                    </w:rPr>
                    <w:t>排放</w:t>
                  </w:r>
                </w:p>
                <w:p>
                  <w:pPr>
                    <w:widowControl/>
                    <w:jc w:val="center"/>
                    <w:rPr>
                      <w:b/>
                      <w:bCs/>
                      <w:szCs w:val="21"/>
                    </w:rPr>
                  </w:pPr>
                  <w:r>
                    <w:rPr>
                      <w:b/>
                      <w:bCs/>
                      <w:szCs w:val="21"/>
                    </w:rPr>
                    <w:t>量</w:t>
                  </w:r>
                </w:p>
                <w:p>
                  <w:pPr>
                    <w:widowControl/>
                    <w:jc w:val="center"/>
                    <w:rPr>
                      <w:b/>
                      <w:bCs/>
                      <w:szCs w:val="21"/>
                    </w:rPr>
                  </w:pPr>
                  <w:r>
                    <w:rPr>
                      <w:b/>
                      <w:bCs/>
                      <w:szCs w:val="21"/>
                    </w:rPr>
                    <w:t>t/a</w:t>
                  </w:r>
                </w:p>
              </w:tc>
              <w:tc>
                <w:tcPr>
                  <w:tcW w:w="412" w:type="pct"/>
                  <w:vAlign w:val="center"/>
                </w:tcPr>
                <w:p>
                  <w:pPr>
                    <w:widowControl/>
                    <w:jc w:val="center"/>
                    <w:rPr>
                      <w:b/>
                      <w:bCs/>
                      <w:szCs w:val="21"/>
                    </w:rPr>
                  </w:pPr>
                  <w:r>
                    <w:rPr>
                      <w:b/>
                      <w:bCs/>
                      <w:szCs w:val="21"/>
                    </w:rPr>
                    <w:t>标准</w:t>
                  </w:r>
                </w:p>
                <w:p>
                  <w:pPr>
                    <w:widowControl/>
                    <w:jc w:val="center"/>
                    <w:rPr>
                      <w:b/>
                      <w:bCs/>
                      <w:szCs w:val="21"/>
                    </w:rPr>
                  </w:pPr>
                  <w:r>
                    <w:rPr>
                      <w:b/>
                      <w:bCs/>
                      <w:szCs w:val="21"/>
                    </w:rPr>
                    <w:t>mg/m</w:t>
                  </w:r>
                  <w:r>
                    <w:rPr>
                      <w:b/>
                      <w:bCs/>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vMerge w:val="restart"/>
                  <w:vAlign w:val="center"/>
                </w:tcPr>
                <w:p>
                  <w:pPr>
                    <w:pStyle w:val="35"/>
                    <w:jc w:val="center"/>
                    <w:rPr>
                      <w:sz w:val="21"/>
                      <w:szCs w:val="21"/>
                    </w:rPr>
                  </w:pPr>
                  <w:r>
                    <w:rPr>
                      <w:sz w:val="21"/>
                      <w:szCs w:val="21"/>
                    </w:rPr>
                    <w:t>天然气锅炉15m</w:t>
                  </w:r>
                </w:p>
                <w:p>
                  <w:pPr>
                    <w:pStyle w:val="35"/>
                    <w:jc w:val="center"/>
                    <w:rPr>
                      <w:sz w:val="21"/>
                      <w:szCs w:val="21"/>
                    </w:rPr>
                  </w:pPr>
                  <w:r>
                    <w:rPr>
                      <w:sz w:val="21"/>
                      <w:szCs w:val="21"/>
                    </w:rPr>
                    <w:t>排气筒</w:t>
                  </w:r>
                </w:p>
              </w:tc>
              <w:tc>
                <w:tcPr>
                  <w:tcW w:w="575" w:type="pct"/>
                  <w:vAlign w:val="center"/>
                </w:tcPr>
                <w:p>
                  <w:pPr>
                    <w:pStyle w:val="35"/>
                    <w:jc w:val="center"/>
                    <w:rPr>
                      <w:sz w:val="21"/>
                      <w:szCs w:val="21"/>
                    </w:rPr>
                  </w:pPr>
                  <w:r>
                    <w:rPr>
                      <w:sz w:val="21"/>
                      <w:szCs w:val="21"/>
                    </w:rPr>
                    <w:t>废气量</w:t>
                  </w:r>
                </w:p>
              </w:tc>
              <w:tc>
                <w:tcPr>
                  <w:tcW w:w="1105" w:type="pct"/>
                  <w:gridSpan w:val="3"/>
                  <w:vAlign w:val="center"/>
                </w:tcPr>
                <w:p>
                  <w:pPr>
                    <w:widowControl/>
                    <w:jc w:val="center"/>
                    <w:rPr>
                      <w:szCs w:val="21"/>
                    </w:rPr>
                  </w:pPr>
                  <w:r>
                    <w:rPr>
                      <w:szCs w:val="21"/>
                    </w:rPr>
                    <w:t>1474.1万m</w:t>
                  </w:r>
                  <w:r>
                    <w:rPr>
                      <w:szCs w:val="21"/>
                      <w:vertAlign w:val="superscript"/>
                    </w:rPr>
                    <w:t>3</w:t>
                  </w:r>
                </w:p>
              </w:tc>
              <w:tc>
                <w:tcPr>
                  <w:tcW w:w="454" w:type="pct"/>
                  <w:vAlign w:val="center"/>
                </w:tcPr>
                <w:p>
                  <w:pPr>
                    <w:widowControl/>
                    <w:jc w:val="center"/>
                    <w:rPr>
                      <w:szCs w:val="21"/>
                    </w:rPr>
                  </w:pPr>
                  <w:r>
                    <w:rPr>
                      <w:szCs w:val="21"/>
                    </w:rPr>
                    <w:t>/</w:t>
                  </w:r>
                </w:p>
              </w:tc>
              <w:tc>
                <w:tcPr>
                  <w:tcW w:w="1877" w:type="pct"/>
                  <w:gridSpan w:val="4"/>
                  <w:vAlign w:val="center"/>
                </w:tcPr>
                <w:p>
                  <w:pPr>
                    <w:widowControl/>
                    <w:jc w:val="center"/>
                    <w:rPr>
                      <w:szCs w:val="21"/>
                    </w:rPr>
                  </w:pPr>
                  <w:r>
                    <w:rPr>
                      <w:szCs w:val="21"/>
                    </w:rPr>
                    <w:t>1474.1万m</w:t>
                  </w:r>
                  <w:r>
                    <w:rPr>
                      <w:szCs w:val="21"/>
                      <w:vertAlign w:val="superscript"/>
                    </w:rPr>
                    <w:t>3</w:t>
                  </w:r>
                </w:p>
              </w:tc>
              <w:tc>
                <w:tcPr>
                  <w:tcW w:w="412" w:type="pct"/>
                  <w:vAlign w:val="center"/>
                </w:tcPr>
                <w:p>
                  <w:pPr>
                    <w:pStyle w:val="35"/>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vMerge w:val="continue"/>
                  <w:vAlign w:val="center"/>
                </w:tcPr>
                <w:p>
                  <w:pPr>
                    <w:pStyle w:val="35"/>
                    <w:jc w:val="center"/>
                    <w:rPr>
                      <w:sz w:val="21"/>
                      <w:szCs w:val="21"/>
                    </w:rPr>
                  </w:pPr>
                </w:p>
              </w:tc>
              <w:tc>
                <w:tcPr>
                  <w:tcW w:w="575" w:type="pct"/>
                  <w:vAlign w:val="center"/>
                </w:tcPr>
                <w:p>
                  <w:pPr>
                    <w:pStyle w:val="35"/>
                    <w:jc w:val="center"/>
                    <w:rPr>
                      <w:sz w:val="21"/>
                      <w:szCs w:val="21"/>
                    </w:rPr>
                  </w:pPr>
                  <w:r>
                    <w:rPr>
                      <w:sz w:val="21"/>
                      <w:szCs w:val="21"/>
                    </w:rPr>
                    <w:t>颗粒物</w:t>
                  </w:r>
                </w:p>
              </w:tc>
              <w:tc>
                <w:tcPr>
                  <w:tcW w:w="567" w:type="pct"/>
                  <w:gridSpan w:val="2"/>
                  <w:vAlign w:val="center"/>
                </w:tcPr>
                <w:p>
                  <w:pPr>
                    <w:pStyle w:val="35"/>
                    <w:jc w:val="center"/>
                    <w:rPr>
                      <w:sz w:val="21"/>
                      <w:szCs w:val="21"/>
                    </w:rPr>
                  </w:pPr>
                  <w:r>
                    <w:rPr>
                      <w:sz w:val="21"/>
                      <w:szCs w:val="21"/>
                    </w:rPr>
                    <w:t>9.7</w:t>
                  </w:r>
                </w:p>
              </w:tc>
              <w:tc>
                <w:tcPr>
                  <w:tcW w:w="537" w:type="pct"/>
                  <w:vAlign w:val="center"/>
                </w:tcPr>
                <w:p>
                  <w:pPr>
                    <w:pStyle w:val="35"/>
                    <w:jc w:val="center"/>
                    <w:rPr>
                      <w:sz w:val="21"/>
                      <w:szCs w:val="21"/>
                    </w:rPr>
                  </w:pPr>
                  <w:r>
                    <w:rPr>
                      <w:sz w:val="21"/>
                      <w:szCs w:val="21"/>
                    </w:rPr>
                    <w:t>0.05</w:t>
                  </w:r>
                </w:p>
              </w:tc>
              <w:tc>
                <w:tcPr>
                  <w:tcW w:w="454" w:type="pct"/>
                  <w:vMerge w:val="restart"/>
                  <w:vAlign w:val="center"/>
                </w:tcPr>
                <w:p>
                  <w:pPr>
                    <w:pStyle w:val="35"/>
                    <w:jc w:val="center"/>
                    <w:rPr>
                      <w:sz w:val="21"/>
                      <w:szCs w:val="21"/>
                    </w:rPr>
                  </w:pPr>
                  <w:r>
                    <w:rPr>
                      <w:sz w:val="21"/>
                      <w:szCs w:val="21"/>
                    </w:rPr>
                    <w:t>/</w:t>
                  </w:r>
                </w:p>
              </w:tc>
              <w:tc>
                <w:tcPr>
                  <w:tcW w:w="619" w:type="pct"/>
                  <w:vAlign w:val="center"/>
                </w:tcPr>
                <w:p>
                  <w:pPr>
                    <w:pStyle w:val="35"/>
                    <w:jc w:val="center"/>
                    <w:rPr>
                      <w:sz w:val="21"/>
                      <w:szCs w:val="21"/>
                    </w:rPr>
                  </w:pPr>
                  <w:r>
                    <w:rPr>
                      <w:sz w:val="21"/>
                      <w:szCs w:val="21"/>
                    </w:rPr>
                    <w:t>9.7</w:t>
                  </w:r>
                </w:p>
              </w:tc>
              <w:tc>
                <w:tcPr>
                  <w:tcW w:w="554" w:type="pct"/>
                  <w:vAlign w:val="center"/>
                </w:tcPr>
                <w:p>
                  <w:pPr>
                    <w:pStyle w:val="35"/>
                    <w:jc w:val="center"/>
                    <w:rPr>
                      <w:sz w:val="21"/>
                      <w:szCs w:val="21"/>
                    </w:rPr>
                  </w:pPr>
                  <w:r>
                    <w:rPr>
                      <w:sz w:val="21"/>
                      <w:szCs w:val="21"/>
                    </w:rPr>
                    <w:t>0.05</w:t>
                  </w:r>
                </w:p>
              </w:tc>
              <w:tc>
                <w:tcPr>
                  <w:tcW w:w="704" w:type="pct"/>
                  <w:gridSpan w:val="2"/>
                  <w:vAlign w:val="center"/>
                </w:tcPr>
                <w:p>
                  <w:pPr>
                    <w:pStyle w:val="35"/>
                    <w:jc w:val="center"/>
                    <w:rPr>
                      <w:sz w:val="21"/>
                      <w:szCs w:val="21"/>
                    </w:rPr>
                  </w:pPr>
                  <w:r>
                    <w:rPr>
                      <w:sz w:val="21"/>
                      <w:szCs w:val="21"/>
                    </w:rPr>
                    <w:t>0.14</w:t>
                  </w:r>
                </w:p>
              </w:tc>
              <w:tc>
                <w:tcPr>
                  <w:tcW w:w="412" w:type="pct"/>
                  <w:vAlign w:val="center"/>
                </w:tcPr>
                <w:p>
                  <w:pPr>
                    <w:pStyle w:val="35"/>
                    <w:jc w:val="center"/>
                    <w:rPr>
                      <w:sz w:val="21"/>
                      <w:szCs w:val="21"/>
                    </w:rPr>
                  </w:pPr>
                  <w:r>
                    <w:rPr>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vMerge w:val="continue"/>
                  <w:vAlign w:val="center"/>
                </w:tcPr>
                <w:p>
                  <w:pPr>
                    <w:pStyle w:val="35"/>
                    <w:jc w:val="center"/>
                    <w:rPr>
                      <w:sz w:val="21"/>
                      <w:szCs w:val="21"/>
                    </w:rPr>
                  </w:pPr>
                </w:p>
              </w:tc>
              <w:tc>
                <w:tcPr>
                  <w:tcW w:w="575" w:type="pct"/>
                  <w:vAlign w:val="center"/>
                </w:tcPr>
                <w:p>
                  <w:pPr>
                    <w:pStyle w:val="35"/>
                    <w:jc w:val="center"/>
                    <w:rPr>
                      <w:sz w:val="21"/>
                      <w:szCs w:val="21"/>
                    </w:rPr>
                  </w:pPr>
                  <w:r>
                    <w:rPr>
                      <w:sz w:val="21"/>
                      <w:szCs w:val="21"/>
                    </w:rPr>
                    <w:t>SO</w:t>
                  </w:r>
                  <w:r>
                    <w:rPr>
                      <w:sz w:val="21"/>
                      <w:szCs w:val="21"/>
                      <w:vertAlign w:val="subscript"/>
                    </w:rPr>
                    <w:t>2</w:t>
                  </w:r>
                </w:p>
              </w:tc>
              <w:tc>
                <w:tcPr>
                  <w:tcW w:w="567" w:type="pct"/>
                  <w:gridSpan w:val="2"/>
                  <w:vAlign w:val="center"/>
                </w:tcPr>
                <w:p>
                  <w:pPr>
                    <w:pStyle w:val="35"/>
                    <w:jc w:val="center"/>
                    <w:rPr>
                      <w:sz w:val="21"/>
                      <w:szCs w:val="21"/>
                    </w:rPr>
                  </w:pPr>
                  <w:r>
                    <w:rPr>
                      <w:sz w:val="21"/>
                      <w:szCs w:val="21"/>
                    </w:rPr>
                    <w:t>18.6</w:t>
                  </w:r>
                </w:p>
              </w:tc>
              <w:tc>
                <w:tcPr>
                  <w:tcW w:w="537" w:type="pct"/>
                  <w:vAlign w:val="center"/>
                </w:tcPr>
                <w:p>
                  <w:pPr>
                    <w:pStyle w:val="35"/>
                    <w:jc w:val="center"/>
                    <w:rPr>
                      <w:sz w:val="21"/>
                      <w:szCs w:val="21"/>
                    </w:rPr>
                  </w:pPr>
                  <w:r>
                    <w:rPr>
                      <w:sz w:val="21"/>
                      <w:szCs w:val="21"/>
                    </w:rPr>
                    <w:t>0.1</w:t>
                  </w:r>
                </w:p>
              </w:tc>
              <w:tc>
                <w:tcPr>
                  <w:tcW w:w="454" w:type="pct"/>
                  <w:vMerge w:val="continue"/>
                  <w:vAlign w:val="center"/>
                </w:tcPr>
                <w:p>
                  <w:pPr>
                    <w:pStyle w:val="35"/>
                    <w:jc w:val="center"/>
                    <w:rPr>
                      <w:sz w:val="21"/>
                      <w:szCs w:val="21"/>
                    </w:rPr>
                  </w:pPr>
                </w:p>
              </w:tc>
              <w:tc>
                <w:tcPr>
                  <w:tcW w:w="619" w:type="pct"/>
                  <w:vAlign w:val="center"/>
                </w:tcPr>
                <w:p>
                  <w:pPr>
                    <w:pStyle w:val="35"/>
                    <w:jc w:val="center"/>
                    <w:rPr>
                      <w:sz w:val="21"/>
                      <w:szCs w:val="21"/>
                    </w:rPr>
                  </w:pPr>
                  <w:r>
                    <w:rPr>
                      <w:sz w:val="21"/>
                      <w:szCs w:val="21"/>
                    </w:rPr>
                    <w:t>18.6</w:t>
                  </w:r>
                </w:p>
              </w:tc>
              <w:tc>
                <w:tcPr>
                  <w:tcW w:w="554" w:type="pct"/>
                  <w:vAlign w:val="center"/>
                </w:tcPr>
                <w:p>
                  <w:pPr>
                    <w:pStyle w:val="35"/>
                    <w:jc w:val="center"/>
                    <w:rPr>
                      <w:sz w:val="21"/>
                      <w:szCs w:val="21"/>
                    </w:rPr>
                  </w:pPr>
                  <w:r>
                    <w:rPr>
                      <w:sz w:val="21"/>
                      <w:szCs w:val="21"/>
                    </w:rPr>
                    <w:t>0.1</w:t>
                  </w:r>
                </w:p>
              </w:tc>
              <w:tc>
                <w:tcPr>
                  <w:tcW w:w="704" w:type="pct"/>
                  <w:gridSpan w:val="2"/>
                  <w:vAlign w:val="center"/>
                </w:tcPr>
                <w:p>
                  <w:pPr>
                    <w:pStyle w:val="35"/>
                    <w:jc w:val="center"/>
                    <w:rPr>
                      <w:sz w:val="21"/>
                      <w:szCs w:val="21"/>
                    </w:rPr>
                  </w:pPr>
                  <w:r>
                    <w:rPr>
                      <w:sz w:val="21"/>
                      <w:szCs w:val="21"/>
                    </w:rPr>
                    <w:t>0.027</w:t>
                  </w:r>
                </w:p>
              </w:tc>
              <w:tc>
                <w:tcPr>
                  <w:tcW w:w="412" w:type="pct"/>
                  <w:vAlign w:val="center"/>
                </w:tcPr>
                <w:p>
                  <w:pPr>
                    <w:pStyle w:val="35"/>
                    <w:jc w:val="center"/>
                    <w:rPr>
                      <w:sz w:val="21"/>
                      <w:szCs w:val="21"/>
                    </w:rPr>
                  </w:pPr>
                  <w:r>
                    <w:rPr>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vMerge w:val="continue"/>
                  <w:vAlign w:val="center"/>
                </w:tcPr>
                <w:p>
                  <w:pPr>
                    <w:pStyle w:val="35"/>
                    <w:jc w:val="center"/>
                    <w:rPr>
                      <w:sz w:val="21"/>
                      <w:szCs w:val="21"/>
                    </w:rPr>
                  </w:pPr>
                </w:p>
              </w:tc>
              <w:tc>
                <w:tcPr>
                  <w:tcW w:w="575" w:type="pct"/>
                  <w:vAlign w:val="center"/>
                </w:tcPr>
                <w:p>
                  <w:pPr>
                    <w:pStyle w:val="35"/>
                    <w:jc w:val="center"/>
                    <w:rPr>
                      <w:sz w:val="21"/>
                      <w:szCs w:val="21"/>
                    </w:rPr>
                  </w:pPr>
                  <w:r>
                    <w:rPr>
                      <w:sz w:val="21"/>
                      <w:szCs w:val="21"/>
                    </w:rPr>
                    <w:t>NOx</w:t>
                  </w:r>
                </w:p>
              </w:tc>
              <w:tc>
                <w:tcPr>
                  <w:tcW w:w="567" w:type="pct"/>
                  <w:gridSpan w:val="2"/>
                  <w:vAlign w:val="center"/>
                </w:tcPr>
                <w:p>
                  <w:pPr>
                    <w:pStyle w:val="35"/>
                    <w:jc w:val="center"/>
                    <w:rPr>
                      <w:sz w:val="21"/>
                      <w:szCs w:val="21"/>
                    </w:rPr>
                  </w:pPr>
                  <w:r>
                    <w:rPr>
                      <w:sz w:val="21"/>
                      <w:szCs w:val="21"/>
                    </w:rPr>
                    <w:t>147.3</w:t>
                  </w:r>
                </w:p>
              </w:tc>
              <w:tc>
                <w:tcPr>
                  <w:tcW w:w="537" w:type="pct"/>
                  <w:vAlign w:val="center"/>
                </w:tcPr>
                <w:p>
                  <w:pPr>
                    <w:pStyle w:val="35"/>
                    <w:jc w:val="center"/>
                    <w:rPr>
                      <w:sz w:val="21"/>
                      <w:szCs w:val="21"/>
                    </w:rPr>
                  </w:pPr>
                  <w:r>
                    <w:rPr>
                      <w:sz w:val="21"/>
                      <w:szCs w:val="21"/>
                    </w:rPr>
                    <w:t>0.79</w:t>
                  </w:r>
                </w:p>
              </w:tc>
              <w:tc>
                <w:tcPr>
                  <w:tcW w:w="454" w:type="pct"/>
                  <w:vMerge w:val="continue"/>
                  <w:vAlign w:val="center"/>
                </w:tcPr>
                <w:p>
                  <w:pPr>
                    <w:pStyle w:val="35"/>
                    <w:jc w:val="center"/>
                    <w:rPr>
                      <w:sz w:val="21"/>
                      <w:szCs w:val="21"/>
                    </w:rPr>
                  </w:pPr>
                </w:p>
              </w:tc>
              <w:tc>
                <w:tcPr>
                  <w:tcW w:w="619" w:type="pct"/>
                  <w:vAlign w:val="center"/>
                </w:tcPr>
                <w:p>
                  <w:pPr>
                    <w:pStyle w:val="35"/>
                    <w:jc w:val="center"/>
                    <w:rPr>
                      <w:sz w:val="21"/>
                      <w:szCs w:val="21"/>
                    </w:rPr>
                  </w:pPr>
                  <w:r>
                    <w:rPr>
                      <w:sz w:val="21"/>
                      <w:szCs w:val="21"/>
                    </w:rPr>
                    <w:t>147.3</w:t>
                  </w:r>
                </w:p>
              </w:tc>
              <w:tc>
                <w:tcPr>
                  <w:tcW w:w="554" w:type="pct"/>
                  <w:vAlign w:val="center"/>
                </w:tcPr>
                <w:p>
                  <w:pPr>
                    <w:pStyle w:val="35"/>
                    <w:jc w:val="center"/>
                    <w:rPr>
                      <w:sz w:val="21"/>
                      <w:szCs w:val="21"/>
                    </w:rPr>
                  </w:pPr>
                  <w:r>
                    <w:rPr>
                      <w:sz w:val="21"/>
                      <w:szCs w:val="21"/>
                    </w:rPr>
                    <w:t>0.79</w:t>
                  </w:r>
                </w:p>
              </w:tc>
              <w:tc>
                <w:tcPr>
                  <w:tcW w:w="704" w:type="pct"/>
                  <w:gridSpan w:val="2"/>
                  <w:vAlign w:val="center"/>
                </w:tcPr>
                <w:p>
                  <w:pPr>
                    <w:pStyle w:val="35"/>
                    <w:jc w:val="center"/>
                    <w:rPr>
                      <w:sz w:val="21"/>
                      <w:szCs w:val="21"/>
                    </w:rPr>
                  </w:pPr>
                  <w:r>
                    <w:rPr>
                      <w:sz w:val="21"/>
                      <w:szCs w:val="21"/>
                    </w:rPr>
                    <w:t>2.2</w:t>
                  </w:r>
                </w:p>
              </w:tc>
              <w:tc>
                <w:tcPr>
                  <w:tcW w:w="412" w:type="pct"/>
                  <w:vAlign w:val="center"/>
                </w:tcPr>
                <w:p>
                  <w:pPr>
                    <w:pStyle w:val="35"/>
                    <w:jc w:val="center"/>
                    <w:rPr>
                      <w:sz w:val="21"/>
                      <w:szCs w:val="21"/>
                    </w:rPr>
                  </w:pPr>
                  <w:r>
                    <w:rPr>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74" w:type="pct"/>
                  <w:vMerge w:val="continue"/>
                  <w:vAlign w:val="center"/>
                </w:tcPr>
                <w:p>
                  <w:pPr>
                    <w:pStyle w:val="35"/>
                    <w:jc w:val="center"/>
                    <w:rPr>
                      <w:sz w:val="21"/>
                      <w:szCs w:val="21"/>
                    </w:rPr>
                  </w:pPr>
                </w:p>
              </w:tc>
              <w:tc>
                <w:tcPr>
                  <w:tcW w:w="575" w:type="pct"/>
                  <w:vAlign w:val="center"/>
                </w:tcPr>
                <w:p>
                  <w:pPr>
                    <w:pStyle w:val="35"/>
                    <w:jc w:val="center"/>
                    <w:rPr>
                      <w:sz w:val="21"/>
                      <w:szCs w:val="21"/>
                    </w:rPr>
                  </w:pPr>
                  <w:r>
                    <w:rPr>
                      <w:sz w:val="21"/>
                      <w:szCs w:val="21"/>
                    </w:rPr>
                    <w:t>黑度</w:t>
                  </w:r>
                </w:p>
              </w:tc>
              <w:tc>
                <w:tcPr>
                  <w:tcW w:w="1105" w:type="pct"/>
                  <w:gridSpan w:val="3"/>
                  <w:vAlign w:val="center"/>
                </w:tcPr>
                <w:p>
                  <w:pPr>
                    <w:pStyle w:val="35"/>
                    <w:jc w:val="center"/>
                    <w:rPr>
                      <w:sz w:val="21"/>
                      <w:szCs w:val="21"/>
                    </w:rPr>
                  </w:pPr>
                  <w:r>
                    <w:rPr>
                      <w:sz w:val="21"/>
                      <w:szCs w:val="21"/>
                    </w:rPr>
                    <w:t>1级</w:t>
                  </w:r>
                </w:p>
              </w:tc>
              <w:tc>
                <w:tcPr>
                  <w:tcW w:w="454" w:type="pct"/>
                  <w:vMerge w:val="continue"/>
                  <w:vAlign w:val="center"/>
                </w:tcPr>
                <w:p>
                  <w:pPr>
                    <w:pStyle w:val="35"/>
                    <w:jc w:val="center"/>
                    <w:rPr>
                      <w:sz w:val="21"/>
                      <w:szCs w:val="21"/>
                    </w:rPr>
                  </w:pPr>
                </w:p>
              </w:tc>
              <w:tc>
                <w:tcPr>
                  <w:tcW w:w="1877" w:type="pct"/>
                  <w:gridSpan w:val="4"/>
                  <w:vAlign w:val="center"/>
                </w:tcPr>
                <w:p>
                  <w:pPr>
                    <w:pStyle w:val="35"/>
                    <w:jc w:val="center"/>
                    <w:rPr>
                      <w:sz w:val="21"/>
                      <w:szCs w:val="21"/>
                    </w:rPr>
                  </w:pPr>
                  <w:r>
                    <w:rPr>
                      <w:sz w:val="21"/>
                      <w:szCs w:val="21"/>
                    </w:rPr>
                    <w:t>1级</w:t>
                  </w:r>
                </w:p>
              </w:tc>
              <w:tc>
                <w:tcPr>
                  <w:tcW w:w="412" w:type="pct"/>
                  <w:vAlign w:val="center"/>
                </w:tcPr>
                <w:p>
                  <w:pPr>
                    <w:pStyle w:val="35"/>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74" w:type="pct"/>
                  <w:vMerge w:val="restart"/>
                  <w:vAlign w:val="center"/>
                </w:tcPr>
                <w:p>
                  <w:pPr>
                    <w:pStyle w:val="35"/>
                    <w:jc w:val="center"/>
                    <w:rPr>
                      <w:sz w:val="21"/>
                      <w:szCs w:val="21"/>
                    </w:rPr>
                  </w:pPr>
                  <w:r>
                    <w:rPr>
                      <w:sz w:val="21"/>
                      <w:szCs w:val="21"/>
                    </w:rPr>
                    <w:t>生物质锅炉30m</w:t>
                  </w:r>
                </w:p>
                <w:p>
                  <w:pPr>
                    <w:pStyle w:val="35"/>
                    <w:jc w:val="center"/>
                    <w:rPr>
                      <w:sz w:val="21"/>
                      <w:szCs w:val="21"/>
                    </w:rPr>
                  </w:pPr>
                  <w:r>
                    <w:rPr>
                      <w:sz w:val="21"/>
                      <w:szCs w:val="21"/>
                    </w:rPr>
                    <w:t>排气筒</w:t>
                  </w:r>
                </w:p>
              </w:tc>
              <w:tc>
                <w:tcPr>
                  <w:tcW w:w="575" w:type="pct"/>
                  <w:vAlign w:val="center"/>
                </w:tcPr>
                <w:p>
                  <w:pPr>
                    <w:pStyle w:val="35"/>
                    <w:jc w:val="center"/>
                    <w:rPr>
                      <w:sz w:val="21"/>
                      <w:szCs w:val="21"/>
                    </w:rPr>
                  </w:pPr>
                  <w:r>
                    <w:rPr>
                      <w:sz w:val="21"/>
                      <w:szCs w:val="21"/>
                    </w:rPr>
                    <w:t>废气量</w:t>
                  </w:r>
                </w:p>
              </w:tc>
              <w:tc>
                <w:tcPr>
                  <w:tcW w:w="1105" w:type="pct"/>
                  <w:gridSpan w:val="3"/>
                  <w:vAlign w:val="center"/>
                </w:tcPr>
                <w:p>
                  <w:pPr>
                    <w:widowControl/>
                    <w:jc w:val="center"/>
                    <w:rPr>
                      <w:szCs w:val="21"/>
                    </w:rPr>
                  </w:pPr>
                  <w:r>
                    <w:rPr>
                      <w:rFonts w:hint="eastAsia"/>
                      <w:szCs w:val="21"/>
                    </w:rPr>
                    <w:t>512.18</w:t>
                  </w:r>
                  <w:r>
                    <w:rPr>
                      <w:szCs w:val="21"/>
                    </w:rPr>
                    <w:t>万m</w:t>
                  </w:r>
                  <w:r>
                    <w:rPr>
                      <w:szCs w:val="21"/>
                      <w:vertAlign w:val="superscript"/>
                    </w:rPr>
                    <w:t>3</w:t>
                  </w:r>
                </w:p>
              </w:tc>
              <w:tc>
                <w:tcPr>
                  <w:tcW w:w="454" w:type="pct"/>
                  <w:vMerge w:val="restart"/>
                  <w:vAlign w:val="center"/>
                </w:tcPr>
                <w:p>
                  <w:pPr>
                    <w:widowControl/>
                    <w:jc w:val="center"/>
                    <w:rPr>
                      <w:szCs w:val="21"/>
                    </w:rPr>
                  </w:pPr>
                  <w:r>
                    <w:rPr>
                      <w:rFonts w:hint="eastAsia"/>
                      <w:szCs w:val="21"/>
                    </w:rPr>
                    <w:t>湿式脱硫+布袋除尘</w:t>
                  </w:r>
                </w:p>
              </w:tc>
              <w:tc>
                <w:tcPr>
                  <w:tcW w:w="1877" w:type="pct"/>
                  <w:gridSpan w:val="4"/>
                  <w:vAlign w:val="center"/>
                </w:tcPr>
                <w:p>
                  <w:pPr>
                    <w:widowControl/>
                    <w:jc w:val="center"/>
                    <w:rPr>
                      <w:szCs w:val="21"/>
                    </w:rPr>
                  </w:pPr>
                  <w:r>
                    <w:rPr>
                      <w:rFonts w:hint="eastAsia"/>
                      <w:szCs w:val="21"/>
                    </w:rPr>
                    <w:t>512.18</w:t>
                  </w:r>
                  <w:r>
                    <w:rPr>
                      <w:szCs w:val="21"/>
                    </w:rPr>
                    <w:t>万m</w:t>
                  </w:r>
                  <w:r>
                    <w:rPr>
                      <w:szCs w:val="21"/>
                      <w:vertAlign w:val="superscript"/>
                    </w:rPr>
                    <w:t>3</w:t>
                  </w:r>
                </w:p>
              </w:tc>
              <w:tc>
                <w:tcPr>
                  <w:tcW w:w="412" w:type="pct"/>
                  <w:vAlign w:val="center"/>
                </w:tcPr>
                <w:p>
                  <w:pPr>
                    <w:pStyle w:val="35"/>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74" w:type="pct"/>
                  <w:vMerge w:val="continue"/>
                  <w:vAlign w:val="center"/>
                </w:tcPr>
                <w:p>
                  <w:pPr>
                    <w:pStyle w:val="35"/>
                    <w:jc w:val="center"/>
                    <w:rPr>
                      <w:sz w:val="21"/>
                      <w:szCs w:val="21"/>
                    </w:rPr>
                  </w:pPr>
                </w:p>
              </w:tc>
              <w:tc>
                <w:tcPr>
                  <w:tcW w:w="575" w:type="pct"/>
                  <w:vAlign w:val="center"/>
                </w:tcPr>
                <w:p>
                  <w:pPr>
                    <w:pStyle w:val="35"/>
                    <w:jc w:val="center"/>
                    <w:rPr>
                      <w:sz w:val="21"/>
                      <w:szCs w:val="21"/>
                    </w:rPr>
                  </w:pPr>
                  <w:r>
                    <w:rPr>
                      <w:sz w:val="21"/>
                      <w:szCs w:val="21"/>
                    </w:rPr>
                    <w:t>颗粒物</w:t>
                  </w:r>
                </w:p>
              </w:tc>
              <w:tc>
                <w:tcPr>
                  <w:tcW w:w="555" w:type="pct"/>
                  <w:vAlign w:val="center"/>
                </w:tcPr>
                <w:p>
                  <w:pPr>
                    <w:pStyle w:val="35"/>
                    <w:jc w:val="center"/>
                    <w:rPr>
                      <w:sz w:val="21"/>
                      <w:szCs w:val="21"/>
                    </w:rPr>
                  </w:pPr>
                  <w:r>
                    <w:rPr>
                      <w:sz w:val="21"/>
                      <w:szCs w:val="21"/>
                    </w:rPr>
                    <w:t>80.13</w:t>
                  </w:r>
                </w:p>
              </w:tc>
              <w:tc>
                <w:tcPr>
                  <w:tcW w:w="550" w:type="pct"/>
                  <w:gridSpan w:val="2"/>
                  <w:vAlign w:val="center"/>
                </w:tcPr>
                <w:p>
                  <w:pPr>
                    <w:pStyle w:val="35"/>
                    <w:jc w:val="center"/>
                    <w:rPr>
                      <w:sz w:val="21"/>
                      <w:szCs w:val="21"/>
                    </w:rPr>
                  </w:pPr>
                  <w:r>
                    <w:rPr>
                      <w:sz w:val="21"/>
                      <w:szCs w:val="21"/>
                    </w:rPr>
                    <w:t>0.</w:t>
                  </w:r>
                  <w:r>
                    <w:rPr>
                      <w:rFonts w:hint="eastAsia"/>
                      <w:sz w:val="21"/>
                      <w:szCs w:val="21"/>
                    </w:rPr>
                    <w:t>15</w:t>
                  </w:r>
                </w:p>
              </w:tc>
              <w:tc>
                <w:tcPr>
                  <w:tcW w:w="454" w:type="pct"/>
                  <w:vMerge w:val="continue"/>
                  <w:vAlign w:val="center"/>
                </w:tcPr>
                <w:p>
                  <w:pPr>
                    <w:pStyle w:val="35"/>
                    <w:jc w:val="center"/>
                    <w:rPr>
                      <w:sz w:val="21"/>
                      <w:szCs w:val="21"/>
                    </w:rPr>
                  </w:pPr>
                </w:p>
              </w:tc>
              <w:tc>
                <w:tcPr>
                  <w:tcW w:w="619" w:type="pct"/>
                  <w:vAlign w:val="center"/>
                </w:tcPr>
                <w:p>
                  <w:pPr>
                    <w:pStyle w:val="35"/>
                    <w:jc w:val="center"/>
                    <w:rPr>
                      <w:sz w:val="21"/>
                      <w:szCs w:val="21"/>
                    </w:rPr>
                  </w:pPr>
                  <w:r>
                    <w:rPr>
                      <w:sz w:val="21"/>
                      <w:szCs w:val="21"/>
                    </w:rPr>
                    <w:t>0.8</w:t>
                  </w:r>
                </w:p>
              </w:tc>
              <w:tc>
                <w:tcPr>
                  <w:tcW w:w="626" w:type="pct"/>
                  <w:gridSpan w:val="2"/>
                  <w:vAlign w:val="center"/>
                </w:tcPr>
                <w:p>
                  <w:pPr>
                    <w:pStyle w:val="35"/>
                    <w:jc w:val="center"/>
                    <w:rPr>
                      <w:sz w:val="21"/>
                      <w:szCs w:val="21"/>
                    </w:rPr>
                  </w:pPr>
                  <w:r>
                    <w:rPr>
                      <w:sz w:val="21"/>
                      <w:szCs w:val="21"/>
                    </w:rPr>
                    <w:t>0.02</w:t>
                  </w:r>
                </w:p>
              </w:tc>
              <w:tc>
                <w:tcPr>
                  <w:tcW w:w="632" w:type="pct"/>
                  <w:vAlign w:val="center"/>
                </w:tcPr>
                <w:p>
                  <w:pPr>
                    <w:pStyle w:val="35"/>
                    <w:jc w:val="center"/>
                    <w:rPr>
                      <w:sz w:val="21"/>
                      <w:szCs w:val="21"/>
                    </w:rPr>
                  </w:pPr>
                  <w:r>
                    <w:rPr>
                      <w:sz w:val="21"/>
                      <w:szCs w:val="21"/>
                    </w:rPr>
                    <w:t>0.00</w:t>
                  </w:r>
                  <w:r>
                    <w:rPr>
                      <w:rFonts w:hint="eastAsia"/>
                      <w:sz w:val="21"/>
                      <w:szCs w:val="21"/>
                    </w:rPr>
                    <w:t>1</w:t>
                  </w:r>
                </w:p>
              </w:tc>
              <w:tc>
                <w:tcPr>
                  <w:tcW w:w="412" w:type="pct"/>
                  <w:vAlign w:val="center"/>
                </w:tcPr>
                <w:p>
                  <w:pPr>
                    <w:pStyle w:val="35"/>
                    <w:jc w:val="center"/>
                    <w:rPr>
                      <w:sz w:val="21"/>
                      <w:szCs w:val="21"/>
                    </w:rPr>
                  </w:pPr>
                  <w:r>
                    <w:rPr>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74" w:type="pct"/>
                  <w:vMerge w:val="continue"/>
                  <w:vAlign w:val="center"/>
                </w:tcPr>
                <w:p>
                  <w:pPr>
                    <w:pStyle w:val="35"/>
                    <w:jc w:val="center"/>
                    <w:rPr>
                      <w:sz w:val="21"/>
                      <w:szCs w:val="21"/>
                    </w:rPr>
                  </w:pPr>
                </w:p>
              </w:tc>
              <w:tc>
                <w:tcPr>
                  <w:tcW w:w="575" w:type="pct"/>
                  <w:vAlign w:val="center"/>
                </w:tcPr>
                <w:p>
                  <w:pPr>
                    <w:pStyle w:val="35"/>
                    <w:jc w:val="center"/>
                    <w:rPr>
                      <w:sz w:val="21"/>
                      <w:szCs w:val="21"/>
                    </w:rPr>
                  </w:pPr>
                  <w:r>
                    <w:rPr>
                      <w:sz w:val="21"/>
                      <w:szCs w:val="21"/>
                    </w:rPr>
                    <w:t>SO</w:t>
                  </w:r>
                  <w:r>
                    <w:rPr>
                      <w:sz w:val="21"/>
                      <w:szCs w:val="21"/>
                      <w:vertAlign w:val="subscript"/>
                    </w:rPr>
                    <w:t>2</w:t>
                  </w:r>
                </w:p>
              </w:tc>
              <w:tc>
                <w:tcPr>
                  <w:tcW w:w="555" w:type="pct"/>
                  <w:vAlign w:val="center"/>
                </w:tcPr>
                <w:p>
                  <w:pPr>
                    <w:pStyle w:val="35"/>
                    <w:jc w:val="center"/>
                    <w:rPr>
                      <w:sz w:val="21"/>
                      <w:szCs w:val="21"/>
                    </w:rPr>
                  </w:pPr>
                  <w:r>
                    <w:rPr>
                      <w:sz w:val="21"/>
                      <w:szCs w:val="21"/>
                    </w:rPr>
                    <w:t>108.97</w:t>
                  </w:r>
                </w:p>
              </w:tc>
              <w:tc>
                <w:tcPr>
                  <w:tcW w:w="550" w:type="pct"/>
                  <w:gridSpan w:val="2"/>
                  <w:vAlign w:val="center"/>
                </w:tcPr>
                <w:p>
                  <w:pPr>
                    <w:pStyle w:val="35"/>
                    <w:jc w:val="center"/>
                    <w:rPr>
                      <w:sz w:val="21"/>
                      <w:szCs w:val="21"/>
                    </w:rPr>
                  </w:pPr>
                  <w:r>
                    <w:rPr>
                      <w:rFonts w:hint="eastAsia"/>
                      <w:sz w:val="21"/>
                      <w:szCs w:val="21"/>
                    </w:rPr>
                    <w:t>0.2</w:t>
                  </w:r>
                </w:p>
              </w:tc>
              <w:tc>
                <w:tcPr>
                  <w:tcW w:w="454" w:type="pct"/>
                  <w:vMerge w:val="continue"/>
                  <w:vAlign w:val="center"/>
                </w:tcPr>
                <w:p>
                  <w:pPr>
                    <w:pStyle w:val="35"/>
                    <w:jc w:val="center"/>
                    <w:rPr>
                      <w:sz w:val="21"/>
                      <w:szCs w:val="21"/>
                    </w:rPr>
                  </w:pPr>
                </w:p>
              </w:tc>
              <w:tc>
                <w:tcPr>
                  <w:tcW w:w="619" w:type="pct"/>
                  <w:vAlign w:val="center"/>
                </w:tcPr>
                <w:p>
                  <w:pPr>
                    <w:pStyle w:val="35"/>
                    <w:jc w:val="center"/>
                    <w:rPr>
                      <w:sz w:val="21"/>
                      <w:szCs w:val="21"/>
                    </w:rPr>
                  </w:pPr>
                  <w:r>
                    <w:rPr>
                      <w:sz w:val="21"/>
                      <w:szCs w:val="21"/>
                    </w:rPr>
                    <w:t>21.79</w:t>
                  </w:r>
                </w:p>
              </w:tc>
              <w:tc>
                <w:tcPr>
                  <w:tcW w:w="626" w:type="pct"/>
                  <w:gridSpan w:val="2"/>
                  <w:vAlign w:val="center"/>
                </w:tcPr>
                <w:p>
                  <w:pPr>
                    <w:pStyle w:val="35"/>
                    <w:jc w:val="center"/>
                    <w:rPr>
                      <w:sz w:val="21"/>
                      <w:szCs w:val="21"/>
                    </w:rPr>
                  </w:pPr>
                  <w:r>
                    <w:rPr>
                      <w:sz w:val="21"/>
                      <w:szCs w:val="21"/>
                    </w:rPr>
                    <w:t>0.03</w:t>
                  </w:r>
                </w:p>
              </w:tc>
              <w:tc>
                <w:tcPr>
                  <w:tcW w:w="632" w:type="pct"/>
                  <w:vAlign w:val="center"/>
                </w:tcPr>
                <w:p>
                  <w:pPr>
                    <w:pStyle w:val="35"/>
                    <w:jc w:val="center"/>
                    <w:rPr>
                      <w:sz w:val="21"/>
                      <w:szCs w:val="21"/>
                    </w:rPr>
                  </w:pPr>
                  <w:r>
                    <w:rPr>
                      <w:rFonts w:hint="eastAsia"/>
                      <w:sz w:val="21"/>
                      <w:szCs w:val="21"/>
                    </w:rPr>
                    <w:t>0.56</w:t>
                  </w:r>
                </w:p>
              </w:tc>
              <w:tc>
                <w:tcPr>
                  <w:tcW w:w="412" w:type="pct"/>
                  <w:vAlign w:val="center"/>
                </w:tcPr>
                <w:p>
                  <w:pPr>
                    <w:pStyle w:val="35"/>
                    <w:jc w:val="center"/>
                    <w:rPr>
                      <w:sz w:val="21"/>
                      <w:szCs w:val="21"/>
                    </w:rPr>
                  </w:pPr>
                  <w:r>
                    <w:rPr>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74" w:type="pct"/>
                  <w:vMerge w:val="continue"/>
                  <w:vAlign w:val="center"/>
                </w:tcPr>
                <w:p>
                  <w:pPr>
                    <w:pStyle w:val="35"/>
                    <w:jc w:val="center"/>
                    <w:rPr>
                      <w:sz w:val="21"/>
                      <w:szCs w:val="21"/>
                    </w:rPr>
                  </w:pPr>
                </w:p>
              </w:tc>
              <w:tc>
                <w:tcPr>
                  <w:tcW w:w="575" w:type="pct"/>
                  <w:vAlign w:val="center"/>
                </w:tcPr>
                <w:p>
                  <w:pPr>
                    <w:pStyle w:val="35"/>
                    <w:jc w:val="center"/>
                    <w:rPr>
                      <w:sz w:val="21"/>
                      <w:szCs w:val="21"/>
                    </w:rPr>
                  </w:pPr>
                  <w:r>
                    <w:rPr>
                      <w:sz w:val="21"/>
                      <w:szCs w:val="21"/>
                    </w:rPr>
                    <w:t>NOx</w:t>
                  </w:r>
                </w:p>
              </w:tc>
              <w:tc>
                <w:tcPr>
                  <w:tcW w:w="555" w:type="pct"/>
                  <w:vAlign w:val="center"/>
                </w:tcPr>
                <w:p>
                  <w:pPr>
                    <w:pStyle w:val="35"/>
                    <w:jc w:val="center"/>
                    <w:rPr>
                      <w:sz w:val="21"/>
                      <w:szCs w:val="21"/>
                    </w:rPr>
                  </w:pPr>
                  <w:r>
                    <w:rPr>
                      <w:sz w:val="21"/>
                      <w:szCs w:val="21"/>
                    </w:rPr>
                    <w:t>163.46</w:t>
                  </w:r>
                </w:p>
              </w:tc>
              <w:tc>
                <w:tcPr>
                  <w:tcW w:w="550" w:type="pct"/>
                  <w:gridSpan w:val="2"/>
                  <w:vAlign w:val="center"/>
                </w:tcPr>
                <w:p>
                  <w:pPr>
                    <w:pStyle w:val="35"/>
                    <w:jc w:val="center"/>
                    <w:rPr>
                      <w:sz w:val="21"/>
                      <w:szCs w:val="21"/>
                    </w:rPr>
                  </w:pPr>
                  <w:r>
                    <w:rPr>
                      <w:rFonts w:hint="eastAsia"/>
                      <w:sz w:val="21"/>
                      <w:szCs w:val="21"/>
                    </w:rPr>
                    <w:t>0.31</w:t>
                  </w:r>
                </w:p>
              </w:tc>
              <w:tc>
                <w:tcPr>
                  <w:tcW w:w="454" w:type="pct"/>
                  <w:vMerge w:val="continue"/>
                  <w:vAlign w:val="center"/>
                </w:tcPr>
                <w:p>
                  <w:pPr>
                    <w:pStyle w:val="35"/>
                    <w:jc w:val="center"/>
                    <w:rPr>
                      <w:sz w:val="21"/>
                      <w:szCs w:val="21"/>
                    </w:rPr>
                  </w:pPr>
                </w:p>
              </w:tc>
              <w:tc>
                <w:tcPr>
                  <w:tcW w:w="619" w:type="pct"/>
                  <w:vAlign w:val="center"/>
                </w:tcPr>
                <w:p>
                  <w:pPr>
                    <w:pStyle w:val="35"/>
                    <w:jc w:val="center"/>
                    <w:rPr>
                      <w:sz w:val="21"/>
                      <w:szCs w:val="21"/>
                    </w:rPr>
                  </w:pPr>
                  <w:r>
                    <w:rPr>
                      <w:sz w:val="21"/>
                      <w:szCs w:val="21"/>
                    </w:rPr>
                    <w:t>163.46</w:t>
                  </w:r>
                </w:p>
              </w:tc>
              <w:tc>
                <w:tcPr>
                  <w:tcW w:w="626" w:type="pct"/>
                  <w:gridSpan w:val="2"/>
                  <w:vAlign w:val="center"/>
                </w:tcPr>
                <w:p>
                  <w:pPr>
                    <w:pStyle w:val="35"/>
                    <w:jc w:val="center"/>
                    <w:rPr>
                      <w:sz w:val="21"/>
                      <w:szCs w:val="21"/>
                    </w:rPr>
                  </w:pPr>
                  <w:r>
                    <w:rPr>
                      <w:rFonts w:hint="eastAsia"/>
                      <w:sz w:val="21"/>
                      <w:szCs w:val="21"/>
                    </w:rPr>
                    <w:t>0.31</w:t>
                  </w:r>
                </w:p>
              </w:tc>
              <w:tc>
                <w:tcPr>
                  <w:tcW w:w="632" w:type="pct"/>
                  <w:vAlign w:val="center"/>
                </w:tcPr>
                <w:p>
                  <w:pPr>
                    <w:pStyle w:val="35"/>
                    <w:jc w:val="center"/>
                    <w:rPr>
                      <w:sz w:val="21"/>
                      <w:szCs w:val="21"/>
                    </w:rPr>
                  </w:pPr>
                  <w:r>
                    <w:rPr>
                      <w:sz w:val="21"/>
                      <w:szCs w:val="21"/>
                    </w:rPr>
                    <w:t>0.</w:t>
                  </w:r>
                  <w:r>
                    <w:rPr>
                      <w:rFonts w:hint="eastAsia"/>
                      <w:sz w:val="21"/>
                      <w:szCs w:val="21"/>
                    </w:rPr>
                    <w:t>84</w:t>
                  </w:r>
                </w:p>
              </w:tc>
              <w:tc>
                <w:tcPr>
                  <w:tcW w:w="412" w:type="pct"/>
                  <w:vAlign w:val="center"/>
                </w:tcPr>
                <w:p>
                  <w:pPr>
                    <w:pStyle w:val="35"/>
                    <w:jc w:val="center"/>
                    <w:rPr>
                      <w:sz w:val="21"/>
                      <w:szCs w:val="21"/>
                    </w:rPr>
                  </w:pPr>
                  <w:r>
                    <w:rPr>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74" w:type="pct"/>
                  <w:vMerge w:val="continue"/>
                  <w:vAlign w:val="center"/>
                </w:tcPr>
                <w:p>
                  <w:pPr>
                    <w:pStyle w:val="35"/>
                    <w:jc w:val="center"/>
                    <w:rPr>
                      <w:sz w:val="21"/>
                      <w:szCs w:val="21"/>
                    </w:rPr>
                  </w:pPr>
                </w:p>
              </w:tc>
              <w:tc>
                <w:tcPr>
                  <w:tcW w:w="575" w:type="pct"/>
                  <w:vAlign w:val="center"/>
                </w:tcPr>
                <w:p>
                  <w:pPr>
                    <w:pStyle w:val="35"/>
                    <w:jc w:val="center"/>
                    <w:rPr>
                      <w:sz w:val="21"/>
                      <w:szCs w:val="21"/>
                    </w:rPr>
                  </w:pPr>
                  <w:r>
                    <w:rPr>
                      <w:sz w:val="21"/>
                      <w:szCs w:val="21"/>
                    </w:rPr>
                    <w:t>黑度</w:t>
                  </w:r>
                </w:p>
              </w:tc>
              <w:tc>
                <w:tcPr>
                  <w:tcW w:w="1105" w:type="pct"/>
                  <w:gridSpan w:val="3"/>
                  <w:vAlign w:val="center"/>
                </w:tcPr>
                <w:p>
                  <w:pPr>
                    <w:pStyle w:val="35"/>
                    <w:jc w:val="center"/>
                    <w:rPr>
                      <w:sz w:val="21"/>
                      <w:szCs w:val="21"/>
                    </w:rPr>
                  </w:pPr>
                  <w:r>
                    <w:rPr>
                      <w:sz w:val="21"/>
                      <w:szCs w:val="21"/>
                    </w:rPr>
                    <w:t>1级</w:t>
                  </w:r>
                </w:p>
              </w:tc>
              <w:tc>
                <w:tcPr>
                  <w:tcW w:w="454" w:type="pct"/>
                  <w:vMerge w:val="continue"/>
                  <w:vAlign w:val="center"/>
                </w:tcPr>
                <w:p>
                  <w:pPr>
                    <w:pStyle w:val="35"/>
                    <w:jc w:val="center"/>
                    <w:rPr>
                      <w:sz w:val="21"/>
                      <w:szCs w:val="21"/>
                    </w:rPr>
                  </w:pPr>
                </w:p>
              </w:tc>
              <w:tc>
                <w:tcPr>
                  <w:tcW w:w="1877" w:type="pct"/>
                  <w:gridSpan w:val="4"/>
                  <w:vAlign w:val="center"/>
                </w:tcPr>
                <w:p>
                  <w:pPr>
                    <w:pStyle w:val="35"/>
                    <w:jc w:val="center"/>
                    <w:rPr>
                      <w:sz w:val="21"/>
                      <w:szCs w:val="21"/>
                    </w:rPr>
                  </w:pPr>
                  <w:r>
                    <w:rPr>
                      <w:sz w:val="21"/>
                      <w:szCs w:val="21"/>
                    </w:rPr>
                    <w:t>1级</w:t>
                  </w:r>
                </w:p>
              </w:tc>
              <w:tc>
                <w:tcPr>
                  <w:tcW w:w="412" w:type="pct"/>
                  <w:vAlign w:val="center"/>
                </w:tcPr>
                <w:p>
                  <w:pPr>
                    <w:pStyle w:val="35"/>
                    <w:jc w:val="center"/>
                    <w:rPr>
                      <w:sz w:val="21"/>
                      <w:szCs w:val="21"/>
                    </w:rPr>
                  </w:pPr>
                  <w:r>
                    <w:rPr>
                      <w:sz w:val="21"/>
                      <w:szCs w:val="21"/>
                    </w:rPr>
                    <w:t>1级</w:t>
                  </w:r>
                </w:p>
              </w:tc>
            </w:tr>
          </w:tbl>
          <w:p>
            <w:pPr>
              <w:spacing w:line="360" w:lineRule="auto"/>
              <w:ind w:firstLine="480" w:firstLineChars="200"/>
            </w:pPr>
            <w:r>
              <w:rPr>
                <w:sz w:val="24"/>
              </w:rPr>
              <w:t>1）天然气锅炉项目通过1根15m高排气筒排放，锅炉废气排放浓度满足《锅炉大气污染物排放标准》（GB13271-2014）中燃气锅炉要求。</w:t>
            </w:r>
          </w:p>
          <w:p>
            <w:pPr>
              <w:spacing w:line="360" w:lineRule="auto"/>
              <w:ind w:firstLine="480" w:firstLineChars="200"/>
              <w:rPr>
                <w:sz w:val="24"/>
              </w:rPr>
            </w:pPr>
            <w:r>
              <w:rPr>
                <w:sz w:val="24"/>
              </w:rPr>
              <w:t>2）根据《</w:t>
            </w:r>
            <w:r>
              <w:rPr>
                <w:kern w:val="0"/>
                <w:sz w:val="24"/>
              </w:rPr>
              <w:t>排放源统计调查产排污核算方法和系数手册</w:t>
            </w:r>
            <w:r>
              <w:rPr>
                <w:sz w:val="24"/>
              </w:rPr>
              <w:t>》，生物质锅炉项目设置</w:t>
            </w:r>
            <w:r>
              <w:rPr>
                <w:rFonts w:hint="eastAsia"/>
                <w:sz w:val="24"/>
              </w:rPr>
              <w:t>湿式脱硫和</w:t>
            </w:r>
            <w:r>
              <w:rPr>
                <w:sz w:val="24"/>
              </w:rPr>
              <w:t>一台除尘效率为99%布袋除尘器，通过1根30m高排气筒排放。本项目锅炉废气排放浓度满足《锅炉大气污染物排放标准》（GB13271-2014）中燃煤锅炉要求（生物质锅炉参照燃煤锅炉标准）。</w:t>
            </w:r>
          </w:p>
          <w:p>
            <w:pPr>
              <w:pStyle w:val="35"/>
              <w:spacing w:line="360" w:lineRule="auto"/>
              <w:ind w:firstLine="480" w:firstLineChars="200"/>
              <w:jc w:val="both"/>
              <w:rPr>
                <w:sz w:val="24"/>
                <w:szCs w:val="24"/>
              </w:rPr>
            </w:pPr>
            <w:r>
              <w:rPr>
                <w:sz w:val="24"/>
                <w:szCs w:val="24"/>
              </w:rPr>
              <w:t>本项目锅炉烟气经除尘处理后，锅炉废气排放浓度满足《锅炉大气污染物排放标准》（GB13271-2014）表3-11中燃煤锅炉、燃气锅炉要求。</w:t>
            </w:r>
          </w:p>
          <w:p>
            <w:pPr>
              <w:pStyle w:val="35"/>
              <w:spacing w:line="360" w:lineRule="auto"/>
              <w:ind w:firstLine="480" w:firstLineChars="200"/>
              <w:jc w:val="both"/>
              <w:rPr>
                <w:b/>
                <w:bCs/>
                <w:sz w:val="24"/>
                <w:szCs w:val="24"/>
              </w:rPr>
            </w:pPr>
            <w:r>
              <w:rPr>
                <w:b/>
                <w:bCs/>
                <w:sz w:val="24"/>
                <w:szCs w:val="24"/>
              </w:rPr>
              <w:t>③食堂油烟</w:t>
            </w:r>
          </w:p>
          <w:p>
            <w:pPr>
              <w:pStyle w:val="35"/>
              <w:spacing w:line="360" w:lineRule="auto"/>
              <w:ind w:firstLine="480" w:firstLineChars="200"/>
              <w:jc w:val="both"/>
              <w:rPr>
                <w:sz w:val="24"/>
                <w:szCs w:val="24"/>
              </w:rPr>
            </w:pPr>
            <w:r>
              <w:rPr>
                <w:sz w:val="24"/>
                <w:szCs w:val="24"/>
              </w:rPr>
              <w:t>项目全年在厂区用餐人数为35人，食堂设置1个灶台，热源为电，属于清洁能源。因此，食堂产生的废气主要为烹饪油烟废气，根据类比调查，每人每日消耗动植物油以0.01kg/d 计，在烹饪时挥发损失约3%，则消耗食用油 0.35kg/d，产生废气含油量约10.5g/d。食堂按1个基准灶头计算，每天运营时间为2h，则该项目油烟排放量为5.25g/h，抽油烟机排风量为 1200m</w:t>
            </w:r>
            <w:r>
              <w:rPr>
                <w:sz w:val="24"/>
                <w:szCs w:val="24"/>
                <w:vertAlign w:val="superscript"/>
              </w:rPr>
              <w:t>3</w:t>
            </w:r>
            <w:r>
              <w:rPr>
                <w:sz w:val="24"/>
                <w:szCs w:val="24"/>
              </w:rPr>
              <w:t xml:space="preserve"> /h，油烟浓度（未处理前）为4.375mg/m</w:t>
            </w:r>
            <w:r>
              <w:rPr>
                <w:sz w:val="24"/>
                <w:szCs w:val="24"/>
                <w:vertAlign w:val="superscript"/>
              </w:rPr>
              <w:t>3</w:t>
            </w:r>
            <w:r>
              <w:rPr>
                <w:sz w:val="24"/>
                <w:szCs w:val="24"/>
              </w:rPr>
              <w:t>，安装高效油烟净化器1套，净化效率不低于60%，处理后的油烟浓度为1.75mg/m</w:t>
            </w:r>
            <w:r>
              <w:rPr>
                <w:sz w:val="24"/>
                <w:szCs w:val="24"/>
                <w:vertAlign w:val="superscript"/>
              </w:rPr>
              <w:t>3</w:t>
            </w:r>
            <w:r>
              <w:rPr>
                <w:sz w:val="24"/>
                <w:szCs w:val="24"/>
              </w:rPr>
              <w:t xml:space="preserve">，通过食堂专用烟道引至楼顶排放，符合《饮食业油烟排放标准（试行）》（GB18483-2001）小型标准要求，对大气环境影响较小。 </w:t>
            </w:r>
          </w:p>
          <w:p>
            <w:pPr>
              <w:pStyle w:val="35"/>
              <w:spacing w:line="360" w:lineRule="auto"/>
              <w:ind w:firstLine="480" w:firstLineChars="200"/>
              <w:jc w:val="both"/>
              <w:rPr>
                <w:b/>
                <w:bCs/>
                <w:sz w:val="24"/>
                <w:szCs w:val="24"/>
              </w:rPr>
            </w:pPr>
            <w:r>
              <w:rPr>
                <w:b/>
                <w:bCs/>
                <w:sz w:val="24"/>
                <w:szCs w:val="24"/>
              </w:rPr>
              <w:t>③使用农药产生的异味（G3）</w:t>
            </w:r>
          </w:p>
          <w:p>
            <w:pPr>
              <w:pStyle w:val="35"/>
              <w:spacing w:line="360" w:lineRule="auto"/>
              <w:ind w:firstLine="480" w:firstLineChars="200"/>
              <w:jc w:val="both"/>
              <w:rPr>
                <w:sz w:val="24"/>
                <w:szCs w:val="24"/>
              </w:rPr>
            </w:pPr>
            <w:r>
              <w:rPr>
                <w:sz w:val="24"/>
                <w:szCs w:val="24"/>
              </w:rPr>
              <w:t>项目进行病虫害防治时，会使用一些轻度农药百草枯进行杀虫，符合《农药管理条例》，此农药都是风光分解和低残留药物，且农药使用量较小。对周边环境影响较小。</w:t>
            </w:r>
          </w:p>
          <w:p>
            <w:pPr>
              <w:pStyle w:val="13"/>
              <w:spacing w:line="360" w:lineRule="auto"/>
              <w:ind w:firstLine="480" w:firstLineChars="200"/>
              <w:rPr>
                <w:rFonts w:ascii="Times New Roman" w:hAnsi="Times New Roman"/>
                <w:b/>
                <w:bCs/>
                <w:sz w:val="24"/>
              </w:rPr>
            </w:pPr>
            <w:r>
              <w:rPr>
                <w:rFonts w:ascii="Times New Roman" w:hAnsi="Times New Roman"/>
                <w:b/>
                <w:bCs/>
                <w:sz w:val="24"/>
              </w:rPr>
              <w:t>④极少量制冷剂（G4）</w:t>
            </w:r>
          </w:p>
          <w:p>
            <w:pPr>
              <w:pStyle w:val="35"/>
              <w:spacing w:line="360" w:lineRule="auto"/>
              <w:ind w:firstLine="480" w:firstLineChars="200"/>
              <w:jc w:val="both"/>
              <w:rPr>
                <w:sz w:val="24"/>
                <w:szCs w:val="24"/>
              </w:rPr>
            </w:pPr>
            <w:r>
              <w:rPr>
                <w:sz w:val="24"/>
                <w:szCs w:val="24"/>
              </w:rPr>
              <w:t>本项目制冷剂采用三氟乙烷R404A，制冷设备采用上进下出的方式制冷剂循环使用。制冷剂输送采用管道输送方式，密闭性较好，但与管道连接处、膨胀阀等连接处都会有极少量的制冷剂泄漏，无组织排放。由于冷库使用时间较少，制冷剂泄漏量极小，对周边环境影响较小。</w:t>
            </w:r>
          </w:p>
          <w:p>
            <w:pPr>
              <w:pStyle w:val="35"/>
              <w:spacing w:line="360" w:lineRule="auto"/>
              <w:ind w:left="480"/>
              <w:rPr>
                <w:b/>
                <w:bCs/>
                <w:sz w:val="24"/>
                <w:szCs w:val="24"/>
              </w:rPr>
            </w:pPr>
            <w:r>
              <w:rPr>
                <w:b/>
                <w:bCs/>
                <w:sz w:val="24"/>
                <w:szCs w:val="24"/>
              </w:rPr>
              <w:t>（2）废气污染防治措施</w:t>
            </w:r>
          </w:p>
          <w:p>
            <w:pPr>
              <w:spacing w:line="360" w:lineRule="auto"/>
              <w:ind w:firstLine="480" w:firstLineChars="200"/>
              <w:rPr>
                <w:sz w:val="24"/>
              </w:rPr>
            </w:pPr>
            <w:r>
              <w:rPr>
                <w:sz w:val="24"/>
              </w:rPr>
              <w:t>改进燃气锅炉的通风设备。充足的空气可以保证天然气的充分燃烧，从而避免天然气燃烧可能出现的不完全燃烧。</w:t>
            </w:r>
          </w:p>
          <w:p>
            <w:pPr>
              <w:spacing w:line="360" w:lineRule="auto"/>
              <w:ind w:firstLine="480" w:firstLineChars="200"/>
              <w:rPr>
                <w:sz w:val="24"/>
              </w:rPr>
            </w:pPr>
            <w:r>
              <w:rPr>
                <w:sz w:val="24"/>
              </w:rPr>
              <w:t>输送制冷剂的管道应采用较好的密封方式。</w:t>
            </w:r>
          </w:p>
          <w:p>
            <w:pPr>
              <w:spacing w:line="360" w:lineRule="auto"/>
              <w:ind w:firstLine="480" w:firstLineChars="200"/>
              <w:rPr>
                <w:sz w:val="24"/>
              </w:rPr>
            </w:pPr>
            <w:r>
              <w:rPr>
                <w:sz w:val="24"/>
              </w:rPr>
              <w:t>严格标准，加强食堂油烟污染防治日常管理。严格落实治理标准，督促监督食堂落实好油烟污染防治要求，做到餐饮油烟净化设备规范安装、规范使用、规范维护实现达标排放。</w:t>
            </w:r>
          </w:p>
          <w:p>
            <w:pPr>
              <w:spacing w:line="360" w:lineRule="auto"/>
              <w:ind w:firstLine="480" w:firstLineChars="200"/>
              <w:rPr>
                <w:sz w:val="24"/>
              </w:rPr>
            </w:pPr>
            <w:r>
              <w:rPr>
                <w:sz w:val="24"/>
              </w:rPr>
              <w:t>确保净化设备高效稳定运行。</w:t>
            </w:r>
          </w:p>
          <w:p>
            <w:pPr>
              <w:spacing w:line="360" w:lineRule="auto"/>
              <w:ind w:firstLine="480" w:firstLineChars="200"/>
              <w:rPr>
                <w:sz w:val="24"/>
              </w:rPr>
            </w:pPr>
            <w:r>
              <w:rPr>
                <w:sz w:val="24"/>
              </w:rPr>
              <w:t>在生物质锅炉房内设置</w:t>
            </w:r>
            <w:r>
              <w:rPr>
                <w:rFonts w:hint="eastAsia"/>
                <w:sz w:val="24"/>
              </w:rPr>
              <w:t>湿式脱硫设施和</w:t>
            </w:r>
            <w:r>
              <w:rPr>
                <w:sz w:val="24"/>
              </w:rPr>
              <w:t>一台除尘效率为99%布袋除尘器，通过</w:t>
            </w:r>
            <w:r>
              <w:rPr>
                <w:rFonts w:hint="eastAsia"/>
                <w:sz w:val="24"/>
              </w:rPr>
              <w:t>30m</w:t>
            </w:r>
            <w:r>
              <w:rPr>
                <w:sz w:val="24"/>
              </w:rPr>
              <w:t>排气筒高空排放；在食堂内安装高效油烟净化器1套，净化效率不低于60%。</w:t>
            </w:r>
          </w:p>
          <w:p>
            <w:pPr>
              <w:spacing w:line="360" w:lineRule="auto"/>
              <w:ind w:firstLine="480" w:firstLineChars="200"/>
              <w:rPr>
                <w:sz w:val="24"/>
              </w:rPr>
            </w:pPr>
            <w:r>
              <w:rPr>
                <w:sz w:val="24"/>
              </w:rPr>
              <w:t>根据《锅炉大气污染物排放标准》（GB13271－2014）要求，本项目共设置2根排气筒，其中天然气锅炉</w:t>
            </w:r>
            <w:r>
              <w:rPr>
                <w:rFonts w:hint="eastAsia"/>
                <w:sz w:val="24"/>
              </w:rPr>
              <w:t>房</w:t>
            </w:r>
            <w:r>
              <w:rPr>
                <w:sz w:val="24"/>
              </w:rPr>
              <w:t>设置排气筒15m，生物质锅炉</w:t>
            </w:r>
            <w:r>
              <w:rPr>
                <w:rFonts w:hint="eastAsia"/>
                <w:sz w:val="24"/>
              </w:rPr>
              <w:t>房</w:t>
            </w:r>
            <w:r>
              <w:rPr>
                <w:sz w:val="24"/>
              </w:rPr>
              <w:t>设置排气筒30m。新建锅炉房</w:t>
            </w:r>
            <w:r>
              <w:rPr>
                <w:rFonts w:hint="eastAsia"/>
                <w:sz w:val="24"/>
              </w:rPr>
              <w:t>排气筒</w:t>
            </w:r>
            <w:r>
              <w:rPr>
                <w:sz w:val="24"/>
              </w:rPr>
              <w:t>高出最高建筑物3米以上。</w:t>
            </w:r>
          </w:p>
          <w:p>
            <w:pPr>
              <w:spacing w:line="360" w:lineRule="auto"/>
              <w:ind w:firstLine="480" w:firstLineChars="200"/>
              <w:rPr>
                <w:b/>
                <w:bCs/>
                <w:sz w:val="24"/>
              </w:rPr>
            </w:pPr>
            <w:r>
              <w:rPr>
                <w:b/>
                <w:bCs/>
                <w:sz w:val="24"/>
              </w:rPr>
              <w:t>（3）大气环境影响评价结论</w:t>
            </w:r>
          </w:p>
          <w:p>
            <w:pPr>
              <w:spacing w:line="360" w:lineRule="auto"/>
              <w:ind w:firstLine="480" w:firstLineChars="200"/>
              <w:rPr>
                <w:sz w:val="24"/>
                <w:lang w:bidi="ar"/>
              </w:rPr>
            </w:pPr>
            <w:r>
              <w:rPr>
                <w:sz w:val="24"/>
                <w:lang w:bidi="ar"/>
              </w:rPr>
              <w:t>本项目生产过程中产生的废气均得到有效处理，治理措施针对性较强，能够实现达标排放，对周边环境影响较小。</w:t>
            </w:r>
          </w:p>
          <w:p>
            <w:pPr>
              <w:pStyle w:val="14"/>
              <w:spacing w:line="360" w:lineRule="auto"/>
              <w:ind w:firstLine="480" w:firstLineChars="200"/>
              <w:jc w:val="both"/>
              <w:rPr>
                <w:rFonts w:ascii="Times New Roman"/>
                <w:color w:val="auto"/>
                <w:kern w:val="2"/>
                <w:lang w:bidi="ar"/>
              </w:rPr>
            </w:pPr>
            <w:r>
              <w:rPr>
                <w:rFonts w:ascii="Times New Roman"/>
                <w:color w:val="auto"/>
                <w:lang w:bidi="ar"/>
              </w:rPr>
              <w:t>①天然气锅炉废气</w:t>
            </w:r>
          </w:p>
          <w:p>
            <w:pPr>
              <w:pStyle w:val="35"/>
              <w:spacing w:line="360" w:lineRule="auto"/>
              <w:ind w:firstLine="480" w:firstLineChars="200"/>
              <w:jc w:val="both"/>
              <w:rPr>
                <w:sz w:val="24"/>
                <w:lang w:bidi="ar"/>
              </w:rPr>
            </w:pPr>
            <w:r>
              <w:rPr>
                <w:sz w:val="24"/>
                <w:szCs w:val="24"/>
              </w:rPr>
              <w:t>本项目天然气锅炉产生废气量为1474.1万m</w:t>
            </w:r>
            <w:r>
              <w:rPr>
                <w:sz w:val="24"/>
                <w:szCs w:val="24"/>
                <w:vertAlign w:val="superscript"/>
              </w:rPr>
              <w:t>3</w:t>
            </w:r>
            <w:r>
              <w:rPr>
                <w:sz w:val="24"/>
                <w:szCs w:val="24"/>
              </w:rPr>
              <w:t>/a，NO</w:t>
            </w:r>
            <w:r>
              <w:rPr>
                <w:sz w:val="24"/>
                <w:szCs w:val="24"/>
                <w:vertAlign w:val="subscript"/>
              </w:rPr>
              <w:t>x</w:t>
            </w:r>
            <w:r>
              <w:rPr>
                <w:sz w:val="24"/>
                <w:szCs w:val="24"/>
              </w:rPr>
              <w:t>排放量为147.3mg/m</w:t>
            </w:r>
            <w:r>
              <w:rPr>
                <w:sz w:val="24"/>
                <w:szCs w:val="24"/>
                <w:vertAlign w:val="superscript"/>
              </w:rPr>
              <w:t>3</w:t>
            </w:r>
            <w:r>
              <w:rPr>
                <w:sz w:val="24"/>
                <w:szCs w:val="24"/>
              </w:rPr>
              <w:t>，SO</w:t>
            </w:r>
            <w:r>
              <w:rPr>
                <w:sz w:val="24"/>
                <w:szCs w:val="24"/>
                <w:vertAlign w:val="subscript"/>
              </w:rPr>
              <w:t>2</w:t>
            </w:r>
            <w:r>
              <w:rPr>
                <w:sz w:val="24"/>
                <w:szCs w:val="24"/>
              </w:rPr>
              <w:t>排放量为18.6mg/m</w:t>
            </w:r>
            <w:r>
              <w:rPr>
                <w:sz w:val="24"/>
                <w:szCs w:val="24"/>
                <w:vertAlign w:val="superscript"/>
              </w:rPr>
              <w:t>3</w:t>
            </w:r>
            <w:r>
              <w:rPr>
                <w:sz w:val="24"/>
                <w:szCs w:val="24"/>
              </w:rPr>
              <w:t>，颗粒物的排放量为9.7mg/m</w:t>
            </w:r>
            <w:r>
              <w:rPr>
                <w:sz w:val="24"/>
                <w:szCs w:val="24"/>
                <w:vertAlign w:val="superscript"/>
              </w:rPr>
              <w:t>3</w:t>
            </w:r>
            <w:r>
              <w:rPr>
                <w:sz w:val="24"/>
                <w:szCs w:val="24"/>
              </w:rPr>
              <w:t>。</w:t>
            </w:r>
            <w:r>
              <w:rPr>
                <w:sz w:val="24"/>
                <w:lang w:bidi="ar"/>
              </w:rPr>
              <w:t>排放浓度满足《锅炉大气污染物排放标准》（GB13271-2014）中燃气锅炉要求，达标排放，对周边环境影响较小。</w:t>
            </w:r>
          </w:p>
          <w:p>
            <w:pPr>
              <w:pStyle w:val="13"/>
              <w:spacing w:line="360" w:lineRule="auto"/>
              <w:ind w:firstLine="480" w:firstLineChars="200"/>
              <w:rPr>
                <w:rFonts w:ascii="Times New Roman" w:hAnsi="Times New Roman"/>
                <w:sz w:val="24"/>
              </w:rPr>
            </w:pPr>
            <w:r>
              <w:rPr>
                <w:rFonts w:ascii="Times New Roman" w:hAnsi="Times New Roman"/>
                <w:sz w:val="24"/>
              </w:rPr>
              <w:t>②</w:t>
            </w:r>
            <w:r>
              <w:rPr>
                <w:rFonts w:ascii="Times New Roman" w:hAnsi="Times New Roman"/>
                <w:sz w:val="24"/>
                <w:lang w:bidi="ar"/>
              </w:rPr>
              <w:t>生物质锅炉废气</w:t>
            </w:r>
          </w:p>
          <w:p>
            <w:pPr>
              <w:pStyle w:val="13"/>
              <w:spacing w:line="360" w:lineRule="auto"/>
              <w:ind w:firstLine="480" w:firstLineChars="200"/>
              <w:rPr>
                <w:rFonts w:ascii="Times New Roman" w:hAnsi="Times New Roman"/>
                <w:sz w:val="24"/>
              </w:rPr>
            </w:pPr>
            <w:r>
              <w:rPr>
                <w:rFonts w:ascii="Times New Roman" w:hAnsi="Times New Roman"/>
                <w:sz w:val="24"/>
              </w:rPr>
              <w:t>本项目生物质锅炉产生废气量为</w:t>
            </w:r>
            <w:r>
              <w:rPr>
                <w:rFonts w:hint="eastAsia" w:ascii="Times New Roman" w:hAnsi="Times New Roman"/>
                <w:sz w:val="24"/>
              </w:rPr>
              <w:t>512.18</w:t>
            </w:r>
            <w:r>
              <w:rPr>
                <w:rFonts w:ascii="Times New Roman" w:hAnsi="Times New Roman"/>
                <w:sz w:val="24"/>
              </w:rPr>
              <w:t>万m</w:t>
            </w:r>
            <w:r>
              <w:rPr>
                <w:rFonts w:ascii="Times New Roman" w:hAnsi="Times New Roman"/>
                <w:sz w:val="24"/>
                <w:vertAlign w:val="superscript"/>
              </w:rPr>
              <w:t>3</w:t>
            </w:r>
            <w:r>
              <w:rPr>
                <w:rFonts w:ascii="Times New Roman" w:hAnsi="Times New Roman"/>
                <w:sz w:val="24"/>
              </w:rPr>
              <w:t>/a，NO</w:t>
            </w:r>
            <w:r>
              <w:rPr>
                <w:rFonts w:ascii="Times New Roman" w:hAnsi="Times New Roman"/>
                <w:sz w:val="24"/>
                <w:vertAlign w:val="subscript"/>
              </w:rPr>
              <w:t>X</w:t>
            </w:r>
            <w:r>
              <w:rPr>
                <w:rFonts w:ascii="Times New Roman" w:hAnsi="Times New Roman"/>
                <w:sz w:val="24"/>
              </w:rPr>
              <w:t>排放量为163.46mg/m</w:t>
            </w:r>
            <w:r>
              <w:rPr>
                <w:rFonts w:ascii="Times New Roman" w:hAnsi="Times New Roman"/>
                <w:sz w:val="24"/>
                <w:vertAlign w:val="superscript"/>
              </w:rPr>
              <w:t>3</w:t>
            </w:r>
            <w:r>
              <w:rPr>
                <w:rFonts w:ascii="Times New Roman" w:hAnsi="Times New Roman"/>
                <w:sz w:val="24"/>
              </w:rPr>
              <w:t>，SO</w:t>
            </w:r>
            <w:r>
              <w:rPr>
                <w:rFonts w:ascii="Times New Roman" w:hAnsi="Times New Roman"/>
                <w:sz w:val="24"/>
                <w:vertAlign w:val="subscript"/>
              </w:rPr>
              <w:t>2</w:t>
            </w:r>
            <w:r>
              <w:rPr>
                <w:rFonts w:ascii="Times New Roman" w:hAnsi="Times New Roman"/>
                <w:sz w:val="24"/>
              </w:rPr>
              <w:t>排放量为21.79mg/m</w:t>
            </w:r>
            <w:r>
              <w:rPr>
                <w:rFonts w:ascii="Times New Roman" w:hAnsi="Times New Roman"/>
                <w:sz w:val="24"/>
                <w:vertAlign w:val="superscript"/>
              </w:rPr>
              <w:t>3</w:t>
            </w:r>
            <w:r>
              <w:rPr>
                <w:rFonts w:ascii="Times New Roman" w:hAnsi="Times New Roman"/>
                <w:sz w:val="24"/>
              </w:rPr>
              <w:t>，颗粒物的排放量为0.8mg/m</w:t>
            </w:r>
            <w:r>
              <w:rPr>
                <w:rFonts w:ascii="Times New Roman" w:hAnsi="Times New Roman"/>
                <w:sz w:val="24"/>
                <w:vertAlign w:val="superscript"/>
              </w:rPr>
              <w:t>3</w:t>
            </w:r>
            <w:r>
              <w:rPr>
                <w:rFonts w:ascii="Times New Roman" w:hAnsi="Times New Roman"/>
                <w:sz w:val="24"/>
              </w:rPr>
              <w:t>。</w:t>
            </w:r>
            <w:r>
              <w:rPr>
                <w:rFonts w:ascii="Times New Roman" w:hAnsi="Times New Roman"/>
                <w:sz w:val="24"/>
                <w:lang w:bidi="ar"/>
              </w:rPr>
              <w:t>排放浓度满足《锅炉大气污染物排放标准》（GB13271-2014）中燃煤锅炉要求，达标排放，对周边环境影响较小。</w:t>
            </w:r>
          </w:p>
          <w:p>
            <w:pPr>
              <w:spacing w:line="360" w:lineRule="auto"/>
              <w:ind w:firstLine="480" w:firstLineChars="200"/>
              <w:rPr>
                <w:sz w:val="24"/>
                <w:lang w:bidi="ar"/>
              </w:rPr>
            </w:pPr>
            <w:r>
              <w:rPr>
                <w:sz w:val="24"/>
                <w:lang w:bidi="ar"/>
              </w:rPr>
              <w:t>③食堂废气产生量为10.5g/d，3.83kg/a，通过抽油烟机处理后排放，油烟排放浓度为1.75mg/m</w:t>
            </w:r>
            <w:r>
              <w:rPr>
                <w:sz w:val="24"/>
                <w:vertAlign w:val="superscript"/>
                <w:lang w:bidi="ar"/>
              </w:rPr>
              <w:t>3</w:t>
            </w:r>
            <w:r>
              <w:rPr>
                <w:sz w:val="24"/>
                <w:lang w:bidi="ar"/>
              </w:rPr>
              <w:t>，能够满足《饮食业油烟排放标准（试行）》（GB18483-2001）小型规模要求，对周边环境影响较小。</w:t>
            </w:r>
          </w:p>
          <w:p>
            <w:pPr>
              <w:spacing w:line="360" w:lineRule="auto"/>
              <w:ind w:firstLine="480" w:firstLineChars="200"/>
              <w:rPr>
                <w:sz w:val="24"/>
                <w:lang w:bidi="ar"/>
              </w:rPr>
            </w:pPr>
            <w:r>
              <w:rPr>
                <w:sz w:val="24"/>
              </w:rPr>
              <w:t>④农药废气</w:t>
            </w:r>
            <w:r>
              <w:rPr>
                <w:sz w:val="24"/>
                <w:lang w:bidi="ar"/>
              </w:rPr>
              <w:t>产生量较小，通过使用高效低毒农药，且厂房为全密闭式，对周边环境影响较小。</w:t>
            </w:r>
          </w:p>
          <w:p>
            <w:pPr>
              <w:spacing w:line="360" w:lineRule="auto"/>
              <w:ind w:firstLine="480" w:firstLineChars="200"/>
              <w:rPr>
                <w:sz w:val="24"/>
              </w:rPr>
            </w:pPr>
            <w:r>
              <w:rPr>
                <w:sz w:val="24"/>
              </w:rPr>
              <w:t>⑤</w:t>
            </w:r>
            <w:r>
              <w:rPr>
                <w:sz w:val="24"/>
                <w:lang w:bidi="ar"/>
              </w:rPr>
              <w:t>制冷剂采用管道输送方式，密闭性较好，但与管道连接处、膨胀阀等连接处都会有极少量的制冷剂泄漏，为无组织排放。由于冷库使用时间较少，制冷剂泄漏量极小，对周边环境影响较小。</w:t>
            </w:r>
          </w:p>
          <w:p>
            <w:pPr>
              <w:spacing w:line="360" w:lineRule="auto"/>
              <w:ind w:firstLine="480" w:firstLineChars="200"/>
              <w:rPr>
                <w:sz w:val="24"/>
                <w:lang w:bidi="ar"/>
              </w:rPr>
            </w:pPr>
            <w:r>
              <w:rPr>
                <w:sz w:val="24"/>
                <w:lang w:bidi="ar"/>
              </w:rPr>
              <w:t>综上所述，项目产生的废气得到了合理有效处理处置，对周边环境影响较小。</w:t>
            </w:r>
          </w:p>
          <w:p>
            <w:pPr>
              <w:autoSpaceDE w:val="0"/>
              <w:autoSpaceDN w:val="0"/>
              <w:spacing w:line="360" w:lineRule="auto"/>
              <w:ind w:firstLine="480" w:firstLineChars="200"/>
              <w:jc w:val="left"/>
              <w:rPr>
                <w:b/>
                <w:bCs/>
                <w:sz w:val="24"/>
              </w:rPr>
            </w:pPr>
            <w:r>
              <w:rPr>
                <w:b/>
                <w:bCs/>
                <w:sz w:val="24"/>
              </w:rPr>
              <w:t>2、水环境影响分析</w:t>
            </w:r>
          </w:p>
          <w:p>
            <w:pPr>
              <w:spacing w:line="360" w:lineRule="auto"/>
              <w:ind w:firstLine="480" w:firstLineChars="200"/>
              <w:rPr>
                <w:b/>
                <w:bCs/>
                <w:sz w:val="24"/>
                <w:lang w:bidi="ar"/>
              </w:rPr>
            </w:pPr>
            <w:r>
              <w:rPr>
                <w:b/>
                <w:bCs/>
                <w:sz w:val="24"/>
                <w:lang w:bidi="ar"/>
              </w:rPr>
              <w:t>（1）产排污环节</w:t>
            </w:r>
          </w:p>
          <w:p>
            <w:pPr>
              <w:pStyle w:val="7"/>
              <w:spacing w:line="360" w:lineRule="auto"/>
              <w:ind w:firstLine="480" w:firstLineChars="200"/>
              <w:rPr>
                <w:szCs w:val="24"/>
              </w:rPr>
            </w:pPr>
            <w:r>
              <w:rPr>
                <w:szCs w:val="24"/>
              </w:rPr>
              <w:t>①锅炉废水（W2）</w:t>
            </w:r>
          </w:p>
          <w:p>
            <w:pPr>
              <w:pStyle w:val="7"/>
              <w:spacing w:line="360" w:lineRule="auto"/>
              <w:ind w:firstLine="480" w:firstLineChars="200"/>
              <w:rPr>
                <w:szCs w:val="24"/>
              </w:rPr>
            </w:pPr>
            <w:r>
              <w:rPr>
                <w:szCs w:val="24"/>
              </w:rPr>
              <w:t>根据工程分析，</w:t>
            </w:r>
            <w:r>
              <w:rPr>
                <w:rFonts w:hint="eastAsia"/>
                <w:szCs w:val="24"/>
              </w:rPr>
              <w:t>两台</w:t>
            </w:r>
            <w:r>
              <w:rPr>
                <w:szCs w:val="24"/>
              </w:rPr>
              <w:t>锅炉废水产生量为</w:t>
            </w:r>
            <w:r>
              <w:rPr>
                <w:rFonts w:hint="eastAsia"/>
                <w:szCs w:val="24"/>
              </w:rPr>
              <w:t>9.06</w:t>
            </w:r>
            <w:r>
              <w:rPr>
                <w:szCs w:val="24"/>
              </w:rPr>
              <w:t>m</w:t>
            </w:r>
            <w:r>
              <w:rPr>
                <w:szCs w:val="24"/>
                <w:vertAlign w:val="superscript"/>
              </w:rPr>
              <w:t>3</w:t>
            </w:r>
            <w:r>
              <w:rPr>
                <w:szCs w:val="24"/>
              </w:rPr>
              <w:t>/d，产生的锅炉废水主要含有</w:t>
            </w:r>
            <w:r>
              <w:rPr>
                <w:rFonts w:hint="eastAsia"/>
              </w:rPr>
              <w:t>pH、CODcr、溶解性总固体</w:t>
            </w:r>
            <w:r>
              <w:rPr>
                <w:szCs w:val="24"/>
              </w:rPr>
              <w:t>，通过收集沉淀后回用于种植灌溉，对周边环境影响较小。</w:t>
            </w:r>
          </w:p>
          <w:p>
            <w:pPr>
              <w:pStyle w:val="7"/>
              <w:spacing w:line="360" w:lineRule="auto"/>
              <w:ind w:firstLine="480" w:firstLineChars="200"/>
              <w:rPr>
                <w:szCs w:val="24"/>
              </w:rPr>
            </w:pPr>
            <w:r>
              <w:rPr>
                <w:szCs w:val="24"/>
              </w:rPr>
              <w:t>②种植浇灌渗出水（W3）</w:t>
            </w:r>
          </w:p>
          <w:p>
            <w:pPr>
              <w:pStyle w:val="7"/>
              <w:spacing w:line="360" w:lineRule="auto"/>
              <w:ind w:firstLine="480" w:firstLineChars="200"/>
              <w:rPr>
                <w:szCs w:val="24"/>
              </w:rPr>
            </w:pPr>
            <w:r>
              <w:rPr>
                <w:szCs w:val="24"/>
              </w:rPr>
              <w:t>根据工程分析，种植浇灌渗出水产生量为1.24m</w:t>
            </w:r>
            <w:r>
              <w:rPr>
                <w:szCs w:val="24"/>
                <w:vertAlign w:val="superscript"/>
              </w:rPr>
              <w:t>3</w:t>
            </w:r>
            <w:r>
              <w:rPr>
                <w:szCs w:val="24"/>
              </w:rPr>
              <w:t>/d，主要污染物为pH、COD</w:t>
            </w:r>
            <w:r>
              <w:rPr>
                <w:szCs w:val="24"/>
                <w:vertAlign w:val="subscript"/>
              </w:rPr>
              <w:t>cr</w:t>
            </w:r>
            <w:r>
              <w:rPr>
                <w:szCs w:val="24"/>
              </w:rPr>
              <w:t>、BOD</w:t>
            </w:r>
            <w:r>
              <w:rPr>
                <w:szCs w:val="24"/>
                <w:vertAlign w:val="subscript"/>
              </w:rPr>
              <w:t>5</w:t>
            </w:r>
            <w:r>
              <w:rPr>
                <w:szCs w:val="24"/>
              </w:rPr>
              <w:t>、SS、NH</w:t>
            </w:r>
            <w:r>
              <w:rPr>
                <w:szCs w:val="24"/>
                <w:vertAlign w:val="subscript"/>
              </w:rPr>
              <w:t>3</w:t>
            </w:r>
            <w:r>
              <w:rPr>
                <w:szCs w:val="24"/>
              </w:rPr>
              <w:t>-N、总磷，由于配肥对水质要求不高，此部分废水通过收集沉淀后回用于水肥系统配肥，对周边环境影响较小。</w:t>
            </w:r>
          </w:p>
          <w:p>
            <w:pPr>
              <w:pStyle w:val="7"/>
              <w:spacing w:line="360" w:lineRule="auto"/>
              <w:ind w:firstLine="480" w:firstLineChars="200"/>
              <w:rPr>
                <w:szCs w:val="24"/>
              </w:rPr>
            </w:pPr>
            <w:r>
              <w:rPr>
                <w:szCs w:val="24"/>
              </w:rPr>
              <w:t>③包花预清洗废水（W4）</w:t>
            </w:r>
          </w:p>
          <w:p>
            <w:pPr>
              <w:pStyle w:val="7"/>
              <w:spacing w:line="360" w:lineRule="auto"/>
              <w:ind w:firstLine="480" w:firstLineChars="200"/>
              <w:rPr>
                <w:szCs w:val="24"/>
              </w:rPr>
            </w:pPr>
            <w:r>
              <w:rPr>
                <w:szCs w:val="24"/>
              </w:rPr>
              <w:t>根据工程分析，包花预清洗废水产生量为1.2m</w:t>
            </w:r>
            <w:r>
              <w:rPr>
                <w:szCs w:val="24"/>
                <w:vertAlign w:val="superscript"/>
              </w:rPr>
              <w:t>3</w:t>
            </w:r>
            <w:r>
              <w:rPr>
                <w:szCs w:val="24"/>
              </w:rPr>
              <w:t>/d，清洗废水</w:t>
            </w:r>
            <w:r>
              <w:rPr>
                <w:rFonts w:hint="eastAsia"/>
                <w:szCs w:val="24"/>
              </w:rPr>
              <w:t>一天一换，其</w:t>
            </w:r>
            <w:r>
              <w:rPr>
                <w:szCs w:val="24"/>
              </w:rPr>
              <w:t>中主要污染物为少量的SS，产生的废水沉淀后回用于种植灌溉，对周边环境影响较小。</w:t>
            </w:r>
          </w:p>
          <w:p>
            <w:pPr>
              <w:spacing w:line="360" w:lineRule="auto"/>
              <w:ind w:firstLine="480" w:firstLineChars="200"/>
              <w:rPr>
                <w:sz w:val="24"/>
                <w:lang w:bidi="ar"/>
              </w:rPr>
            </w:pPr>
            <w:r>
              <w:rPr>
                <w:sz w:val="24"/>
                <w:lang w:bidi="ar"/>
              </w:rPr>
              <w:t>④生活污水</w:t>
            </w:r>
          </w:p>
          <w:p>
            <w:pPr>
              <w:spacing w:line="360" w:lineRule="auto"/>
              <w:ind w:firstLine="480" w:firstLineChars="200"/>
              <w:rPr>
                <w:sz w:val="24"/>
                <w:lang w:bidi="ar"/>
              </w:rPr>
            </w:pPr>
            <w:r>
              <w:rPr>
                <w:sz w:val="24"/>
                <w:lang w:bidi="ar"/>
              </w:rPr>
              <w:t>项目无生产废水排放，污水主要为员工生活污水和食堂废水。</w:t>
            </w:r>
            <w:r>
              <w:rPr>
                <w:rFonts w:hint="eastAsia"/>
                <w:sz w:val="24"/>
                <w:lang w:bidi="ar"/>
              </w:rPr>
              <w:t>污染物浓度参考同类型其他项目。</w:t>
            </w:r>
            <w:r>
              <w:rPr>
                <w:sz w:val="24"/>
                <w:lang w:bidi="ar"/>
              </w:rPr>
              <w:t>项目无生产废水产生，污水主要为食堂废水和员工生活污水。</w:t>
            </w:r>
          </w:p>
          <w:p>
            <w:pPr>
              <w:spacing w:line="360" w:lineRule="auto"/>
              <w:ind w:firstLine="480" w:firstLineChars="200"/>
              <w:rPr>
                <w:sz w:val="24"/>
                <w:lang w:bidi="ar"/>
              </w:rPr>
            </w:pPr>
            <w:r>
              <w:rPr>
                <w:sz w:val="24"/>
                <w:lang w:bidi="ar"/>
              </w:rPr>
              <w:t>项目水污染物产排情况见表4-2、4-3。</w:t>
            </w:r>
          </w:p>
          <w:p>
            <w:pPr>
              <w:snapToGrid w:val="0"/>
              <w:spacing w:line="360" w:lineRule="auto"/>
              <w:jc w:val="center"/>
              <w:rPr>
                <w:b/>
                <w:bCs/>
                <w:sz w:val="24"/>
              </w:rPr>
            </w:pPr>
          </w:p>
          <w:p>
            <w:pPr>
              <w:snapToGrid w:val="0"/>
              <w:spacing w:line="360" w:lineRule="auto"/>
              <w:jc w:val="center"/>
              <w:rPr>
                <w:b/>
                <w:bCs/>
                <w:sz w:val="24"/>
              </w:rPr>
            </w:pPr>
          </w:p>
          <w:p>
            <w:pPr>
              <w:snapToGrid w:val="0"/>
              <w:spacing w:line="360" w:lineRule="auto"/>
              <w:jc w:val="center"/>
              <w:rPr>
                <w:b/>
                <w:bCs/>
                <w:sz w:val="24"/>
              </w:rPr>
            </w:pPr>
            <w:r>
              <w:rPr>
                <w:b/>
                <w:bCs/>
                <w:sz w:val="24"/>
              </w:rPr>
              <w:t>表4-2食堂污水产生情况一览表</w:t>
            </w:r>
          </w:p>
          <w:tbl>
            <w:tblPr>
              <w:tblStyle w:val="26"/>
              <w:tblW w:w="5000" w:type="pct"/>
              <w:tblInd w:w="1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531"/>
              <w:gridCol w:w="2556"/>
              <w:gridCol w:w="1031"/>
              <w:gridCol w:w="824"/>
              <w:gridCol w:w="720"/>
              <w:gridCol w:w="796"/>
              <w:gridCol w:w="117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862" w:type="pct"/>
                  <w:vAlign w:val="center"/>
                </w:tcPr>
                <w:p>
                  <w:pPr>
                    <w:spacing w:line="360" w:lineRule="auto"/>
                    <w:jc w:val="center"/>
                    <w:rPr>
                      <w:sz w:val="20"/>
                      <w:szCs w:val="20"/>
                    </w:rPr>
                  </w:pPr>
                  <w:r>
                    <w:rPr>
                      <w:sz w:val="20"/>
                      <w:szCs w:val="20"/>
                    </w:rPr>
                    <w:t>排放源</w:t>
                  </w:r>
                </w:p>
              </w:tc>
              <w:tc>
                <w:tcPr>
                  <w:tcW w:w="1484" w:type="pct"/>
                  <w:tcBorders>
                    <w:tl2br w:val="single" w:color="auto" w:sz="4" w:space="0"/>
                  </w:tcBorders>
                  <w:vAlign w:val="center"/>
                </w:tcPr>
                <w:p>
                  <w:pPr>
                    <w:spacing w:line="360" w:lineRule="auto"/>
                    <w:jc w:val="center"/>
                    <w:rPr>
                      <w:sz w:val="20"/>
                      <w:szCs w:val="20"/>
                    </w:rPr>
                  </w:pPr>
                  <w:r>
                    <w:rPr>
                      <w:sz w:val="20"/>
                      <w:szCs w:val="20"/>
                    </w:rPr>
                    <w:t xml:space="preserve">         污染物名称</w:t>
                  </w:r>
                </w:p>
                <w:p>
                  <w:pPr>
                    <w:spacing w:line="360" w:lineRule="auto"/>
                    <w:rPr>
                      <w:sz w:val="20"/>
                      <w:szCs w:val="20"/>
                    </w:rPr>
                  </w:pPr>
                  <w:r>
                    <w:rPr>
                      <w:sz w:val="20"/>
                      <w:szCs w:val="20"/>
                    </w:rPr>
                    <w:t>处理工艺</w:t>
                  </w:r>
                </w:p>
              </w:tc>
              <w:tc>
                <w:tcPr>
                  <w:tcW w:w="601" w:type="pct"/>
                  <w:vAlign w:val="center"/>
                </w:tcPr>
                <w:p>
                  <w:pPr>
                    <w:spacing w:line="360" w:lineRule="auto"/>
                    <w:jc w:val="center"/>
                    <w:rPr>
                      <w:sz w:val="20"/>
                      <w:szCs w:val="20"/>
                    </w:rPr>
                  </w:pPr>
                  <w:r>
                    <w:rPr>
                      <w:sz w:val="20"/>
                      <w:szCs w:val="20"/>
                    </w:rPr>
                    <w:t>CODcr</w:t>
                  </w:r>
                </w:p>
              </w:tc>
              <w:tc>
                <w:tcPr>
                  <w:tcW w:w="481" w:type="pct"/>
                  <w:vAlign w:val="center"/>
                </w:tcPr>
                <w:p>
                  <w:pPr>
                    <w:spacing w:line="360" w:lineRule="auto"/>
                    <w:jc w:val="center"/>
                    <w:rPr>
                      <w:sz w:val="20"/>
                      <w:szCs w:val="20"/>
                    </w:rPr>
                  </w:pPr>
                  <w:r>
                    <w:rPr>
                      <w:sz w:val="20"/>
                      <w:szCs w:val="20"/>
                    </w:rPr>
                    <w:t>BOD</w:t>
                  </w:r>
                  <w:r>
                    <w:rPr>
                      <w:sz w:val="20"/>
                      <w:szCs w:val="20"/>
                      <w:vertAlign w:val="subscript"/>
                    </w:rPr>
                    <w:t>5</w:t>
                  </w:r>
                </w:p>
              </w:tc>
              <w:tc>
                <w:tcPr>
                  <w:tcW w:w="421" w:type="pct"/>
                  <w:vAlign w:val="center"/>
                </w:tcPr>
                <w:p>
                  <w:pPr>
                    <w:spacing w:line="360" w:lineRule="auto"/>
                    <w:jc w:val="center"/>
                    <w:rPr>
                      <w:sz w:val="20"/>
                      <w:szCs w:val="20"/>
                    </w:rPr>
                  </w:pPr>
                  <w:r>
                    <w:rPr>
                      <w:sz w:val="20"/>
                      <w:szCs w:val="20"/>
                    </w:rPr>
                    <w:t>SS</w:t>
                  </w:r>
                </w:p>
              </w:tc>
              <w:tc>
                <w:tcPr>
                  <w:tcW w:w="465" w:type="pct"/>
                  <w:vAlign w:val="center"/>
                </w:tcPr>
                <w:p>
                  <w:pPr>
                    <w:spacing w:line="360" w:lineRule="auto"/>
                    <w:jc w:val="center"/>
                    <w:rPr>
                      <w:sz w:val="20"/>
                      <w:szCs w:val="20"/>
                    </w:rPr>
                  </w:pPr>
                  <w:r>
                    <w:rPr>
                      <w:sz w:val="20"/>
                      <w:szCs w:val="20"/>
                    </w:rPr>
                    <w:t>氨氮</w:t>
                  </w:r>
                </w:p>
              </w:tc>
              <w:tc>
                <w:tcPr>
                  <w:tcW w:w="684" w:type="pct"/>
                  <w:vAlign w:val="center"/>
                </w:tcPr>
                <w:p>
                  <w:pPr>
                    <w:spacing w:line="360" w:lineRule="auto"/>
                    <w:jc w:val="center"/>
                    <w:rPr>
                      <w:sz w:val="20"/>
                      <w:szCs w:val="20"/>
                    </w:rPr>
                  </w:pPr>
                  <w:r>
                    <w:rPr>
                      <w:sz w:val="20"/>
                      <w:szCs w:val="20"/>
                    </w:rPr>
                    <w:t>动植物油</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862" w:type="pct"/>
                  <w:vMerge w:val="restart"/>
                  <w:vAlign w:val="center"/>
                </w:tcPr>
                <w:p>
                  <w:pPr>
                    <w:spacing w:line="360" w:lineRule="auto"/>
                    <w:jc w:val="center"/>
                    <w:rPr>
                      <w:sz w:val="20"/>
                      <w:szCs w:val="20"/>
                    </w:rPr>
                  </w:pPr>
                  <w:r>
                    <w:rPr>
                      <w:sz w:val="20"/>
                      <w:szCs w:val="20"/>
                    </w:rPr>
                    <w:t>食堂污水（385.25m</w:t>
                  </w:r>
                  <w:r>
                    <w:rPr>
                      <w:sz w:val="20"/>
                      <w:szCs w:val="20"/>
                      <w:vertAlign w:val="superscript"/>
                    </w:rPr>
                    <w:t>3</w:t>
                  </w:r>
                  <w:r>
                    <w:rPr>
                      <w:sz w:val="20"/>
                      <w:szCs w:val="20"/>
                    </w:rPr>
                    <w:t>/a）</w:t>
                  </w:r>
                </w:p>
              </w:tc>
              <w:tc>
                <w:tcPr>
                  <w:tcW w:w="1484" w:type="pct"/>
                  <w:vAlign w:val="center"/>
                </w:tcPr>
                <w:p>
                  <w:pPr>
                    <w:spacing w:line="360" w:lineRule="auto"/>
                    <w:jc w:val="center"/>
                    <w:rPr>
                      <w:sz w:val="20"/>
                      <w:szCs w:val="20"/>
                    </w:rPr>
                  </w:pPr>
                  <w:r>
                    <w:rPr>
                      <w:sz w:val="20"/>
                      <w:szCs w:val="20"/>
                    </w:rPr>
                    <w:t>产生浓度（mg/L）</w:t>
                  </w:r>
                </w:p>
              </w:tc>
              <w:tc>
                <w:tcPr>
                  <w:tcW w:w="601" w:type="pct"/>
                  <w:vAlign w:val="center"/>
                </w:tcPr>
                <w:p>
                  <w:pPr>
                    <w:spacing w:line="360" w:lineRule="auto"/>
                    <w:jc w:val="center"/>
                    <w:rPr>
                      <w:sz w:val="20"/>
                      <w:szCs w:val="20"/>
                    </w:rPr>
                  </w:pPr>
                  <w:r>
                    <w:rPr>
                      <w:sz w:val="20"/>
                      <w:szCs w:val="20"/>
                    </w:rPr>
                    <w:t>400</w:t>
                  </w:r>
                </w:p>
              </w:tc>
              <w:tc>
                <w:tcPr>
                  <w:tcW w:w="481" w:type="pct"/>
                  <w:vAlign w:val="center"/>
                </w:tcPr>
                <w:p>
                  <w:pPr>
                    <w:spacing w:line="360" w:lineRule="auto"/>
                    <w:jc w:val="center"/>
                    <w:rPr>
                      <w:sz w:val="20"/>
                      <w:szCs w:val="20"/>
                    </w:rPr>
                  </w:pPr>
                  <w:r>
                    <w:rPr>
                      <w:sz w:val="20"/>
                      <w:szCs w:val="20"/>
                    </w:rPr>
                    <w:t>300</w:t>
                  </w:r>
                </w:p>
              </w:tc>
              <w:tc>
                <w:tcPr>
                  <w:tcW w:w="421" w:type="pct"/>
                  <w:vAlign w:val="center"/>
                </w:tcPr>
                <w:p>
                  <w:pPr>
                    <w:spacing w:line="360" w:lineRule="auto"/>
                    <w:jc w:val="center"/>
                    <w:rPr>
                      <w:sz w:val="20"/>
                      <w:szCs w:val="20"/>
                    </w:rPr>
                  </w:pPr>
                  <w:r>
                    <w:rPr>
                      <w:sz w:val="20"/>
                      <w:szCs w:val="20"/>
                    </w:rPr>
                    <w:t>200</w:t>
                  </w:r>
                </w:p>
              </w:tc>
              <w:tc>
                <w:tcPr>
                  <w:tcW w:w="465" w:type="pct"/>
                  <w:vAlign w:val="center"/>
                </w:tcPr>
                <w:p>
                  <w:pPr>
                    <w:spacing w:line="360" w:lineRule="auto"/>
                    <w:jc w:val="center"/>
                    <w:rPr>
                      <w:sz w:val="20"/>
                      <w:szCs w:val="20"/>
                    </w:rPr>
                  </w:pPr>
                  <w:r>
                    <w:rPr>
                      <w:sz w:val="20"/>
                      <w:szCs w:val="20"/>
                    </w:rPr>
                    <w:t>25</w:t>
                  </w:r>
                </w:p>
              </w:tc>
              <w:tc>
                <w:tcPr>
                  <w:tcW w:w="684" w:type="pct"/>
                  <w:vAlign w:val="center"/>
                </w:tcPr>
                <w:p>
                  <w:pPr>
                    <w:spacing w:line="360" w:lineRule="auto"/>
                    <w:jc w:val="center"/>
                    <w:rPr>
                      <w:sz w:val="20"/>
                      <w:szCs w:val="20"/>
                    </w:rPr>
                  </w:pPr>
                  <w:r>
                    <w:rPr>
                      <w:sz w:val="20"/>
                      <w:szCs w:val="20"/>
                    </w:rPr>
                    <w:t>150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862" w:type="pct"/>
                  <w:vMerge w:val="continue"/>
                  <w:vAlign w:val="center"/>
                </w:tcPr>
                <w:p>
                  <w:pPr>
                    <w:spacing w:line="360" w:lineRule="auto"/>
                    <w:jc w:val="center"/>
                    <w:rPr>
                      <w:sz w:val="20"/>
                      <w:szCs w:val="20"/>
                    </w:rPr>
                  </w:pPr>
                </w:p>
              </w:tc>
              <w:tc>
                <w:tcPr>
                  <w:tcW w:w="1484" w:type="pct"/>
                  <w:vAlign w:val="center"/>
                </w:tcPr>
                <w:p>
                  <w:pPr>
                    <w:spacing w:line="360" w:lineRule="auto"/>
                    <w:jc w:val="center"/>
                    <w:rPr>
                      <w:sz w:val="20"/>
                      <w:szCs w:val="20"/>
                    </w:rPr>
                  </w:pPr>
                  <w:r>
                    <w:rPr>
                      <w:sz w:val="20"/>
                      <w:szCs w:val="20"/>
                    </w:rPr>
                    <w:t>产生量（t/a）</w:t>
                  </w:r>
                </w:p>
              </w:tc>
              <w:tc>
                <w:tcPr>
                  <w:tcW w:w="601" w:type="pct"/>
                  <w:vAlign w:val="center"/>
                </w:tcPr>
                <w:p>
                  <w:pPr>
                    <w:spacing w:line="360" w:lineRule="auto"/>
                    <w:jc w:val="center"/>
                    <w:rPr>
                      <w:sz w:val="20"/>
                      <w:szCs w:val="20"/>
                    </w:rPr>
                  </w:pPr>
                  <w:r>
                    <w:rPr>
                      <w:sz w:val="20"/>
                      <w:szCs w:val="20"/>
                    </w:rPr>
                    <w:t>0.12</w:t>
                  </w:r>
                </w:p>
              </w:tc>
              <w:tc>
                <w:tcPr>
                  <w:tcW w:w="481" w:type="pct"/>
                  <w:vAlign w:val="center"/>
                </w:tcPr>
                <w:p>
                  <w:pPr>
                    <w:spacing w:line="360" w:lineRule="auto"/>
                    <w:jc w:val="center"/>
                    <w:rPr>
                      <w:sz w:val="20"/>
                      <w:szCs w:val="20"/>
                    </w:rPr>
                  </w:pPr>
                  <w:r>
                    <w:rPr>
                      <w:sz w:val="20"/>
                      <w:szCs w:val="20"/>
                    </w:rPr>
                    <w:t>0.09</w:t>
                  </w:r>
                </w:p>
              </w:tc>
              <w:tc>
                <w:tcPr>
                  <w:tcW w:w="421" w:type="pct"/>
                  <w:vAlign w:val="center"/>
                </w:tcPr>
                <w:p>
                  <w:pPr>
                    <w:spacing w:line="360" w:lineRule="auto"/>
                    <w:jc w:val="center"/>
                    <w:rPr>
                      <w:sz w:val="20"/>
                      <w:szCs w:val="20"/>
                    </w:rPr>
                  </w:pPr>
                  <w:r>
                    <w:rPr>
                      <w:sz w:val="20"/>
                      <w:szCs w:val="20"/>
                    </w:rPr>
                    <w:t>0.06</w:t>
                  </w:r>
                </w:p>
              </w:tc>
              <w:tc>
                <w:tcPr>
                  <w:tcW w:w="465" w:type="pct"/>
                  <w:vAlign w:val="center"/>
                </w:tcPr>
                <w:p>
                  <w:pPr>
                    <w:spacing w:line="360" w:lineRule="auto"/>
                    <w:jc w:val="center"/>
                    <w:rPr>
                      <w:sz w:val="20"/>
                      <w:szCs w:val="20"/>
                    </w:rPr>
                  </w:pPr>
                  <w:r>
                    <w:rPr>
                      <w:sz w:val="20"/>
                      <w:szCs w:val="20"/>
                    </w:rPr>
                    <w:t>0.007</w:t>
                  </w:r>
                </w:p>
              </w:tc>
              <w:tc>
                <w:tcPr>
                  <w:tcW w:w="684" w:type="pct"/>
                  <w:vAlign w:val="center"/>
                </w:tcPr>
                <w:p>
                  <w:pPr>
                    <w:spacing w:line="360" w:lineRule="auto"/>
                    <w:ind w:firstLine="200" w:firstLineChars="100"/>
                    <w:jc w:val="center"/>
                    <w:rPr>
                      <w:sz w:val="20"/>
                      <w:szCs w:val="20"/>
                    </w:rPr>
                  </w:pPr>
                  <w:r>
                    <w:rPr>
                      <w:sz w:val="20"/>
                      <w:szCs w:val="20"/>
                    </w:rPr>
                    <w:t>0.04</w:t>
                  </w:r>
                </w:p>
              </w:tc>
            </w:tr>
          </w:tbl>
          <w:p>
            <w:pPr>
              <w:snapToGrid w:val="0"/>
              <w:spacing w:line="360" w:lineRule="auto"/>
              <w:jc w:val="center"/>
              <w:rPr>
                <w:b/>
                <w:bCs/>
                <w:sz w:val="24"/>
              </w:rPr>
            </w:pPr>
            <w:r>
              <w:rPr>
                <w:b/>
                <w:bCs/>
                <w:sz w:val="24"/>
              </w:rPr>
              <w:t>表4-3生活污水产生情况一览表</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458"/>
              <w:gridCol w:w="2016"/>
              <w:gridCol w:w="2262"/>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424" w:type="pct"/>
                  <w:vMerge w:val="restart"/>
                  <w:vAlign w:val="center"/>
                </w:tcPr>
                <w:p>
                  <w:pPr>
                    <w:jc w:val="center"/>
                    <w:rPr>
                      <w:szCs w:val="21"/>
                    </w:rPr>
                  </w:pPr>
                  <w:r>
                    <w:rPr>
                      <w:szCs w:val="21"/>
                    </w:rPr>
                    <w:t>排放源</w:t>
                  </w:r>
                </w:p>
              </w:tc>
              <w:tc>
                <w:tcPr>
                  <w:tcW w:w="1168" w:type="pct"/>
                  <w:vMerge w:val="restart"/>
                  <w:vAlign w:val="center"/>
                </w:tcPr>
                <w:p>
                  <w:pPr>
                    <w:jc w:val="center"/>
                    <w:rPr>
                      <w:szCs w:val="21"/>
                    </w:rPr>
                  </w:pPr>
                  <w:r>
                    <w:rPr>
                      <w:szCs w:val="21"/>
                    </w:rPr>
                    <w:t>污染物名称</w:t>
                  </w:r>
                </w:p>
              </w:tc>
              <w:tc>
                <w:tcPr>
                  <w:tcW w:w="2407" w:type="pct"/>
                  <w:gridSpan w:val="2"/>
                  <w:vAlign w:val="center"/>
                </w:tcPr>
                <w:p>
                  <w:pPr>
                    <w:jc w:val="center"/>
                    <w:rPr>
                      <w:szCs w:val="21"/>
                    </w:rPr>
                  </w:pPr>
                  <w:r>
                    <w:rPr>
                      <w:szCs w:val="21"/>
                    </w:rPr>
                    <w:t>处理前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 w:hRule="atLeast"/>
                <w:jc w:val="center"/>
              </w:trPr>
              <w:tc>
                <w:tcPr>
                  <w:tcW w:w="1424" w:type="pct"/>
                  <w:vMerge w:val="continue"/>
                  <w:vAlign w:val="center"/>
                </w:tcPr>
                <w:p>
                  <w:pPr>
                    <w:jc w:val="center"/>
                    <w:rPr>
                      <w:szCs w:val="21"/>
                    </w:rPr>
                  </w:pPr>
                </w:p>
              </w:tc>
              <w:tc>
                <w:tcPr>
                  <w:tcW w:w="1168" w:type="pct"/>
                  <w:vMerge w:val="continue"/>
                  <w:vAlign w:val="center"/>
                </w:tcPr>
                <w:p>
                  <w:pPr>
                    <w:jc w:val="center"/>
                    <w:rPr>
                      <w:szCs w:val="21"/>
                    </w:rPr>
                  </w:pPr>
                </w:p>
              </w:tc>
              <w:tc>
                <w:tcPr>
                  <w:tcW w:w="1310" w:type="pct"/>
                  <w:vAlign w:val="center"/>
                </w:tcPr>
                <w:p>
                  <w:pPr>
                    <w:jc w:val="center"/>
                    <w:rPr>
                      <w:szCs w:val="21"/>
                    </w:rPr>
                  </w:pPr>
                  <w:r>
                    <w:rPr>
                      <w:szCs w:val="21"/>
                    </w:rPr>
                    <w:t>产生浓度（mg/L）</w:t>
                  </w:r>
                </w:p>
              </w:tc>
              <w:tc>
                <w:tcPr>
                  <w:tcW w:w="1096" w:type="pct"/>
                  <w:vAlign w:val="center"/>
                </w:tcPr>
                <w:p>
                  <w:pPr>
                    <w:jc w:val="center"/>
                    <w:rPr>
                      <w:szCs w:val="21"/>
                    </w:rPr>
                  </w:pPr>
                  <w:r>
                    <w:rPr>
                      <w:szCs w:val="21"/>
                    </w:rPr>
                    <w:t>产生量</w:t>
                  </w:r>
                  <w:r>
                    <w:rPr>
                      <w:rFonts w:hint="eastAsia"/>
                      <w:szCs w:val="21"/>
                    </w:rPr>
                    <w:t>（</w:t>
                  </w:r>
                  <w:r>
                    <w:rPr>
                      <w:szCs w:val="21"/>
                    </w:rPr>
                    <w:t>t/a</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 w:hRule="atLeast"/>
                <w:jc w:val="center"/>
              </w:trPr>
              <w:tc>
                <w:tcPr>
                  <w:tcW w:w="1424" w:type="pct"/>
                  <w:vAlign w:val="center"/>
                </w:tcPr>
                <w:p>
                  <w:pPr>
                    <w:jc w:val="center"/>
                    <w:rPr>
                      <w:szCs w:val="21"/>
                    </w:rPr>
                  </w:pPr>
                  <w:r>
                    <w:rPr>
                      <w:szCs w:val="21"/>
                    </w:rPr>
                    <w:t>生活污水      (Q=2.24m</w:t>
                  </w:r>
                  <w:r>
                    <w:rPr>
                      <w:szCs w:val="21"/>
                      <w:vertAlign w:val="superscript"/>
                    </w:rPr>
                    <w:t>3</w:t>
                  </w:r>
                  <w:r>
                    <w:rPr>
                      <w:szCs w:val="21"/>
                    </w:rPr>
                    <w:t>/d，817.6m</w:t>
                  </w:r>
                  <w:r>
                    <w:rPr>
                      <w:szCs w:val="21"/>
                      <w:vertAlign w:val="superscript"/>
                    </w:rPr>
                    <w:t>3</w:t>
                  </w:r>
                  <w:r>
                    <w:rPr>
                      <w:szCs w:val="21"/>
                    </w:rPr>
                    <w:t>/a)</w:t>
                  </w:r>
                </w:p>
              </w:tc>
              <w:tc>
                <w:tcPr>
                  <w:tcW w:w="1168" w:type="pct"/>
                  <w:vAlign w:val="center"/>
                </w:tcPr>
                <w:p>
                  <w:pPr>
                    <w:jc w:val="center"/>
                    <w:rPr>
                      <w:szCs w:val="21"/>
                    </w:rPr>
                  </w:pPr>
                  <w:r>
                    <w:rPr>
                      <w:szCs w:val="21"/>
                    </w:rPr>
                    <w:t xml:space="preserve">CODCr </w:t>
                  </w:r>
                </w:p>
                <w:p>
                  <w:pPr>
                    <w:jc w:val="center"/>
                    <w:rPr>
                      <w:szCs w:val="21"/>
                    </w:rPr>
                  </w:pPr>
                  <w:r>
                    <w:rPr>
                      <w:szCs w:val="21"/>
                    </w:rPr>
                    <w:t>BOD</w:t>
                  </w:r>
                  <w:r>
                    <w:rPr>
                      <w:szCs w:val="21"/>
                      <w:vertAlign w:val="subscript"/>
                    </w:rPr>
                    <w:t>5</w:t>
                  </w:r>
                </w:p>
                <w:p>
                  <w:pPr>
                    <w:jc w:val="center"/>
                    <w:rPr>
                      <w:szCs w:val="21"/>
                    </w:rPr>
                  </w:pPr>
                  <w:r>
                    <w:rPr>
                      <w:szCs w:val="21"/>
                    </w:rPr>
                    <w:t>SS</w:t>
                  </w:r>
                </w:p>
                <w:p>
                  <w:pPr>
                    <w:jc w:val="center"/>
                    <w:rPr>
                      <w:szCs w:val="21"/>
                    </w:rPr>
                  </w:pPr>
                  <w:r>
                    <w:rPr>
                      <w:szCs w:val="21"/>
                    </w:rPr>
                    <w:t>氨氮</w:t>
                  </w:r>
                </w:p>
                <w:p>
                  <w:pPr>
                    <w:jc w:val="center"/>
                    <w:rPr>
                      <w:szCs w:val="21"/>
                    </w:rPr>
                  </w:pPr>
                  <w:r>
                    <w:rPr>
                      <w:szCs w:val="21"/>
                    </w:rPr>
                    <w:t>总磷</w:t>
                  </w:r>
                </w:p>
              </w:tc>
              <w:tc>
                <w:tcPr>
                  <w:tcW w:w="1310" w:type="pct"/>
                  <w:vAlign w:val="center"/>
                </w:tcPr>
                <w:p>
                  <w:pPr>
                    <w:jc w:val="center"/>
                    <w:rPr>
                      <w:szCs w:val="21"/>
                    </w:rPr>
                  </w:pPr>
                  <w:r>
                    <w:rPr>
                      <w:szCs w:val="21"/>
                    </w:rPr>
                    <w:t>250</w:t>
                  </w:r>
                </w:p>
                <w:p>
                  <w:pPr>
                    <w:jc w:val="center"/>
                    <w:rPr>
                      <w:szCs w:val="21"/>
                    </w:rPr>
                  </w:pPr>
                  <w:r>
                    <w:rPr>
                      <w:szCs w:val="21"/>
                    </w:rPr>
                    <w:t>150</w:t>
                  </w:r>
                </w:p>
                <w:p>
                  <w:pPr>
                    <w:jc w:val="center"/>
                    <w:rPr>
                      <w:szCs w:val="21"/>
                    </w:rPr>
                  </w:pPr>
                  <w:r>
                    <w:rPr>
                      <w:szCs w:val="21"/>
                    </w:rPr>
                    <w:t>200</w:t>
                  </w:r>
                </w:p>
                <w:p>
                  <w:pPr>
                    <w:jc w:val="center"/>
                    <w:rPr>
                      <w:szCs w:val="21"/>
                    </w:rPr>
                  </w:pPr>
                  <w:r>
                    <w:rPr>
                      <w:szCs w:val="21"/>
                    </w:rPr>
                    <w:t>25</w:t>
                  </w:r>
                </w:p>
                <w:p>
                  <w:pPr>
                    <w:jc w:val="center"/>
                    <w:rPr>
                      <w:szCs w:val="21"/>
                    </w:rPr>
                  </w:pPr>
                  <w:r>
                    <w:rPr>
                      <w:szCs w:val="21"/>
                    </w:rPr>
                    <w:t>4</w:t>
                  </w:r>
                </w:p>
              </w:tc>
              <w:tc>
                <w:tcPr>
                  <w:tcW w:w="1096" w:type="pct"/>
                  <w:vAlign w:val="center"/>
                </w:tcPr>
                <w:p>
                  <w:pPr>
                    <w:jc w:val="center"/>
                    <w:rPr>
                      <w:szCs w:val="21"/>
                    </w:rPr>
                  </w:pPr>
                  <w:r>
                    <w:rPr>
                      <w:szCs w:val="21"/>
                    </w:rPr>
                    <w:t>0.11</w:t>
                  </w:r>
                </w:p>
                <w:p>
                  <w:pPr>
                    <w:jc w:val="center"/>
                    <w:rPr>
                      <w:szCs w:val="21"/>
                    </w:rPr>
                  </w:pPr>
                  <w:r>
                    <w:rPr>
                      <w:szCs w:val="21"/>
                    </w:rPr>
                    <w:t>0.06</w:t>
                  </w:r>
                </w:p>
                <w:p>
                  <w:pPr>
                    <w:jc w:val="center"/>
                    <w:rPr>
                      <w:szCs w:val="21"/>
                    </w:rPr>
                  </w:pPr>
                  <w:r>
                    <w:rPr>
                      <w:szCs w:val="21"/>
                    </w:rPr>
                    <w:t>0.08</w:t>
                  </w:r>
                </w:p>
                <w:p>
                  <w:pPr>
                    <w:jc w:val="center"/>
                    <w:rPr>
                      <w:szCs w:val="21"/>
                    </w:rPr>
                  </w:pPr>
                  <w:r>
                    <w:rPr>
                      <w:szCs w:val="21"/>
                    </w:rPr>
                    <w:t>0.01</w:t>
                  </w:r>
                </w:p>
                <w:p>
                  <w:pPr>
                    <w:jc w:val="center"/>
                    <w:rPr>
                      <w:szCs w:val="21"/>
                    </w:rPr>
                  </w:pPr>
                  <w:r>
                    <w:rPr>
                      <w:szCs w:val="21"/>
                    </w:rPr>
                    <w:t>0.002</w:t>
                  </w:r>
                </w:p>
              </w:tc>
            </w:tr>
          </w:tbl>
          <w:p>
            <w:pPr>
              <w:pStyle w:val="7"/>
              <w:spacing w:line="360" w:lineRule="auto"/>
              <w:ind w:firstLine="480" w:firstLineChars="200"/>
              <w:rPr>
                <w:szCs w:val="24"/>
              </w:rPr>
            </w:pPr>
            <w:r>
              <w:rPr>
                <w:szCs w:val="24"/>
              </w:rPr>
              <w:t>⑤初期雨水</w:t>
            </w:r>
          </w:p>
          <w:p>
            <w:pPr>
              <w:pStyle w:val="7"/>
              <w:spacing w:line="360" w:lineRule="auto"/>
              <w:ind w:firstLine="480" w:firstLineChars="200"/>
              <w:rPr>
                <w:b/>
                <w:bCs/>
                <w:szCs w:val="24"/>
              </w:rPr>
            </w:pPr>
            <w:r>
              <w:rPr>
                <w:szCs w:val="24"/>
              </w:rPr>
              <w:t>根据工程分析，项目初期雨水产生量为290.2m</w:t>
            </w:r>
            <w:r>
              <w:rPr>
                <w:szCs w:val="24"/>
                <w:vertAlign w:val="superscript"/>
              </w:rPr>
              <w:t>3</w:t>
            </w:r>
            <w:r>
              <w:rPr>
                <w:szCs w:val="24"/>
              </w:rPr>
              <w:t>，主要污染物为少量SS，通过设置容积为950m</w:t>
            </w:r>
            <w:r>
              <w:rPr>
                <w:szCs w:val="24"/>
                <w:vertAlign w:val="superscript"/>
              </w:rPr>
              <w:t>3</w:t>
            </w:r>
            <w:r>
              <w:rPr>
                <w:rFonts w:hint="eastAsia"/>
                <w:szCs w:val="24"/>
              </w:rPr>
              <w:t>（设计姚安县30年一遇最大降水量）</w:t>
            </w:r>
            <w:r>
              <w:rPr>
                <w:szCs w:val="24"/>
              </w:rPr>
              <w:t>的初期雨水沉淀池对前初期雨水进行沉淀处理后回用于种植基地浇灌、配肥等，对周边环境影响较小。</w:t>
            </w:r>
          </w:p>
          <w:p>
            <w:pPr>
              <w:pStyle w:val="7"/>
              <w:spacing w:line="360" w:lineRule="auto"/>
              <w:ind w:firstLine="480" w:firstLineChars="200"/>
              <w:rPr>
                <w:szCs w:val="24"/>
              </w:rPr>
            </w:pPr>
            <w:r>
              <w:rPr>
                <w:rFonts w:hint="eastAsia"/>
                <w:szCs w:val="24"/>
              </w:rPr>
              <w:t>⑥</w:t>
            </w:r>
            <w:r>
              <w:rPr>
                <w:szCs w:val="24"/>
              </w:rPr>
              <w:t>纯水制备产生浓水（W1）</w:t>
            </w:r>
          </w:p>
          <w:p>
            <w:pPr>
              <w:pStyle w:val="7"/>
              <w:spacing w:line="360" w:lineRule="auto"/>
              <w:ind w:firstLine="480" w:firstLineChars="200"/>
              <w:rPr>
                <w:szCs w:val="24"/>
              </w:rPr>
            </w:pPr>
            <w:r>
              <w:rPr>
                <w:szCs w:val="24"/>
              </w:rPr>
              <w:t>根据工程分析，纯水制备产生浓水产生量为87.52m</w:t>
            </w:r>
            <w:r>
              <w:rPr>
                <w:szCs w:val="24"/>
                <w:vertAlign w:val="superscript"/>
              </w:rPr>
              <w:t>3</w:t>
            </w:r>
            <w:r>
              <w:rPr>
                <w:szCs w:val="24"/>
              </w:rPr>
              <w:t>/d，浓水</w:t>
            </w:r>
            <w:r>
              <w:rPr>
                <w:rFonts w:hint="eastAsia"/>
                <w:szCs w:val="24"/>
              </w:rPr>
              <w:t>中污染物含量很低</w:t>
            </w:r>
            <w:r>
              <w:rPr>
                <w:szCs w:val="24"/>
              </w:rPr>
              <w:t>，</w:t>
            </w:r>
            <w:r>
              <w:rPr>
                <w:rFonts w:hint="eastAsia"/>
                <w:szCs w:val="24"/>
              </w:rPr>
              <w:t>能够满足</w:t>
            </w:r>
            <w:r>
              <w:rPr>
                <w:kern w:val="2"/>
                <w:szCs w:val="24"/>
                <w:lang w:bidi="ar"/>
              </w:rPr>
              <w:t>《城市污水再生利用-</w:t>
            </w:r>
            <w:r>
              <w:rPr>
                <w:rFonts w:hint="eastAsia"/>
                <w:kern w:val="2"/>
                <w:szCs w:val="24"/>
                <w:lang w:bidi="ar"/>
              </w:rPr>
              <w:t>农田灌溉用水水质</w:t>
            </w:r>
            <w:r>
              <w:rPr>
                <w:kern w:val="2"/>
                <w:szCs w:val="24"/>
                <w:lang w:bidi="ar"/>
              </w:rPr>
              <w:t>》（GB/T</w:t>
            </w:r>
            <w:r>
              <w:rPr>
                <w:rFonts w:hint="eastAsia"/>
                <w:kern w:val="2"/>
                <w:szCs w:val="24"/>
                <w:lang w:bidi="ar"/>
              </w:rPr>
              <w:t>20922</w:t>
            </w:r>
            <w:r>
              <w:rPr>
                <w:kern w:val="2"/>
                <w:szCs w:val="24"/>
                <w:lang w:bidi="ar"/>
              </w:rPr>
              <w:t>-20</w:t>
            </w:r>
            <w:r>
              <w:rPr>
                <w:rFonts w:hint="eastAsia"/>
                <w:kern w:val="2"/>
                <w:szCs w:val="24"/>
                <w:lang w:bidi="ar"/>
              </w:rPr>
              <w:t>07</w:t>
            </w:r>
            <w:r>
              <w:rPr>
                <w:kern w:val="2"/>
                <w:szCs w:val="24"/>
                <w:lang w:bidi="ar"/>
              </w:rPr>
              <w:t>）</w:t>
            </w:r>
            <w:r>
              <w:rPr>
                <w:rFonts w:hint="eastAsia"/>
                <w:kern w:val="2"/>
                <w:szCs w:val="24"/>
                <w:lang w:bidi="ar"/>
              </w:rPr>
              <w:t>中灌溉要求，</w:t>
            </w:r>
            <w:r>
              <w:rPr>
                <w:szCs w:val="24"/>
              </w:rPr>
              <w:t>通过收集后回用于种植灌溉，对周边环境影响较小。</w:t>
            </w:r>
          </w:p>
          <w:p>
            <w:pPr>
              <w:spacing w:line="360" w:lineRule="auto"/>
              <w:ind w:left="420" w:leftChars="200"/>
              <w:rPr>
                <w:b/>
                <w:bCs/>
                <w:sz w:val="24"/>
              </w:rPr>
            </w:pPr>
            <w:r>
              <w:rPr>
                <w:b/>
                <w:bCs/>
                <w:sz w:val="24"/>
              </w:rPr>
              <w:t>（2）废水污染防治措施：</w:t>
            </w:r>
          </w:p>
          <w:p>
            <w:pPr>
              <w:spacing w:line="360" w:lineRule="auto"/>
              <w:ind w:firstLine="480" w:firstLineChars="200"/>
              <w:rPr>
                <w:b/>
                <w:bCs/>
                <w:sz w:val="24"/>
                <w:lang w:bidi="ar"/>
              </w:rPr>
            </w:pPr>
            <w:r>
              <w:rPr>
                <w:b/>
                <w:bCs/>
                <w:sz w:val="24"/>
                <w:lang w:bidi="ar"/>
              </w:rPr>
              <w:t>1.生活废水</w:t>
            </w:r>
          </w:p>
          <w:p>
            <w:pPr>
              <w:spacing w:line="360" w:lineRule="auto"/>
              <w:ind w:firstLine="480" w:firstLineChars="200"/>
              <w:rPr>
                <w:sz w:val="24"/>
                <w:lang w:bidi="ar"/>
              </w:rPr>
            </w:pPr>
            <w:r>
              <w:rPr>
                <w:sz w:val="24"/>
                <w:lang w:bidi="ar"/>
              </w:rPr>
              <w:t>项目在食堂东部设置隔油池1座，容积为1.5m</w:t>
            </w:r>
            <w:r>
              <w:rPr>
                <w:sz w:val="24"/>
                <w:vertAlign w:val="superscript"/>
                <w:lang w:bidi="ar"/>
              </w:rPr>
              <w:t>3</w:t>
            </w:r>
            <w:r>
              <w:rPr>
                <w:sz w:val="24"/>
                <w:lang w:bidi="ar"/>
              </w:rPr>
              <w:t>，用于收集食堂含油废水；在1#卫生间旁设有化粪池，容积为20m</w:t>
            </w:r>
            <w:r>
              <w:rPr>
                <w:sz w:val="24"/>
                <w:vertAlign w:val="superscript"/>
                <w:lang w:bidi="ar"/>
              </w:rPr>
              <w:t>3</w:t>
            </w:r>
            <w:r>
              <w:rPr>
                <w:sz w:val="24"/>
                <w:lang w:bidi="ar"/>
              </w:rPr>
              <w:t>；2#卫生间旁设有化粪池，容积为10m</w:t>
            </w:r>
            <w:r>
              <w:rPr>
                <w:sz w:val="24"/>
                <w:vertAlign w:val="superscript"/>
                <w:lang w:bidi="ar"/>
              </w:rPr>
              <w:t>3</w:t>
            </w:r>
            <w:r>
              <w:rPr>
                <w:sz w:val="24"/>
                <w:lang w:bidi="ar"/>
              </w:rPr>
              <w:t>。用于收集员工生活污水。</w:t>
            </w:r>
          </w:p>
          <w:p>
            <w:pPr>
              <w:spacing w:line="360" w:lineRule="auto"/>
              <w:ind w:firstLine="480" w:firstLineChars="200"/>
              <w:rPr>
                <w:sz w:val="24"/>
                <w:lang w:bidi="ar"/>
              </w:rPr>
            </w:pPr>
            <w:r>
              <w:rPr>
                <w:sz w:val="24"/>
                <w:lang w:bidi="ar"/>
              </w:rPr>
              <w:t>1）接入姚安县第二污水处理厂之前</w:t>
            </w:r>
          </w:p>
          <w:p>
            <w:pPr>
              <w:spacing w:line="360" w:lineRule="auto"/>
              <w:ind w:firstLine="480" w:firstLineChars="200"/>
              <w:rPr>
                <w:sz w:val="24"/>
                <w:lang w:bidi="ar"/>
              </w:rPr>
            </w:pPr>
            <w:r>
              <w:rPr>
                <w:sz w:val="24"/>
                <w:lang w:bidi="ar"/>
              </w:rPr>
              <w:t>本项目食堂含油污水经隔油池隔油后与其他生活污水一起排入化粪池中处理后，进入项目自建污水处理站处理后</w:t>
            </w:r>
            <w:r>
              <w:rPr>
                <w:rFonts w:hint="eastAsia"/>
                <w:sz w:val="24"/>
                <w:lang w:bidi="ar"/>
              </w:rPr>
              <w:t>达到</w:t>
            </w:r>
            <w:r>
              <w:rPr>
                <w:sz w:val="24"/>
                <w:lang w:bidi="ar"/>
              </w:rPr>
              <w:t>《城市污水再生利用-</w:t>
            </w:r>
            <w:r>
              <w:rPr>
                <w:rFonts w:hint="eastAsia"/>
                <w:sz w:val="24"/>
                <w:lang w:bidi="ar"/>
              </w:rPr>
              <w:t>农田灌溉用水水质</w:t>
            </w:r>
            <w:r>
              <w:rPr>
                <w:sz w:val="24"/>
                <w:lang w:bidi="ar"/>
              </w:rPr>
              <w:t>》（GB/T</w:t>
            </w:r>
            <w:r>
              <w:rPr>
                <w:rFonts w:hint="eastAsia"/>
                <w:sz w:val="24"/>
                <w:lang w:bidi="ar"/>
              </w:rPr>
              <w:t>20922</w:t>
            </w:r>
            <w:r>
              <w:rPr>
                <w:sz w:val="24"/>
                <w:lang w:bidi="ar"/>
              </w:rPr>
              <w:t>-20</w:t>
            </w:r>
            <w:r>
              <w:rPr>
                <w:rFonts w:hint="eastAsia"/>
                <w:sz w:val="24"/>
                <w:lang w:bidi="ar"/>
              </w:rPr>
              <w:t>07</w:t>
            </w:r>
            <w:r>
              <w:rPr>
                <w:sz w:val="24"/>
                <w:lang w:bidi="ar"/>
              </w:rPr>
              <w:t>）回用于种植基地浇灌，对</w:t>
            </w:r>
            <w:r>
              <w:rPr>
                <w:rFonts w:hint="eastAsia"/>
                <w:sz w:val="24"/>
                <w:lang w:bidi="ar"/>
              </w:rPr>
              <w:t>周边</w:t>
            </w:r>
            <w:r>
              <w:rPr>
                <w:sz w:val="24"/>
                <w:lang w:bidi="ar"/>
              </w:rPr>
              <w:t>环境影响较小。</w:t>
            </w:r>
          </w:p>
          <w:p>
            <w:pPr>
              <w:spacing w:line="360" w:lineRule="auto"/>
              <w:ind w:firstLine="480" w:firstLineChars="200"/>
              <w:rPr>
                <w:sz w:val="24"/>
                <w:lang w:bidi="ar"/>
              </w:rPr>
            </w:pPr>
            <w:r>
              <w:rPr>
                <w:sz w:val="24"/>
                <w:lang w:bidi="ar"/>
              </w:rPr>
              <w:t>2）接入姚安县第二污水处理厂之后</w:t>
            </w:r>
          </w:p>
          <w:p>
            <w:pPr>
              <w:spacing w:line="360" w:lineRule="auto"/>
              <w:ind w:firstLine="480" w:firstLineChars="200"/>
              <w:rPr>
                <w:sz w:val="24"/>
                <w:lang w:bidi="ar"/>
              </w:rPr>
            </w:pPr>
            <w:r>
              <w:rPr>
                <w:sz w:val="24"/>
                <w:lang w:bidi="ar"/>
              </w:rPr>
              <w:t>项目食堂废水经过隔油池处理后进入化粪池处理，之后排入园区污水管网，进入污水处理厂进行处理；员工生活污水经过化粪池处理后排入污水管网，进入姚安县第二污水处理厂进行处理，执行《污水排入城镇下水道水质标准》（GB/T31962-2015）A等级标准。对环境影响较小。</w:t>
            </w:r>
          </w:p>
          <w:p>
            <w:pPr>
              <w:numPr>
                <w:ilvl w:val="0"/>
                <w:numId w:val="7"/>
              </w:numPr>
              <w:spacing w:line="360" w:lineRule="auto"/>
              <w:ind w:firstLine="480" w:firstLineChars="200"/>
              <w:rPr>
                <w:b/>
                <w:bCs/>
                <w:sz w:val="24"/>
                <w:lang w:bidi="ar"/>
              </w:rPr>
            </w:pPr>
            <w:r>
              <w:rPr>
                <w:b/>
                <w:bCs/>
                <w:sz w:val="24"/>
                <w:lang w:bidi="ar"/>
              </w:rPr>
              <w:t>生产废水</w:t>
            </w:r>
          </w:p>
          <w:p>
            <w:pPr>
              <w:spacing w:line="360" w:lineRule="auto"/>
              <w:ind w:firstLine="480" w:firstLineChars="200"/>
              <w:rPr>
                <w:sz w:val="24"/>
                <w:lang w:bidi="ar"/>
              </w:rPr>
            </w:pPr>
            <w:r>
              <w:rPr>
                <w:sz w:val="24"/>
                <w:lang w:bidi="ar"/>
              </w:rPr>
              <w:t>①包花预清洗废水</w:t>
            </w:r>
          </w:p>
          <w:p>
            <w:pPr>
              <w:spacing w:line="360" w:lineRule="auto"/>
              <w:ind w:firstLine="480" w:firstLineChars="200"/>
              <w:rPr>
                <w:sz w:val="24"/>
                <w:lang w:bidi="ar"/>
              </w:rPr>
            </w:pPr>
            <w:r>
              <w:rPr>
                <w:sz w:val="24"/>
                <w:lang w:bidi="ar"/>
              </w:rPr>
              <w:t>清洗废水中主要污染物为少量的SS，产生的废水经沉淀后回用于种植灌溉。</w:t>
            </w:r>
          </w:p>
          <w:p>
            <w:pPr>
              <w:spacing w:line="360" w:lineRule="auto"/>
              <w:ind w:firstLine="480" w:firstLineChars="200"/>
              <w:rPr>
                <w:sz w:val="24"/>
                <w:lang w:bidi="ar"/>
              </w:rPr>
            </w:pPr>
            <w:r>
              <w:rPr>
                <w:sz w:val="24"/>
                <w:lang w:bidi="ar"/>
              </w:rPr>
              <w:t>②种植浇灌渗出水</w:t>
            </w:r>
          </w:p>
          <w:p>
            <w:pPr>
              <w:spacing w:line="360" w:lineRule="auto"/>
              <w:ind w:firstLine="480" w:firstLineChars="200"/>
              <w:rPr>
                <w:sz w:val="24"/>
                <w:lang w:bidi="ar"/>
              </w:rPr>
            </w:pPr>
            <w:r>
              <w:rPr>
                <w:sz w:val="24"/>
                <w:lang w:bidi="ar"/>
              </w:rPr>
              <w:t>种植浇灌渗出水产生废水通过收集沉淀后回用于水肥系统。</w:t>
            </w:r>
          </w:p>
          <w:p>
            <w:pPr>
              <w:spacing w:line="360" w:lineRule="auto"/>
              <w:ind w:firstLine="480" w:firstLineChars="200"/>
              <w:rPr>
                <w:sz w:val="24"/>
                <w:lang w:bidi="ar"/>
              </w:rPr>
            </w:pPr>
            <w:r>
              <w:rPr>
                <w:sz w:val="24"/>
                <w:lang w:bidi="ar"/>
              </w:rPr>
              <w:t>③锅炉废水</w:t>
            </w:r>
          </w:p>
          <w:p>
            <w:pPr>
              <w:spacing w:line="360" w:lineRule="auto"/>
              <w:ind w:firstLine="480" w:firstLineChars="200"/>
              <w:rPr>
                <w:sz w:val="24"/>
                <w:lang w:bidi="ar"/>
              </w:rPr>
            </w:pPr>
            <w:r>
              <w:rPr>
                <w:sz w:val="24"/>
                <w:lang w:bidi="ar"/>
              </w:rPr>
              <w:t>锅炉废水通过收集沉淀后回用于种植灌溉，对周边环境影响较小。</w:t>
            </w:r>
          </w:p>
          <w:p>
            <w:pPr>
              <w:spacing w:line="360" w:lineRule="auto"/>
              <w:ind w:firstLine="480" w:firstLineChars="200"/>
              <w:rPr>
                <w:sz w:val="24"/>
                <w:lang w:bidi="ar"/>
              </w:rPr>
            </w:pPr>
            <w:r>
              <w:rPr>
                <w:sz w:val="24"/>
                <w:lang w:bidi="ar"/>
              </w:rPr>
              <w:t>⑤初期雨水</w:t>
            </w:r>
          </w:p>
          <w:p>
            <w:pPr>
              <w:pStyle w:val="13"/>
              <w:spacing w:line="360" w:lineRule="auto"/>
              <w:ind w:firstLine="480" w:firstLineChars="200"/>
              <w:rPr>
                <w:rFonts w:ascii="Times New Roman" w:hAnsi="Times New Roman"/>
                <w:sz w:val="24"/>
                <w:lang w:bidi="ar"/>
              </w:rPr>
            </w:pPr>
            <w:r>
              <w:rPr>
                <w:rFonts w:ascii="Times New Roman" w:hAnsi="Times New Roman"/>
                <w:sz w:val="24"/>
                <w:lang w:bidi="ar"/>
              </w:rPr>
              <w:t>初期雨水沉淀池对前初期雨水进行收集沉淀处理后回用于种植基地浇灌、配肥等，对周边环境影响较小。</w:t>
            </w:r>
          </w:p>
          <w:p>
            <w:pPr>
              <w:pStyle w:val="13"/>
              <w:spacing w:line="360" w:lineRule="auto"/>
              <w:ind w:firstLine="480" w:firstLineChars="200"/>
              <w:rPr>
                <w:rFonts w:ascii="Times New Roman" w:hAnsi="Times New Roman"/>
                <w:sz w:val="24"/>
                <w:szCs w:val="32"/>
                <w:lang w:bidi="ar"/>
              </w:rPr>
            </w:pPr>
            <w:r>
              <w:rPr>
                <w:rFonts w:hint="eastAsia" w:ascii="Times New Roman" w:hAnsi="Times New Roman"/>
                <w:sz w:val="24"/>
                <w:szCs w:val="32"/>
                <w:lang w:bidi="ar"/>
              </w:rPr>
              <w:t>⑥</w:t>
            </w:r>
            <w:r>
              <w:rPr>
                <w:rFonts w:ascii="Times New Roman" w:hAnsi="Times New Roman"/>
                <w:sz w:val="24"/>
                <w:szCs w:val="32"/>
                <w:lang w:bidi="ar"/>
              </w:rPr>
              <w:t>纯水制备产生浓水</w:t>
            </w:r>
          </w:p>
          <w:p>
            <w:pPr>
              <w:spacing w:line="360" w:lineRule="auto"/>
              <w:ind w:firstLine="480" w:firstLineChars="200"/>
            </w:pPr>
            <w:r>
              <w:rPr>
                <w:sz w:val="24"/>
                <w:lang w:bidi="ar"/>
              </w:rPr>
              <w:t>浓水通过收集沉淀后回用于种植灌溉，</w:t>
            </w:r>
            <w:r>
              <w:rPr>
                <w:rFonts w:hint="eastAsia"/>
                <w:sz w:val="24"/>
                <w:lang w:bidi="ar"/>
              </w:rPr>
              <w:t>浓水主要含全盐量，根据</w:t>
            </w:r>
            <w:r>
              <w:rPr>
                <w:sz w:val="24"/>
              </w:rPr>
              <w:t>《城市污水再生利用-</w:t>
            </w:r>
            <w:r>
              <w:rPr>
                <w:rFonts w:hint="eastAsia"/>
                <w:sz w:val="24"/>
              </w:rPr>
              <w:t>农田灌溉用水水质</w:t>
            </w:r>
            <w:r>
              <w:rPr>
                <w:sz w:val="24"/>
              </w:rPr>
              <w:t>》（GB/T</w:t>
            </w:r>
            <w:r>
              <w:rPr>
                <w:rFonts w:hint="eastAsia"/>
                <w:sz w:val="24"/>
              </w:rPr>
              <w:t>20922</w:t>
            </w:r>
            <w:r>
              <w:rPr>
                <w:sz w:val="24"/>
              </w:rPr>
              <w:t>-20</w:t>
            </w:r>
            <w:r>
              <w:rPr>
                <w:rFonts w:hint="eastAsia"/>
                <w:sz w:val="24"/>
              </w:rPr>
              <w:t>07</w:t>
            </w:r>
            <w:r>
              <w:rPr>
                <w:sz w:val="24"/>
              </w:rPr>
              <w:t>）</w:t>
            </w:r>
            <w:r>
              <w:rPr>
                <w:rFonts w:hint="eastAsia"/>
                <w:sz w:val="24"/>
              </w:rPr>
              <w:t>，其中并没有对全盐量进行要求，可以使用浓水进行灌溉，</w:t>
            </w:r>
            <w:r>
              <w:rPr>
                <w:sz w:val="24"/>
                <w:lang w:bidi="ar"/>
              </w:rPr>
              <w:t>对周边环境影响较小。</w:t>
            </w:r>
          </w:p>
          <w:p>
            <w:pPr>
              <w:spacing w:line="360" w:lineRule="auto"/>
              <w:ind w:firstLine="480" w:firstLineChars="200"/>
              <w:rPr>
                <w:b/>
                <w:bCs/>
                <w:sz w:val="24"/>
                <w:lang w:bidi="ar"/>
              </w:rPr>
            </w:pPr>
            <w:r>
              <w:rPr>
                <w:b/>
                <w:bCs/>
                <w:sz w:val="24"/>
                <w:lang w:bidi="ar"/>
              </w:rPr>
              <w:t>（3）废水处理的可行性分析</w:t>
            </w:r>
          </w:p>
          <w:p>
            <w:pPr>
              <w:spacing w:line="360" w:lineRule="auto"/>
              <w:ind w:firstLine="480" w:firstLineChars="200"/>
              <w:rPr>
                <w:sz w:val="24"/>
                <w:lang w:bidi="ar"/>
              </w:rPr>
            </w:pPr>
            <w:r>
              <w:rPr>
                <w:sz w:val="24"/>
                <w:lang w:bidi="ar"/>
              </w:rPr>
              <w:t>①包花预清洗废水</w:t>
            </w:r>
          </w:p>
          <w:p>
            <w:pPr>
              <w:spacing w:line="360" w:lineRule="auto"/>
              <w:ind w:firstLine="480" w:firstLineChars="200"/>
              <w:rPr>
                <w:sz w:val="24"/>
                <w:lang w:bidi="ar"/>
              </w:rPr>
            </w:pPr>
            <w:r>
              <w:rPr>
                <w:sz w:val="24"/>
                <w:lang w:bidi="ar"/>
              </w:rPr>
              <w:t>清洗废水中主要污染物为少量的SS，产生的废水经过沉淀池沉淀处理后回用于种植灌溉，沉淀池、收集池等治理设施容积满足要求，措施可行。</w:t>
            </w:r>
          </w:p>
          <w:p>
            <w:pPr>
              <w:spacing w:line="360" w:lineRule="auto"/>
              <w:ind w:firstLine="480" w:firstLineChars="200"/>
              <w:rPr>
                <w:sz w:val="24"/>
                <w:lang w:bidi="ar"/>
              </w:rPr>
            </w:pPr>
            <w:r>
              <w:rPr>
                <w:sz w:val="24"/>
                <w:lang w:bidi="ar"/>
              </w:rPr>
              <w:t>②种植浇灌渗出水</w:t>
            </w:r>
          </w:p>
          <w:p>
            <w:pPr>
              <w:spacing w:line="360" w:lineRule="auto"/>
              <w:ind w:firstLine="480" w:firstLineChars="200"/>
              <w:rPr>
                <w:sz w:val="24"/>
                <w:lang w:bidi="ar"/>
              </w:rPr>
            </w:pPr>
            <w:r>
              <w:rPr>
                <w:sz w:val="24"/>
                <w:lang w:bidi="ar"/>
              </w:rPr>
              <w:t>种植浇灌渗出水废水通过收集沉淀后回用于水肥系统，措施可行。</w:t>
            </w:r>
          </w:p>
          <w:p>
            <w:pPr>
              <w:spacing w:line="360" w:lineRule="auto"/>
              <w:ind w:firstLine="480" w:firstLineChars="200"/>
              <w:rPr>
                <w:sz w:val="24"/>
                <w:lang w:bidi="ar"/>
              </w:rPr>
            </w:pPr>
            <w:r>
              <w:rPr>
                <w:sz w:val="24"/>
                <w:lang w:bidi="ar"/>
              </w:rPr>
              <w:t>③锅炉废水</w:t>
            </w:r>
          </w:p>
          <w:p>
            <w:pPr>
              <w:spacing w:line="360" w:lineRule="auto"/>
              <w:ind w:firstLine="480" w:firstLineChars="200"/>
              <w:rPr>
                <w:sz w:val="24"/>
                <w:lang w:bidi="ar"/>
              </w:rPr>
            </w:pPr>
            <w:r>
              <w:rPr>
                <w:sz w:val="24"/>
                <w:lang w:bidi="ar"/>
              </w:rPr>
              <w:t>锅炉废水通过收集沉淀后回用于种植灌溉，措施可行。</w:t>
            </w:r>
          </w:p>
          <w:p>
            <w:pPr>
              <w:spacing w:line="360" w:lineRule="auto"/>
              <w:ind w:firstLine="480" w:firstLineChars="200"/>
              <w:rPr>
                <w:sz w:val="24"/>
                <w:lang w:bidi="ar"/>
              </w:rPr>
            </w:pPr>
            <w:r>
              <w:rPr>
                <w:sz w:val="24"/>
                <w:lang w:bidi="ar"/>
              </w:rPr>
              <w:t>④生活污水</w:t>
            </w:r>
          </w:p>
          <w:p>
            <w:pPr>
              <w:spacing w:line="360" w:lineRule="auto"/>
              <w:ind w:firstLine="480" w:firstLineChars="200"/>
              <w:rPr>
                <w:sz w:val="24"/>
                <w:lang w:bidi="ar"/>
              </w:rPr>
            </w:pPr>
            <w:r>
              <w:rPr>
                <w:sz w:val="24"/>
                <w:lang w:bidi="ar"/>
              </w:rPr>
              <w:t>本项目废水主要为生活废水和食堂废水。污水处理站处理工艺采用“A</w:t>
            </w:r>
            <w:r>
              <w:rPr>
                <w:sz w:val="24"/>
                <w:vertAlign w:val="superscript"/>
                <w:lang w:bidi="ar"/>
              </w:rPr>
              <w:t>2</w:t>
            </w:r>
            <w:r>
              <w:rPr>
                <w:sz w:val="24"/>
                <w:lang w:bidi="ar"/>
              </w:rPr>
              <w:t>/O+MBR”进行处理，处理规模不小于</w:t>
            </w:r>
            <w:r>
              <w:rPr>
                <w:rFonts w:hint="eastAsia"/>
                <w:sz w:val="24"/>
                <w:lang w:bidi="ar"/>
              </w:rPr>
              <w:t>5</w:t>
            </w:r>
            <w:r>
              <w:rPr>
                <w:sz w:val="24"/>
                <w:lang w:bidi="ar"/>
              </w:rPr>
              <w:t>m</w:t>
            </w:r>
            <w:r>
              <w:rPr>
                <w:sz w:val="24"/>
                <w:vertAlign w:val="superscript"/>
                <w:lang w:bidi="ar"/>
              </w:rPr>
              <w:t>3</w:t>
            </w:r>
            <w:r>
              <w:rPr>
                <w:sz w:val="24"/>
                <w:lang w:bidi="ar"/>
              </w:rPr>
              <w:t>/天，可行性分析如下：</w:t>
            </w:r>
          </w:p>
          <w:p>
            <w:pPr>
              <w:spacing w:line="360" w:lineRule="auto"/>
              <w:ind w:firstLine="480" w:firstLineChars="200"/>
              <w:rPr>
                <w:sz w:val="24"/>
                <w:lang w:bidi="ar"/>
              </w:rPr>
            </w:pPr>
            <w:r>
              <w:rPr>
                <w:sz w:val="24"/>
                <w:lang w:bidi="ar"/>
              </w:rPr>
              <w:t>1）接入姚安县第二污水处理厂之前</w:t>
            </w:r>
          </w:p>
          <w:p>
            <w:pPr>
              <w:spacing w:line="360" w:lineRule="auto"/>
              <w:ind w:firstLine="480" w:firstLineChars="200"/>
              <w:rPr>
                <w:sz w:val="24"/>
                <w:lang w:bidi="ar"/>
              </w:rPr>
            </w:pPr>
            <w:r>
              <w:rPr>
                <w:sz w:val="24"/>
                <w:lang w:bidi="ar"/>
              </w:rPr>
              <w:t>根据工程分析，项目食堂废水产生量为0.84m</w:t>
            </w:r>
            <w:r>
              <w:rPr>
                <w:sz w:val="24"/>
                <w:vertAlign w:val="superscript"/>
                <w:lang w:bidi="ar"/>
              </w:rPr>
              <w:t>3</w:t>
            </w:r>
            <w:r>
              <w:rPr>
                <w:sz w:val="24"/>
                <w:lang w:bidi="ar"/>
              </w:rPr>
              <w:t>/d，383.25m</w:t>
            </w:r>
            <w:r>
              <w:rPr>
                <w:sz w:val="24"/>
                <w:vertAlign w:val="superscript"/>
                <w:lang w:bidi="ar"/>
              </w:rPr>
              <w:t>3</w:t>
            </w:r>
            <w:r>
              <w:rPr>
                <w:sz w:val="24"/>
                <w:lang w:bidi="ar"/>
              </w:rPr>
              <w:t>/a，项目生活污水产生量为2.24m</w:t>
            </w:r>
            <w:r>
              <w:rPr>
                <w:sz w:val="24"/>
                <w:vertAlign w:val="superscript"/>
                <w:lang w:bidi="ar"/>
              </w:rPr>
              <w:t>3</w:t>
            </w:r>
            <w:r>
              <w:rPr>
                <w:sz w:val="24"/>
                <w:lang w:bidi="ar"/>
              </w:rPr>
              <w:t>/d，817.6m</w:t>
            </w:r>
            <w:r>
              <w:rPr>
                <w:sz w:val="24"/>
                <w:vertAlign w:val="superscript"/>
                <w:lang w:bidi="ar"/>
              </w:rPr>
              <w:t>3</w:t>
            </w:r>
            <w:r>
              <w:rPr>
                <w:sz w:val="24"/>
                <w:lang w:bidi="ar"/>
              </w:rPr>
              <w:t>/a。本项目食堂含油污水经隔油池</w:t>
            </w:r>
            <w:r>
              <w:rPr>
                <w:rFonts w:hint="eastAsia"/>
                <w:sz w:val="24"/>
                <w:lang w:bidi="ar"/>
              </w:rPr>
              <w:t>处理</w:t>
            </w:r>
            <w:r>
              <w:rPr>
                <w:sz w:val="24"/>
                <w:lang w:bidi="ar"/>
              </w:rPr>
              <w:t>后与其他生活污水一起排入化粪池中处理后，进入项目自建污水处理站处理后</w:t>
            </w:r>
            <w:r>
              <w:rPr>
                <w:rFonts w:hint="eastAsia"/>
                <w:sz w:val="24"/>
                <w:lang w:bidi="ar"/>
              </w:rPr>
              <w:t>达到</w:t>
            </w:r>
            <w:r>
              <w:rPr>
                <w:sz w:val="24"/>
                <w:lang w:bidi="ar"/>
              </w:rPr>
              <w:t>《城市污水再生利用-</w:t>
            </w:r>
            <w:r>
              <w:rPr>
                <w:rFonts w:hint="eastAsia"/>
                <w:sz w:val="24"/>
                <w:lang w:bidi="ar"/>
              </w:rPr>
              <w:t>农田灌溉用水水质</w:t>
            </w:r>
            <w:r>
              <w:rPr>
                <w:sz w:val="24"/>
                <w:lang w:bidi="ar"/>
              </w:rPr>
              <w:t>》（GB/T</w:t>
            </w:r>
            <w:r>
              <w:rPr>
                <w:rFonts w:hint="eastAsia"/>
                <w:sz w:val="24"/>
                <w:lang w:bidi="ar"/>
              </w:rPr>
              <w:t>20922</w:t>
            </w:r>
            <w:r>
              <w:rPr>
                <w:sz w:val="24"/>
                <w:lang w:bidi="ar"/>
              </w:rPr>
              <w:t>-20</w:t>
            </w:r>
            <w:r>
              <w:rPr>
                <w:rFonts w:hint="eastAsia"/>
                <w:sz w:val="24"/>
                <w:lang w:bidi="ar"/>
              </w:rPr>
              <w:t>07</w:t>
            </w:r>
            <w:r>
              <w:rPr>
                <w:sz w:val="24"/>
                <w:lang w:bidi="ar"/>
              </w:rPr>
              <w:t>）标准回用于种植基地浇灌。</w:t>
            </w:r>
          </w:p>
          <w:p>
            <w:pPr>
              <w:snapToGrid w:val="0"/>
              <w:spacing w:line="360" w:lineRule="auto"/>
              <w:jc w:val="center"/>
              <w:rPr>
                <w:b/>
                <w:bCs/>
                <w:sz w:val="24"/>
              </w:rPr>
            </w:pPr>
            <w:r>
              <w:rPr>
                <w:b/>
                <w:bCs/>
                <w:sz w:val="24"/>
              </w:rPr>
              <w:t>表4-4 食堂废水达标分析表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807"/>
              <w:gridCol w:w="2399"/>
              <w:gridCol w:w="903"/>
              <w:gridCol w:w="830"/>
              <w:gridCol w:w="791"/>
              <w:gridCol w:w="791"/>
              <w:gridCol w:w="110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047" w:type="pct"/>
                  <w:tcBorders>
                    <w:tl2br w:val="nil"/>
                    <w:tr2bl w:val="nil"/>
                  </w:tcBorders>
                  <w:vAlign w:val="center"/>
                </w:tcPr>
                <w:p>
                  <w:pPr>
                    <w:jc w:val="center"/>
                    <w:rPr>
                      <w:b/>
                      <w:bCs/>
                      <w:szCs w:val="21"/>
                    </w:rPr>
                  </w:pPr>
                  <w:r>
                    <w:rPr>
                      <w:b/>
                      <w:bCs/>
                      <w:szCs w:val="21"/>
                    </w:rPr>
                    <w:t>排放源</w:t>
                  </w:r>
                </w:p>
              </w:tc>
              <w:tc>
                <w:tcPr>
                  <w:tcW w:w="1390" w:type="pct"/>
                  <w:tcBorders>
                    <w:tl2br w:val="nil"/>
                    <w:tr2bl w:val="nil"/>
                  </w:tcBorders>
                  <w:vAlign w:val="center"/>
                </w:tcPr>
                <w:p>
                  <w:pPr>
                    <w:jc w:val="center"/>
                    <w:rPr>
                      <w:b/>
                      <w:bCs/>
                      <w:szCs w:val="21"/>
                    </w:rPr>
                  </w:pPr>
                  <w:r>
                    <w:rPr>
                      <w:b/>
                      <w:bCs/>
                      <w:szCs w:val="21"/>
                    </w:rPr>
                    <w:t>污染物名称</w:t>
                  </w:r>
                </w:p>
              </w:tc>
              <w:tc>
                <w:tcPr>
                  <w:tcW w:w="523" w:type="pct"/>
                  <w:tcBorders>
                    <w:tl2br w:val="nil"/>
                    <w:tr2bl w:val="nil"/>
                  </w:tcBorders>
                  <w:vAlign w:val="center"/>
                </w:tcPr>
                <w:p>
                  <w:pPr>
                    <w:jc w:val="center"/>
                    <w:rPr>
                      <w:b/>
                      <w:bCs/>
                      <w:szCs w:val="21"/>
                    </w:rPr>
                  </w:pPr>
                  <w:r>
                    <w:rPr>
                      <w:b/>
                      <w:bCs/>
                      <w:szCs w:val="21"/>
                    </w:rPr>
                    <w:t>COD</w:t>
                  </w:r>
                  <w:r>
                    <w:rPr>
                      <w:b/>
                      <w:bCs/>
                      <w:szCs w:val="21"/>
                      <w:vertAlign w:val="subscript"/>
                    </w:rPr>
                    <w:t>cr</w:t>
                  </w:r>
                </w:p>
              </w:tc>
              <w:tc>
                <w:tcPr>
                  <w:tcW w:w="481" w:type="pct"/>
                  <w:tcBorders>
                    <w:tl2br w:val="nil"/>
                    <w:tr2bl w:val="nil"/>
                  </w:tcBorders>
                  <w:vAlign w:val="center"/>
                </w:tcPr>
                <w:p>
                  <w:pPr>
                    <w:jc w:val="center"/>
                    <w:rPr>
                      <w:b/>
                      <w:bCs/>
                      <w:szCs w:val="21"/>
                    </w:rPr>
                  </w:pPr>
                  <w:r>
                    <w:rPr>
                      <w:b/>
                      <w:bCs/>
                      <w:szCs w:val="21"/>
                    </w:rPr>
                    <w:t>BOD</w:t>
                  </w:r>
                  <w:r>
                    <w:rPr>
                      <w:b/>
                      <w:bCs/>
                      <w:szCs w:val="21"/>
                      <w:vertAlign w:val="subscript"/>
                    </w:rPr>
                    <w:t>5</w:t>
                  </w:r>
                </w:p>
              </w:tc>
              <w:tc>
                <w:tcPr>
                  <w:tcW w:w="458" w:type="pct"/>
                  <w:tcBorders>
                    <w:tl2br w:val="nil"/>
                    <w:tr2bl w:val="nil"/>
                  </w:tcBorders>
                  <w:vAlign w:val="center"/>
                </w:tcPr>
                <w:p>
                  <w:pPr>
                    <w:jc w:val="center"/>
                    <w:rPr>
                      <w:b/>
                      <w:bCs/>
                      <w:szCs w:val="21"/>
                    </w:rPr>
                  </w:pPr>
                  <w:r>
                    <w:rPr>
                      <w:b/>
                      <w:bCs/>
                      <w:szCs w:val="21"/>
                    </w:rPr>
                    <w:t>SS</w:t>
                  </w:r>
                </w:p>
              </w:tc>
              <w:tc>
                <w:tcPr>
                  <w:tcW w:w="458" w:type="pct"/>
                  <w:tcBorders>
                    <w:tl2br w:val="nil"/>
                    <w:tr2bl w:val="nil"/>
                  </w:tcBorders>
                  <w:vAlign w:val="center"/>
                </w:tcPr>
                <w:p>
                  <w:pPr>
                    <w:jc w:val="center"/>
                    <w:rPr>
                      <w:b/>
                      <w:bCs/>
                      <w:szCs w:val="21"/>
                    </w:rPr>
                  </w:pPr>
                  <w:r>
                    <w:rPr>
                      <w:b/>
                      <w:bCs/>
                      <w:szCs w:val="21"/>
                    </w:rPr>
                    <w:t>氨氮</w:t>
                  </w:r>
                </w:p>
              </w:tc>
              <w:tc>
                <w:tcPr>
                  <w:tcW w:w="642" w:type="pct"/>
                  <w:tcBorders>
                    <w:tl2br w:val="nil"/>
                    <w:tr2bl w:val="nil"/>
                  </w:tcBorders>
                  <w:vAlign w:val="center"/>
                </w:tcPr>
                <w:p>
                  <w:pPr>
                    <w:jc w:val="center"/>
                    <w:rPr>
                      <w:b/>
                      <w:bCs/>
                      <w:szCs w:val="21"/>
                    </w:rPr>
                  </w:pPr>
                  <w:r>
                    <w:rPr>
                      <w:b/>
                      <w:bCs/>
                      <w:szCs w:val="21"/>
                    </w:rPr>
                    <w:t>动植物油</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47" w:type="pct"/>
                  <w:vMerge w:val="restart"/>
                  <w:tcBorders>
                    <w:tl2br w:val="nil"/>
                    <w:tr2bl w:val="nil"/>
                  </w:tcBorders>
                  <w:vAlign w:val="center"/>
                </w:tcPr>
                <w:p>
                  <w:pPr>
                    <w:jc w:val="center"/>
                    <w:rPr>
                      <w:szCs w:val="21"/>
                    </w:rPr>
                  </w:pPr>
                  <w:r>
                    <w:rPr>
                      <w:szCs w:val="21"/>
                    </w:rPr>
                    <w:t>食堂污水（Q=0.84m</w:t>
                  </w:r>
                  <w:r>
                    <w:rPr>
                      <w:szCs w:val="21"/>
                      <w:vertAlign w:val="superscript"/>
                    </w:rPr>
                    <w:t>3</w:t>
                  </w:r>
                  <w:r>
                    <w:rPr>
                      <w:szCs w:val="21"/>
                    </w:rPr>
                    <w:t>/d，383.25m</w:t>
                  </w:r>
                  <w:r>
                    <w:rPr>
                      <w:szCs w:val="21"/>
                      <w:vertAlign w:val="superscript"/>
                    </w:rPr>
                    <w:t>3</w:t>
                  </w:r>
                  <w:r>
                    <w:rPr>
                      <w:szCs w:val="21"/>
                    </w:rPr>
                    <w:t>/a）</w:t>
                  </w:r>
                </w:p>
              </w:tc>
              <w:tc>
                <w:tcPr>
                  <w:tcW w:w="1390" w:type="pct"/>
                  <w:tcBorders>
                    <w:tl2br w:val="nil"/>
                    <w:tr2bl w:val="nil"/>
                  </w:tcBorders>
                  <w:vAlign w:val="center"/>
                </w:tcPr>
                <w:p>
                  <w:pPr>
                    <w:jc w:val="center"/>
                    <w:rPr>
                      <w:szCs w:val="21"/>
                    </w:rPr>
                  </w:pPr>
                  <w:r>
                    <w:rPr>
                      <w:szCs w:val="21"/>
                    </w:rPr>
                    <w:t>隔油池入口浓度（mg/L）</w:t>
                  </w:r>
                </w:p>
              </w:tc>
              <w:tc>
                <w:tcPr>
                  <w:tcW w:w="523" w:type="pct"/>
                  <w:tcBorders>
                    <w:tl2br w:val="nil"/>
                    <w:tr2bl w:val="nil"/>
                  </w:tcBorders>
                  <w:vAlign w:val="center"/>
                </w:tcPr>
                <w:p>
                  <w:pPr>
                    <w:jc w:val="center"/>
                    <w:rPr>
                      <w:szCs w:val="21"/>
                    </w:rPr>
                  </w:pPr>
                  <w:r>
                    <w:rPr>
                      <w:szCs w:val="21"/>
                    </w:rPr>
                    <w:t>400</w:t>
                  </w:r>
                </w:p>
              </w:tc>
              <w:tc>
                <w:tcPr>
                  <w:tcW w:w="481" w:type="pct"/>
                  <w:tcBorders>
                    <w:tl2br w:val="nil"/>
                    <w:tr2bl w:val="nil"/>
                  </w:tcBorders>
                  <w:vAlign w:val="center"/>
                </w:tcPr>
                <w:p>
                  <w:pPr>
                    <w:jc w:val="center"/>
                    <w:rPr>
                      <w:szCs w:val="21"/>
                    </w:rPr>
                  </w:pPr>
                  <w:r>
                    <w:rPr>
                      <w:szCs w:val="21"/>
                    </w:rPr>
                    <w:t>300</w:t>
                  </w:r>
                </w:p>
              </w:tc>
              <w:tc>
                <w:tcPr>
                  <w:tcW w:w="458" w:type="pct"/>
                  <w:tcBorders>
                    <w:tl2br w:val="nil"/>
                    <w:tr2bl w:val="nil"/>
                  </w:tcBorders>
                  <w:vAlign w:val="center"/>
                </w:tcPr>
                <w:p>
                  <w:pPr>
                    <w:jc w:val="center"/>
                    <w:rPr>
                      <w:szCs w:val="21"/>
                    </w:rPr>
                  </w:pPr>
                  <w:r>
                    <w:rPr>
                      <w:szCs w:val="21"/>
                    </w:rPr>
                    <w:t>200</w:t>
                  </w:r>
                </w:p>
              </w:tc>
              <w:tc>
                <w:tcPr>
                  <w:tcW w:w="458" w:type="pct"/>
                  <w:tcBorders>
                    <w:tl2br w:val="nil"/>
                    <w:tr2bl w:val="nil"/>
                  </w:tcBorders>
                  <w:vAlign w:val="center"/>
                </w:tcPr>
                <w:p>
                  <w:pPr>
                    <w:jc w:val="center"/>
                    <w:rPr>
                      <w:szCs w:val="21"/>
                    </w:rPr>
                  </w:pPr>
                  <w:r>
                    <w:rPr>
                      <w:szCs w:val="21"/>
                    </w:rPr>
                    <w:t>25</w:t>
                  </w:r>
                </w:p>
              </w:tc>
              <w:tc>
                <w:tcPr>
                  <w:tcW w:w="642" w:type="pct"/>
                  <w:tcBorders>
                    <w:tl2br w:val="nil"/>
                    <w:tr2bl w:val="nil"/>
                  </w:tcBorders>
                  <w:vAlign w:val="center"/>
                </w:tcPr>
                <w:p>
                  <w:pPr>
                    <w:jc w:val="center"/>
                    <w:rPr>
                      <w:szCs w:val="21"/>
                    </w:rPr>
                  </w:pPr>
                  <w:r>
                    <w:rPr>
                      <w:szCs w:val="21"/>
                    </w:rPr>
                    <w:t>150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隔油池处理效率（%）</w:t>
                  </w:r>
                </w:p>
              </w:tc>
              <w:tc>
                <w:tcPr>
                  <w:tcW w:w="523" w:type="pct"/>
                  <w:tcBorders>
                    <w:tl2br w:val="nil"/>
                    <w:tr2bl w:val="nil"/>
                  </w:tcBorders>
                  <w:vAlign w:val="center"/>
                </w:tcPr>
                <w:p>
                  <w:pPr>
                    <w:jc w:val="center"/>
                    <w:rPr>
                      <w:szCs w:val="21"/>
                    </w:rPr>
                  </w:pPr>
                  <w:r>
                    <w:rPr>
                      <w:szCs w:val="21"/>
                    </w:rPr>
                    <w:t>/</w:t>
                  </w:r>
                </w:p>
              </w:tc>
              <w:tc>
                <w:tcPr>
                  <w:tcW w:w="481" w:type="pct"/>
                  <w:tcBorders>
                    <w:tl2br w:val="nil"/>
                    <w:tr2bl w:val="nil"/>
                  </w:tcBorders>
                  <w:vAlign w:val="center"/>
                </w:tcPr>
                <w:p>
                  <w:pPr>
                    <w:jc w:val="center"/>
                    <w:rPr>
                      <w:szCs w:val="21"/>
                    </w:rPr>
                  </w:pPr>
                  <w:r>
                    <w:rPr>
                      <w:szCs w:val="21"/>
                    </w:rPr>
                    <w:t>/</w:t>
                  </w:r>
                </w:p>
              </w:tc>
              <w:tc>
                <w:tcPr>
                  <w:tcW w:w="458" w:type="pct"/>
                  <w:tcBorders>
                    <w:tl2br w:val="nil"/>
                    <w:tr2bl w:val="nil"/>
                  </w:tcBorders>
                  <w:vAlign w:val="center"/>
                </w:tcPr>
                <w:p>
                  <w:pPr>
                    <w:jc w:val="center"/>
                    <w:rPr>
                      <w:szCs w:val="21"/>
                    </w:rPr>
                  </w:pPr>
                  <w:r>
                    <w:rPr>
                      <w:szCs w:val="21"/>
                    </w:rPr>
                    <w:t>/</w:t>
                  </w:r>
                </w:p>
              </w:tc>
              <w:tc>
                <w:tcPr>
                  <w:tcW w:w="458" w:type="pct"/>
                  <w:tcBorders>
                    <w:tl2br w:val="nil"/>
                    <w:tr2bl w:val="nil"/>
                  </w:tcBorders>
                  <w:vAlign w:val="center"/>
                </w:tcPr>
                <w:p>
                  <w:pPr>
                    <w:jc w:val="center"/>
                    <w:rPr>
                      <w:szCs w:val="21"/>
                    </w:rPr>
                  </w:pPr>
                  <w:r>
                    <w:rPr>
                      <w:szCs w:val="21"/>
                    </w:rPr>
                    <w:t>/</w:t>
                  </w:r>
                </w:p>
              </w:tc>
              <w:tc>
                <w:tcPr>
                  <w:tcW w:w="642" w:type="pct"/>
                  <w:tcBorders>
                    <w:tl2br w:val="nil"/>
                    <w:tr2bl w:val="nil"/>
                  </w:tcBorders>
                  <w:vAlign w:val="center"/>
                </w:tcPr>
                <w:p>
                  <w:pPr>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隔油池出口浓度（mg/L）</w:t>
                  </w:r>
                </w:p>
              </w:tc>
              <w:tc>
                <w:tcPr>
                  <w:tcW w:w="523" w:type="pct"/>
                  <w:tcBorders>
                    <w:tl2br w:val="nil"/>
                    <w:tr2bl w:val="nil"/>
                  </w:tcBorders>
                  <w:vAlign w:val="center"/>
                </w:tcPr>
                <w:p>
                  <w:pPr>
                    <w:jc w:val="center"/>
                    <w:rPr>
                      <w:szCs w:val="21"/>
                    </w:rPr>
                  </w:pPr>
                  <w:r>
                    <w:rPr>
                      <w:szCs w:val="21"/>
                    </w:rPr>
                    <w:t>400</w:t>
                  </w:r>
                </w:p>
              </w:tc>
              <w:tc>
                <w:tcPr>
                  <w:tcW w:w="481" w:type="pct"/>
                  <w:tcBorders>
                    <w:tl2br w:val="nil"/>
                    <w:tr2bl w:val="nil"/>
                  </w:tcBorders>
                  <w:vAlign w:val="center"/>
                </w:tcPr>
                <w:p>
                  <w:pPr>
                    <w:jc w:val="center"/>
                    <w:rPr>
                      <w:szCs w:val="21"/>
                    </w:rPr>
                  </w:pPr>
                  <w:r>
                    <w:rPr>
                      <w:szCs w:val="21"/>
                    </w:rPr>
                    <w:t>300</w:t>
                  </w:r>
                </w:p>
              </w:tc>
              <w:tc>
                <w:tcPr>
                  <w:tcW w:w="458" w:type="pct"/>
                  <w:tcBorders>
                    <w:tl2br w:val="nil"/>
                    <w:tr2bl w:val="nil"/>
                  </w:tcBorders>
                  <w:vAlign w:val="center"/>
                </w:tcPr>
                <w:p>
                  <w:pPr>
                    <w:jc w:val="center"/>
                    <w:rPr>
                      <w:szCs w:val="21"/>
                    </w:rPr>
                  </w:pPr>
                  <w:r>
                    <w:rPr>
                      <w:szCs w:val="21"/>
                    </w:rPr>
                    <w:t>200</w:t>
                  </w:r>
                </w:p>
              </w:tc>
              <w:tc>
                <w:tcPr>
                  <w:tcW w:w="458" w:type="pct"/>
                  <w:tcBorders>
                    <w:tl2br w:val="nil"/>
                    <w:tr2bl w:val="nil"/>
                  </w:tcBorders>
                  <w:vAlign w:val="center"/>
                </w:tcPr>
                <w:p>
                  <w:pPr>
                    <w:jc w:val="center"/>
                    <w:rPr>
                      <w:szCs w:val="21"/>
                    </w:rPr>
                  </w:pPr>
                  <w:r>
                    <w:rPr>
                      <w:szCs w:val="21"/>
                    </w:rPr>
                    <w:t>25</w:t>
                  </w:r>
                </w:p>
              </w:tc>
              <w:tc>
                <w:tcPr>
                  <w:tcW w:w="642" w:type="pct"/>
                  <w:tcBorders>
                    <w:tl2br w:val="nil"/>
                    <w:tr2bl w:val="nil"/>
                  </w:tcBorders>
                  <w:vAlign w:val="center"/>
                </w:tcPr>
                <w:p>
                  <w:pPr>
                    <w:jc w:val="center"/>
                    <w:rPr>
                      <w:szCs w:val="21"/>
                    </w:rPr>
                  </w:pPr>
                  <w:r>
                    <w:rPr>
                      <w:szCs w:val="21"/>
                    </w:rPr>
                    <w:t>90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化粪池入口浓度（mg/L）</w:t>
                  </w:r>
                </w:p>
              </w:tc>
              <w:tc>
                <w:tcPr>
                  <w:tcW w:w="523" w:type="pct"/>
                  <w:tcBorders>
                    <w:tl2br w:val="nil"/>
                    <w:tr2bl w:val="nil"/>
                  </w:tcBorders>
                  <w:vAlign w:val="center"/>
                </w:tcPr>
                <w:p>
                  <w:pPr>
                    <w:jc w:val="center"/>
                    <w:rPr>
                      <w:szCs w:val="21"/>
                    </w:rPr>
                  </w:pPr>
                  <w:r>
                    <w:rPr>
                      <w:szCs w:val="21"/>
                    </w:rPr>
                    <w:t>400</w:t>
                  </w:r>
                </w:p>
              </w:tc>
              <w:tc>
                <w:tcPr>
                  <w:tcW w:w="481" w:type="pct"/>
                  <w:tcBorders>
                    <w:tl2br w:val="nil"/>
                    <w:tr2bl w:val="nil"/>
                  </w:tcBorders>
                  <w:vAlign w:val="center"/>
                </w:tcPr>
                <w:p>
                  <w:pPr>
                    <w:jc w:val="center"/>
                    <w:rPr>
                      <w:szCs w:val="21"/>
                    </w:rPr>
                  </w:pPr>
                  <w:r>
                    <w:rPr>
                      <w:szCs w:val="21"/>
                    </w:rPr>
                    <w:t>300</w:t>
                  </w:r>
                </w:p>
              </w:tc>
              <w:tc>
                <w:tcPr>
                  <w:tcW w:w="458" w:type="pct"/>
                  <w:tcBorders>
                    <w:tl2br w:val="nil"/>
                    <w:tr2bl w:val="nil"/>
                  </w:tcBorders>
                  <w:vAlign w:val="center"/>
                </w:tcPr>
                <w:p>
                  <w:pPr>
                    <w:jc w:val="center"/>
                    <w:rPr>
                      <w:szCs w:val="21"/>
                    </w:rPr>
                  </w:pPr>
                  <w:r>
                    <w:rPr>
                      <w:szCs w:val="21"/>
                    </w:rPr>
                    <w:t>200</w:t>
                  </w:r>
                </w:p>
              </w:tc>
              <w:tc>
                <w:tcPr>
                  <w:tcW w:w="458" w:type="pct"/>
                  <w:tcBorders>
                    <w:tl2br w:val="nil"/>
                    <w:tr2bl w:val="nil"/>
                  </w:tcBorders>
                  <w:vAlign w:val="center"/>
                </w:tcPr>
                <w:p>
                  <w:pPr>
                    <w:jc w:val="center"/>
                    <w:rPr>
                      <w:szCs w:val="21"/>
                    </w:rPr>
                  </w:pPr>
                  <w:r>
                    <w:rPr>
                      <w:szCs w:val="21"/>
                    </w:rPr>
                    <w:t>25</w:t>
                  </w:r>
                </w:p>
              </w:tc>
              <w:tc>
                <w:tcPr>
                  <w:tcW w:w="642" w:type="pct"/>
                  <w:tcBorders>
                    <w:tl2br w:val="nil"/>
                    <w:tr2bl w:val="nil"/>
                  </w:tcBorders>
                  <w:vAlign w:val="center"/>
                </w:tcPr>
                <w:p>
                  <w:pPr>
                    <w:jc w:val="center"/>
                    <w:rPr>
                      <w:szCs w:val="21"/>
                    </w:rPr>
                  </w:pPr>
                  <w:r>
                    <w:rPr>
                      <w:szCs w:val="21"/>
                    </w:rPr>
                    <w:t>90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化粪池处理效率（%）</w:t>
                  </w:r>
                </w:p>
              </w:tc>
              <w:tc>
                <w:tcPr>
                  <w:tcW w:w="523" w:type="pct"/>
                  <w:tcBorders>
                    <w:tl2br w:val="nil"/>
                    <w:tr2bl w:val="nil"/>
                  </w:tcBorders>
                  <w:vAlign w:val="center"/>
                </w:tcPr>
                <w:p>
                  <w:pPr>
                    <w:jc w:val="center"/>
                    <w:rPr>
                      <w:szCs w:val="21"/>
                    </w:rPr>
                  </w:pPr>
                  <w:r>
                    <w:rPr>
                      <w:szCs w:val="21"/>
                    </w:rPr>
                    <w:t>15%</w:t>
                  </w:r>
                </w:p>
              </w:tc>
              <w:tc>
                <w:tcPr>
                  <w:tcW w:w="481" w:type="pct"/>
                  <w:tcBorders>
                    <w:tl2br w:val="nil"/>
                    <w:tr2bl w:val="nil"/>
                  </w:tcBorders>
                  <w:vAlign w:val="center"/>
                </w:tcPr>
                <w:p>
                  <w:pPr>
                    <w:jc w:val="center"/>
                    <w:rPr>
                      <w:szCs w:val="21"/>
                    </w:rPr>
                  </w:pPr>
                  <w:r>
                    <w:rPr>
                      <w:szCs w:val="21"/>
                    </w:rPr>
                    <w:t>9%</w:t>
                  </w:r>
                </w:p>
              </w:tc>
              <w:tc>
                <w:tcPr>
                  <w:tcW w:w="458" w:type="pct"/>
                  <w:tcBorders>
                    <w:tl2br w:val="nil"/>
                    <w:tr2bl w:val="nil"/>
                  </w:tcBorders>
                  <w:vAlign w:val="center"/>
                </w:tcPr>
                <w:p>
                  <w:pPr>
                    <w:jc w:val="center"/>
                    <w:rPr>
                      <w:szCs w:val="21"/>
                    </w:rPr>
                  </w:pPr>
                  <w:r>
                    <w:rPr>
                      <w:szCs w:val="21"/>
                    </w:rPr>
                    <w:t>30%</w:t>
                  </w:r>
                </w:p>
              </w:tc>
              <w:tc>
                <w:tcPr>
                  <w:tcW w:w="458" w:type="pct"/>
                  <w:tcBorders>
                    <w:tl2br w:val="nil"/>
                    <w:tr2bl w:val="nil"/>
                  </w:tcBorders>
                  <w:vAlign w:val="center"/>
                </w:tcPr>
                <w:p>
                  <w:pPr>
                    <w:jc w:val="center"/>
                    <w:rPr>
                      <w:szCs w:val="21"/>
                    </w:rPr>
                  </w:pPr>
                  <w:r>
                    <w:rPr>
                      <w:szCs w:val="21"/>
                    </w:rPr>
                    <w:t>3%</w:t>
                  </w:r>
                </w:p>
              </w:tc>
              <w:tc>
                <w:tcPr>
                  <w:tcW w:w="642" w:type="pct"/>
                  <w:tcBorders>
                    <w:tl2br w:val="nil"/>
                    <w:tr2bl w:val="nil"/>
                  </w:tcBorders>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化粪池出口浓度（mg/L）</w:t>
                  </w:r>
                </w:p>
              </w:tc>
              <w:tc>
                <w:tcPr>
                  <w:tcW w:w="523" w:type="pct"/>
                  <w:tcBorders>
                    <w:tl2br w:val="nil"/>
                    <w:tr2bl w:val="nil"/>
                  </w:tcBorders>
                  <w:vAlign w:val="center"/>
                </w:tcPr>
                <w:p>
                  <w:pPr>
                    <w:jc w:val="center"/>
                    <w:rPr>
                      <w:szCs w:val="21"/>
                    </w:rPr>
                  </w:pPr>
                  <w:r>
                    <w:rPr>
                      <w:szCs w:val="21"/>
                    </w:rPr>
                    <w:t>340</w:t>
                  </w:r>
                </w:p>
              </w:tc>
              <w:tc>
                <w:tcPr>
                  <w:tcW w:w="481" w:type="pct"/>
                  <w:tcBorders>
                    <w:tl2br w:val="nil"/>
                    <w:tr2bl w:val="nil"/>
                  </w:tcBorders>
                  <w:vAlign w:val="center"/>
                </w:tcPr>
                <w:p>
                  <w:pPr>
                    <w:jc w:val="center"/>
                    <w:rPr>
                      <w:szCs w:val="21"/>
                    </w:rPr>
                  </w:pPr>
                  <w:r>
                    <w:rPr>
                      <w:szCs w:val="21"/>
                    </w:rPr>
                    <w:t>273</w:t>
                  </w:r>
                </w:p>
              </w:tc>
              <w:tc>
                <w:tcPr>
                  <w:tcW w:w="458" w:type="pct"/>
                  <w:tcBorders>
                    <w:tl2br w:val="nil"/>
                    <w:tr2bl w:val="nil"/>
                  </w:tcBorders>
                  <w:vAlign w:val="center"/>
                </w:tcPr>
                <w:p>
                  <w:pPr>
                    <w:jc w:val="center"/>
                    <w:rPr>
                      <w:szCs w:val="21"/>
                    </w:rPr>
                  </w:pPr>
                  <w:r>
                    <w:rPr>
                      <w:szCs w:val="21"/>
                    </w:rPr>
                    <w:t>140</w:t>
                  </w:r>
                </w:p>
              </w:tc>
              <w:tc>
                <w:tcPr>
                  <w:tcW w:w="458" w:type="pct"/>
                  <w:tcBorders>
                    <w:tl2br w:val="nil"/>
                    <w:tr2bl w:val="nil"/>
                  </w:tcBorders>
                  <w:vAlign w:val="center"/>
                </w:tcPr>
                <w:p>
                  <w:pPr>
                    <w:jc w:val="center"/>
                    <w:rPr>
                      <w:szCs w:val="21"/>
                    </w:rPr>
                  </w:pPr>
                  <w:r>
                    <w:rPr>
                      <w:szCs w:val="21"/>
                    </w:rPr>
                    <w:t>24.25</w:t>
                  </w:r>
                </w:p>
              </w:tc>
              <w:tc>
                <w:tcPr>
                  <w:tcW w:w="642" w:type="pct"/>
                  <w:tcBorders>
                    <w:tl2br w:val="nil"/>
                    <w:tr2bl w:val="nil"/>
                  </w:tcBorders>
                  <w:vAlign w:val="center"/>
                </w:tcPr>
                <w:p>
                  <w:pPr>
                    <w:jc w:val="center"/>
                    <w:rPr>
                      <w:szCs w:val="21"/>
                    </w:rPr>
                  </w:pPr>
                  <w:r>
                    <w:rPr>
                      <w:szCs w:val="21"/>
                    </w:rPr>
                    <w:t>90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污水处理站入口浓度（mg/L）</w:t>
                  </w:r>
                </w:p>
              </w:tc>
              <w:tc>
                <w:tcPr>
                  <w:tcW w:w="523" w:type="pct"/>
                  <w:tcBorders>
                    <w:tl2br w:val="nil"/>
                    <w:tr2bl w:val="nil"/>
                  </w:tcBorders>
                  <w:vAlign w:val="center"/>
                </w:tcPr>
                <w:p>
                  <w:pPr>
                    <w:jc w:val="center"/>
                    <w:rPr>
                      <w:szCs w:val="21"/>
                    </w:rPr>
                  </w:pPr>
                  <w:r>
                    <w:rPr>
                      <w:szCs w:val="21"/>
                    </w:rPr>
                    <w:t>340</w:t>
                  </w:r>
                </w:p>
              </w:tc>
              <w:tc>
                <w:tcPr>
                  <w:tcW w:w="481" w:type="pct"/>
                  <w:tcBorders>
                    <w:tl2br w:val="nil"/>
                    <w:tr2bl w:val="nil"/>
                  </w:tcBorders>
                  <w:vAlign w:val="center"/>
                </w:tcPr>
                <w:p>
                  <w:pPr>
                    <w:jc w:val="center"/>
                    <w:rPr>
                      <w:szCs w:val="21"/>
                    </w:rPr>
                  </w:pPr>
                  <w:r>
                    <w:rPr>
                      <w:szCs w:val="21"/>
                    </w:rPr>
                    <w:t>273</w:t>
                  </w:r>
                </w:p>
              </w:tc>
              <w:tc>
                <w:tcPr>
                  <w:tcW w:w="458" w:type="pct"/>
                  <w:tcBorders>
                    <w:tl2br w:val="nil"/>
                    <w:tr2bl w:val="nil"/>
                  </w:tcBorders>
                  <w:vAlign w:val="center"/>
                </w:tcPr>
                <w:p>
                  <w:pPr>
                    <w:jc w:val="center"/>
                    <w:rPr>
                      <w:szCs w:val="21"/>
                    </w:rPr>
                  </w:pPr>
                  <w:r>
                    <w:rPr>
                      <w:szCs w:val="21"/>
                    </w:rPr>
                    <w:t>140</w:t>
                  </w:r>
                </w:p>
              </w:tc>
              <w:tc>
                <w:tcPr>
                  <w:tcW w:w="458" w:type="pct"/>
                  <w:tcBorders>
                    <w:tl2br w:val="nil"/>
                    <w:tr2bl w:val="nil"/>
                  </w:tcBorders>
                  <w:vAlign w:val="center"/>
                </w:tcPr>
                <w:p>
                  <w:pPr>
                    <w:jc w:val="center"/>
                    <w:rPr>
                      <w:szCs w:val="21"/>
                    </w:rPr>
                  </w:pPr>
                  <w:r>
                    <w:rPr>
                      <w:szCs w:val="21"/>
                    </w:rPr>
                    <w:t>24.25</w:t>
                  </w:r>
                </w:p>
              </w:tc>
              <w:tc>
                <w:tcPr>
                  <w:tcW w:w="642" w:type="pct"/>
                  <w:tcBorders>
                    <w:tl2br w:val="nil"/>
                    <w:tr2bl w:val="nil"/>
                  </w:tcBorders>
                  <w:vAlign w:val="center"/>
                </w:tcPr>
                <w:p>
                  <w:pPr>
                    <w:jc w:val="center"/>
                    <w:rPr>
                      <w:szCs w:val="21"/>
                    </w:rPr>
                  </w:pPr>
                  <w:r>
                    <w:rPr>
                      <w:szCs w:val="21"/>
                    </w:rPr>
                    <w:t>90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污水处理站处理效率（%）</w:t>
                  </w:r>
                </w:p>
              </w:tc>
              <w:tc>
                <w:tcPr>
                  <w:tcW w:w="523" w:type="pct"/>
                  <w:tcBorders>
                    <w:tl2br w:val="nil"/>
                    <w:tr2bl w:val="nil"/>
                  </w:tcBorders>
                  <w:vAlign w:val="center"/>
                </w:tcPr>
                <w:p>
                  <w:pPr>
                    <w:adjustRightInd w:val="0"/>
                    <w:snapToGrid w:val="0"/>
                    <w:jc w:val="center"/>
                    <w:rPr>
                      <w:szCs w:val="21"/>
                    </w:rPr>
                  </w:pPr>
                  <w:r>
                    <w:rPr>
                      <w:bCs/>
                      <w:szCs w:val="21"/>
                    </w:rPr>
                    <w:t>&gt;98%</w:t>
                  </w:r>
                </w:p>
              </w:tc>
              <w:tc>
                <w:tcPr>
                  <w:tcW w:w="481" w:type="pct"/>
                  <w:tcBorders>
                    <w:tl2br w:val="nil"/>
                    <w:tr2bl w:val="nil"/>
                  </w:tcBorders>
                  <w:vAlign w:val="center"/>
                </w:tcPr>
                <w:p>
                  <w:pPr>
                    <w:adjustRightInd w:val="0"/>
                    <w:snapToGrid w:val="0"/>
                    <w:jc w:val="center"/>
                    <w:rPr>
                      <w:szCs w:val="21"/>
                    </w:rPr>
                  </w:pPr>
                  <w:r>
                    <w:rPr>
                      <w:bCs/>
                      <w:szCs w:val="21"/>
                    </w:rPr>
                    <w:t>&gt;97%</w:t>
                  </w:r>
                </w:p>
              </w:tc>
              <w:tc>
                <w:tcPr>
                  <w:tcW w:w="458" w:type="pct"/>
                  <w:tcBorders>
                    <w:tl2br w:val="nil"/>
                    <w:tr2bl w:val="nil"/>
                  </w:tcBorders>
                  <w:vAlign w:val="center"/>
                </w:tcPr>
                <w:p>
                  <w:pPr>
                    <w:adjustRightInd w:val="0"/>
                    <w:snapToGrid w:val="0"/>
                    <w:jc w:val="center"/>
                    <w:rPr>
                      <w:szCs w:val="21"/>
                    </w:rPr>
                  </w:pPr>
                  <w:r>
                    <w:rPr>
                      <w:bCs/>
                      <w:szCs w:val="21"/>
                    </w:rPr>
                    <w:t>&gt;95%</w:t>
                  </w:r>
                </w:p>
              </w:tc>
              <w:tc>
                <w:tcPr>
                  <w:tcW w:w="458" w:type="pct"/>
                  <w:tcBorders>
                    <w:tl2br w:val="nil"/>
                    <w:tr2bl w:val="nil"/>
                  </w:tcBorders>
                  <w:vAlign w:val="center"/>
                </w:tcPr>
                <w:p>
                  <w:pPr>
                    <w:adjustRightInd w:val="0"/>
                    <w:snapToGrid w:val="0"/>
                    <w:jc w:val="center"/>
                    <w:rPr>
                      <w:szCs w:val="21"/>
                    </w:rPr>
                  </w:pPr>
                  <w:r>
                    <w:rPr>
                      <w:bCs/>
                      <w:szCs w:val="21"/>
                    </w:rPr>
                    <w:t>&gt;90%</w:t>
                  </w:r>
                </w:p>
              </w:tc>
              <w:tc>
                <w:tcPr>
                  <w:tcW w:w="642" w:type="pct"/>
                  <w:tcBorders>
                    <w:tl2br w:val="nil"/>
                    <w:tr2bl w:val="nil"/>
                  </w:tcBorders>
                  <w:vAlign w:val="center"/>
                </w:tcPr>
                <w:p>
                  <w:pPr>
                    <w:adjustRightInd w:val="0"/>
                    <w:snapToGrid w:val="0"/>
                    <w:jc w:val="center"/>
                    <w:rPr>
                      <w:szCs w:val="21"/>
                    </w:rPr>
                  </w:pPr>
                  <w:r>
                    <w:rPr>
                      <w:bCs/>
                      <w:szCs w:val="21"/>
                    </w:rPr>
                    <w:t>&gt;97%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污水处理站出口浓度（mg/L）</w:t>
                  </w:r>
                </w:p>
              </w:tc>
              <w:tc>
                <w:tcPr>
                  <w:tcW w:w="523" w:type="pct"/>
                  <w:tcBorders>
                    <w:tl2br w:val="nil"/>
                    <w:tr2bl w:val="nil"/>
                  </w:tcBorders>
                  <w:vAlign w:val="center"/>
                </w:tcPr>
                <w:p>
                  <w:pPr>
                    <w:widowControl/>
                    <w:jc w:val="center"/>
                    <w:textAlignment w:val="center"/>
                    <w:rPr>
                      <w:szCs w:val="21"/>
                    </w:rPr>
                  </w:pPr>
                  <w:r>
                    <w:rPr>
                      <w:kern w:val="0"/>
                      <w:szCs w:val="21"/>
                      <w:lang w:bidi="ar"/>
                    </w:rPr>
                    <w:t>6.8</w:t>
                  </w:r>
                </w:p>
              </w:tc>
              <w:tc>
                <w:tcPr>
                  <w:tcW w:w="481" w:type="pct"/>
                  <w:tcBorders>
                    <w:tl2br w:val="nil"/>
                    <w:tr2bl w:val="nil"/>
                  </w:tcBorders>
                  <w:vAlign w:val="center"/>
                </w:tcPr>
                <w:p>
                  <w:pPr>
                    <w:widowControl/>
                    <w:jc w:val="center"/>
                    <w:textAlignment w:val="center"/>
                    <w:rPr>
                      <w:szCs w:val="21"/>
                    </w:rPr>
                  </w:pPr>
                  <w:r>
                    <w:rPr>
                      <w:kern w:val="0"/>
                      <w:szCs w:val="21"/>
                      <w:lang w:bidi="ar"/>
                    </w:rPr>
                    <w:t>8.19</w:t>
                  </w:r>
                </w:p>
              </w:tc>
              <w:tc>
                <w:tcPr>
                  <w:tcW w:w="458" w:type="pct"/>
                  <w:tcBorders>
                    <w:tl2br w:val="nil"/>
                    <w:tr2bl w:val="nil"/>
                  </w:tcBorders>
                  <w:vAlign w:val="center"/>
                </w:tcPr>
                <w:p>
                  <w:pPr>
                    <w:widowControl/>
                    <w:jc w:val="center"/>
                    <w:textAlignment w:val="center"/>
                    <w:rPr>
                      <w:szCs w:val="21"/>
                    </w:rPr>
                  </w:pPr>
                  <w:r>
                    <w:rPr>
                      <w:kern w:val="0"/>
                      <w:szCs w:val="21"/>
                      <w:lang w:bidi="ar"/>
                    </w:rPr>
                    <w:t>7</w:t>
                  </w:r>
                </w:p>
              </w:tc>
              <w:tc>
                <w:tcPr>
                  <w:tcW w:w="458" w:type="pct"/>
                  <w:tcBorders>
                    <w:tl2br w:val="nil"/>
                    <w:tr2bl w:val="nil"/>
                  </w:tcBorders>
                  <w:vAlign w:val="center"/>
                </w:tcPr>
                <w:p>
                  <w:pPr>
                    <w:widowControl/>
                    <w:jc w:val="center"/>
                    <w:textAlignment w:val="center"/>
                    <w:rPr>
                      <w:szCs w:val="21"/>
                    </w:rPr>
                  </w:pPr>
                  <w:r>
                    <w:rPr>
                      <w:kern w:val="0"/>
                      <w:szCs w:val="21"/>
                      <w:lang w:bidi="ar"/>
                    </w:rPr>
                    <w:t>2.425</w:t>
                  </w:r>
                </w:p>
              </w:tc>
              <w:tc>
                <w:tcPr>
                  <w:tcW w:w="642" w:type="pct"/>
                  <w:tcBorders>
                    <w:tl2br w:val="nil"/>
                    <w:tr2bl w:val="nil"/>
                  </w:tcBorders>
                  <w:vAlign w:val="center"/>
                </w:tcPr>
                <w:p>
                  <w:pPr>
                    <w:widowControl/>
                    <w:jc w:val="center"/>
                    <w:textAlignment w:val="center"/>
                    <w:rPr>
                      <w:szCs w:val="21"/>
                    </w:rPr>
                  </w:pPr>
                  <w:r>
                    <w:rPr>
                      <w:kern w:val="0"/>
                      <w:szCs w:val="21"/>
                      <w:lang w:bidi="ar"/>
                    </w:rPr>
                    <w:t>2.7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rFonts w:hint="eastAsia"/>
                      <w:szCs w:val="21"/>
                    </w:rPr>
                    <w:t>G</w:t>
                  </w:r>
                  <w:r>
                    <w:rPr>
                      <w:szCs w:val="21"/>
                    </w:rPr>
                    <w:t>B/T20922-2007</w:t>
                  </w:r>
                  <w:r>
                    <w:rPr>
                      <w:rFonts w:hint="eastAsia"/>
                      <w:szCs w:val="21"/>
                    </w:rPr>
                    <w:t>标准值</w:t>
                  </w:r>
                </w:p>
              </w:tc>
              <w:tc>
                <w:tcPr>
                  <w:tcW w:w="523" w:type="pct"/>
                  <w:tcBorders>
                    <w:tl2br w:val="nil"/>
                    <w:tr2bl w:val="nil"/>
                  </w:tcBorders>
                  <w:vAlign w:val="center"/>
                </w:tcPr>
                <w:p>
                  <w:pPr>
                    <w:pStyle w:val="34"/>
                    <w:widowControl w:val="0"/>
                    <w:spacing w:before="0" w:beforeAutospacing="0" w:after="0" w:afterAutospacing="0"/>
                    <w:rPr>
                      <w:rFonts w:ascii="Times New Roman" w:hAnsi="Times New Roman"/>
                      <w:kern w:val="2"/>
                      <w:sz w:val="21"/>
                      <w:szCs w:val="21"/>
                    </w:rPr>
                  </w:pPr>
                  <w:r>
                    <w:rPr>
                      <w:rFonts w:ascii="Times New Roman" w:hAnsi="Times New Roman"/>
                      <w:kern w:val="2"/>
                      <w:sz w:val="21"/>
                      <w:szCs w:val="21"/>
                    </w:rPr>
                    <w:t>≤180</w:t>
                  </w:r>
                </w:p>
              </w:tc>
              <w:tc>
                <w:tcPr>
                  <w:tcW w:w="481" w:type="pct"/>
                  <w:tcBorders>
                    <w:tl2br w:val="nil"/>
                    <w:tr2bl w:val="nil"/>
                  </w:tcBorders>
                  <w:vAlign w:val="center"/>
                </w:tcPr>
                <w:p>
                  <w:pPr>
                    <w:jc w:val="center"/>
                    <w:rPr>
                      <w:szCs w:val="21"/>
                    </w:rPr>
                  </w:pPr>
                  <w:r>
                    <w:rPr>
                      <w:szCs w:val="21"/>
                    </w:rPr>
                    <w:t>≤80</w:t>
                  </w:r>
                </w:p>
              </w:tc>
              <w:tc>
                <w:tcPr>
                  <w:tcW w:w="458" w:type="pct"/>
                  <w:tcBorders>
                    <w:tl2br w:val="nil"/>
                    <w:tr2bl w:val="nil"/>
                  </w:tcBorders>
                  <w:vAlign w:val="center"/>
                </w:tcPr>
                <w:p>
                  <w:pPr>
                    <w:jc w:val="center"/>
                    <w:rPr>
                      <w:szCs w:val="21"/>
                    </w:rPr>
                  </w:pPr>
                  <w:r>
                    <w:rPr>
                      <w:szCs w:val="21"/>
                    </w:rPr>
                    <w:t>≤90</w:t>
                  </w:r>
                </w:p>
              </w:tc>
              <w:tc>
                <w:tcPr>
                  <w:tcW w:w="458" w:type="pct"/>
                  <w:tcBorders>
                    <w:tl2br w:val="nil"/>
                    <w:tr2bl w:val="nil"/>
                  </w:tcBorders>
                  <w:vAlign w:val="center"/>
                </w:tcPr>
                <w:p>
                  <w:pPr>
                    <w:jc w:val="center"/>
                    <w:rPr>
                      <w:szCs w:val="21"/>
                    </w:rPr>
                  </w:pPr>
                  <w:r>
                    <w:rPr>
                      <w:rFonts w:hint="eastAsia"/>
                      <w:szCs w:val="21"/>
                    </w:rPr>
                    <w:t>/</w:t>
                  </w:r>
                </w:p>
              </w:tc>
              <w:tc>
                <w:tcPr>
                  <w:tcW w:w="642" w:type="pct"/>
                  <w:tcBorders>
                    <w:tl2br w:val="nil"/>
                    <w:tr2bl w:val="nil"/>
                  </w:tcBorders>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rFonts w:hint="eastAsia"/>
                      <w:szCs w:val="21"/>
                    </w:rPr>
                    <w:t>达标分析</w:t>
                  </w:r>
                </w:p>
              </w:tc>
              <w:tc>
                <w:tcPr>
                  <w:tcW w:w="523" w:type="pct"/>
                  <w:tcBorders>
                    <w:tl2br w:val="nil"/>
                    <w:tr2bl w:val="nil"/>
                  </w:tcBorders>
                  <w:vAlign w:val="center"/>
                </w:tcPr>
                <w:p>
                  <w:pPr>
                    <w:pStyle w:val="34"/>
                    <w:widowControl w:val="0"/>
                    <w:spacing w:before="0" w:beforeAutospacing="0" w:after="0" w:afterAutospacing="0"/>
                    <w:rPr>
                      <w:rFonts w:ascii="Times New Roman" w:hAnsi="Times New Roman"/>
                      <w:kern w:val="2"/>
                      <w:sz w:val="21"/>
                      <w:szCs w:val="21"/>
                    </w:rPr>
                  </w:pPr>
                  <w:r>
                    <w:rPr>
                      <w:rFonts w:ascii="Times New Roman" w:hAnsi="Times New Roman"/>
                      <w:sz w:val="21"/>
                      <w:szCs w:val="21"/>
                    </w:rPr>
                    <w:t>达标</w:t>
                  </w:r>
                </w:p>
              </w:tc>
              <w:tc>
                <w:tcPr>
                  <w:tcW w:w="481" w:type="pct"/>
                  <w:tcBorders>
                    <w:tl2br w:val="nil"/>
                    <w:tr2bl w:val="nil"/>
                  </w:tcBorders>
                  <w:vAlign w:val="center"/>
                </w:tcPr>
                <w:p>
                  <w:pPr>
                    <w:jc w:val="center"/>
                    <w:rPr>
                      <w:szCs w:val="21"/>
                    </w:rPr>
                  </w:pPr>
                  <w:r>
                    <w:rPr>
                      <w:szCs w:val="21"/>
                    </w:rPr>
                    <w:t>达标</w:t>
                  </w:r>
                </w:p>
              </w:tc>
              <w:tc>
                <w:tcPr>
                  <w:tcW w:w="458" w:type="pct"/>
                  <w:tcBorders>
                    <w:tl2br w:val="nil"/>
                    <w:tr2bl w:val="nil"/>
                  </w:tcBorders>
                  <w:vAlign w:val="center"/>
                </w:tcPr>
                <w:p>
                  <w:pPr>
                    <w:jc w:val="center"/>
                    <w:rPr>
                      <w:szCs w:val="21"/>
                    </w:rPr>
                  </w:pPr>
                  <w:r>
                    <w:rPr>
                      <w:szCs w:val="21"/>
                    </w:rPr>
                    <w:t>达标</w:t>
                  </w:r>
                </w:p>
              </w:tc>
              <w:tc>
                <w:tcPr>
                  <w:tcW w:w="458" w:type="pct"/>
                  <w:tcBorders>
                    <w:tl2br w:val="nil"/>
                    <w:tr2bl w:val="nil"/>
                  </w:tcBorders>
                  <w:vAlign w:val="center"/>
                </w:tcPr>
                <w:p>
                  <w:pPr>
                    <w:jc w:val="center"/>
                    <w:rPr>
                      <w:szCs w:val="21"/>
                    </w:rPr>
                  </w:pPr>
                  <w:r>
                    <w:rPr>
                      <w:rFonts w:hint="eastAsia"/>
                      <w:szCs w:val="21"/>
                    </w:rPr>
                    <w:t>/</w:t>
                  </w:r>
                </w:p>
              </w:tc>
              <w:tc>
                <w:tcPr>
                  <w:tcW w:w="642" w:type="pct"/>
                  <w:tcBorders>
                    <w:tl2br w:val="nil"/>
                    <w:tr2bl w:val="nil"/>
                  </w:tcBorders>
                  <w:vAlign w:val="center"/>
                </w:tcPr>
                <w:p>
                  <w:pPr>
                    <w:jc w:val="center"/>
                    <w:rPr>
                      <w:szCs w:val="21"/>
                    </w:rPr>
                  </w:pPr>
                  <w:r>
                    <w:rPr>
                      <w:rFonts w:hint="eastAsia"/>
                      <w:szCs w:val="21"/>
                    </w:rPr>
                    <w:t>/</w:t>
                  </w:r>
                </w:p>
              </w:tc>
            </w:tr>
          </w:tbl>
          <w:p>
            <w:pPr>
              <w:snapToGrid w:val="0"/>
              <w:spacing w:line="360" w:lineRule="auto"/>
              <w:jc w:val="center"/>
              <w:rPr>
                <w:sz w:val="24"/>
              </w:rPr>
            </w:pPr>
            <w:r>
              <w:rPr>
                <w:b/>
                <w:bCs/>
                <w:sz w:val="24"/>
              </w:rPr>
              <w:t>表4-5 生活污水达标分析表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715"/>
              <w:gridCol w:w="2707"/>
              <w:gridCol w:w="948"/>
              <w:gridCol w:w="811"/>
              <w:gridCol w:w="677"/>
              <w:gridCol w:w="813"/>
              <w:gridCol w:w="95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994" w:type="pct"/>
                  <w:tcBorders>
                    <w:tl2br w:val="nil"/>
                    <w:tr2bl w:val="nil"/>
                  </w:tcBorders>
                  <w:vAlign w:val="center"/>
                </w:tcPr>
                <w:p>
                  <w:pPr>
                    <w:jc w:val="center"/>
                    <w:rPr>
                      <w:b/>
                      <w:bCs/>
                      <w:szCs w:val="21"/>
                    </w:rPr>
                  </w:pPr>
                  <w:r>
                    <w:rPr>
                      <w:b/>
                      <w:bCs/>
                      <w:szCs w:val="21"/>
                    </w:rPr>
                    <w:t>排放源</w:t>
                  </w:r>
                </w:p>
              </w:tc>
              <w:tc>
                <w:tcPr>
                  <w:tcW w:w="1568" w:type="pct"/>
                  <w:tcBorders>
                    <w:tl2br w:val="nil"/>
                    <w:tr2bl w:val="nil"/>
                  </w:tcBorders>
                  <w:vAlign w:val="center"/>
                </w:tcPr>
                <w:p>
                  <w:pPr>
                    <w:jc w:val="center"/>
                    <w:rPr>
                      <w:b/>
                      <w:bCs/>
                      <w:szCs w:val="21"/>
                    </w:rPr>
                  </w:pPr>
                  <w:r>
                    <w:rPr>
                      <w:b/>
                      <w:bCs/>
                      <w:szCs w:val="21"/>
                    </w:rPr>
                    <w:t>污染物名称</w:t>
                  </w:r>
                </w:p>
              </w:tc>
              <w:tc>
                <w:tcPr>
                  <w:tcW w:w="549" w:type="pct"/>
                  <w:tcBorders>
                    <w:tl2br w:val="nil"/>
                    <w:tr2bl w:val="nil"/>
                  </w:tcBorders>
                  <w:vAlign w:val="center"/>
                </w:tcPr>
                <w:p>
                  <w:pPr>
                    <w:jc w:val="center"/>
                    <w:rPr>
                      <w:b/>
                      <w:bCs/>
                      <w:szCs w:val="21"/>
                    </w:rPr>
                  </w:pPr>
                  <w:r>
                    <w:rPr>
                      <w:b/>
                      <w:bCs/>
                      <w:szCs w:val="21"/>
                    </w:rPr>
                    <w:t>COD</w:t>
                  </w:r>
                  <w:r>
                    <w:rPr>
                      <w:b/>
                      <w:bCs/>
                      <w:szCs w:val="21"/>
                      <w:vertAlign w:val="subscript"/>
                    </w:rPr>
                    <w:t>cr</w:t>
                  </w:r>
                </w:p>
              </w:tc>
              <w:tc>
                <w:tcPr>
                  <w:tcW w:w="470" w:type="pct"/>
                  <w:tcBorders>
                    <w:tl2br w:val="nil"/>
                    <w:tr2bl w:val="nil"/>
                  </w:tcBorders>
                  <w:vAlign w:val="center"/>
                </w:tcPr>
                <w:p>
                  <w:pPr>
                    <w:jc w:val="center"/>
                    <w:rPr>
                      <w:b/>
                      <w:bCs/>
                      <w:szCs w:val="21"/>
                    </w:rPr>
                  </w:pPr>
                  <w:r>
                    <w:rPr>
                      <w:b/>
                      <w:bCs/>
                      <w:szCs w:val="21"/>
                    </w:rPr>
                    <w:t>BOD</w:t>
                  </w:r>
                  <w:r>
                    <w:rPr>
                      <w:b/>
                      <w:bCs/>
                      <w:szCs w:val="21"/>
                      <w:vertAlign w:val="subscript"/>
                    </w:rPr>
                    <w:t>5</w:t>
                  </w:r>
                </w:p>
              </w:tc>
              <w:tc>
                <w:tcPr>
                  <w:tcW w:w="392" w:type="pct"/>
                  <w:tcBorders>
                    <w:tl2br w:val="nil"/>
                    <w:tr2bl w:val="nil"/>
                  </w:tcBorders>
                  <w:vAlign w:val="center"/>
                </w:tcPr>
                <w:p>
                  <w:pPr>
                    <w:jc w:val="center"/>
                    <w:rPr>
                      <w:b/>
                      <w:bCs/>
                      <w:szCs w:val="21"/>
                    </w:rPr>
                  </w:pPr>
                  <w:r>
                    <w:rPr>
                      <w:b/>
                      <w:bCs/>
                      <w:szCs w:val="21"/>
                    </w:rPr>
                    <w:t>SS</w:t>
                  </w:r>
                </w:p>
              </w:tc>
              <w:tc>
                <w:tcPr>
                  <w:tcW w:w="471" w:type="pct"/>
                  <w:tcBorders>
                    <w:tl2br w:val="nil"/>
                    <w:tr2bl w:val="nil"/>
                  </w:tcBorders>
                  <w:vAlign w:val="center"/>
                </w:tcPr>
                <w:p>
                  <w:pPr>
                    <w:jc w:val="center"/>
                    <w:rPr>
                      <w:b/>
                      <w:bCs/>
                      <w:szCs w:val="21"/>
                    </w:rPr>
                  </w:pPr>
                  <w:r>
                    <w:rPr>
                      <w:b/>
                      <w:bCs/>
                      <w:szCs w:val="21"/>
                    </w:rPr>
                    <w:t>氨氮</w:t>
                  </w:r>
                </w:p>
              </w:tc>
              <w:tc>
                <w:tcPr>
                  <w:tcW w:w="555" w:type="pct"/>
                  <w:tcBorders>
                    <w:tl2br w:val="nil"/>
                    <w:tr2bl w:val="nil"/>
                  </w:tcBorders>
                  <w:vAlign w:val="center"/>
                </w:tcPr>
                <w:p>
                  <w:pPr>
                    <w:jc w:val="center"/>
                    <w:rPr>
                      <w:b/>
                      <w:bCs/>
                      <w:szCs w:val="21"/>
                    </w:rPr>
                  </w:pPr>
                  <w:r>
                    <w:rPr>
                      <w:b/>
                      <w:bCs/>
                      <w:szCs w:val="21"/>
                    </w:rPr>
                    <w:t>总磷</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4" w:type="pct"/>
                  <w:vMerge w:val="restart"/>
                  <w:tcBorders>
                    <w:tl2br w:val="nil"/>
                    <w:tr2bl w:val="nil"/>
                  </w:tcBorders>
                  <w:vAlign w:val="center"/>
                </w:tcPr>
                <w:p>
                  <w:pPr>
                    <w:jc w:val="center"/>
                    <w:rPr>
                      <w:szCs w:val="21"/>
                    </w:rPr>
                  </w:pPr>
                  <w:r>
                    <w:rPr>
                      <w:szCs w:val="21"/>
                    </w:rPr>
                    <w:t>生活污水（Q=2.24</w:t>
                  </w:r>
                  <w:r>
                    <w:rPr>
                      <w:bCs/>
                      <w:szCs w:val="21"/>
                    </w:rPr>
                    <w:t>m</w:t>
                  </w:r>
                  <w:r>
                    <w:rPr>
                      <w:bCs/>
                      <w:szCs w:val="21"/>
                      <w:vertAlign w:val="superscript"/>
                    </w:rPr>
                    <w:t>3</w:t>
                  </w:r>
                  <w:r>
                    <w:rPr>
                      <w:bCs/>
                      <w:szCs w:val="21"/>
                    </w:rPr>
                    <w:t>/d，817.6m</w:t>
                  </w:r>
                  <w:r>
                    <w:rPr>
                      <w:bCs/>
                      <w:szCs w:val="21"/>
                      <w:vertAlign w:val="superscript"/>
                    </w:rPr>
                    <w:t>3</w:t>
                  </w:r>
                  <w:r>
                    <w:rPr>
                      <w:bCs/>
                      <w:szCs w:val="21"/>
                    </w:rPr>
                    <w:t>/a</w:t>
                  </w:r>
                  <w:r>
                    <w:rPr>
                      <w:szCs w:val="21"/>
                    </w:rPr>
                    <w:t>）</w:t>
                  </w:r>
                </w:p>
              </w:tc>
              <w:tc>
                <w:tcPr>
                  <w:tcW w:w="1568" w:type="pct"/>
                  <w:tcBorders>
                    <w:tl2br w:val="nil"/>
                    <w:tr2bl w:val="nil"/>
                  </w:tcBorders>
                  <w:vAlign w:val="center"/>
                </w:tcPr>
                <w:p>
                  <w:pPr>
                    <w:jc w:val="center"/>
                    <w:rPr>
                      <w:szCs w:val="21"/>
                    </w:rPr>
                  </w:pPr>
                  <w:r>
                    <w:rPr>
                      <w:szCs w:val="21"/>
                    </w:rPr>
                    <w:t>化粪池入口浓度（mg/L）</w:t>
                  </w:r>
                </w:p>
              </w:tc>
              <w:tc>
                <w:tcPr>
                  <w:tcW w:w="549" w:type="pct"/>
                  <w:tcBorders>
                    <w:tl2br w:val="nil"/>
                    <w:tr2bl w:val="nil"/>
                  </w:tcBorders>
                  <w:vAlign w:val="center"/>
                </w:tcPr>
                <w:p>
                  <w:pPr>
                    <w:jc w:val="center"/>
                    <w:rPr>
                      <w:szCs w:val="21"/>
                    </w:rPr>
                  </w:pPr>
                  <w:r>
                    <w:rPr>
                      <w:szCs w:val="21"/>
                    </w:rPr>
                    <w:t>250</w:t>
                  </w:r>
                </w:p>
              </w:tc>
              <w:tc>
                <w:tcPr>
                  <w:tcW w:w="470" w:type="pct"/>
                  <w:tcBorders>
                    <w:tl2br w:val="nil"/>
                    <w:tr2bl w:val="nil"/>
                  </w:tcBorders>
                  <w:vAlign w:val="center"/>
                </w:tcPr>
                <w:p>
                  <w:pPr>
                    <w:jc w:val="center"/>
                    <w:rPr>
                      <w:szCs w:val="21"/>
                    </w:rPr>
                  </w:pPr>
                  <w:r>
                    <w:rPr>
                      <w:szCs w:val="21"/>
                    </w:rPr>
                    <w:t>150</w:t>
                  </w:r>
                </w:p>
              </w:tc>
              <w:tc>
                <w:tcPr>
                  <w:tcW w:w="392" w:type="pct"/>
                  <w:tcBorders>
                    <w:tl2br w:val="nil"/>
                    <w:tr2bl w:val="nil"/>
                  </w:tcBorders>
                  <w:vAlign w:val="center"/>
                </w:tcPr>
                <w:p>
                  <w:pPr>
                    <w:jc w:val="center"/>
                    <w:rPr>
                      <w:szCs w:val="21"/>
                    </w:rPr>
                  </w:pPr>
                  <w:r>
                    <w:rPr>
                      <w:szCs w:val="21"/>
                    </w:rPr>
                    <w:t>200</w:t>
                  </w:r>
                </w:p>
              </w:tc>
              <w:tc>
                <w:tcPr>
                  <w:tcW w:w="471" w:type="pct"/>
                  <w:tcBorders>
                    <w:tl2br w:val="nil"/>
                    <w:tr2bl w:val="nil"/>
                  </w:tcBorders>
                  <w:vAlign w:val="center"/>
                </w:tcPr>
                <w:p>
                  <w:pPr>
                    <w:jc w:val="center"/>
                    <w:rPr>
                      <w:szCs w:val="21"/>
                    </w:rPr>
                  </w:pPr>
                  <w:r>
                    <w:rPr>
                      <w:szCs w:val="21"/>
                    </w:rPr>
                    <w:t>25</w:t>
                  </w:r>
                </w:p>
              </w:tc>
              <w:tc>
                <w:tcPr>
                  <w:tcW w:w="555" w:type="pct"/>
                  <w:tcBorders>
                    <w:tl2br w:val="nil"/>
                    <w:tr2bl w:val="nil"/>
                  </w:tcBorders>
                  <w:vAlign w:val="center"/>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4" w:type="pct"/>
                  <w:vMerge w:val="continue"/>
                  <w:tcBorders>
                    <w:tl2br w:val="nil"/>
                    <w:tr2bl w:val="nil"/>
                  </w:tcBorders>
                  <w:vAlign w:val="center"/>
                </w:tcPr>
                <w:p>
                  <w:pPr>
                    <w:jc w:val="center"/>
                    <w:rPr>
                      <w:szCs w:val="21"/>
                    </w:rPr>
                  </w:pPr>
                </w:p>
              </w:tc>
              <w:tc>
                <w:tcPr>
                  <w:tcW w:w="1568" w:type="pct"/>
                  <w:tcBorders>
                    <w:tl2br w:val="nil"/>
                    <w:tr2bl w:val="nil"/>
                  </w:tcBorders>
                  <w:vAlign w:val="center"/>
                </w:tcPr>
                <w:p>
                  <w:pPr>
                    <w:jc w:val="center"/>
                    <w:rPr>
                      <w:szCs w:val="21"/>
                    </w:rPr>
                  </w:pPr>
                  <w:r>
                    <w:rPr>
                      <w:szCs w:val="21"/>
                    </w:rPr>
                    <w:t>化粪池处理效率（%）</w:t>
                  </w:r>
                </w:p>
              </w:tc>
              <w:tc>
                <w:tcPr>
                  <w:tcW w:w="549" w:type="pct"/>
                  <w:tcBorders>
                    <w:tl2br w:val="nil"/>
                    <w:tr2bl w:val="nil"/>
                  </w:tcBorders>
                  <w:vAlign w:val="center"/>
                </w:tcPr>
                <w:p>
                  <w:pPr>
                    <w:jc w:val="center"/>
                    <w:rPr>
                      <w:szCs w:val="21"/>
                    </w:rPr>
                  </w:pPr>
                  <w:r>
                    <w:rPr>
                      <w:szCs w:val="21"/>
                    </w:rPr>
                    <w:t>15%</w:t>
                  </w:r>
                </w:p>
              </w:tc>
              <w:tc>
                <w:tcPr>
                  <w:tcW w:w="470" w:type="pct"/>
                  <w:tcBorders>
                    <w:tl2br w:val="nil"/>
                    <w:tr2bl w:val="nil"/>
                  </w:tcBorders>
                  <w:vAlign w:val="center"/>
                </w:tcPr>
                <w:p>
                  <w:pPr>
                    <w:jc w:val="center"/>
                    <w:rPr>
                      <w:szCs w:val="21"/>
                    </w:rPr>
                  </w:pPr>
                  <w:r>
                    <w:rPr>
                      <w:szCs w:val="21"/>
                    </w:rPr>
                    <w:t>9%</w:t>
                  </w:r>
                </w:p>
              </w:tc>
              <w:tc>
                <w:tcPr>
                  <w:tcW w:w="392" w:type="pct"/>
                  <w:tcBorders>
                    <w:tl2br w:val="nil"/>
                    <w:tr2bl w:val="nil"/>
                  </w:tcBorders>
                  <w:vAlign w:val="center"/>
                </w:tcPr>
                <w:p>
                  <w:pPr>
                    <w:jc w:val="center"/>
                    <w:rPr>
                      <w:szCs w:val="21"/>
                    </w:rPr>
                  </w:pPr>
                  <w:r>
                    <w:rPr>
                      <w:szCs w:val="21"/>
                    </w:rPr>
                    <w:t>30%</w:t>
                  </w:r>
                </w:p>
              </w:tc>
              <w:tc>
                <w:tcPr>
                  <w:tcW w:w="471" w:type="pct"/>
                  <w:tcBorders>
                    <w:tl2br w:val="nil"/>
                    <w:tr2bl w:val="nil"/>
                  </w:tcBorders>
                  <w:vAlign w:val="center"/>
                </w:tcPr>
                <w:p>
                  <w:pPr>
                    <w:jc w:val="center"/>
                    <w:rPr>
                      <w:szCs w:val="21"/>
                    </w:rPr>
                  </w:pPr>
                  <w:r>
                    <w:rPr>
                      <w:szCs w:val="21"/>
                    </w:rPr>
                    <w:t>3%</w:t>
                  </w:r>
                </w:p>
              </w:tc>
              <w:tc>
                <w:tcPr>
                  <w:tcW w:w="555" w:type="pct"/>
                  <w:tcBorders>
                    <w:tl2br w:val="nil"/>
                    <w:tr2bl w:val="nil"/>
                  </w:tcBorders>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4" w:type="pct"/>
                  <w:vMerge w:val="continue"/>
                  <w:tcBorders>
                    <w:tl2br w:val="nil"/>
                    <w:tr2bl w:val="nil"/>
                  </w:tcBorders>
                  <w:vAlign w:val="center"/>
                </w:tcPr>
                <w:p>
                  <w:pPr>
                    <w:jc w:val="center"/>
                    <w:rPr>
                      <w:szCs w:val="21"/>
                    </w:rPr>
                  </w:pPr>
                </w:p>
              </w:tc>
              <w:tc>
                <w:tcPr>
                  <w:tcW w:w="1568" w:type="pct"/>
                  <w:tcBorders>
                    <w:tl2br w:val="nil"/>
                    <w:tr2bl w:val="nil"/>
                  </w:tcBorders>
                  <w:vAlign w:val="center"/>
                </w:tcPr>
                <w:p>
                  <w:pPr>
                    <w:jc w:val="center"/>
                    <w:rPr>
                      <w:szCs w:val="21"/>
                    </w:rPr>
                  </w:pPr>
                  <w:r>
                    <w:rPr>
                      <w:szCs w:val="21"/>
                    </w:rPr>
                    <w:t>化粪池出口浓度（mg/L）</w:t>
                  </w:r>
                </w:p>
              </w:tc>
              <w:tc>
                <w:tcPr>
                  <w:tcW w:w="549" w:type="pct"/>
                  <w:tcBorders>
                    <w:tl2br w:val="nil"/>
                    <w:tr2bl w:val="nil"/>
                  </w:tcBorders>
                  <w:vAlign w:val="center"/>
                </w:tcPr>
                <w:p>
                  <w:pPr>
                    <w:jc w:val="center"/>
                    <w:rPr>
                      <w:szCs w:val="21"/>
                    </w:rPr>
                  </w:pPr>
                  <w:r>
                    <w:rPr>
                      <w:szCs w:val="21"/>
                    </w:rPr>
                    <w:t>212.5</w:t>
                  </w:r>
                </w:p>
              </w:tc>
              <w:tc>
                <w:tcPr>
                  <w:tcW w:w="470" w:type="pct"/>
                  <w:tcBorders>
                    <w:tl2br w:val="nil"/>
                    <w:tr2bl w:val="nil"/>
                  </w:tcBorders>
                  <w:vAlign w:val="center"/>
                </w:tcPr>
                <w:p>
                  <w:pPr>
                    <w:jc w:val="center"/>
                    <w:rPr>
                      <w:szCs w:val="21"/>
                    </w:rPr>
                  </w:pPr>
                  <w:r>
                    <w:rPr>
                      <w:szCs w:val="21"/>
                    </w:rPr>
                    <w:t>136.5</w:t>
                  </w:r>
                </w:p>
              </w:tc>
              <w:tc>
                <w:tcPr>
                  <w:tcW w:w="392" w:type="pct"/>
                  <w:tcBorders>
                    <w:tl2br w:val="nil"/>
                    <w:tr2bl w:val="nil"/>
                  </w:tcBorders>
                  <w:vAlign w:val="center"/>
                </w:tcPr>
                <w:p>
                  <w:pPr>
                    <w:jc w:val="center"/>
                    <w:rPr>
                      <w:szCs w:val="21"/>
                    </w:rPr>
                  </w:pPr>
                  <w:r>
                    <w:rPr>
                      <w:szCs w:val="21"/>
                    </w:rPr>
                    <w:t>140</w:t>
                  </w:r>
                </w:p>
              </w:tc>
              <w:tc>
                <w:tcPr>
                  <w:tcW w:w="471" w:type="pct"/>
                  <w:tcBorders>
                    <w:tl2br w:val="nil"/>
                    <w:tr2bl w:val="nil"/>
                  </w:tcBorders>
                  <w:vAlign w:val="center"/>
                </w:tcPr>
                <w:p>
                  <w:pPr>
                    <w:jc w:val="center"/>
                    <w:rPr>
                      <w:szCs w:val="21"/>
                    </w:rPr>
                  </w:pPr>
                  <w:r>
                    <w:rPr>
                      <w:szCs w:val="21"/>
                    </w:rPr>
                    <w:t>24.25</w:t>
                  </w:r>
                </w:p>
              </w:tc>
              <w:tc>
                <w:tcPr>
                  <w:tcW w:w="555" w:type="pct"/>
                  <w:tcBorders>
                    <w:tl2br w:val="nil"/>
                    <w:tr2bl w:val="nil"/>
                  </w:tcBorders>
                  <w:vAlign w:val="center"/>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4" w:type="pct"/>
                  <w:vMerge w:val="continue"/>
                  <w:tcBorders>
                    <w:tl2br w:val="nil"/>
                    <w:tr2bl w:val="nil"/>
                  </w:tcBorders>
                  <w:vAlign w:val="center"/>
                </w:tcPr>
                <w:p>
                  <w:pPr>
                    <w:jc w:val="center"/>
                    <w:rPr>
                      <w:szCs w:val="21"/>
                    </w:rPr>
                  </w:pPr>
                </w:p>
              </w:tc>
              <w:tc>
                <w:tcPr>
                  <w:tcW w:w="1568" w:type="pct"/>
                  <w:tcBorders>
                    <w:tl2br w:val="nil"/>
                    <w:tr2bl w:val="nil"/>
                  </w:tcBorders>
                  <w:vAlign w:val="center"/>
                </w:tcPr>
                <w:p>
                  <w:pPr>
                    <w:jc w:val="center"/>
                    <w:rPr>
                      <w:szCs w:val="21"/>
                    </w:rPr>
                  </w:pPr>
                  <w:r>
                    <w:rPr>
                      <w:szCs w:val="21"/>
                    </w:rPr>
                    <w:t>污水处理站入口浓度（mg/L）</w:t>
                  </w:r>
                </w:p>
              </w:tc>
              <w:tc>
                <w:tcPr>
                  <w:tcW w:w="549" w:type="pct"/>
                  <w:tcBorders>
                    <w:tl2br w:val="nil"/>
                    <w:tr2bl w:val="nil"/>
                  </w:tcBorders>
                  <w:vAlign w:val="center"/>
                </w:tcPr>
                <w:p>
                  <w:pPr>
                    <w:jc w:val="center"/>
                    <w:rPr>
                      <w:szCs w:val="21"/>
                    </w:rPr>
                  </w:pPr>
                  <w:r>
                    <w:rPr>
                      <w:szCs w:val="21"/>
                    </w:rPr>
                    <w:t>212.5</w:t>
                  </w:r>
                </w:p>
              </w:tc>
              <w:tc>
                <w:tcPr>
                  <w:tcW w:w="470" w:type="pct"/>
                  <w:tcBorders>
                    <w:tl2br w:val="nil"/>
                    <w:tr2bl w:val="nil"/>
                  </w:tcBorders>
                  <w:vAlign w:val="center"/>
                </w:tcPr>
                <w:p>
                  <w:pPr>
                    <w:jc w:val="center"/>
                    <w:rPr>
                      <w:szCs w:val="21"/>
                    </w:rPr>
                  </w:pPr>
                  <w:r>
                    <w:rPr>
                      <w:szCs w:val="21"/>
                    </w:rPr>
                    <w:t>136.5</w:t>
                  </w:r>
                </w:p>
              </w:tc>
              <w:tc>
                <w:tcPr>
                  <w:tcW w:w="392" w:type="pct"/>
                  <w:tcBorders>
                    <w:tl2br w:val="nil"/>
                    <w:tr2bl w:val="nil"/>
                  </w:tcBorders>
                  <w:vAlign w:val="center"/>
                </w:tcPr>
                <w:p>
                  <w:pPr>
                    <w:jc w:val="center"/>
                    <w:rPr>
                      <w:szCs w:val="21"/>
                    </w:rPr>
                  </w:pPr>
                  <w:r>
                    <w:rPr>
                      <w:szCs w:val="21"/>
                    </w:rPr>
                    <w:t>140</w:t>
                  </w:r>
                </w:p>
              </w:tc>
              <w:tc>
                <w:tcPr>
                  <w:tcW w:w="471" w:type="pct"/>
                  <w:tcBorders>
                    <w:tl2br w:val="nil"/>
                    <w:tr2bl w:val="nil"/>
                  </w:tcBorders>
                  <w:vAlign w:val="center"/>
                </w:tcPr>
                <w:p>
                  <w:pPr>
                    <w:jc w:val="center"/>
                    <w:rPr>
                      <w:szCs w:val="21"/>
                    </w:rPr>
                  </w:pPr>
                  <w:r>
                    <w:rPr>
                      <w:szCs w:val="21"/>
                    </w:rPr>
                    <w:t>24.25</w:t>
                  </w:r>
                </w:p>
              </w:tc>
              <w:tc>
                <w:tcPr>
                  <w:tcW w:w="555" w:type="pct"/>
                  <w:tcBorders>
                    <w:tl2br w:val="nil"/>
                    <w:tr2bl w:val="nil"/>
                  </w:tcBorders>
                  <w:vAlign w:val="center"/>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4" w:type="pct"/>
                  <w:vMerge w:val="continue"/>
                  <w:tcBorders>
                    <w:tl2br w:val="nil"/>
                    <w:tr2bl w:val="nil"/>
                  </w:tcBorders>
                  <w:vAlign w:val="center"/>
                </w:tcPr>
                <w:p>
                  <w:pPr>
                    <w:jc w:val="center"/>
                    <w:rPr>
                      <w:szCs w:val="21"/>
                    </w:rPr>
                  </w:pPr>
                </w:p>
              </w:tc>
              <w:tc>
                <w:tcPr>
                  <w:tcW w:w="1568" w:type="pct"/>
                  <w:tcBorders>
                    <w:tl2br w:val="nil"/>
                    <w:tr2bl w:val="nil"/>
                  </w:tcBorders>
                  <w:vAlign w:val="center"/>
                </w:tcPr>
                <w:p>
                  <w:pPr>
                    <w:jc w:val="center"/>
                    <w:rPr>
                      <w:szCs w:val="21"/>
                    </w:rPr>
                  </w:pPr>
                  <w:r>
                    <w:rPr>
                      <w:szCs w:val="21"/>
                    </w:rPr>
                    <w:t>污水处理站处理效率（%）</w:t>
                  </w:r>
                </w:p>
              </w:tc>
              <w:tc>
                <w:tcPr>
                  <w:tcW w:w="549" w:type="pct"/>
                  <w:tcBorders>
                    <w:tl2br w:val="nil"/>
                    <w:tr2bl w:val="nil"/>
                  </w:tcBorders>
                  <w:vAlign w:val="center"/>
                </w:tcPr>
                <w:p>
                  <w:pPr>
                    <w:adjustRightInd w:val="0"/>
                    <w:snapToGrid w:val="0"/>
                    <w:jc w:val="center"/>
                    <w:rPr>
                      <w:szCs w:val="21"/>
                    </w:rPr>
                  </w:pPr>
                  <w:r>
                    <w:rPr>
                      <w:bCs/>
                      <w:szCs w:val="21"/>
                    </w:rPr>
                    <w:t>&gt;98</w:t>
                  </w:r>
                </w:p>
              </w:tc>
              <w:tc>
                <w:tcPr>
                  <w:tcW w:w="470" w:type="pct"/>
                  <w:tcBorders>
                    <w:tl2br w:val="nil"/>
                    <w:tr2bl w:val="nil"/>
                  </w:tcBorders>
                  <w:vAlign w:val="center"/>
                </w:tcPr>
                <w:p>
                  <w:pPr>
                    <w:adjustRightInd w:val="0"/>
                    <w:snapToGrid w:val="0"/>
                    <w:jc w:val="center"/>
                    <w:rPr>
                      <w:szCs w:val="21"/>
                    </w:rPr>
                  </w:pPr>
                  <w:r>
                    <w:rPr>
                      <w:bCs/>
                      <w:szCs w:val="21"/>
                    </w:rPr>
                    <w:t>&gt;97</w:t>
                  </w:r>
                </w:p>
              </w:tc>
              <w:tc>
                <w:tcPr>
                  <w:tcW w:w="392" w:type="pct"/>
                  <w:tcBorders>
                    <w:tl2br w:val="nil"/>
                    <w:tr2bl w:val="nil"/>
                  </w:tcBorders>
                  <w:vAlign w:val="center"/>
                </w:tcPr>
                <w:p>
                  <w:pPr>
                    <w:adjustRightInd w:val="0"/>
                    <w:snapToGrid w:val="0"/>
                    <w:jc w:val="center"/>
                    <w:rPr>
                      <w:szCs w:val="21"/>
                    </w:rPr>
                  </w:pPr>
                  <w:r>
                    <w:rPr>
                      <w:bCs/>
                      <w:szCs w:val="21"/>
                    </w:rPr>
                    <w:t>&gt;95</w:t>
                  </w:r>
                </w:p>
              </w:tc>
              <w:tc>
                <w:tcPr>
                  <w:tcW w:w="471" w:type="pct"/>
                  <w:tcBorders>
                    <w:tl2br w:val="nil"/>
                    <w:tr2bl w:val="nil"/>
                  </w:tcBorders>
                  <w:vAlign w:val="center"/>
                </w:tcPr>
                <w:p>
                  <w:pPr>
                    <w:adjustRightInd w:val="0"/>
                    <w:snapToGrid w:val="0"/>
                    <w:jc w:val="center"/>
                    <w:rPr>
                      <w:szCs w:val="21"/>
                    </w:rPr>
                  </w:pPr>
                  <w:r>
                    <w:rPr>
                      <w:bCs/>
                      <w:szCs w:val="21"/>
                    </w:rPr>
                    <w:t>&gt;90</w:t>
                  </w:r>
                </w:p>
              </w:tc>
              <w:tc>
                <w:tcPr>
                  <w:tcW w:w="555" w:type="pct"/>
                  <w:tcBorders>
                    <w:tl2br w:val="nil"/>
                    <w:tr2bl w:val="nil"/>
                  </w:tcBorders>
                  <w:vAlign w:val="center"/>
                </w:tcPr>
                <w:p>
                  <w:pPr>
                    <w:adjustRightInd w:val="0"/>
                    <w:snapToGrid w:val="0"/>
                    <w:jc w:val="center"/>
                    <w:rPr>
                      <w:szCs w:val="21"/>
                    </w:rPr>
                  </w:pPr>
                  <w:r>
                    <w:rPr>
                      <w:bCs/>
                      <w:szCs w:val="21"/>
                    </w:rPr>
                    <w:t>&gt;97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4" w:type="pct"/>
                  <w:vMerge w:val="continue"/>
                  <w:tcBorders>
                    <w:tl2br w:val="nil"/>
                    <w:tr2bl w:val="nil"/>
                  </w:tcBorders>
                  <w:vAlign w:val="center"/>
                </w:tcPr>
                <w:p>
                  <w:pPr>
                    <w:jc w:val="center"/>
                    <w:rPr>
                      <w:szCs w:val="21"/>
                    </w:rPr>
                  </w:pPr>
                </w:p>
              </w:tc>
              <w:tc>
                <w:tcPr>
                  <w:tcW w:w="1568" w:type="pct"/>
                  <w:tcBorders>
                    <w:tl2br w:val="nil"/>
                    <w:tr2bl w:val="nil"/>
                  </w:tcBorders>
                  <w:vAlign w:val="center"/>
                </w:tcPr>
                <w:p>
                  <w:pPr>
                    <w:jc w:val="center"/>
                    <w:rPr>
                      <w:szCs w:val="21"/>
                    </w:rPr>
                  </w:pPr>
                  <w:r>
                    <w:rPr>
                      <w:szCs w:val="21"/>
                    </w:rPr>
                    <w:t>污水处理站出口浓度（mg/L）</w:t>
                  </w:r>
                </w:p>
              </w:tc>
              <w:tc>
                <w:tcPr>
                  <w:tcW w:w="549" w:type="pct"/>
                  <w:tcBorders>
                    <w:tl2br w:val="nil"/>
                    <w:tr2bl w:val="nil"/>
                  </w:tcBorders>
                  <w:vAlign w:val="center"/>
                </w:tcPr>
                <w:p>
                  <w:pPr>
                    <w:widowControl/>
                    <w:jc w:val="center"/>
                    <w:textAlignment w:val="center"/>
                    <w:rPr>
                      <w:szCs w:val="21"/>
                    </w:rPr>
                  </w:pPr>
                  <w:r>
                    <w:rPr>
                      <w:kern w:val="0"/>
                      <w:szCs w:val="21"/>
                      <w:lang w:bidi="ar"/>
                    </w:rPr>
                    <w:t>4.25</w:t>
                  </w:r>
                </w:p>
              </w:tc>
              <w:tc>
                <w:tcPr>
                  <w:tcW w:w="470" w:type="pct"/>
                  <w:tcBorders>
                    <w:tl2br w:val="nil"/>
                    <w:tr2bl w:val="nil"/>
                  </w:tcBorders>
                  <w:vAlign w:val="center"/>
                </w:tcPr>
                <w:p>
                  <w:pPr>
                    <w:widowControl/>
                    <w:jc w:val="center"/>
                    <w:textAlignment w:val="center"/>
                    <w:rPr>
                      <w:szCs w:val="21"/>
                    </w:rPr>
                  </w:pPr>
                  <w:r>
                    <w:rPr>
                      <w:kern w:val="0"/>
                      <w:szCs w:val="21"/>
                      <w:lang w:bidi="ar"/>
                    </w:rPr>
                    <w:t>4.095</w:t>
                  </w:r>
                </w:p>
              </w:tc>
              <w:tc>
                <w:tcPr>
                  <w:tcW w:w="392" w:type="pct"/>
                  <w:tcBorders>
                    <w:tl2br w:val="nil"/>
                    <w:tr2bl w:val="nil"/>
                  </w:tcBorders>
                  <w:vAlign w:val="center"/>
                </w:tcPr>
                <w:p>
                  <w:pPr>
                    <w:widowControl/>
                    <w:jc w:val="center"/>
                    <w:textAlignment w:val="center"/>
                    <w:rPr>
                      <w:szCs w:val="21"/>
                    </w:rPr>
                  </w:pPr>
                  <w:r>
                    <w:rPr>
                      <w:kern w:val="0"/>
                      <w:szCs w:val="21"/>
                      <w:lang w:bidi="ar"/>
                    </w:rPr>
                    <w:t>7</w:t>
                  </w:r>
                </w:p>
              </w:tc>
              <w:tc>
                <w:tcPr>
                  <w:tcW w:w="471" w:type="pct"/>
                  <w:tcBorders>
                    <w:tl2br w:val="nil"/>
                    <w:tr2bl w:val="nil"/>
                  </w:tcBorders>
                  <w:vAlign w:val="center"/>
                </w:tcPr>
                <w:p>
                  <w:pPr>
                    <w:widowControl/>
                    <w:jc w:val="center"/>
                    <w:textAlignment w:val="center"/>
                    <w:rPr>
                      <w:szCs w:val="21"/>
                    </w:rPr>
                  </w:pPr>
                  <w:r>
                    <w:rPr>
                      <w:kern w:val="0"/>
                      <w:szCs w:val="21"/>
                      <w:lang w:bidi="ar"/>
                    </w:rPr>
                    <w:t>2.425</w:t>
                  </w:r>
                </w:p>
              </w:tc>
              <w:tc>
                <w:tcPr>
                  <w:tcW w:w="555" w:type="pct"/>
                  <w:tcBorders>
                    <w:tl2br w:val="nil"/>
                    <w:tr2bl w:val="nil"/>
                  </w:tcBorders>
                  <w:vAlign w:val="center"/>
                </w:tcPr>
                <w:p>
                  <w:pPr>
                    <w:widowControl/>
                    <w:jc w:val="center"/>
                    <w:textAlignment w:val="center"/>
                    <w:rPr>
                      <w:szCs w:val="21"/>
                    </w:rPr>
                  </w:pPr>
                  <w:r>
                    <w:rPr>
                      <w:kern w:val="0"/>
                      <w:szCs w:val="21"/>
                      <w:lang w:bidi="ar"/>
                    </w:rPr>
                    <w:t>0.12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4" w:type="pct"/>
                  <w:vMerge w:val="continue"/>
                  <w:tcBorders>
                    <w:tl2br w:val="nil"/>
                    <w:tr2bl w:val="nil"/>
                  </w:tcBorders>
                  <w:vAlign w:val="center"/>
                </w:tcPr>
                <w:p>
                  <w:pPr>
                    <w:jc w:val="center"/>
                    <w:rPr>
                      <w:szCs w:val="21"/>
                    </w:rPr>
                  </w:pPr>
                </w:p>
              </w:tc>
              <w:tc>
                <w:tcPr>
                  <w:tcW w:w="1568" w:type="pct"/>
                  <w:tcBorders>
                    <w:tl2br w:val="nil"/>
                    <w:tr2bl w:val="nil"/>
                  </w:tcBorders>
                  <w:vAlign w:val="center"/>
                </w:tcPr>
                <w:p>
                  <w:pPr>
                    <w:jc w:val="center"/>
                    <w:rPr>
                      <w:szCs w:val="21"/>
                    </w:rPr>
                  </w:pPr>
                  <w:r>
                    <w:rPr>
                      <w:rFonts w:hint="eastAsia"/>
                      <w:szCs w:val="21"/>
                    </w:rPr>
                    <w:t>G</w:t>
                  </w:r>
                  <w:r>
                    <w:rPr>
                      <w:szCs w:val="21"/>
                    </w:rPr>
                    <w:t>B/T20922-2007</w:t>
                  </w:r>
                  <w:r>
                    <w:rPr>
                      <w:rFonts w:hint="eastAsia"/>
                      <w:szCs w:val="21"/>
                    </w:rPr>
                    <w:t>标准值</w:t>
                  </w:r>
                </w:p>
              </w:tc>
              <w:tc>
                <w:tcPr>
                  <w:tcW w:w="549" w:type="pct"/>
                  <w:tcBorders>
                    <w:tl2br w:val="nil"/>
                    <w:tr2bl w:val="nil"/>
                  </w:tcBorders>
                  <w:vAlign w:val="center"/>
                </w:tcPr>
                <w:p>
                  <w:pPr>
                    <w:pStyle w:val="34"/>
                    <w:widowControl w:val="0"/>
                    <w:spacing w:before="0" w:beforeAutospacing="0" w:after="0" w:afterAutospacing="0"/>
                    <w:rPr>
                      <w:rFonts w:ascii="Times New Roman" w:hAnsi="Times New Roman"/>
                      <w:sz w:val="21"/>
                      <w:szCs w:val="21"/>
                    </w:rPr>
                  </w:pPr>
                  <w:r>
                    <w:rPr>
                      <w:rFonts w:ascii="Times New Roman" w:hAnsi="Times New Roman"/>
                      <w:kern w:val="2"/>
                      <w:sz w:val="21"/>
                      <w:szCs w:val="21"/>
                    </w:rPr>
                    <w:t>≤180</w:t>
                  </w:r>
                </w:p>
              </w:tc>
              <w:tc>
                <w:tcPr>
                  <w:tcW w:w="470" w:type="pct"/>
                  <w:tcBorders>
                    <w:tl2br w:val="nil"/>
                    <w:tr2bl w:val="nil"/>
                  </w:tcBorders>
                  <w:vAlign w:val="center"/>
                </w:tcPr>
                <w:p>
                  <w:pPr>
                    <w:jc w:val="center"/>
                    <w:rPr>
                      <w:szCs w:val="21"/>
                    </w:rPr>
                  </w:pPr>
                  <w:r>
                    <w:rPr>
                      <w:szCs w:val="21"/>
                    </w:rPr>
                    <w:t>≤80</w:t>
                  </w:r>
                </w:p>
              </w:tc>
              <w:tc>
                <w:tcPr>
                  <w:tcW w:w="392" w:type="pct"/>
                  <w:tcBorders>
                    <w:tl2br w:val="nil"/>
                    <w:tr2bl w:val="nil"/>
                  </w:tcBorders>
                  <w:vAlign w:val="center"/>
                </w:tcPr>
                <w:p>
                  <w:pPr>
                    <w:jc w:val="center"/>
                    <w:rPr>
                      <w:szCs w:val="21"/>
                    </w:rPr>
                  </w:pPr>
                  <w:r>
                    <w:rPr>
                      <w:szCs w:val="21"/>
                    </w:rPr>
                    <w:t>≤90</w:t>
                  </w:r>
                </w:p>
              </w:tc>
              <w:tc>
                <w:tcPr>
                  <w:tcW w:w="471" w:type="pct"/>
                  <w:tcBorders>
                    <w:tl2br w:val="nil"/>
                    <w:tr2bl w:val="nil"/>
                  </w:tcBorders>
                  <w:vAlign w:val="center"/>
                </w:tcPr>
                <w:p>
                  <w:pPr>
                    <w:jc w:val="center"/>
                    <w:rPr>
                      <w:szCs w:val="21"/>
                    </w:rPr>
                  </w:pPr>
                  <w:r>
                    <w:rPr>
                      <w:rFonts w:hint="eastAsia"/>
                      <w:szCs w:val="21"/>
                    </w:rPr>
                    <w:t>/</w:t>
                  </w:r>
                </w:p>
              </w:tc>
              <w:tc>
                <w:tcPr>
                  <w:tcW w:w="555" w:type="pct"/>
                  <w:tcBorders>
                    <w:tl2br w:val="nil"/>
                    <w:tr2bl w:val="nil"/>
                  </w:tcBorders>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94" w:type="pct"/>
                  <w:vMerge w:val="continue"/>
                  <w:tcBorders>
                    <w:tl2br w:val="nil"/>
                    <w:tr2bl w:val="nil"/>
                  </w:tcBorders>
                  <w:vAlign w:val="center"/>
                </w:tcPr>
                <w:p>
                  <w:pPr>
                    <w:jc w:val="center"/>
                    <w:rPr>
                      <w:szCs w:val="21"/>
                    </w:rPr>
                  </w:pPr>
                </w:p>
              </w:tc>
              <w:tc>
                <w:tcPr>
                  <w:tcW w:w="1568" w:type="pct"/>
                  <w:tcBorders>
                    <w:tl2br w:val="nil"/>
                    <w:tr2bl w:val="nil"/>
                  </w:tcBorders>
                  <w:vAlign w:val="center"/>
                </w:tcPr>
                <w:p>
                  <w:pPr>
                    <w:jc w:val="center"/>
                    <w:rPr>
                      <w:szCs w:val="21"/>
                    </w:rPr>
                  </w:pPr>
                  <w:r>
                    <w:rPr>
                      <w:szCs w:val="21"/>
                    </w:rPr>
                    <w:t>达标性分析</w:t>
                  </w:r>
                </w:p>
              </w:tc>
              <w:tc>
                <w:tcPr>
                  <w:tcW w:w="549" w:type="pct"/>
                  <w:tcBorders>
                    <w:tl2br w:val="nil"/>
                    <w:tr2bl w:val="nil"/>
                  </w:tcBorders>
                  <w:vAlign w:val="center"/>
                </w:tcPr>
                <w:p>
                  <w:pPr>
                    <w:jc w:val="center"/>
                    <w:rPr>
                      <w:szCs w:val="21"/>
                    </w:rPr>
                  </w:pPr>
                  <w:r>
                    <w:rPr>
                      <w:szCs w:val="21"/>
                    </w:rPr>
                    <w:t>达标</w:t>
                  </w:r>
                </w:p>
              </w:tc>
              <w:tc>
                <w:tcPr>
                  <w:tcW w:w="470" w:type="pct"/>
                  <w:tcBorders>
                    <w:tl2br w:val="nil"/>
                    <w:tr2bl w:val="nil"/>
                  </w:tcBorders>
                  <w:vAlign w:val="center"/>
                </w:tcPr>
                <w:p>
                  <w:pPr>
                    <w:jc w:val="center"/>
                    <w:rPr>
                      <w:szCs w:val="21"/>
                    </w:rPr>
                  </w:pPr>
                  <w:r>
                    <w:rPr>
                      <w:szCs w:val="21"/>
                    </w:rPr>
                    <w:t>达标</w:t>
                  </w:r>
                </w:p>
              </w:tc>
              <w:tc>
                <w:tcPr>
                  <w:tcW w:w="392" w:type="pct"/>
                  <w:tcBorders>
                    <w:tl2br w:val="nil"/>
                    <w:tr2bl w:val="nil"/>
                  </w:tcBorders>
                  <w:vAlign w:val="center"/>
                </w:tcPr>
                <w:p>
                  <w:pPr>
                    <w:jc w:val="center"/>
                    <w:rPr>
                      <w:szCs w:val="21"/>
                    </w:rPr>
                  </w:pPr>
                  <w:r>
                    <w:rPr>
                      <w:szCs w:val="21"/>
                    </w:rPr>
                    <w:t>达标</w:t>
                  </w:r>
                </w:p>
              </w:tc>
              <w:tc>
                <w:tcPr>
                  <w:tcW w:w="471" w:type="pct"/>
                  <w:tcBorders>
                    <w:tl2br w:val="nil"/>
                    <w:tr2bl w:val="nil"/>
                  </w:tcBorders>
                  <w:vAlign w:val="center"/>
                </w:tcPr>
                <w:p>
                  <w:pPr>
                    <w:jc w:val="center"/>
                    <w:rPr>
                      <w:szCs w:val="21"/>
                    </w:rPr>
                  </w:pPr>
                  <w:r>
                    <w:rPr>
                      <w:rFonts w:hint="eastAsia"/>
                      <w:szCs w:val="21"/>
                    </w:rPr>
                    <w:t>/</w:t>
                  </w:r>
                </w:p>
              </w:tc>
              <w:tc>
                <w:tcPr>
                  <w:tcW w:w="555" w:type="pct"/>
                  <w:tcBorders>
                    <w:tl2br w:val="nil"/>
                    <w:tr2bl w:val="nil"/>
                  </w:tcBorders>
                  <w:vAlign w:val="center"/>
                </w:tcPr>
                <w:p>
                  <w:pPr>
                    <w:jc w:val="center"/>
                    <w:rPr>
                      <w:szCs w:val="21"/>
                    </w:rPr>
                  </w:pPr>
                  <w:r>
                    <w:rPr>
                      <w:rFonts w:hint="eastAsia"/>
                      <w:szCs w:val="21"/>
                    </w:rPr>
                    <w:t>/</w:t>
                  </w:r>
                </w:p>
              </w:tc>
            </w:tr>
          </w:tbl>
          <w:p>
            <w:pPr>
              <w:snapToGrid w:val="0"/>
              <w:spacing w:line="360" w:lineRule="auto"/>
              <w:ind w:firstLine="480" w:firstLineChars="200"/>
              <w:rPr>
                <w:sz w:val="24"/>
              </w:rPr>
            </w:pPr>
            <w:r>
              <w:rPr>
                <w:sz w:val="24"/>
              </w:rPr>
              <w:t>根据上表本项目食堂含油污水经隔油池</w:t>
            </w:r>
            <w:r>
              <w:rPr>
                <w:rFonts w:hint="eastAsia"/>
                <w:sz w:val="24"/>
              </w:rPr>
              <w:t>处理</w:t>
            </w:r>
            <w:r>
              <w:rPr>
                <w:sz w:val="24"/>
              </w:rPr>
              <w:t>后与其他生活污水一起排入化粪池中处理，进入项目自建污水处理站处理后达到</w:t>
            </w:r>
            <w:r>
              <w:rPr>
                <w:sz w:val="24"/>
                <w:lang w:bidi="ar"/>
              </w:rPr>
              <w:t>《城市污水再生利用-</w:t>
            </w:r>
            <w:r>
              <w:rPr>
                <w:rFonts w:hint="eastAsia"/>
                <w:sz w:val="24"/>
                <w:lang w:bidi="ar"/>
              </w:rPr>
              <w:t>农田灌溉用水水质</w:t>
            </w:r>
            <w:r>
              <w:rPr>
                <w:sz w:val="24"/>
                <w:lang w:bidi="ar"/>
              </w:rPr>
              <w:t>》（GB/T</w:t>
            </w:r>
            <w:r>
              <w:rPr>
                <w:rFonts w:hint="eastAsia"/>
                <w:sz w:val="24"/>
                <w:lang w:bidi="ar"/>
              </w:rPr>
              <w:t>20922</w:t>
            </w:r>
            <w:r>
              <w:rPr>
                <w:sz w:val="24"/>
                <w:lang w:bidi="ar"/>
              </w:rPr>
              <w:t>-20</w:t>
            </w:r>
            <w:r>
              <w:rPr>
                <w:rFonts w:hint="eastAsia"/>
                <w:sz w:val="24"/>
                <w:lang w:bidi="ar"/>
              </w:rPr>
              <w:t>07</w:t>
            </w:r>
            <w:r>
              <w:rPr>
                <w:sz w:val="24"/>
                <w:lang w:bidi="ar"/>
              </w:rPr>
              <w:t>）</w:t>
            </w:r>
            <w:r>
              <w:rPr>
                <w:sz w:val="24"/>
              </w:rPr>
              <w:t>标准，可以回用于项目区种植基地浇灌，对周边环境影响较小。</w:t>
            </w:r>
          </w:p>
          <w:p>
            <w:pPr>
              <w:snapToGrid w:val="0"/>
              <w:spacing w:line="360" w:lineRule="auto"/>
              <w:ind w:firstLine="480" w:firstLineChars="200"/>
              <w:rPr>
                <w:sz w:val="24"/>
              </w:rPr>
            </w:pPr>
            <w:r>
              <w:rPr>
                <w:sz w:val="24"/>
              </w:rPr>
              <w:t>2）接入姚安县第二污水处理厂之后</w:t>
            </w:r>
          </w:p>
          <w:p>
            <w:pPr>
              <w:snapToGrid w:val="0"/>
              <w:spacing w:line="360" w:lineRule="auto"/>
              <w:ind w:firstLine="480" w:firstLineChars="200"/>
              <w:rPr>
                <w:sz w:val="24"/>
              </w:rPr>
            </w:pPr>
            <w:r>
              <w:rPr>
                <w:sz w:val="24"/>
              </w:rPr>
              <w:t>根据工程分析，</w:t>
            </w:r>
            <w:r>
              <w:rPr>
                <w:sz w:val="24"/>
                <w:lang w:bidi="ar"/>
              </w:rPr>
              <w:t>项目食堂废水产生量为0.84m</w:t>
            </w:r>
            <w:r>
              <w:rPr>
                <w:sz w:val="24"/>
                <w:vertAlign w:val="superscript"/>
                <w:lang w:bidi="ar"/>
              </w:rPr>
              <w:t>3</w:t>
            </w:r>
            <w:r>
              <w:rPr>
                <w:sz w:val="24"/>
                <w:lang w:bidi="ar"/>
              </w:rPr>
              <w:t>/d，383.25m</w:t>
            </w:r>
            <w:r>
              <w:rPr>
                <w:sz w:val="24"/>
                <w:vertAlign w:val="superscript"/>
                <w:lang w:bidi="ar"/>
              </w:rPr>
              <w:t>3</w:t>
            </w:r>
            <w:r>
              <w:rPr>
                <w:sz w:val="24"/>
                <w:lang w:bidi="ar"/>
              </w:rPr>
              <w:t>/a，项目生活污水产生量为2.24m</w:t>
            </w:r>
            <w:r>
              <w:rPr>
                <w:sz w:val="24"/>
                <w:vertAlign w:val="superscript"/>
                <w:lang w:bidi="ar"/>
              </w:rPr>
              <w:t>3</w:t>
            </w:r>
            <w:r>
              <w:rPr>
                <w:sz w:val="24"/>
                <w:lang w:bidi="ar"/>
              </w:rPr>
              <w:t>/d，817.6m</w:t>
            </w:r>
            <w:r>
              <w:rPr>
                <w:sz w:val="24"/>
                <w:vertAlign w:val="superscript"/>
                <w:lang w:bidi="ar"/>
              </w:rPr>
              <w:t>3</w:t>
            </w:r>
            <w:r>
              <w:rPr>
                <w:sz w:val="24"/>
                <w:lang w:bidi="ar"/>
              </w:rPr>
              <w:t>/a。</w:t>
            </w:r>
            <w:r>
              <w:rPr>
                <w:sz w:val="24"/>
              </w:rPr>
              <w:t>项目食堂废水经过隔油池处理后进入化粪池处理，之后排入园区污水管网，进入污水处理厂进行处理；员工生活污水经过化粪池处理后排入污水管网，进入姚安县第二污水处理厂进行处理，执行《污水排入城镇下水道水质标准》（GB/T31962-2015）A等级标准。</w:t>
            </w:r>
          </w:p>
          <w:p>
            <w:pPr>
              <w:snapToGrid w:val="0"/>
              <w:spacing w:line="360" w:lineRule="auto"/>
              <w:ind w:firstLine="480" w:firstLineChars="200"/>
              <w:rPr>
                <w:sz w:val="24"/>
              </w:rPr>
            </w:pPr>
            <w:r>
              <w:rPr>
                <w:sz w:val="24"/>
              </w:rPr>
              <w:t>姚安县第二污水处理厂处理位于光禄镇与姚安工业园区间的最低位置，占地面积27818m</w:t>
            </w:r>
            <w:r>
              <w:rPr>
                <w:sz w:val="24"/>
                <w:vertAlign w:val="superscript"/>
              </w:rPr>
              <w:t>2</w:t>
            </w:r>
            <w:r>
              <w:rPr>
                <w:sz w:val="24"/>
              </w:rPr>
              <w:t>，项目接纳光禄镇居民生活污水和姚安工业园区污水。污水处理厂设计规模近期为5000m</w:t>
            </w:r>
            <w:r>
              <w:rPr>
                <w:sz w:val="24"/>
                <w:vertAlign w:val="superscript"/>
              </w:rPr>
              <w:t>3</w:t>
            </w:r>
            <w:r>
              <w:rPr>
                <w:sz w:val="24"/>
              </w:rPr>
              <w:t>/d（工艺A</w:t>
            </w:r>
            <w:r>
              <w:rPr>
                <w:sz w:val="24"/>
                <w:vertAlign w:val="superscript"/>
              </w:rPr>
              <w:t>2</w:t>
            </w:r>
            <w:r>
              <w:rPr>
                <w:sz w:val="24"/>
              </w:rPr>
              <w:t>/O+MBR），远期为10000m</w:t>
            </w:r>
            <w:r>
              <w:rPr>
                <w:sz w:val="24"/>
                <w:vertAlign w:val="superscript"/>
              </w:rPr>
              <w:t>3</w:t>
            </w:r>
            <w:r>
              <w:rPr>
                <w:sz w:val="24"/>
              </w:rPr>
              <w:t>/d，满足</w:t>
            </w:r>
            <w:r>
              <w:rPr>
                <w:sz w:val="24"/>
                <w:lang w:bidi="ar"/>
              </w:rPr>
              <w:t>《污水排入城镇下水道水质标准》（GB/T31962-2015）A等级标准，</w:t>
            </w:r>
            <w:r>
              <w:rPr>
                <w:sz w:val="24"/>
              </w:rPr>
              <w:t>处理效果和规模可以满足本项目需要。</w:t>
            </w:r>
          </w:p>
          <w:p>
            <w:pPr>
              <w:snapToGrid w:val="0"/>
              <w:spacing w:line="360" w:lineRule="auto"/>
              <w:ind w:firstLine="480" w:firstLineChars="200"/>
              <w:rPr>
                <w:sz w:val="24"/>
              </w:rPr>
            </w:pPr>
            <w:r>
              <w:rPr>
                <w:sz w:val="24"/>
              </w:rPr>
              <w:t>达标情况见下表。</w:t>
            </w:r>
          </w:p>
          <w:p>
            <w:pPr>
              <w:snapToGrid w:val="0"/>
              <w:spacing w:line="360" w:lineRule="auto"/>
              <w:jc w:val="center"/>
              <w:rPr>
                <w:b/>
                <w:bCs/>
                <w:sz w:val="24"/>
              </w:rPr>
            </w:pPr>
            <w:r>
              <w:rPr>
                <w:b/>
                <w:bCs/>
                <w:sz w:val="24"/>
              </w:rPr>
              <w:t>表4-6食堂废水达标分析表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760"/>
              <w:gridCol w:w="2392"/>
              <w:gridCol w:w="947"/>
              <w:gridCol w:w="811"/>
              <w:gridCol w:w="677"/>
              <w:gridCol w:w="813"/>
              <w:gridCol w:w="122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020" w:type="pct"/>
                  <w:vAlign w:val="center"/>
                </w:tcPr>
                <w:p>
                  <w:pPr>
                    <w:jc w:val="center"/>
                    <w:rPr>
                      <w:b/>
                      <w:bCs/>
                      <w:szCs w:val="21"/>
                    </w:rPr>
                  </w:pPr>
                  <w:r>
                    <w:rPr>
                      <w:b/>
                      <w:bCs/>
                      <w:szCs w:val="21"/>
                    </w:rPr>
                    <w:t>排放源</w:t>
                  </w:r>
                </w:p>
              </w:tc>
              <w:tc>
                <w:tcPr>
                  <w:tcW w:w="1386" w:type="pct"/>
                  <w:tcBorders>
                    <w:tl2br w:val="single" w:color="auto" w:sz="4" w:space="0"/>
                  </w:tcBorders>
                  <w:vAlign w:val="center"/>
                </w:tcPr>
                <w:p>
                  <w:pPr>
                    <w:jc w:val="right"/>
                    <w:rPr>
                      <w:b/>
                      <w:bCs/>
                      <w:szCs w:val="21"/>
                    </w:rPr>
                  </w:pPr>
                  <w:r>
                    <w:rPr>
                      <w:b/>
                      <w:bCs/>
                      <w:szCs w:val="21"/>
                    </w:rPr>
                    <w:t>污染物名称</w:t>
                  </w:r>
                </w:p>
                <w:p>
                  <w:pPr>
                    <w:rPr>
                      <w:b/>
                      <w:bCs/>
                      <w:szCs w:val="21"/>
                    </w:rPr>
                  </w:pPr>
                  <w:r>
                    <w:rPr>
                      <w:b/>
                      <w:bCs/>
                      <w:szCs w:val="21"/>
                    </w:rPr>
                    <w:t>处理工艺</w:t>
                  </w:r>
                </w:p>
              </w:tc>
              <w:tc>
                <w:tcPr>
                  <w:tcW w:w="549" w:type="pct"/>
                  <w:vAlign w:val="center"/>
                </w:tcPr>
                <w:p>
                  <w:pPr>
                    <w:jc w:val="center"/>
                    <w:rPr>
                      <w:b/>
                      <w:bCs/>
                      <w:szCs w:val="21"/>
                    </w:rPr>
                  </w:pPr>
                  <w:r>
                    <w:rPr>
                      <w:b/>
                      <w:bCs/>
                      <w:szCs w:val="21"/>
                    </w:rPr>
                    <w:t>CODcr</w:t>
                  </w:r>
                </w:p>
              </w:tc>
              <w:tc>
                <w:tcPr>
                  <w:tcW w:w="470" w:type="pct"/>
                  <w:vAlign w:val="center"/>
                </w:tcPr>
                <w:p>
                  <w:pPr>
                    <w:jc w:val="center"/>
                    <w:rPr>
                      <w:b/>
                      <w:bCs/>
                      <w:szCs w:val="21"/>
                    </w:rPr>
                  </w:pPr>
                  <w:r>
                    <w:rPr>
                      <w:b/>
                      <w:bCs/>
                      <w:szCs w:val="21"/>
                    </w:rPr>
                    <w:t>BOD</w:t>
                  </w:r>
                  <w:r>
                    <w:rPr>
                      <w:b/>
                      <w:bCs/>
                      <w:szCs w:val="21"/>
                      <w:vertAlign w:val="subscript"/>
                    </w:rPr>
                    <w:t>5</w:t>
                  </w:r>
                </w:p>
              </w:tc>
              <w:tc>
                <w:tcPr>
                  <w:tcW w:w="392" w:type="pct"/>
                  <w:vAlign w:val="center"/>
                </w:tcPr>
                <w:p>
                  <w:pPr>
                    <w:jc w:val="center"/>
                    <w:rPr>
                      <w:b/>
                      <w:bCs/>
                      <w:szCs w:val="21"/>
                    </w:rPr>
                  </w:pPr>
                  <w:r>
                    <w:rPr>
                      <w:b/>
                      <w:bCs/>
                      <w:szCs w:val="21"/>
                    </w:rPr>
                    <w:t>SS</w:t>
                  </w:r>
                </w:p>
              </w:tc>
              <w:tc>
                <w:tcPr>
                  <w:tcW w:w="471" w:type="pct"/>
                  <w:vAlign w:val="center"/>
                </w:tcPr>
                <w:p>
                  <w:pPr>
                    <w:jc w:val="center"/>
                    <w:rPr>
                      <w:b/>
                      <w:bCs/>
                      <w:szCs w:val="21"/>
                    </w:rPr>
                  </w:pPr>
                  <w:r>
                    <w:rPr>
                      <w:b/>
                      <w:bCs/>
                      <w:szCs w:val="21"/>
                    </w:rPr>
                    <w:t>氨氮</w:t>
                  </w:r>
                </w:p>
              </w:tc>
              <w:tc>
                <w:tcPr>
                  <w:tcW w:w="712" w:type="pct"/>
                  <w:vAlign w:val="center"/>
                </w:tcPr>
                <w:p>
                  <w:pPr>
                    <w:jc w:val="center"/>
                    <w:rPr>
                      <w:b/>
                      <w:bCs/>
                      <w:szCs w:val="21"/>
                    </w:rPr>
                  </w:pPr>
                  <w:r>
                    <w:rPr>
                      <w:b/>
                      <w:bCs/>
                      <w:szCs w:val="21"/>
                    </w:rPr>
                    <w:t>动植物油</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20" w:type="pct"/>
                  <w:vMerge w:val="restart"/>
                  <w:vAlign w:val="center"/>
                </w:tcPr>
                <w:p>
                  <w:pPr>
                    <w:jc w:val="center"/>
                    <w:rPr>
                      <w:szCs w:val="21"/>
                    </w:rPr>
                  </w:pPr>
                  <w:r>
                    <w:rPr>
                      <w:szCs w:val="21"/>
                    </w:rPr>
                    <w:t>食堂污水（Q=0.84m</w:t>
                  </w:r>
                  <w:r>
                    <w:rPr>
                      <w:szCs w:val="21"/>
                      <w:vertAlign w:val="superscript"/>
                    </w:rPr>
                    <w:t>3</w:t>
                  </w:r>
                  <w:r>
                    <w:rPr>
                      <w:szCs w:val="21"/>
                    </w:rPr>
                    <w:t>/d，383.25m</w:t>
                  </w:r>
                  <w:r>
                    <w:rPr>
                      <w:szCs w:val="21"/>
                      <w:vertAlign w:val="superscript"/>
                    </w:rPr>
                    <w:t>3</w:t>
                  </w:r>
                  <w:r>
                    <w:rPr>
                      <w:szCs w:val="21"/>
                    </w:rPr>
                    <w:t>/a）</w:t>
                  </w:r>
                </w:p>
              </w:tc>
              <w:tc>
                <w:tcPr>
                  <w:tcW w:w="1386" w:type="pct"/>
                  <w:vAlign w:val="center"/>
                </w:tcPr>
                <w:p>
                  <w:pPr>
                    <w:jc w:val="center"/>
                    <w:rPr>
                      <w:szCs w:val="21"/>
                    </w:rPr>
                  </w:pPr>
                  <w:r>
                    <w:rPr>
                      <w:szCs w:val="21"/>
                    </w:rPr>
                    <w:t>隔油池入口浓度（mg/L）</w:t>
                  </w:r>
                </w:p>
              </w:tc>
              <w:tc>
                <w:tcPr>
                  <w:tcW w:w="549" w:type="pct"/>
                  <w:vAlign w:val="center"/>
                </w:tcPr>
                <w:p>
                  <w:pPr>
                    <w:jc w:val="center"/>
                    <w:rPr>
                      <w:szCs w:val="21"/>
                    </w:rPr>
                  </w:pPr>
                  <w:r>
                    <w:rPr>
                      <w:szCs w:val="21"/>
                    </w:rPr>
                    <w:t>400</w:t>
                  </w:r>
                </w:p>
              </w:tc>
              <w:tc>
                <w:tcPr>
                  <w:tcW w:w="470" w:type="pct"/>
                  <w:vAlign w:val="center"/>
                </w:tcPr>
                <w:p>
                  <w:pPr>
                    <w:jc w:val="center"/>
                    <w:rPr>
                      <w:szCs w:val="21"/>
                    </w:rPr>
                  </w:pPr>
                  <w:r>
                    <w:rPr>
                      <w:szCs w:val="21"/>
                    </w:rPr>
                    <w:t>300</w:t>
                  </w:r>
                </w:p>
              </w:tc>
              <w:tc>
                <w:tcPr>
                  <w:tcW w:w="392" w:type="pct"/>
                  <w:vAlign w:val="center"/>
                </w:tcPr>
                <w:p>
                  <w:pPr>
                    <w:jc w:val="center"/>
                    <w:rPr>
                      <w:szCs w:val="21"/>
                    </w:rPr>
                  </w:pPr>
                  <w:r>
                    <w:rPr>
                      <w:szCs w:val="21"/>
                    </w:rPr>
                    <w:t>200</w:t>
                  </w:r>
                </w:p>
              </w:tc>
              <w:tc>
                <w:tcPr>
                  <w:tcW w:w="471" w:type="pct"/>
                  <w:vAlign w:val="center"/>
                </w:tcPr>
                <w:p>
                  <w:pPr>
                    <w:jc w:val="center"/>
                    <w:rPr>
                      <w:szCs w:val="21"/>
                    </w:rPr>
                  </w:pPr>
                  <w:r>
                    <w:rPr>
                      <w:szCs w:val="21"/>
                    </w:rPr>
                    <w:t>25</w:t>
                  </w:r>
                </w:p>
              </w:tc>
              <w:tc>
                <w:tcPr>
                  <w:tcW w:w="712" w:type="pct"/>
                  <w:vAlign w:val="center"/>
                </w:tcPr>
                <w:p>
                  <w:pPr>
                    <w:jc w:val="center"/>
                    <w:rPr>
                      <w:szCs w:val="21"/>
                    </w:rPr>
                  </w:pPr>
                  <w:r>
                    <w:rPr>
                      <w:szCs w:val="21"/>
                    </w:rPr>
                    <w:t>150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1020" w:type="pct"/>
                  <w:vMerge w:val="continue"/>
                  <w:vAlign w:val="center"/>
                </w:tcPr>
                <w:p>
                  <w:pPr>
                    <w:jc w:val="center"/>
                    <w:rPr>
                      <w:szCs w:val="21"/>
                    </w:rPr>
                  </w:pPr>
                </w:p>
              </w:tc>
              <w:tc>
                <w:tcPr>
                  <w:tcW w:w="1386" w:type="pct"/>
                  <w:vAlign w:val="center"/>
                </w:tcPr>
                <w:p>
                  <w:pPr>
                    <w:jc w:val="center"/>
                    <w:rPr>
                      <w:szCs w:val="21"/>
                    </w:rPr>
                  </w:pPr>
                  <w:r>
                    <w:rPr>
                      <w:szCs w:val="21"/>
                    </w:rPr>
                    <w:t>隔油池处理效率</w:t>
                  </w:r>
                </w:p>
              </w:tc>
              <w:tc>
                <w:tcPr>
                  <w:tcW w:w="549" w:type="pct"/>
                  <w:vAlign w:val="center"/>
                </w:tcPr>
                <w:p>
                  <w:pPr>
                    <w:jc w:val="center"/>
                    <w:rPr>
                      <w:szCs w:val="21"/>
                    </w:rPr>
                  </w:pPr>
                  <w:r>
                    <w:rPr>
                      <w:szCs w:val="21"/>
                    </w:rPr>
                    <w:t>/</w:t>
                  </w:r>
                </w:p>
              </w:tc>
              <w:tc>
                <w:tcPr>
                  <w:tcW w:w="470" w:type="pct"/>
                  <w:vAlign w:val="center"/>
                </w:tcPr>
                <w:p>
                  <w:pPr>
                    <w:jc w:val="center"/>
                    <w:rPr>
                      <w:szCs w:val="21"/>
                    </w:rPr>
                  </w:pPr>
                  <w:r>
                    <w:rPr>
                      <w:szCs w:val="21"/>
                    </w:rPr>
                    <w:t>/</w:t>
                  </w:r>
                </w:p>
              </w:tc>
              <w:tc>
                <w:tcPr>
                  <w:tcW w:w="392" w:type="pct"/>
                  <w:vAlign w:val="center"/>
                </w:tcPr>
                <w:p>
                  <w:pPr>
                    <w:jc w:val="center"/>
                    <w:rPr>
                      <w:szCs w:val="21"/>
                    </w:rPr>
                  </w:pPr>
                  <w:r>
                    <w:rPr>
                      <w:szCs w:val="21"/>
                    </w:rPr>
                    <w:t>/</w:t>
                  </w:r>
                </w:p>
              </w:tc>
              <w:tc>
                <w:tcPr>
                  <w:tcW w:w="471" w:type="pct"/>
                  <w:vAlign w:val="center"/>
                </w:tcPr>
                <w:p>
                  <w:pPr>
                    <w:jc w:val="center"/>
                    <w:rPr>
                      <w:szCs w:val="21"/>
                    </w:rPr>
                  </w:pPr>
                  <w:r>
                    <w:rPr>
                      <w:szCs w:val="21"/>
                    </w:rPr>
                    <w:t>/</w:t>
                  </w:r>
                </w:p>
              </w:tc>
              <w:tc>
                <w:tcPr>
                  <w:tcW w:w="712" w:type="pct"/>
                  <w:vAlign w:val="center"/>
                </w:tcPr>
                <w:p>
                  <w:pPr>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20" w:type="pct"/>
                  <w:vMerge w:val="continue"/>
                  <w:vAlign w:val="center"/>
                </w:tcPr>
                <w:p>
                  <w:pPr>
                    <w:jc w:val="center"/>
                    <w:rPr>
                      <w:szCs w:val="21"/>
                    </w:rPr>
                  </w:pPr>
                </w:p>
              </w:tc>
              <w:tc>
                <w:tcPr>
                  <w:tcW w:w="1386" w:type="pct"/>
                  <w:vAlign w:val="center"/>
                </w:tcPr>
                <w:p>
                  <w:pPr>
                    <w:jc w:val="center"/>
                    <w:rPr>
                      <w:szCs w:val="21"/>
                    </w:rPr>
                  </w:pPr>
                  <w:r>
                    <w:rPr>
                      <w:szCs w:val="21"/>
                    </w:rPr>
                    <w:t>隔油池出口浓度（mg/L）</w:t>
                  </w:r>
                </w:p>
              </w:tc>
              <w:tc>
                <w:tcPr>
                  <w:tcW w:w="549" w:type="pct"/>
                  <w:vAlign w:val="center"/>
                </w:tcPr>
                <w:p>
                  <w:pPr>
                    <w:jc w:val="center"/>
                    <w:rPr>
                      <w:szCs w:val="21"/>
                    </w:rPr>
                  </w:pPr>
                  <w:r>
                    <w:rPr>
                      <w:szCs w:val="21"/>
                    </w:rPr>
                    <w:t>400</w:t>
                  </w:r>
                </w:p>
              </w:tc>
              <w:tc>
                <w:tcPr>
                  <w:tcW w:w="470" w:type="pct"/>
                  <w:vAlign w:val="center"/>
                </w:tcPr>
                <w:p>
                  <w:pPr>
                    <w:jc w:val="center"/>
                    <w:rPr>
                      <w:szCs w:val="21"/>
                    </w:rPr>
                  </w:pPr>
                  <w:r>
                    <w:rPr>
                      <w:szCs w:val="21"/>
                    </w:rPr>
                    <w:t>300</w:t>
                  </w:r>
                </w:p>
              </w:tc>
              <w:tc>
                <w:tcPr>
                  <w:tcW w:w="392" w:type="pct"/>
                  <w:vAlign w:val="center"/>
                </w:tcPr>
                <w:p>
                  <w:pPr>
                    <w:jc w:val="center"/>
                    <w:rPr>
                      <w:szCs w:val="21"/>
                    </w:rPr>
                  </w:pPr>
                  <w:r>
                    <w:rPr>
                      <w:szCs w:val="21"/>
                    </w:rPr>
                    <w:t>200</w:t>
                  </w:r>
                </w:p>
              </w:tc>
              <w:tc>
                <w:tcPr>
                  <w:tcW w:w="471" w:type="pct"/>
                  <w:vAlign w:val="center"/>
                </w:tcPr>
                <w:p>
                  <w:pPr>
                    <w:jc w:val="center"/>
                    <w:rPr>
                      <w:szCs w:val="21"/>
                    </w:rPr>
                  </w:pPr>
                  <w:r>
                    <w:rPr>
                      <w:szCs w:val="21"/>
                    </w:rPr>
                    <w:t>25</w:t>
                  </w:r>
                </w:p>
              </w:tc>
              <w:tc>
                <w:tcPr>
                  <w:tcW w:w="712" w:type="pct"/>
                  <w:vAlign w:val="center"/>
                </w:tcPr>
                <w:p>
                  <w:pPr>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20" w:type="pct"/>
                  <w:vMerge w:val="continue"/>
                  <w:vAlign w:val="center"/>
                </w:tcPr>
                <w:p>
                  <w:pPr>
                    <w:jc w:val="center"/>
                    <w:rPr>
                      <w:szCs w:val="21"/>
                    </w:rPr>
                  </w:pPr>
                </w:p>
              </w:tc>
              <w:tc>
                <w:tcPr>
                  <w:tcW w:w="1386" w:type="pct"/>
                  <w:vAlign w:val="center"/>
                </w:tcPr>
                <w:p>
                  <w:pPr>
                    <w:jc w:val="center"/>
                    <w:rPr>
                      <w:szCs w:val="21"/>
                    </w:rPr>
                  </w:pPr>
                  <w:r>
                    <w:rPr>
                      <w:szCs w:val="21"/>
                    </w:rPr>
                    <w:t>化粪池入口浓度（mg/L）</w:t>
                  </w:r>
                </w:p>
              </w:tc>
              <w:tc>
                <w:tcPr>
                  <w:tcW w:w="549" w:type="pct"/>
                  <w:vAlign w:val="center"/>
                </w:tcPr>
                <w:p>
                  <w:pPr>
                    <w:jc w:val="center"/>
                    <w:rPr>
                      <w:szCs w:val="21"/>
                    </w:rPr>
                  </w:pPr>
                  <w:r>
                    <w:rPr>
                      <w:szCs w:val="21"/>
                    </w:rPr>
                    <w:t>400</w:t>
                  </w:r>
                </w:p>
              </w:tc>
              <w:tc>
                <w:tcPr>
                  <w:tcW w:w="470" w:type="pct"/>
                  <w:vAlign w:val="center"/>
                </w:tcPr>
                <w:p>
                  <w:pPr>
                    <w:jc w:val="center"/>
                    <w:rPr>
                      <w:szCs w:val="21"/>
                    </w:rPr>
                  </w:pPr>
                  <w:r>
                    <w:rPr>
                      <w:szCs w:val="21"/>
                    </w:rPr>
                    <w:t>300</w:t>
                  </w:r>
                </w:p>
              </w:tc>
              <w:tc>
                <w:tcPr>
                  <w:tcW w:w="392" w:type="pct"/>
                  <w:vAlign w:val="center"/>
                </w:tcPr>
                <w:p>
                  <w:pPr>
                    <w:jc w:val="center"/>
                    <w:rPr>
                      <w:szCs w:val="21"/>
                    </w:rPr>
                  </w:pPr>
                  <w:r>
                    <w:rPr>
                      <w:szCs w:val="21"/>
                    </w:rPr>
                    <w:t>200</w:t>
                  </w:r>
                </w:p>
              </w:tc>
              <w:tc>
                <w:tcPr>
                  <w:tcW w:w="471" w:type="pct"/>
                  <w:vAlign w:val="center"/>
                </w:tcPr>
                <w:p>
                  <w:pPr>
                    <w:jc w:val="center"/>
                    <w:rPr>
                      <w:szCs w:val="21"/>
                    </w:rPr>
                  </w:pPr>
                  <w:r>
                    <w:rPr>
                      <w:szCs w:val="21"/>
                    </w:rPr>
                    <w:t>25</w:t>
                  </w:r>
                </w:p>
              </w:tc>
              <w:tc>
                <w:tcPr>
                  <w:tcW w:w="712" w:type="pct"/>
                  <w:vAlign w:val="center"/>
                </w:tcPr>
                <w:p>
                  <w:pPr>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020" w:type="pct"/>
                  <w:vMerge w:val="continue"/>
                  <w:vAlign w:val="center"/>
                </w:tcPr>
                <w:p>
                  <w:pPr>
                    <w:jc w:val="center"/>
                    <w:rPr>
                      <w:szCs w:val="21"/>
                    </w:rPr>
                  </w:pPr>
                </w:p>
              </w:tc>
              <w:tc>
                <w:tcPr>
                  <w:tcW w:w="1386" w:type="pct"/>
                  <w:vAlign w:val="center"/>
                </w:tcPr>
                <w:p>
                  <w:pPr>
                    <w:jc w:val="center"/>
                    <w:rPr>
                      <w:szCs w:val="21"/>
                    </w:rPr>
                  </w:pPr>
                  <w:r>
                    <w:rPr>
                      <w:szCs w:val="21"/>
                    </w:rPr>
                    <w:t>化粪池处理效率</w:t>
                  </w:r>
                </w:p>
              </w:tc>
              <w:tc>
                <w:tcPr>
                  <w:tcW w:w="549" w:type="pct"/>
                  <w:vAlign w:val="center"/>
                </w:tcPr>
                <w:p>
                  <w:pPr>
                    <w:jc w:val="center"/>
                    <w:rPr>
                      <w:szCs w:val="21"/>
                    </w:rPr>
                  </w:pPr>
                  <w:r>
                    <w:rPr>
                      <w:szCs w:val="21"/>
                    </w:rPr>
                    <w:t>15%</w:t>
                  </w:r>
                </w:p>
              </w:tc>
              <w:tc>
                <w:tcPr>
                  <w:tcW w:w="470" w:type="pct"/>
                  <w:vAlign w:val="center"/>
                </w:tcPr>
                <w:p>
                  <w:pPr>
                    <w:jc w:val="center"/>
                    <w:rPr>
                      <w:szCs w:val="21"/>
                    </w:rPr>
                  </w:pPr>
                  <w:r>
                    <w:rPr>
                      <w:szCs w:val="21"/>
                    </w:rPr>
                    <w:t>9%</w:t>
                  </w:r>
                </w:p>
              </w:tc>
              <w:tc>
                <w:tcPr>
                  <w:tcW w:w="392" w:type="pct"/>
                  <w:vAlign w:val="center"/>
                </w:tcPr>
                <w:p>
                  <w:pPr>
                    <w:jc w:val="center"/>
                    <w:rPr>
                      <w:szCs w:val="21"/>
                    </w:rPr>
                  </w:pPr>
                  <w:r>
                    <w:rPr>
                      <w:szCs w:val="21"/>
                    </w:rPr>
                    <w:t>30%</w:t>
                  </w:r>
                </w:p>
              </w:tc>
              <w:tc>
                <w:tcPr>
                  <w:tcW w:w="471" w:type="pct"/>
                  <w:vAlign w:val="center"/>
                </w:tcPr>
                <w:p>
                  <w:pPr>
                    <w:jc w:val="center"/>
                    <w:rPr>
                      <w:szCs w:val="21"/>
                    </w:rPr>
                  </w:pPr>
                  <w:r>
                    <w:rPr>
                      <w:szCs w:val="21"/>
                    </w:rPr>
                    <w:t>3%</w:t>
                  </w:r>
                </w:p>
              </w:tc>
              <w:tc>
                <w:tcPr>
                  <w:tcW w:w="712"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20" w:type="pct"/>
                  <w:vMerge w:val="continue"/>
                  <w:vAlign w:val="center"/>
                </w:tcPr>
                <w:p>
                  <w:pPr>
                    <w:jc w:val="center"/>
                    <w:rPr>
                      <w:szCs w:val="21"/>
                    </w:rPr>
                  </w:pPr>
                </w:p>
              </w:tc>
              <w:tc>
                <w:tcPr>
                  <w:tcW w:w="1386" w:type="pct"/>
                  <w:vAlign w:val="center"/>
                </w:tcPr>
                <w:p>
                  <w:pPr>
                    <w:jc w:val="center"/>
                    <w:rPr>
                      <w:szCs w:val="21"/>
                    </w:rPr>
                  </w:pPr>
                  <w:r>
                    <w:rPr>
                      <w:szCs w:val="21"/>
                    </w:rPr>
                    <w:t>化粪池出口浓度（mg/L）</w:t>
                  </w:r>
                </w:p>
              </w:tc>
              <w:tc>
                <w:tcPr>
                  <w:tcW w:w="549" w:type="pct"/>
                  <w:vAlign w:val="center"/>
                </w:tcPr>
                <w:p>
                  <w:pPr>
                    <w:jc w:val="center"/>
                    <w:rPr>
                      <w:szCs w:val="21"/>
                    </w:rPr>
                  </w:pPr>
                  <w:r>
                    <w:rPr>
                      <w:szCs w:val="21"/>
                    </w:rPr>
                    <w:t>340</w:t>
                  </w:r>
                </w:p>
              </w:tc>
              <w:tc>
                <w:tcPr>
                  <w:tcW w:w="470" w:type="pct"/>
                  <w:vAlign w:val="center"/>
                </w:tcPr>
                <w:p>
                  <w:pPr>
                    <w:jc w:val="center"/>
                    <w:rPr>
                      <w:szCs w:val="21"/>
                    </w:rPr>
                  </w:pPr>
                  <w:r>
                    <w:rPr>
                      <w:szCs w:val="21"/>
                    </w:rPr>
                    <w:t>273</w:t>
                  </w:r>
                </w:p>
              </w:tc>
              <w:tc>
                <w:tcPr>
                  <w:tcW w:w="392" w:type="pct"/>
                  <w:vAlign w:val="center"/>
                </w:tcPr>
                <w:p>
                  <w:pPr>
                    <w:jc w:val="center"/>
                    <w:rPr>
                      <w:szCs w:val="21"/>
                    </w:rPr>
                  </w:pPr>
                  <w:r>
                    <w:rPr>
                      <w:szCs w:val="21"/>
                    </w:rPr>
                    <w:t>140</w:t>
                  </w:r>
                </w:p>
              </w:tc>
              <w:tc>
                <w:tcPr>
                  <w:tcW w:w="471" w:type="pct"/>
                  <w:vAlign w:val="center"/>
                </w:tcPr>
                <w:p>
                  <w:pPr>
                    <w:jc w:val="center"/>
                    <w:rPr>
                      <w:szCs w:val="21"/>
                    </w:rPr>
                  </w:pPr>
                  <w:r>
                    <w:rPr>
                      <w:szCs w:val="21"/>
                    </w:rPr>
                    <w:t>24.25</w:t>
                  </w:r>
                </w:p>
              </w:tc>
              <w:tc>
                <w:tcPr>
                  <w:tcW w:w="712" w:type="pct"/>
                  <w:vAlign w:val="center"/>
                </w:tcPr>
                <w:p>
                  <w:pPr>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020" w:type="pct"/>
                  <w:vMerge w:val="continue"/>
                  <w:vAlign w:val="center"/>
                </w:tcPr>
                <w:p>
                  <w:pPr>
                    <w:jc w:val="center"/>
                    <w:rPr>
                      <w:szCs w:val="21"/>
                    </w:rPr>
                  </w:pPr>
                </w:p>
              </w:tc>
              <w:tc>
                <w:tcPr>
                  <w:tcW w:w="1386" w:type="pct"/>
                  <w:vAlign w:val="center"/>
                </w:tcPr>
                <w:p>
                  <w:pPr>
                    <w:jc w:val="center"/>
                    <w:rPr>
                      <w:szCs w:val="21"/>
                    </w:rPr>
                  </w:pPr>
                  <w:r>
                    <w:rPr>
                      <w:szCs w:val="21"/>
                    </w:rPr>
                    <w:t>排放标准</w:t>
                  </w:r>
                </w:p>
              </w:tc>
              <w:tc>
                <w:tcPr>
                  <w:tcW w:w="549" w:type="pct"/>
                  <w:vAlign w:val="center"/>
                </w:tcPr>
                <w:p>
                  <w:pPr>
                    <w:jc w:val="center"/>
                    <w:rPr>
                      <w:szCs w:val="21"/>
                    </w:rPr>
                  </w:pPr>
                  <w:r>
                    <w:rPr>
                      <w:szCs w:val="21"/>
                    </w:rPr>
                    <w:t>≤500</w:t>
                  </w:r>
                </w:p>
              </w:tc>
              <w:tc>
                <w:tcPr>
                  <w:tcW w:w="470" w:type="pct"/>
                  <w:vAlign w:val="center"/>
                </w:tcPr>
                <w:p>
                  <w:pPr>
                    <w:jc w:val="center"/>
                    <w:rPr>
                      <w:szCs w:val="21"/>
                    </w:rPr>
                  </w:pPr>
                  <w:r>
                    <w:rPr>
                      <w:szCs w:val="21"/>
                    </w:rPr>
                    <w:t>≤350</w:t>
                  </w:r>
                </w:p>
              </w:tc>
              <w:tc>
                <w:tcPr>
                  <w:tcW w:w="392" w:type="pct"/>
                  <w:vAlign w:val="center"/>
                </w:tcPr>
                <w:p>
                  <w:pPr>
                    <w:jc w:val="center"/>
                    <w:rPr>
                      <w:szCs w:val="21"/>
                    </w:rPr>
                  </w:pPr>
                  <w:r>
                    <w:rPr>
                      <w:szCs w:val="21"/>
                    </w:rPr>
                    <w:t>≤400</w:t>
                  </w:r>
                </w:p>
              </w:tc>
              <w:tc>
                <w:tcPr>
                  <w:tcW w:w="471" w:type="pct"/>
                  <w:vAlign w:val="center"/>
                </w:tcPr>
                <w:p>
                  <w:pPr>
                    <w:jc w:val="center"/>
                    <w:rPr>
                      <w:szCs w:val="21"/>
                    </w:rPr>
                  </w:pPr>
                  <w:r>
                    <w:rPr>
                      <w:szCs w:val="21"/>
                    </w:rPr>
                    <w:t>≤45</w:t>
                  </w:r>
                </w:p>
              </w:tc>
              <w:tc>
                <w:tcPr>
                  <w:tcW w:w="712" w:type="pct"/>
                  <w:vAlign w:val="center"/>
                </w:tcPr>
                <w:p>
                  <w:pPr>
                    <w:jc w:val="center"/>
                    <w:rPr>
                      <w:szCs w:val="21"/>
                    </w:rPr>
                  </w:pPr>
                  <w:r>
                    <w:rPr>
                      <w:szCs w:val="21"/>
                    </w:rPr>
                    <w:t>≤100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1020" w:type="pct"/>
                  <w:vMerge w:val="continue"/>
                  <w:vAlign w:val="center"/>
                </w:tcPr>
                <w:p>
                  <w:pPr>
                    <w:jc w:val="center"/>
                    <w:rPr>
                      <w:szCs w:val="21"/>
                    </w:rPr>
                  </w:pPr>
                </w:p>
              </w:tc>
              <w:tc>
                <w:tcPr>
                  <w:tcW w:w="1386" w:type="pct"/>
                  <w:vAlign w:val="center"/>
                </w:tcPr>
                <w:p>
                  <w:pPr>
                    <w:jc w:val="center"/>
                    <w:rPr>
                      <w:szCs w:val="21"/>
                    </w:rPr>
                  </w:pPr>
                  <w:r>
                    <w:rPr>
                      <w:szCs w:val="21"/>
                    </w:rPr>
                    <w:t>达标性分析</w:t>
                  </w:r>
                </w:p>
              </w:tc>
              <w:tc>
                <w:tcPr>
                  <w:tcW w:w="549" w:type="pct"/>
                  <w:vAlign w:val="center"/>
                </w:tcPr>
                <w:p>
                  <w:pPr>
                    <w:jc w:val="center"/>
                    <w:rPr>
                      <w:szCs w:val="21"/>
                    </w:rPr>
                  </w:pPr>
                  <w:r>
                    <w:rPr>
                      <w:szCs w:val="21"/>
                    </w:rPr>
                    <w:t>达标</w:t>
                  </w:r>
                </w:p>
              </w:tc>
              <w:tc>
                <w:tcPr>
                  <w:tcW w:w="470" w:type="pct"/>
                  <w:vAlign w:val="center"/>
                </w:tcPr>
                <w:p>
                  <w:pPr>
                    <w:jc w:val="center"/>
                    <w:rPr>
                      <w:szCs w:val="21"/>
                    </w:rPr>
                  </w:pPr>
                  <w:r>
                    <w:rPr>
                      <w:szCs w:val="21"/>
                    </w:rPr>
                    <w:t>达标</w:t>
                  </w:r>
                </w:p>
              </w:tc>
              <w:tc>
                <w:tcPr>
                  <w:tcW w:w="392" w:type="pct"/>
                  <w:vAlign w:val="center"/>
                </w:tcPr>
                <w:p>
                  <w:pPr>
                    <w:jc w:val="center"/>
                    <w:rPr>
                      <w:szCs w:val="21"/>
                    </w:rPr>
                  </w:pPr>
                  <w:r>
                    <w:rPr>
                      <w:szCs w:val="21"/>
                    </w:rPr>
                    <w:t>达标</w:t>
                  </w:r>
                </w:p>
              </w:tc>
              <w:tc>
                <w:tcPr>
                  <w:tcW w:w="471" w:type="pct"/>
                  <w:vAlign w:val="center"/>
                </w:tcPr>
                <w:p>
                  <w:pPr>
                    <w:jc w:val="center"/>
                    <w:rPr>
                      <w:szCs w:val="21"/>
                    </w:rPr>
                  </w:pPr>
                  <w:r>
                    <w:rPr>
                      <w:szCs w:val="21"/>
                    </w:rPr>
                    <w:t>达标</w:t>
                  </w:r>
                </w:p>
              </w:tc>
              <w:tc>
                <w:tcPr>
                  <w:tcW w:w="712" w:type="pct"/>
                  <w:vAlign w:val="center"/>
                </w:tcPr>
                <w:p>
                  <w:pPr>
                    <w:jc w:val="center"/>
                    <w:rPr>
                      <w:szCs w:val="21"/>
                    </w:rPr>
                  </w:pPr>
                  <w:r>
                    <w:rPr>
                      <w:szCs w:val="21"/>
                    </w:rPr>
                    <w:t>达标</w:t>
                  </w:r>
                </w:p>
              </w:tc>
            </w:tr>
          </w:tbl>
          <w:p>
            <w:pPr>
              <w:snapToGrid w:val="0"/>
              <w:spacing w:line="360" w:lineRule="auto"/>
              <w:jc w:val="center"/>
              <w:rPr>
                <w:b/>
                <w:bCs/>
                <w:sz w:val="24"/>
              </w:rPr>
            </w:pPr>
            <w:r>
              <w:rPr>
                <w:b/>
                <w:bCs/>
                <w:sz w:val="24"/>
              </w:rPr>
              <w:t>表4-7 生活污水达标分析表</w:t>
            </w:r>
          </w:p>
          <w:tbl>
            <w:tblPr>
              <w:tblStyle w:val="26"/>
              <w:tblW w:w="4994"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756"/>
              <w:gridCol w:w="2803"/>
              <w:gridCol w:w="929"/>
              <w:gridCol w:w="755"/>
              <w:gridCol w:w="647"/>
              <w:gridCol w:w="690"/>
              <w:gridCol w:w="104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1019" w:type="pct"/>
                  <w:vAlign w:val="center"/>
                </w:tcPr>
                <w:p>
                  <w:pPr>
                    <w:jc w:val="center"/>
                    <w:rPr>
                      <w:b/>
                      <w:bCs/>
                      <w:szCs w:val="21"/>
                    </w:rPr>
                  </w:pPr>
                  <w:r>
                    <w:rPr>
                      <w:b/>
                      <w:bCs/>
                      <w:szCs w:val="21"/>
                    </w:rPr>
                    <w:t>排放源</w:t>
                  </w:r>
                </w:p>
              </w:tc>
              <w:tc>
                <w:tcPr>
                  <w:tcW w:w="1626" w:type="pct"/>
                  <w:tcBorders>
                    <w:tl2br w:val="single" w:color="auto" w:sz="4" w:space="0"/>
                  </w:tcBorders>
                  <w:vAlign w:val="center"/>
                </w:tcPr>
                <w:p>
                  <w:pPr>
                    <w:jc w:val="right"/>
                    <w:rPr>
                      <w:b/>
                      <w:bCs/>
                      <w:szCs w:val="21"/>
                    </w:rPr>
                  </w:pPr>
                  <w:r>
                    <w:rPr>
                      <w:b/>
                      <w:bCs/>
                      <w:szCs w:val="21"/>
                    </w:rPr>
                    <w:t>污染物名称</w:t>
                  </w:r>
                </w:p>
                <w:p>
                  <w:pPr>
                    <w:rPr>
                      <w:b/>
                      <w:bCs/>
                      <w:szCs w:val="21"/>
                    </w:rPr>
                  </w:pPr>
                  <w:r>
                    <w:rPr>
                      <w:b/>
                      <w:bCs/>
                      <w:szCs w:val="21"/>
                    </w:rPr>
                    <w:t>处理工艺</w:t>
                  </w:r>
                </w:p>
              </w:tc>
              <w:tc>
                <w:tcPr>
                  <w:tcW w:w="540" w:type="pct"/>
                  <w:vAlign w:val="center"/>
                </w:tcPr>
                <w:p>
                  <w:pPr>
                    <w:jc w:val="center"/>
                    <w:rPr>
                      <w:b/>
                      <w:bCs/>
                      <w:szCs w:val="21"/>
                    </w:rPr>
                  </w:pPr>
                  <w:r>
                    <w:rPr>
                      <w:b/>
                      <w:bCs/>
                      <w:szCs w:val="21"/>
                    </w:rPr>
                    <w:t>CODcr</w:t>
                  </w:r>
                </w:p>
              </w:tc>
              <w:tc>
                <w:tcPr>
                  <w:tcW w:w="439" w:type="pct"/>
                  <w:vAlign w:val="center"/>
                </w:tcPr>
                <w:p>
                  <w:pPr>
                    <w:jc w:val="center"/>
                    <w:rPr>
                      <w:b/>
                      <w:bCs/>
                      <w:szCs w:val="21"/>
                    </w:rPr>
                  </w:pPr>
                  <w:r>
                    <w:rPr>
                      <w:b/>
                      <w:bCs/>
                      <w:szCs w:val="21"/>
                    </w:rPr>
                    <w:t>BOD</w:t>
                  </w:r>
                  <w:r>
                    <w:rPr>
                      <w:b/>
                      <w:bCs/>
                      <w:szCs w:val="21"/>
                      <w:vertAlign w:val="subscript"/>
                    </w:rPr>
                    <w:t>5</w:t>
                  </w:r>
                </w:p>
              </w:tc>
              <w:tc>
                <w:tcPr>
                  <w:tcW w:w="371" w:type="pct"/>
                  <w:vAlign w:val="center"/>
                </w:tcPr>
                <w:p>
                  <w:pPr>
                    <w:jc w:val="center"/>
                    <w:rPr>
                      <w:b/>
                      <w:bCs/>
                      <w:szCs w:val="21"/>
                    </w:rPr>
                  </w:pPr>
                  <w:r>
                    <w:rPr>
                      <w:b/>
                      <w:bCs/>
                      <w:szCs w:val="21"/>
                    </w:rPr>
                    <w:t>SS</w:t>
                  </w:r>
                </w:p>
              </w:tc>
              <w:tc>
                <w:tcPr>
                  <w:tcW w:w="396" w:type="pct"/>
                  <w:vAlign w:val="center"/>
                </w:tcPr>
                <w:p>
                  <w:pPr>
                    <w:jc w:val="center"/>
                    <w:rPr>
                      <w:b/>
                      <w:bCs/>
                      <w:szCs w:val="21"/>
                    </w:rPr>
                  </w:pPr>
                  <w:r>
                    <w:rPr>
                      <w:b/>
                      <w:bCs/>
                      <w:szCs w:val="21"/>
                    </w:rPr>
                    <w:t>氨氮</w:t>
                  </w:r>
                </w:p>
              </w:tc>
              <w:tc>
                <w:tcPr>
                  <w:tcW w:w="605" w:type="pct"/>
                  <w:vAlign w:val="center"/>
                </w:tcPr>
                <w:p>
                  <w:pPr>
                    <w:jc w:val="center"/>
                    <w:rPr>
                      <w:b/>
                      <w:bCs/>
                      <w:szCs w:val="21"/>
                    </w:rPr>
                  </w:pPr>
                  <w:r>
                    <w:rPr>
                      <w:b/>
                      <w:bCs/>
                      <w:szCs w:val="21"/>
                    </w:rPr>
                    <w:t>总磷</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019" w:type="pct"/>
                  <w:vMerge w:val="restart"/>
                  <w:vAlign w:val="center"/>
                </w:tcPr>
                <w:p>
                  <w:pPr>
                    <w:jc w:val="center"/>
                    <w:rPr>
                      <w:szCs w:val="21"/>
                    </w:rPr>
                  </w:pPr>
                  <w:r>
                    <w:rPr>
                      <w:szCs w:val="21"/>
                    </w:rPr>
                    <w:t>生活污水（Q=2.24</w:t>
                  </w:r>
                  <w:r>
                    <w:rPr>
                      <w:bCs/>
                      <w:szCs w:val="21"/>
                    </w:rPr>
                    <w:t>m</w:t>
                  </w:r>
                  <w:r>
                    <w:rPr>
                      <w:bCs/>
                      <w:szCs w:val="21"/>
                      <w:vertAlign w:val="superscript"/>
                    </w:rPr>
                    <w:t>3</w:t>
                  </w:r>
                  <w:r>
                    <w:rPr>
                      <w:bCs/>
                      <w:szCs w:val="21"/>
                    </w:rPr>
                    <w:t>/d，</w:t>
                  </w:r>
                  <w:r>
                    <w:rPr>
                      <w:szCs w:val="21"/>
                    </w:rPr>
                    <w:t>817.6m</w:t>
                  </w:r>
                  <w:r>
                    <w:rPr>
                      <w:szCs w:val="21"/>
                      <w:vertAlign w:val="superscript"/>
                    </w:rPr>
                    <w:t>3</w:t>
                  </w:r>
                  <w:r>
                    <w:rPr>
                      <w:szCs w:val="21"/>
                    </w:rPr>
                    <w:t>/a）</w:t>
                  </w:r>
                </w:p>
              </w:tc>
              <w:tc>
                <w:tcPr>
                  <w:tcW w:w="1626" w:type="pct"/>
                  <w:vAlign w:val="center"/>
                </w:tcPr>
                <w:p>
                  <w:pPr>
                    <w:jc w:val="center"/>
                    <w:rPr>
                      <w:szCs w:val="21"/>
                    </w:rPr>
                  </w:pPr>
                  <w:r>
                    <w:rPr>
                      <w:szCs w:val="21"/>
                    </w:rPr>
                    <w:t>化粪池入口浓度（mg/L）</w:t>
                  </w:r>
                </w:p>
              </w:tc>
              <w:tc>
                <w:tcPr>
                  <w:tcW w:w="540" w:type="pct"/>
                  <w:vAlign w:val="center"/>
                </w:tcPr>
                <w:p>
                  <w:pPr>
                    <w:jc w:val="center"/>
                    <w:rPr>
                      <w:szCs w:val="21"/>
                    </w:rPr>
                  </w:pPr>
                  <w:r>
                    <w:rPr>
                      <w:szCs w:val="21"/>
                    </w:rPr>
                    <w:t>250</w:t>
                  </w:r>
                </w:p>
              </w:tc>
              <w:tc>
                <w:tcPr>
                  <w:tcW w:w="439" w:type="pct"/>
                  <w:vAlign w:val="center"/>
                </w:tcPr>
                <w:p>
                  <w:pPr>
                    <w:jc w:val="center"/>
                    <w:rPr>
                      <w:szCs w:val="21"/>
                    </w:rPr>
                  </w:pPr>
                  <w:r>
                    <w:rPr>
                      <w:szCs w:val="21"/>
                    </w:rPr>
                    <w:t>150</w:t>
                  </w:r>
                </w:p>
              </w:tc>
              <w:tc>
                <w:tcPr>
                  <w:tcW w:w="371" w:type="pct"/>
                  <w:vAlign w:val="center"/>
                </w:tcPr>
                <w:p>
                  <w:pPr>
                    <w:jc w:val="center"/>
                    <w:rPr>
                      <w:szCs w:val="21"/>
                    </w:rPr>
                  </w:pPr>
                  <w:r>
                    <w:rPr>
                      <w:szCs w:val="21"/>
                    </w:rPr>
                    <w:t>200</w:t>
                  </w:r>
                </w:p>
              </w:tc>
              <w:tc>
                <w:tcPr>
                  <w:tcW w:w="396" w:type="pct"/>
                  <w:vAlign w:val="center"/>
                </w:tcPr>
                <w:p>
                  <w:pPr>
                    <w:jc w:val="center"/>
                    <w:rPr>
                      <w:szCs w:val="21"/>
                    </w:rPr>
                  </w:pPr>
                  <w:r>
                    <w:rPr>
                      <w:szCs w:val="21"/>
                    </w:rPr>
                    <w:t>25</w:t>
                  </w:r>
                </w:p>
              </w:tc>
              <w:tc>
                <w:tcPr>
                  <w:tcW w:w="605" w:type="pct"/>
                  <w:vAlign w:val="center"/>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019" w:type="pct"/>
                  <w:vMerge w:val="continue"/>
                  <w:vAlign w:val="center"/>
                </w:tcPr>
                <w:p>
                  <w:pPr>
                    <w:jc w:val="center"/>
                    <w:rPr>
                      <w:szCs w:val="21"/>
                    </w:rPr>
                  </w:pPr>
                </w:p>
              </w:tc>
              <w:tc>
                <w:tcPr>
                  <w:tcW w:w="1626" w:type="pct"/>
                  <w:vAlign w:val="center"/>
                </w:tcPr>
                <w:p>
                  <w:pPr>
                    <w:jc w:val="center"/>
                    <w:rPr>
                      <w:szCs w:val="21"/>
                    </w:rPr>
                  </w:pPr>
                  <w:r>
                    <w:rPr>
                      <w:szCs w:val="21"/>
                    </w:rPr>
                    <w:t>化粪池处理效率</w:t>
                  </w:r>
                </w:p>
              </w:tc>
              <w:tc>
                <w:tcPr>
                  <w:tcW w:w="540" w:type="pct"/>
                  <w:vAlign w:val="center"/>
                </w:tcPr>
                <w:p>
                  <w:pPr>
                    <w:jc w:val="center"/>
                    <w:rPr>
                      <w:szCs w:val="21"/>
                    </w:rPr>
                  </w:pPr>
                  <w:r>
                    <w:rPr>
                      <w:szCs w:val="21"/>
                    </w:rPr>
                    <w:t>15%</w:t>
                  </w:r>
                </w:p>
              </w:tc>
              <w:tc>
                <w:tcPr>
                  <w:tcW w:w="439" w:type="pct"/>
                  <w:vAlign w:val="center"/>
                </w:tcPr>
                <w:p>
                  <w:pPr>
                    <w:jc w:val="center"/>
                    <w:rPr>
                      <w:szCs w:val="21"/>
                    </w:rPr>
                  </w:pPr>
                  <w:r>
                    <w:rPr>
                      <w:szCs w:val="21"/>
                    </w:rPr>
                    <w:t>9%</w:t>
                  </w:r>
                </w:p>
              </w:tc>
              <w:tc>
                <w:tcPr>
                  <w:tcW w:w="371" w:type="pct"/>
                  <w:vAlign w:val="center"/>
                </w:tcPr>
                <w:p>
                  <w:pPr>
                    <w:jc w:val="center"/>
                    <w:rPr>
                      <w:szCs w:val="21"/>
                    </w:rPr>
                  </w:pPr>
                  <w:r>
                    <w:rPr>
                      <w:szCs w:val="21"/>
                    </w:rPr>
                    <w:t>30%</w:t>
                  </w:r>
                </w:p>
              </w:tc>
              <w:tc>
                <w:tcPr>
                  <w:tcW w:w="396" w:type="pct"/>
                  <w:vAlign w:val="center"/>
                </w:tcPr>
                <w:p>
                  <w:pPr>
                    <w:jc w:val="center"/>
                    <w:rPr>
                      <w:szCs w:val="21"/>
                    </w:rPr>
                  </w:pPr>
                  <w:r>
                    <w:rPr>
                      <w:szCs w:val="21"/>
                    </w:rPr>
                    <w:t>3%</w:t>
                  </w:r>
                </w:p>
              </w:tc>
              <w:tc>
                <w:tcPr>
                  <w:tcW w:w="605"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02" w:hRule="atLeast"/>
                <w:jc w:val="center"/>
              </w:trPr>
              <w:tc>
                <w:tcPr>
                  <w:tcW w:w="1019" w:type="pct"/>
                  <w:vMerge w:val="continue"/>
                  <w:vAlign w:val="center"/>
                </w:tcPr>
                <w:p>
                  <w:pPr>
                    <w:jc w:val="center"/>
                    <w:rPr>
                      <w:szCs w:val="21"/>
                    </w:rPr>
                  </w:pPr>
                </w:p>
              </w:tc>
              <w:tc>
                <w:tcPr>
                  <w:tcW w:w="1626" w:type="pct"/>
                  <w:vAlign w:val="center"/>
                </w:tcPr>
                <w:p>
                  <w:pPr>
                    <w:jc w:val="center"/>
                    <w:rPr>
                      <w:szCs w:val="21"/>
                    </w:rPr>
                  </w:pPr>
                  <w:r>
                    <w:rPr>
                      <w:szCs w:val="21"/>
                    </w:rPr>
                    <w:t>化粪池出口浓度（mg/L）</w:t>
                  </w:r>
                </w:p>
              </w:tc>
              <w:tc>
                <w:tcPr>
                  <w:tcW w:w="540" w:type="pct"/>
                  <w:vAlign w:val="center"/>
                </w:tcPr>
                <w:p>
                  <w:pPr>
                    <w:jc w:val="center"/>
                    <w:rPr>
                      <w:szCs w:val="21"/>
                    </w:rPr>
                  </w:pPr>
                  <w:r>
                    <w:rPr>
                      <w:szCs w:val="21"/>
                    </w:rPr>
                    <w:t>212.5</w:t>
                  </w:r>
                </w:p>
              </w:tc>
              <w:tc>
                <w:tcPr>
                  <w:tcW w:w="439" w:type="pct"/>
                  <w:vAlign w:val="center"/>
                </w:tcPr>
                <w:p>
                  <w:pPr>
                    <w:jc w:val="center"/>
                    <w:rPr>
                      <w:szCs w:val="21"/>
                    </w:rPr>
                  </w:pPr>
                  <w:r>
                    <w:rPr>
                      <w:szCs w:val="21"/>
                    </w:rPr>
                    <w:t>136.5</w:t>
                  </w:r>
                </w:p>
              </w:tc>
              <w:tc>
                <w:tcPr>
                  <w:tcW w:w="371" w:type="pct"/>
                  <w:vAlign w:val="center"/>
                </w:tcPr>
                <w:p>
                  <w:pPr>
                    <w:jc w:val="center"/>
                    <w:rPr>
                      <w:szCs w:val="21"/>
                    </w:rPr>
                  </w:pPr>
                  <w:r>
                    <w:rPr>
                      <w:szCs w:val="21"/>
                    </w:rPr>
                    <w:t>140</w:t>
                  </w:r>
                </w:p>
              </w:tc>
              <w:tc>
                <w:tcPr>
                  <w:tcW w:w="396" w:type="pct"/>
                  <w:vAlign w:val="center"/>
                </w:tcPr>
                <w:p>
                  <w:pPr>
                    <w:jc w:val="center"/>
                    <w:rPr>
                      <w:szCs w:val="21"/>
                    </w:rPr>
                  </w:pPr>
                  <w:r>
                    <w:rPr>
                      <w:szCs w:val="21"/>
                    </w:rPr>
                    <w:t>24.25</w:t>
                  </w:r>
                </w:p>
              </w:tc>
              <w:tc>
                <w:tcPr>
                  <w:tcW w:w="605" w:type="pct"/>
                  <w:vAlign w:val="center"/>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019" w:type="pct"/>
                  <w:vMerge w:val="continue"/>
                  <w:vAlign w:val="center"/>
                </w:tcPr>
                <w:p>
                  <w:pPr>
                    <w:jc w:val="center"/>
                    <w:rPr>
                      <w:szCs w:val="21"/>
                    </w:rPr>
                  </w:pPr>
                </w:p>
              </w:tc>
              <w:tc>
                <w:tcPr>
                  <w:tcW w:w="1626" w:type="pct"/>
                  <w:vAlign w:val="center"/>
                </w:tcPr>
                <w:p>
                  <w:pPr>
                    <w:jc w:val="center"/>
                    <w:rPr>
                      <w:szCs w:val="21"/>
                    </w:rPr>
                  </w:pPr>
                  <w:r>
                    <w:rPr>
                      <w:szCs w:val="21"/>
                    </w:rPr>
                    <w:t>排放标准</w:t>
                  </w:r>
                </w:p>
              </w:tc>
              <w:tc>
                <w:tcPr>
                  <w:tcW w:w="540" w:type="pct"/>
                  <w:vAlign w:val="center"/>
                </w:tcPr>
                <w:p>
                  <w:pPr>
                    <w:pStyle w:val="34"/>
                    <w:widowControl w:val="0"/>
                    <w:spacing w:before="0" w:beforeAutospacing="0" w:after="0" w:afterAutospacing="0"/>
                    <w:rPr>
                      <w:rFonts w:ascii="Times New Roman" w:hAnsi="Times New Roman"/>
                      <w:sz w:val="21"/>
                      <w:szCs w:val="21"/>
                    </w:rPr>
                  </w:pPr>
                  <w:r>
                    <w:rPr>
                      <w:rFonts w:ascii="Times New Roman" w:hAnsi="Times New Roman"/>
                      <w:kern w:val="2"/>
                      <w:sz w:val="21"/>
                      <w:szCs w:val="21"/>
                    </w:rPr>
                    <w:t>≤500</w:t>
                  </w:r>
                </w:p>
              </w:tc>
              <w:tc>
                <w:tcPr>
                  <w:tcW w:w="439" w:type="pct"/>
                  <w:vAlign w:val="center"/>
                </w:tcPr>
                <w:p>
                  <w:pPr>
                    <w:jc w:val="center"/>
                    <w:rPr>
                      <w:szCs w:val="21"/>
                    </w:rPr>
                  </w:pPr>
                  <w:r>
                    <w:rPr>
                      <w:szCs w:val="21"/>
                    </w:rPr>
                    <w:t>≤300</w:t>
                  </w:r>
                </w:p>
              </w:tc>
              <w:tc>
                <w:tcPr>
                  <w:tcW w:w="371" w:type="pct"/>
                  <w:vAlign w:val="center"/>
                </w:tcPr>
                <w:p>
                  <w:pPr>
                    <w:jc w:val="center"/>
                    <w:rPr>
                      <w:szCs w:val="21"/>
                    </w:rPr>
                  </w:pPr>
                  <w:r>
                    <w:rPr>
                      <w:szCs w:val="21"/>
                    </w:rPr>
                    <w:t>≤400</w:t>
                  </w:r>
                </w:p>
              </w:tc>
              <w:tc>
                <w:tcPr>
                  <w:tcW w:w="396" w:type="pct"/>
                  <w:vAlign w:val="center"/>
                </w:tcPr>
                <w:p>
                  <w:pPr>
                    <w:jc w:val="center"/>
                    <w:rPr>
                      <w:szCs w:val="21"/>
                    </w:rPr>
                  </w:pPr>
                  <w:r>
                    <w:rPr>
                      <w:szCs w:val="21"/>
                    </w:rPr>
                    <w:t>≤45</w:t>
                  </w:r>
                </w:p>
              </w:tc>
              <w:tc>
                <w:tcPr>
                  <w:tcW w:w="605" w:type="pct"/>
                  <w:vAlign w:val="center"/>
                </w:tcPr>
                <w:p>
                  <w:pPr>
                    <w:jc w:val="center"/>
                    <w:rPr>
                      <w:szCs w:val="21"/>
                    </w:rPr>
                  </w:pPr>
                  <w:r>
                    <w:rPr>
                      <w:szCs w:val="21"/>
                    </w:rPr>
                    <w:t>≤8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019" w:type="pct"/>
                  <w:vMerge w:val="continue"/>
                  <w:vAlign w:val="center"/>
                </w:tcPr>
                <w:p>
                  <w:pPr>
                    <w:jc w:val="center"/>
                    <w:rPr>
                      <w:szCs w:val="21"/>
                    </w:rPr>
                  </w:pPr>
                </w:p>
              </w:tc>
              <w:tc>
                <w:tcPr>
                  <w:tcW w:w="1626" w:type="pct"/>
                  <w:vAlign w:val="center"/>
                </w:tcPr>
                <w:p>
                  <w:pPr>
                    <w:jc w:val="center"/>
                    <w:rPr>
                      <w:szCs w:val="21"/>
                    </w:rPr>
                  </w:pPr>
                  <w:r>
                    <w:rPr>
                      <w:szCs w:val="21"/>
                    </w:rPr>
                    <w:t>达标性分析</w:t>
                  </w:r>
                </w:p>
              </w:tc>
              <w:tc>
                <w:tcPr>
                  <w:tcW w:w="540" w:type="pct"/>
                  <w:vAlign w:val="center"/>
                </w:tcPr>
                <w:p>
                  <w:pPr>
                    <w:jc w:val="center"/>
                    <w:rPr>
                      <w:szCs w:val="21"/>
                    </w:rPr>
                  </w:pPr>
                  <w:r>
                    <w:rPr>
                      <w:szCs w:val="21"/>
                    </w:rPr>
                    <w:t>达标</w:t>
                  </w:r>
                </w:p>
              </w:tc>
              <w:tc>
                <w:tcPr>
                  <w:tcW w:w="439" w:type="pct"/>
                  <w:vAlign w:val="center"/>
                </w:tcPr>
                <w:p>
                  <w:pPr>
                    <w:jc w:val="center"/>
                    <w:rPr>
                      <w:szCs w:val="21"/>
                    </w:rPr>
                  </w:pPr>
                  <w:r>
                    <w:rPr>
                      <w:szCs w:val="21"/>
                    </w:rPr>
                    <w:t>达标</w:t>
                  </w:r>
                </w:p>
              </w:tc>
              <w:tc>
                <w:tcPr>
                  <w:tcW w:w="371" w:type="pct"/>
                  <w:vAlign w:val="center"/>
                </w:tcPr>
                <w:p>
                  <w:pPr>
                    <w:jc w:val="center"/>
                    <w:rPr>
                      <w:szCs w:val="21"/>
                    </w:rPr>
                  </w:pPr>
                  <w:r>
                    <w:rPr>
                      <w:szCs w:val="21"/>
                    </w:rPr>
                    <w:t>达标</w:t>
                  </w:r>
                </w:p>
              </w:tc>
              <w:tc>
                <w:tcPr>
                  <w:tcW w:w="396" w:type="pct"/>
                  <w:vAlign w:val="center"/>
                </w:tcPr>
                <w:p>
                  <w:pPr>
                    <w:jc w:val="center"/>
                    <w:rPr>
                      <w:szCs w:val="21"/>
                    </w:rPr>
                  </w:pPr>
                  <w:r>
                    <w:rPr>
                      <w:szCs w:val="21"/>
                    </w:rPr>
                    <w:t>达标</w:t>
                  </w:r>
                </w:p>
              </w:tc>
              <w:tc>
                <w:tcPr>
                  <w:tcW w:w="605" w:type="pct"/>
                  <w:vAlign w:val="center"/>
                </w:tcPr>
                <w:p>
                  <w:pPr>
                    <w:jc w:val="center"/>
                    <w:rPr>
                      <w:szCs w:val="21"/>
                    </w:rPr>
                  </w:pPr>
                  <w:r>
                    <w:rPr>
                      <w:szCs w:val="21"/>
                    </w:rPr>
                    <w:t>达标</w:t>
                  </w:r>
                </w:p>
              </w:tc>
            </w:tr>
          </w:tbl>
          <w:p>
            <w:pPr>
              <w:snapToGrid w:val="0"/>
              <w:spacing w:line="360" w:lineRule="auto"/>
              <w:ind w:firstLine="480" w:firstLineChars="200"/>
              <w:rPr>
                <w:sz w:val="24"/>
              </w:rPr>
            </w:pPr>
            <w:r>
              <w:rPr>
                <w:sz w:val="24"/>
              </w:rPr>
              <w:t>根据上表，项目生活污水经过新建化粪池处理后能够达《污水排入城镇下水道水质标准》（GB/T31962-2015）A等级标准要求，排放至污水管网，进入姚安县第二污水处理厂进行处理本项目生活废水可排入姚安县第二污水处理厂。对周边环境影响较小。</w:t>
            </w:r>
          </w:p>
          <w:p>
            <w:pPr>
              <w:snapToGrid w:val="0"/>
              <w:spacing w:line="360" w:lineRule="auto"/>
              <w:ind w:firstLine="480" w:firstLineChars="200"/>
              <w:rPr>
                <w:sz w:val="24"/>
              </w:rPr>
            </w:pPr>
            <w:r>
              <w:rPr>
                <w:sz w:val="24"/>
              </w:rPr>
              <w:t>根据上表，</w:t>
            </w:r>
            <w:r>
              <w:rPr>
                <w:rFonts w:hint="eastAsia"/>
                <w:sz w:val="24"/>
              </w:rPr>
              <w:t>项目</w:t>
            </w:r>
            <w:r>
              <w:rPr>
                <w:sz w:val="24"/>
              </w:rPr>
              <w:t>运营期生产废水处理措施可行，污水都能进行回用处理，不外排。对周边环境影响较小。</w:t>
            </w:r>
          </w:p>
          <w:p>
            <w:pPr>
              <w:snapToGrid w:val="0"/>
              <w:spacing w:line="360" w:lineRule="auto"/>
              <w:ind w:firstLine="480" w:firstLineChars="200"/>
              <w:rPr>
                <w:sz w:val="24"/>
              </w:rPr>
            </w:pPr>
            <w:r>
              <w:rPr>
                <w:sz w:val="24"/>
              </w:rPr>
              <w:t>⑤初期雨水</w:t>
            </w:r>
          </w:p>
          <w:p>
            <w:pPr>
              <w:snapToGrid w:val="0"/>
              <w:spacing w:line="360" w:lineRule="auto"/>
              <w:ind w:firstLine="480" w:firstLineChars="200"/>
              <w:rPr>
                <w:sz w:val="24"/>
              </w:rPr>
            </w:pPr>
            <w:r>
              <w:rPr>
                <w:sz w:val="24"/>
              </w:rPr>
              <w:t>初期雨水进行收集处理后回用于种植基地浇灌、配肥等，措施可行。</w:t>
            </w:r>
          </w:p>
          <w:p>
            <w:pPr>
              <w:pStyle w:val="13"/>
              <w:spacing w:line="360" w:lineRule="auto"/>
              <w:ind w:firstLine="480" w:firstLineChars="200"/>
              <w:rPr>
                <w:rFonts w:ascii="Times New Roman" w:hAnsi="Times New Roman"/>
                <w:sz w:val="24"/>
                <w:szCs w:val="32"/>
                <w:lang w:bidi="ar"/>
              </w:rPr>
            </w:pPr>
            <w:r>
              <w:rPr>
                <w:rFonts w:hint="eastAsia" w:ascii="Times New Roman" w:hAnsi="Times New Roman"/>
                <w:sz w:val="24"/>
                <w:szCs w:val="32"/>
                <w:lang w:bidi="ar"/>
              </w:rPr>
              <w:t>⑥</w:t>
            </w:r>
            <w:r>
              <w:rPr>
                <w:rFonts w:ascii="Times New Roman" w:hAnsi="Times New Roman"/>
                <w:sz w:val="24"/>
                <w:szCs w:val="32"/>
                <w:lang w:bidi="ar"/>
              </w:rPr>
              <w:t>纯水制备产生浓水</w:t>
            </w:r>
          </w:p>
          <w:p>
            <w:pPr>
              <w:spacing w:line="360" w:lineRule="auto"/>
              <w:ind w:firstLine="480" w:firstLineChars="200"/>
              <w:rPr>
                <w:sz w:val="24"/>
              </w:rPr>
            </w:pPr>
            <w:r>
              <w:rPr>
                <w:sz w:val="24"/>
                <w:lang w:bidi="ar"/>
              </w:rPr>
              <w:t>浓水通过收集沉淀后回用于种植灌溉，</w:t>
            </w:r>
            <w:r>
              <w:rPr>
                <w:rFonts w:hint="eastAsia"/>
                <w:sz w:val="24"/>
                <w:lang w:bidi="ar"/>
              </w:rPr>
              <w:t>浓水主要含有少量污染物，</w:t>
            </w:r>
            <w:r>
              <w:rPr>
                <w:rFonts w:hint="eastAsia"/>
                <w:sz w:val="24"/>
              </w:rPr>
              <w:t>项目浓水中的污染物能够达到</w:t>
            </w:r>
            <w:r>
              <w:rPr>
                <w:sz w:val="24"/>
              </w:rPr>
              <w:t>《城市污水再生利用-</w:t>
            </w:r>
            <w:r>
              <w:rPr>
                <w:rFonts w:hint="eastAsia"/>
                <w:sz w:val="24"/>
              </w:rPr>
              <w:t>农田灌溉用水水质</w:t>
            </w:r>
            <w:r>
              <w:rPr>
                <w:sz w:val="24"/>
              </w:rPr>
              <w:t>》（GB/T</w:t>
            </w:r>
            <w:r>
              <w:rPr>
                <w:rFonts w:hint="eastAsia"/>
                <w:sz w:val="24"/>
              </w:rPr>
              <w:t>20922</w:t>
            </w:r>
            <w:r>
              <w:rPr>
                <w:sz w:val="24"/>
              </w:rPr>
              <w:t>-20</w:t>
            </w:r>
            <w:r>
              <w:rPr>
                <w:rFonts w:hint="eastAsia"/>
                <w:sz w:val="24"/>
              </w:rPr>
              <w:t>07</w:t>
            </w:r>
            <w:r>
              <w:rPr>
                <w:sz w:val="24"/>
              </w:rPr>
              <w:t>）</w:t>
            </w:r>
            <w:r>
              <w:rPr>
                <w:rFonts w:hint="eastAsia"/>
                <w:sz w:val="24"/>
              </w:rPr>
              <w:t>要求</w:t>
            </w:r>
            <w:r>
              <w:rPr>
                <w:sz w:val="24"/>
                <w:lang w:bidi="ar"/>
              </w:rPr>
              <w:t>。</w:t>
            </w:r>
          </w:p>
          <w:p>
            <w:pPr>
              <w:spacing w:line="360" w:lineRule="auto"/>
              <w:ind w:firstLine="480" w:firstLineChars="200"/>
              <w:rPr>
                <w:b/>
                <w:bCs/>
                <w:sz w:val="24"/>
              </w:rPr>
            </w:pPr>
            <w:r>
              <w:rPr>
                <w:b/>
                <w:bCs/>
                <w:sz w:val="24"/>
              </w:rPr>
              <w:t>（4）地表水环境影响评价小结</w:t>
            </w:r>
          </w:p>
          <w:p>
            <w:pPr>
              <w:snapToGrid w:val="0"/>
              <w:spacing w:line="360" w:lineRule="auto"/>
              <w:ind w:firstLine="480" w:firstLineChars="200"/>
              <w:rPr>
                <w:sz w:val="24"/>
              </w:rPr>
            </w:pPr>
            <w:r>
              <w:rPr>
                <w:sz w:val="24"/>
              </w:rPr>
              <w:t>综上，项目</w:t>
            </w:r>
            <w:r>
              <w:rPr>
                <w:rFonts w:hint="eastAsia"/>
                <w:sz w:val="24"/>
              </w:rPr>
              <w:t>运营</w:t>
            </w:r>
            <w:r>
              <w:rPr>
                <w:sz w:val="24"/>
              </w:rPr>
              <w:t>期无生产废水产生，生活污水经新建化粪池处理后在未接通污水管网前排放至厂区自建污水处理站进行处理回用；在接通污水管网后，排放至姚安县第二污水处理厂进行处理。对周边环境影响较小。项目初期雨水经雨水沉淀池处理后回用，不存在初期雨水污染问题。项目所有废水均不外排，运营期对地表水环境影响较小。</w:t>
            </w:r>
          </w:p>
          <w:p>
            <w:pPr>
              <w:autoSpaceDE w:val="0"/>
              <w:autoSpaceDN w:val="0"/>
              <w:spacing w:line="360" w:lineRule="auto"/>
              <w:ind w:firstLine="480" w:firstLineChars="200"/>
              <w:jc w:val="left"/>
              <w:rPr>
                <w:b/>
                <w:bCs/>
                <w:sz w:val="24"/>
              </w:rPr>
            </w:pPr>
            <w:r>
              <w:rPr>
                <w:b/>
                <w:bCs/>
                <w:sz w:val="24"/>
              </w:rPr>
              <w:t>3、声环境影响分析</w:t>
            </w:r>
          </w:p>
          <w:p>
            <w:pPr>
              <w:pStyle w:val="36"/>
              <w:adjustRightInd/>
              <w:ind w:firstLine="482"/>
              <w:rPr>
                <w:rFonts w:hAnsi="Times New Roman"/>
                <w:b/>
                <w:bCs/>
              </w:rPr>
            </w:pPr>
            <w:r>
              <w:rPr>
                <w:rFonts w:hAnsi="Times New Roman"/>
                <w:b/>
                <w:bCs/>
              </w:rPr>
              <w:t>（1）噪声源强</w:t>
            </w:r>
          </w:p>
          <w:p>
            <w:pPr>
              <w:spacing w:line="360" w:lineRule="auto"/>
              <w:ind w:firstLine="480" w:firstLineChars="200"/>
              <w:rPr>
                <w:sz w:val="24"/>
              </w:rPr>
            </w:pPr>
            <w:r>
              <w:rPr>
                <w:sz w:val="24"/>
              </w:rPr>
              <w:t>项目运营期的噪声源主要为制冷机、锅炉、水泵等设备运转时产生的噪声，</w:t>
            </w:r>
            <w:r>
              <w:rPr>
                <w:rFonts w:hint="eastAsia"/>
                <w:sz w:val="24"/>
              </w:rPr>
              <w:t>根据《环境影响评价技术导则 声环境》（HJ2.4-2021），</w:t>
            </w:r>
            <w:r>
              <w:rPr>
                <w:sz w:val="24"/>
              </w:rPr>
              <w:t>噪声源强约为85-90dB（A）。项目主要产噪设备及源强见表4-8。</w:t>
            </w:r>
          </w:p>
          <w:p>
            <w:pPr>
              <w:spacing w:line="360" w:lineRule="auto"/>
              <w:ind w:firstLine="480" w:firstLineChars="200"/>
              <w:jc w:val="center"/>
              <w:rPr>
                <w:b/>
                <w:bCs/>
                <w:sz w:val="24"/>
              </w:rPr>
            </w:pPr>
            <w:r>
              <w:rPr>
                <w:b/>
                <w:bCs/>
                <w:sz w:val="24"/>
              </w:rPr>
              <w:t>表4-8  项目营运期噪声源强  单位：dB(A)</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599"/>
              <w:gridCol w:w="860"/>
              <w:gridCol w:w="2597"/>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24" w:type="pct"/>
                  <w:vAlign w:val="center"/>
                </w:tcPr>
                <w:p>
                  <w:pPr>
                    <w:jc w:val="center"/>
                    <w:rPr>
                      <w:b/>
                      <w:bCs/>
                      <w:szCs w:val="21"/>
                    </w:rPr>
                  </w:pPr>
                  <w:r>
                    <w:rPr>
                      <w:b/>
                      <w:bCs/>
                      <w:szCs w:val="21"/>
                    </w:rPr>
                    <w:t>序号</w:t>
                  </w:r>
                </w:p>
              </w:tc>
              <w:tc>
                <w:tcPr>
                  <w:tcW w:w="1505" w:type="pct"/>
                  <w:vAlign w:val="center"/>
                </w:tcPr>
                <w:p>
                  <w:pPr>
                    <w:jc w:val="center"/>
                    <w:rPr>
                      <w:b/>
                      <w:bCs/>
                      <w:szCs w:val="21"/>
                    </w:rPr>
                  </w:pPr>
                  <w:r>
                    <w:rPr>
                      <w:b/>
                      <w:bCs/>
                      <w:szCs w:val="21"/>
                    </w:rPr>
                    <w:t>噪声源</w:t>
                  </w:r>
                </w:p>
              </w:tc>
              <w:tc>
                <w:tcPr>
                  <w:tcW w:w="498" w:type="pct"/>
                  <w:vAlign w:val="center"/>
                </w:tcPr>
                <w:p>
                  <w:pPr>
                    <w:jc w:val="center"/>
                    <w:rPr>
                      <w:b/>
                      <w:bCs/>
                      <w:szCs w:val="21"/>
                    </w:rPr>
                  </w:pPr>
                  <w:r>
                    <w:rPr>
                      <w:b/>
                      <w:bCs/>
                      <w:szCs w:val="21"/>
                    </w:rPr>
                    <w:t>数量</w:t>
                  </w:r>
                </w:p>
              </w:tc>
              <w:tc>
                <w:tcPr>
                  <w:tcW w:w="1504" w:type="pct"/>
                  <w:vAlign w:val="center"/>
                </w:tcPr>
                <w:p>
                  <w:pPr>
                    <w:jc w:val="center"/>
                    <w:rPr>
                      <w:b/>
                      <w:bCs/>
                      <w:szCs w:val="21"/>
                    </w:rPr>
                  </w:pPr>
                  <w:r>
                    <w:rPr>
                      <w:b/>
                      <w:bCs/>
                      <w:szCs w:val="21"/>
                    </w:rPr>
                    <w:t>声源强度dB（A）</w:t>
                  </w:r>
                </w:p>
              </w:tc>
              <w:tc>
                <w:tcPr>
                  <w:tcW w:w="966" w:type="pct"/>
                  <w:vAlign w:val="center"/>
                </w:tcPr>
                <w:p>
                  <w:pPr>
                    <w:jc w:val="center"/>
                    <w:rPr>
                      <w:b/>
                      <w:bCs/>
                      <w:szCs w:val="21"/>
                    </w:rPr>
                  </w:pPr>
                  <w:r>
                    <w:rPr>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24" w:type="pct"/>
                  <w:vAlign w:val="center"/>
                </w:tcPr>
                <w:p>
                  <w:pPr>
                    <w:jc w:val="center"/>
                    <w:rPr>
                      <w:szCs w:val="21"/>
                    </w:rPr>
                  </w:pPr>
                  <w:r>
                    <w:rPr>
                      <w:szCs w:val="21"/>
                    </w:rPr>
                    <w:t>1</w:t>
                  </w:r>
                </w:p>
              </w:tc>
              <w:tc>
                <w:tcPr>
                  <w:tcW w:w="1505" w:type="pct"/>
                  <w:vAlign w:val="center"/>
                </w:tcPr>
                <w:p>
                  <w:pPr>
                    <w:jc w:val="center"/>
                    <w:rPr>
                      <w:szCs w:val="21"/>
                    </w:rPr>
                  </w:pPr>
                  <w:r>
                    <w:rPr>
                      <w:szCs w:val="21"/>
                    </w:rPr>
                    <w:t>施肥机</w:t>
                  </w:r>
                </w:p>
              </w:tc>
              <w:tc>
                <w:tcPr>
                  <w:tcW w:w="498" w:type="pct"/>
                  <w:vAlign w:val="center"/>
                </w:tcPr>
                <w:p>
                  <w:pPr>
                    <w:jc w:val="center"/>
                    <w:rPr>
                      <w:szCs w:val="21"/>
                    </w:rPr>
                  </w:pPr>
                  <w:r>
                    <w:rPr>
                      <w:szCs w:val="21"/>
                    </w:rPr>
                    <w:t>2</w:t>
                  </w:r>
                </w:p>
              </w:tc>
              <w:tc>
                <w:tcPr>
                  <w:tcW w:w="1504" w:type="pct"/>
                  <w:vAlign w:val="center"/>
                </w:tcPr>
                <w:p>
                  <w:pPr>
                    <w:jc w:val="center"/>
                    <w:rPr>
                      <w:szCs w:val="21"/>
                    </w:rPr>
                  </w:pPr>
                  <w:r>
                    <w:rPr>
                      <w:szCs w:val="21"/>
                    </w:rPr>
                    <w:t>85</w:t>
                  </w:r>
                </w:p>
              </w:tc>
              <w:tc>
                <w:tcPr>
                  <w:tcW w:w="966" w:type="pct"/>
                  <w:vAlign w:val="center"/>
                </w:tcPr>
                <w:p>
                  <w:pPr>
                    <w:jc w:val="center"/>
                    <w:rPr>
                      <w:szCs w:val="21"/>
                    </w:rPr>
                  </w:pPr>
                  <w:r>
                    <w:rPr>
                      <w:szCs w:val="21"/>
                    </w:rPr>
                    <w:t>室内，点源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4" w:type="pct"/>
                  <w:vAlign w:val="center"/>
                </w:tcPr>
                <w:p>
                  <w:pPr>
                    <w:jc w:val="center"/>
                    <w:rPr>
                      <w:szCs w:val="21"/>
                    </w:rPr>
                  </w:pPr>
                  <w:r>
                    <w:rPr>
                      <w:szCs w:val="21"/>
                    </w:rPr>
                    <w:t>2</w:t>
                  </w:r>
                </w:p>
              </w:tc>
              <w:tc>
                <w:tcPr>
                  <w:tcW w:w="1505" w:type="pct"/>
                </w:tcPr>
                <w:p>
                  <w:pPr>
                    <w:jc w:val="center"/>
                    <w:rPr>
                      <w:szCs w:val="21"/>
                    </w:rPr>
                  </w:pPr>
                  <w:r>
                    <w:rPr>
                      <w:szCs w:val="21"/>
                    </w:rPr>
                    <w:t>清水泵</w:t>
                  </w:r>
                </w:p>
              </w:tc>
              <w:tc>
                <w:tcPr>
                  <w:tcW w:w="498" w:type="pct"/>
                  <w:vAlign w:val="center"/>
                </w:tcPr>
                <w:p>
                  <w:pPr>
                    <w:jc w:val="center"/>
                    <w:rPr>
                      <w:szCs w:val="21"/>
                    </w:rPr>
                  </w:pPr>
                  <w:r>
                    <w:rPr>
                      <w:szCs w:val="21"/>
                    </w:rPr>
                    <w:t>1</w:t>
                  </w:r>
                </w:p>
              </w:tc>
              <w:tc>
                <w:tcPr>
                  <w:tcW w:w="1504" w:type="pct"/>
                  <w:vAlign w:val="center"/>
                </w:tcPr>
                <w:p>
                  <w:pPr>
                    <w:jc w:val="center"/>
                    <w:rPr>
                      <w:szCs w:val="21"/>
                    </w:rPr>
                  </w:pPr>
                  <w:r>
                    <w:rPr>
                      <w:szCs w:val="21"/>
                    </w:rPr>
                    <w:t>85</w:t>
                  </w:r>
                </w:p>
              </w:tc>
              <w:tc>
                <w:tcPr>
                  <w:tcW w:w="966" w:type="pct"/>
                  <w:vAlign w:val="center"/>
                </w:tcPr>
                <w:p>
                  <w:pPr>
                    <w:jc w:val="center"/>
                    <w:rPr>
                      <w:szCs w:val="21"/>
                    </w:rPr>
                  </w:pPr>
                  <w:r>
                    <w:rPr>
                      <w:szCs w:val="21"/>
                    </w:rPr>
                    <w:t>室内，点源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4" w:type="pct"/>
                  <w:vAlign w:val="center"/>
                </w:tcPr>
                <w:p>
                  <w:pPr>
                    <w:jc w:val="center"/>
                    <w:rPr>
                      <w:szCs w:val="21"/>
                    </w:rPr>
                  </w:pPr>
                  <w:r>
                    <w:rPr>
                      <w:szCs w:val="21"/>
                    </w:rPr>
                    <w:t>3</w:t>
                  </w:r>
                </w:p>
              </w:tc>
              <w:tc>
                <w:tcPr>
                  <w:tcW w:w="1505" w:type="pct"/>
                </w:tcPr>
                <w:p>
                  <w:pPr>
                    <w:jc w:val="center"/>
                    <w:rPr>
                      <w:szCs w:val="21"/>
                    </w:rPr>
                  </w:pPr>
                  <w:r>
                    <w:rPr>
                      <w:szCs w:val="21"/>
                    </w:rPr>
                    <w:t>回水泵</w:t>
                  </w:r>
                </w:p>
              </w:tc>
              <w:tc>
                <w:tcPr>
                  <w:tcW w:w="498" w:type="pct"/>
                  <w:vAlign w:val="center"/>
                </w:tcPr>
                <w:p>
                  <w:pPr>
                    <w:jc w:val="center"/>
                    <w:rPr>
                      <w:szCs w:val="21"/>
                    </w:rPr>
                  </w:pPr>
                  <w:r>
                    <w:rPr>
                      <w:szCs w:val="21"/>
                    </w:rPr>
                    <w:t>1</w:t>
                  </w:r>
                </w:p>
              </w:tc>
              <w:tc>
                <w:tcPr>
                  <w:tcW w:w="1504" w:type="pct"/>
                  <w:vAlign w:val="center"/>
                </w:tcPr>
                <w:p>
                  <w:pPr>
                    <w:jc w:val="center"/>
                    <w:rPr>
                      <w:szCs w:val="21"/>
                    </w:rPr>
                  </w:pPr>
                  <w:r>
                    <w:rPr>
                      <w:szCs w:val="21"/>
                    </w:rPr>
                    <w:t>85</w:t>
                  </w:r>
                </w:p>
              </w:tc>
              <w:tc>
                <w:tcPr>
                  <w:tcW w:w="966" w:type="pct"/>
                  <w:vAlign w:val="center"/>
                </w:tcPr>
                <w:p>
                  <w:pPr>
                    <w:jc w:val="center"/>
                    <w:rPr>
                      <w:szCs w:val="21"/>
                    </w:rPr>
                  </w:pPr>
                  <w:r>
                    <w:rPr>
                      <w:szCs w:val="21"/>
                    </w:rPr>
                    <w:t>室内，点源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4" w:type="pct"/>
                  <w:vAlign w:val="center"/>
                </w:tcPr>
                <w:p>
                  <w:pPr>
                    <w:jc w:val="center"/>
                    <w:rPr>
                      <w:szCs w:val="21"/>
                    </w:rPr>
                  </w:pPr>
                  <w:r>
                    <w:rPr>
                      <w:szCs w:val="21"/>
                    </w:rPr>
                    <w:t>4</w:t>
                  </w:r>
                </w:p>
              </w:tc>
              <w:tc>
                <w:tcPr>
                  <w:tcW w:w="1505" w:type="pct"/>
                </w:tcPr>
                <w:p>
                  <w:pPr>
                    <w:jc w:val="center"/>
                    <w:rPr>
                      <w:szCs w:val="21"/>
                    </w:rPr>
                  </w:pPr>
                  <w:r>
                    <w:rPr>
                      <w:szCs w:val="21"/>
                    </w:rPr>
                    <w:t>灌溉泵</w:t>
                  </w:r>
                </w:p>
              </w:tc>
              <w:tc>
                <w:tcPr>
                  <w:tcW w:w="498" w:type="pct"/>
                  <w:vAlign w:val="center"/>
                </w:tcPr>
                <w:p>
                  <w:pPr>
                    <w:jc w:val="center"/>
                    <w:rPr>
                      <w:szCs w:val="21"/>
                    </w:rPr>
                  </w:pPr>
                  <w:r>
                    <w:rPr>
                      <w:szCs w:val="21"/>
                    </w:rPr>
                    <w:t>1</w:t>
                  </w:r>
                </w:p>
              </w:tc>
              <w:tc>
                <w:tcPr>
                  <w:tcW w:w="1504" w:type="pct"/>
                  <w:vAlign w:val="center"/>
                </w:tcPr>
                <w:p>
                  <w:pPr>
                    <w:jc w:val="center"/>
                    <w:rPr>
                      <w:szCs w:val="21"/>
                    </w:rPr>
                  </w:pPr>
                  <w:r>
                    <w:rPr>
                      <w:szCs w:val="21"/>
                    </w:rPr>
                    <w:t>85</w:t>
                  </w:r>
                </w:p>
              </w:tc>
              <w:tc>
                <w:tcPr>
                  <w:tcW w:w="966" w:type="pct"/>
                  <w:vAlign w:val="center"/>
                </w:tcPr>
                <w:p>
                  <w:pPr>
                    <w:jc w:val="center"/>
                    <w:rPr>
                      <w:szCs w:val="21"/>
                    </w:rPr>
                  </w:pPr>
                  <w:r>
                    <w:rPr>
                      <w:szCs w:val="21"/>
                    </w:rPr>
                    <w:t>室内，点源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4" w:type="pct"/>
                  <w:vAlign w:val="center"/>
                </w:tcPr>
                <w:p>
                  <w:pPr>
                    <w:jc w:val="center"/>
                    <w:rPr>
                      <w:szCs w:val="21"/>
                    </w:rPr>
                  </w:pPr>
                  <w:r>
                    <w:rPr>
                      <w:szCs w:val="21"/>
                    </w:rPr>
                    <w:t>5</w:t>
                  </w:r>
                </w:p>
              </w:tc>
              <w:tc>
                <w:tcPr>
                  <w:tcW w:w="1505" w:type="pct"/>
                </w:tcPr>
                <w:p>
                  <w:pPr>
                    <w:jc w:val="center"/>
                    <w:rPr>
                      <w:szCs w:val="21"/>
                    </w:rPr>
                  </w:pPr>
                  <w:r>
                    <w:rPr>
                      <w:szCs w:val="21"/>
                    </w:rPr>
                    <w:t>消毒机</w:t>
                  </w:r>
                </w:p>
              </w:tc>
              <w:tc>
                <w:tcPr>
                  <w:tcW w:w="498" w:type="pct"/>
                  <w:vAlign w:val="center"/>
                </w:tcPr>
                <w:p>
                  <w:pPr>
                    <w:jc w:val="center"/>
                    <w:rPr>
                      <w:szCs w:val="21"/>
                    </w:rPr>
                  </w:pPr>
                  <w:r>
                    <w:rPr>
                      <w:szCs w:val="21"/>
                    </w:rPr>
                    <w:t>1</w:t>
                  </w:r>
                </w:p>
              </w:tc>
              <w:tc>
                <w:tcPr>
                  <w:tcW w:w="1504" w:type="pct"/>
                  <w:vAlign w:val="center"/>
                </w:tcPr>
                <w:p>
                  <w:pPr>
                    <w:jc w:val="center"/>
                    <w:rPr>
                      <w:szCs w:val="21"/>
                    </w:rPr>
                  </w:pPr>
                  <w:r>
                    <w:rPr>
                      <w:szCs w:val="21"/>
                    </w:rPr>
                    <w:t>85</w:t>
                  </w:r>
                </w:p>
              </w:tc>
              <w:tc>
                <w:tcPr>
                  <w:tcW w:w="966" w:type="pct"/>
                  <w:vAlign w:val="center"/>
                </w:tcPr>
                <w:p>
                  <w:pPr>
                    <w:jc w:val="center"/>
                    <w:rPr>
                      <w:szCs w:val="21"/>
                    </w:rPr>
                  </w:pPr>
                  <w:r>
                    <w:rPr>
                      <w:szCs w:val="21"/>
                    </w:rPr>
                    <w:t>室内，点源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4" w:type="pct"/>
                  <w:vAlign w:val="center"/>
                </w:tcPr>
                <w:p>
                  <w:pPr>
                    <w:jc w:val="center"/>
                    <w:rPr>
                      <w:szCs w:val="21"/>
                    </w:rPr>
                  </w:pPr>
                  <w:r>
                    <w:rPr>
                      <w:szCs w:val="21"/>
                    </w:rPr>
                    <w:t>6</w:t>
                  </w:r>
                </w:p>
              </w:tc>
              <w:tc>
                <w:tcPr>
                  <w:tcW w:w="1505" w:type="pct"/>
                </w:tcPr>
                <w:p>
                  <w:pPr>
                    <w:jc w:val="center"/>
                    <w:rPr>
                      <w:szCs w:val="21"/>
                    </w:rPr>
                  </w:pPr>
                  <w:r>
                    <w:rPr>
                      <w:szCs w:val="21"/>
                    </w:rPr>
                    <w:t>压缩机</w:t>
                  </w:r>
                </w:p>
              </w:tc>
              <w:tc>
                <w:tcPr>
                  <w:tcW w:w="498" w:type="pct"/>
                  <w:vAlign w:val="center"/>
                </w:tcPr>
                <w:p>
                  <w:pPr>
                    <w:jc w:val="center"/>
                    <w:rPr>
                      <w:szCs w:val="21"/>
                    </w:rPr>
                  </w:pPr>
                  <w:r>
                    <w:rPr>
                      <w:szCs w:val="21"/>
                    </w:rPr>
                    <w:t>1</w:t>
                  </w:r>
                </w:p>
              </w:tc>
              <w:tc>
                <w:tcPr>
                  <w:tcW w:w="1504" w:type="pct"/>
                  <w:vAlign w:val="center"/>
                </w:tcPr>
                <w:p>
                  <w:pPr>
                    <w:jc w:val="center"/>
                    <w:rPr>
                      <w:szCs w:val="21"/>
                    </w:rPr>
                  </w:pPr>
                  <w:r>
                    <w:rPr>
                      <w:szCs w:val="21"/>
                    </w:rPr>
                    <w:t>85</w:t>
                  </w:r>
                </w:p>
              </w:tc>
              <w:tc>
                <w:tcPr>
                  <w:tcW w:w="966" w:type="pct"/>
                  <w:vAlign w:val="center"/>
                </w:tcPr>
                <w:p>
                  <w:pPr>
                    <w:jc w:val="center"/>
                    <w:rPr>
                      <w:szCs w:val="21"/>
                    </w:rPr>
                  </w:pPr>
                  <w:r>
                    <w:rPr>
                      <w:szCs w:val="21"/>
                    </w:rPr>
                    <w:t>室内，点源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4" w:type="pct"/>
                  <w:vAlign w:val="center"/>
                </w:tcPr>
                <w:p>
                  <w:pPr>
                    <w:jc w:val="center"/>
                    <w:rPr>
                      <w:szCs w:val="21"/>
                    </w:rPr>
                  </w:pPr>
                  <w:r>
                    <w:rPr>
                      <w:szCs w:val="21"/>
                    </w:rPr>
                    <w:t>7</w:t>
                  </w:r>
                </w:p>
              </w:tc>
              <w:tc>
                <w:tcPr>
                  <w:tcW w:w="1505" w:type="pct"/>
                </w:tcPr>
                <w:p>
                  <w:pPr>
                    <w:jc w:val="center"/>
                    <w:rPr>
                      <w:szCs w:val="21"/>
                    </w:rPr>
                  </w:pPr>
                  <w:r>
                    <w:rPr>
                      <w:szCs w:val="21"/>
                    </w:rPr>
                    <w:t>制冷风机</w:t>
                  </w:r>
                </w:p>
              </w:tc>
              <w:tc>
                <w:tcPr>
                  <w:tcW w:w="498" w:type="pct"/>
                  <w:vAlign w:val="center"/>
                </w:tcPr>
                <w:p>
                  <w:pPr>
                    <w:jc w:val="center"/>
                    <w:rPr>
                      <w:szCs w:val="21"/>
                    </w:rPr>
                  </w:pPr>
                  <w:r>
                    <w:rPr>
                      <w:szCs w:val="21"/>
                    </w:rPr>
                    <w:t>1</w:t>
                  </w:r>
                </w:p>
              </w:tc>
              <w:tc>
                <w:tcPr>
                  <w:tcW w:w="1504" w:type="pct"/>
                  <w:vAlign w:val="center"/>
                </w:tcPr>
                <w:p>
                  <w:pPr>
                    <w:jc w:val="center"/>
                    <w:rPr>
                      <w:szCs w:val="21"/>
                    </w:rPr>
                  </w:pPr>
                  <w:r>
                    <w:rPr>
                      <w:szCs w:val="21"/>
                    </w:rPr>
                    <w:t>85</w:t>
                  </w:r>
                </w:p>
              </w:tc>
              <w:tc>
                <w:tcPr>
                  <w:tcW w:w="966" w:type="pct"/>
                  <w:vAlign w:val="center"/>
                </w:tcPr>
                <w:p>
                  <w:pPr>
                    <w:jc w:val="center"/>
                    <w:rPr>
                      <w:szCs w:val="21"/>
                    </w:rPr>
                  </w:pPr>
                  <w:r>
                    <w:rPr>
                      <w:szCs w:val="21"/>
                    </w:rPr>
                    <w:t>室内，点源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4" w:type="pct"/>
                  <w:vAlign w:val="center"/>
                </w:tcPr>
                <w:p>
                  <w:pPr>
                    <w:jc w:val="center"/>
                    <w:rPr>
                      <w:szCs w:val="21"/>
                    </w:rPr>
                  </w:pPr>
                  <w:r>
                    <w:rPr>
                      <w:szCs w:val="21"/>
                    </w:rPr>
                    <w:t>8</w:t>
                  </w:r>
                </w:p>
              </w:tc>
              <w:tc>
                <w:tcPr>
                  <w:tcW w:w="1505" w:type="pct"/>
                </w:tcPr>
                <w:p>
                  <w:pPr>
                    <w:jc w:val="center"/>
                    <w:rPr>
                      <w:szCs w:val="21"/>
                    </w:rPr>
                  </w:pPr>
                  <w:r>
                    <w:rPr>
                      <w:szCs w:val="21"/>
                    </w:rPr>
                    <w:t>纯水机</w:t>
                  </w:r>
                </w:p>
              </w:tc>
              <w:tc>
                <w:tcPr>
                  <w:tcW w:w="498" w:type="pct"/>
                  <w:vAlign w:val="center"/>
                </w:tcPr>
                <w:p>
                  <w:pPr>
                    <w:jc w:val="center"/>
                    <w:rPr>
                      <w:szCs w:val="21"/>
                    </w:rPr>
                  </w:pPr>
                  <w:r>
                    <w:rPr>
                      <w:szCs w:val="21"/>
                    </w:rPr>
                    <w:t>1</w:t>
                  </w:r>
                </w:p>
              </w:tc>
              <w:tc>
                <w:tcPr>
                  <w:tcW w:w="1504" w:type="pct"/>
                  <w:vAlign w:val="center"/>
                </w:tcPr>
                <w:p>
                  <w:pPr>
                    <w:jc w:val="center"/>
                    <w:rPr>
                      <w:szCs w:val="21"/>
                    </w:rPr>
                  </w:pPr>
                  <w:r>
                    <w:rPr>
                      <w:szCs w:val="21"/>
                    </w:rPr>
                    <w:t>85</w:t>
                  </w:r>
                </w:p>
              </w:tc>
              <w:tc>
                <w:tcPr>
                  <w:tcW w:w="966" w:type="pct"/>
                  <w:vAlign w:val="center"/>
                </w:tcPr>
                <w:p>
                  <w:pPr>
                    <w:jc w:val="center"/>
                    <w:rPr>
                      <w:szCs w:val="21"/>
                    </w:rPr>
                  </w:pPr>
                  <w:r>
                    <w:rPr>
                      <w:szCs w:val="21"/>
                    </w:rPr>
                    <w:t>室内，点源</w:t>
                  </w:r>
                </w:p>
              </w:tc>
            </w:tr>
          </w:tbl>
          <w:p>
            <w:pPr>
              <w:pStyle w:val="36"/>
              <w:adjustRightInd/>
              <w:ind w:left="420" w:leftChars="200" w:firstLine="0" w:firstLineChars="0"/>
              <w:jc w:val="both"/>
              <w:rPr>
                <w:rFonts w:hAnsi="Times New Roman"/>
                <w:b/>
                <w:bCs/>
              </w:rPr>
            </w:pPr>
            <w:r>
              <w:rPr>
                <w:rFonts w:hAnsi="Times New Roman"/>
                <w:b/>
                <w:bCs/>
              </w:rPr>
              <w:t>（2）源强核算</w:t>
            </w:r>
          </w:p>
          <w:p>
            <w:pPr>
              <w:snapToGrid w:val="0"/>
              <w:spacing w:line="360" w:lineRule="auto"/>
              <w:ind w:firstLine="480" w:firstLineChars="200"/>
              <w:rPr>
                <w:sz w:val="24"/>
              </w:rPr>
            </w:pPr>
            <w:r>
              <w:rPr>
                <w:sz w:val="24"/>
              </w:rPr>
              <w:t>项目主要为设备运行时产生噪声，噪声源强约60-70dB(A)。根据工程分析，设备安置在车间内，采取防振、厂房的隔声和距离衰减等降噪措施，主要噪声源及其控制措施见表4-9。</w:t>
            </w:r>
          </w:p>
          <w:p>
            <w:pPr>
              <w:spacing w:line="360" w:lineRule="auto"/>
              <w:ind w:firstLine="480" w:firstLineChars="200"/>
              <w:jc w:val="center"/>
              <w:rPr>
                <w:b/>
                <w:bCs/>
                <w:sz w:val="24"/>
              </w:rPr>
            </w:pPr>
            <w:r>
              <w:rPr>
                <w:b/>
                <w:bCs/>
                <w:sz w:val="24"/>
              </w:rPr>
              <w:t>表4-9 项目设备噪声一览表  单位：dB(A)</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549"/>
              <w:gridCol w:w="850"/>
              <w:gridCol w:w="1117"/>
              <w:gridCol w:w="2054"/>
              <w:gridCol w:w="81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94" w:type="pct"/>
                  <w:vAlign w:val="center"/>
                </w:tcPr>
                <w:p>
                  <w:pPr>
                    <w:jc w:val="center"/>
                    <w:rPr>
                      <w:b/>
                      <w:bCs/>
                      <w:szCs w:val="21"/>
                    </w:rPr>
                  </w:pPr>
                  <w:r>
                    <w:rPr>
                      <w:b/>
                      <w:bCs/>
                      <w:szCs w:val="21"/>
                    </w:rPr>
                    <w:t>序号</w:t>
                  </w:r>
                </w:p>
              </w:tc>
              <w:tc>
                <w:tcPr>
                  <w:tcW w:w="897" w:type="pct"/>
                  <w:vAlign w:val="center"/>
                </w:tcPr>
                <w:p>
                  <w:pPr>
                    <w:jc w:val="center"/>
                    <w:rPr>
                      <w:b/>
                      <w:bCs/>
                      <w:szCs w:val="21"/>
                    </w:rPr>
                  </w:pPr>
                  <w:r>
                    <w:rPr>
                      <w:b/>
                      <w:bCs/>
                      <w:szCs w:val="21"/>
                    </w:rPr>
                    <w:t>噪声源</w:t>
                  </w:r>
                </w:p>
              </w:tc>
              <w:tc>
                <w:tcPr>
                  <w:tcW w:w="492" w:type="pct"/>
                  <w:vAlign w:val="center"/>
                </w:tcPr>
                <w:p>
                  <w:pPr>
                    <w:jc w:val="center"/>
                    <w:rPr>
                      <w:b/>
                      <w:bCs/>
                      <w:szCs w:val="21"/>
                    </w:rPr>
                  </w:pPr>
                  <w:r>
                    <w:rPr>
                      <w:b/>
                      <w:bCs/>
                      <w:szCs w:val="21"/>
                    </w:rPr>
                    <w:t>数量</w:t>
                  </w:r>
                </w:p>
              </w:tc>
              <w:tc>
                <w:tcPr>
                  <w:tcW w:w="647" w:type="pct"/>
                  <w:vAlign w:val="center"/>
                </w:tcPr>
                <w:p>
                  <w:pPr>
                    <w:jc w:val="center"/>
                    <w:rPr>
                      <w:b/>
                      <w:bCs/>
                      <w:szCs w:val="21"/>
                    </w:rPr>
                  </w:pPr>
                  <w:r>
                    <w:rPr>
                      <w:b/>
                      <w:bCs/>
                      <w:szCs w:val="21"/>
                    </w:rPr>
                    <w:t>噪声级</w:t>
                  </w:r>
                </w:p>
              </w:tc>
              <w:tc>
                <w:tcPr>
                  <w:tcW w:w="1189" w:type="pct"/>
                  <w:vAlign w:val="center"/>
                </w:tcPr>
                <w:p>
                  <w:pPr>
                    <w:jc w:val="center"/>
                    <w:rPr>
                      <w:b/>
                      <w:bCs/>
                      <w:szCs w:val="21"/>
                    </w:rPr>
                  </w:pPr>
                  <w:r>
                    <w:rPr>
                      <w:b/>
                      <w:bCs/>
                      <w:szCs w:val="21"/>
                    </w:rPr>
                    <w:t>降噪措施</w:t>
                  </w:r>
                </w:p>
              </w:tc>
              <w:tc>
                <w:tcPr>
                  <w:tcW w:w="469" w:type="pct"/>
                  <w:vAlign w:val="center"/>
                </w:tcPr>
                <w:p>
                  <w:pPr>
                    <w:jc w:val="center"/>
                    <w:rPr>
                      <w:b/>
                      <w:bCs/>
                      <w:szCs w:val="21"/>
                    </w:rPr>
                  </w:pPr>
                  <w:r>
                    <w:rPr>
                      <w:b/>
                      <w:bCs/>
                      <w:szCs w:val="21"/>
                    </w:rPr>
                    <w:t>降噪值</w:t>
                  </w:r>
                </w:p>
              </w:tc>
              <w:tc>
                <w:tcPr>
                  <w:tcW w:w="808" w:type="pct"/>
                  <w:vAlign w:val="center"/>
                </w:tcPr>
                <w:p>
                  <w:pPr>
                    <w:jc w:val="center"/>
                    <w:rPr>
                      <w:b/>
                      <w:bCs/>
                      <w:szCs w:val="21"/>
                    </w:rPr>
                  </w:pPr>
                  <w:r>
                    <w:rPr>
                      <w:b/>
                      <w:bCs/>
                      <w:szCs w:val="21"/>
                    </w:rPr>
                    <w:t>采取措施后的噪声值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94" w:type="pct"/>
                  <w:vAlign w:val="center"/>
                </w:tcPr>
                <w:p>
                  <w:pPr>
                    <w:jc w:val="center"/>
                    <w:rPr>
                      <w:szCs w:val="21"/>
                    </w:rPr>
                  </w:pPr>
                  <w:r>
                    <w:rPr>
                      <w:szCs w:val="21"/>
                    </w:rPr>
                    <w:t>1</w:t>
                  </w:r>
                </w:p>
              </w:tc>
              <w:tc>
                <w:tcPr>
                  <w:tcW w:w="897" w:type="pct"/>
                  <w:vAlign w:val="center"/>
                </w:tcPr>
                <w:p>
                  <w:pPr>
                    <w:jc w:val="center"/>
                    <w:rPr>
                      <w:szCs w:val="21"/>
                    </w:rPr>
                  </w:pPr>
                  <w:r>
                    <w:rPr>
                      <w:szCs w:val="21"/>
                    </w:rPr>
                    <w:t>施肥机</w:t>
                  </w:r>
                </w:p>
              </w:tc>
              <w:tc>
                <w:tcPr>
                  <w:tcW w:w="492" w:type="pct"/>
                  <w:vAlign w:val="center"/>
                </w:tcPr>
                <w:p>
                  <w:pPr>
                    <w:jc w:val="center"/>
                    <w:rPr>
                      <w:szCs w:val="21"/>
                    </w:rPr>
                  </w:pPr>
                  <w:r>
                    <w:rPr>
                      <w:szCs w:val="21"/>
                    </w:rPr>
                    <w:t>2</w:t>
                  </w:r>
                </w:p>
              </w:tc>
              <w:tc>
                <w:tcPr>
                  <w:tcW w:w="647" w:type="pct"/>
                  <w:vAlign w:val="center"/>
                </w:tcPr>
                <w:p>
                  <w:pPr>
                    <w:jc w:val="center"/>
                    <w:rPr>
                      <w:szCs w:val="21"/>
                    </w:rPr>
                  </w:pPr>
                  <w:r>
                    <w:rPr>
                      <w:szCs w:val="21"/>
                    </w:rPr>
                    <w:t>85</w:t>
                  </w:r>
                </w:p>
              </w:tc>
              <w:tc>
                <w:tcPr>
                  <w:tcW w:w="1189" w:type="pct"/>
                  <w:vAlign w:val="center"/>
                </w:tcPr>
                <w:p>
                  <w:pPr>
                    <w:jc w:val="center"/>
                    <w:rPr>
                      <w:szCs w:val="21"/>
                    </w:rPr>
                  </w:pPr>
                  <w:r>
                    <w:rPr>
                      <w:szCs w:val="21"/>
                    </w:rPr>
                    <w:t>基础减振、建筑隔声</w:t>
                  </w:r>
                </w:p>
              </w:tc>
              <w:tc>
                <w:tcPr>
                  <w:tcW w:w="469" w:type="pct"/>
                  <w:vAlign w:val="center"/>
                </w:tcPr>
                <w:p>
                  <w:pPr>
                    <w:jc w:val="center"/>
                    <w:rPr>
                      <w:szCs w:val="21"/>
                    </w:rPr>
                  </w:pPr>
                  <w:r>
                    <w:rPr>
                      <w:szCs w:val="21"/>
                    </w:rPr>
                    <w:t>15</w:t>
                  </w:r>
                </w:p>
              </w:tc>
              <w:tc>
                <w:tcPr>
                  <w:tcW w:w="808" w:type="pct"/>
                  <w:vAlign w:val="center"/>
                </w:tcPr>
                <w:p>
                  <w:pPr>
                    <w:jc w:val="center"/>
                    <w:rPr>
                      <w:szCs w:val="21"/>
                    </w:rPr>
                  </w:pPr>
                  <w:r>
                    <w:rPr>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94" w:type="pct"/>
                  <w:vAlign w:val="center"/>
                </w:tcPr>
                <w:p>
                  <w:pPr>
                    <w:jc w:val="center"/>
                    <w:rPr>
                      <w:szCs w:val="21"/>
                    </w:rPr>
                  </w:pPr>
                  <w:r>
                    <w:rPr>
                      <w:szCs w:val="21"/>
                    </w:rPr>
                    <w:t>2</w:t>
                  </w:r>
                </w:p>
              </w:tc>
              <w:tc>
                <w:tcPr>
                  <w:tcW w:w="897" w:type="pct"/>
                  <w:vAlign w:val="center"/>
                </w:tcPr>
                <w:p>
                  <w:pPr>
                    <w:jc w:val="center"/>
                    <w:rPr>
                      <w:szCs w:val="21"/>
                    </w:rPr>
                  </w:pPr>
                  <w:r>
                    <w:rPr>
                      <w:szCs w:val="21"/>
                    </w:rPr>
                    <w:t>清水泵</w:t>
                  </w:r>
                </w:p>
              </w:tc>
              <w:tc>
                <w:tcPr>
                  <w:tcW w:w="492" w:type="pct"/>
                  <w:vAlign w:val="center"/>
                </w:tcPr>
                <w:p>
                  <w:pPr>
                    <w:jc w:val="center"/>
                    <w:rPr>
                      <w:szCs w:val="21"/>
                    </w:rPr>
                  </w:pPr>
                  <w:r>
                    <w:rPr>
                      <w:szCs w:val="21"/>
                    </w:rPr>
                    <w:t>1</w:t>
                  </w:r>
                </w:p>
              </w:tc>
              <w:tc>
                <w:tcPr>
                  <w:tcW w:w="647" w:type="pct"/>
                  <w:vAlign w:val="center"/>
                </w:tcPr>
                <w:p>
                  <w:pPr>
                    <w:jc w:val="center"/>
                    <w:rPr>
                      <w:szCs w:val="21"/>
                    </w:rPr>
                  </w:pPr>
                  <w:r>
                    <w:rPr>
                      <w:szCs w:val="21"/>
                    </w:rPr>
                    <w:t>85</w:t>
                  </w:r>
                </w:p>
              </w:tc>
              <w:tc>
                <w:tcPr>
                  <w:tcW w:w="1189" w:type="pct"/>
                  <w:vAlign w:val="center"/>
                </w:tcPr>
                <w:p>
                  <w:pPr>
                    <w:jc w:val="center"/>
                    <w:rPr>
                      <w:szCs w:val="21"/>
                    </w:rPr>
                  </w:pPr>
                  <w:r>
                    <w:rPr>
                      <w:szCs w:val="21"/>
                    </w:rPr>
                    <w:t>放置于水泵房，减振、柔性连接</w:t>
                  </w:r>
                </w:p>
              </w:tc>
              <w:tc>
                <w:tcPr>
                  <w:tcW w:w="469" w:type="pct"/>
                  <w:vAlign w:val="center"/>
                </w:tcPr>
                <w:p>
                  <w:pPr>
                    <w:jc w:val="center"/>
                    <w:rPr>
                      <w:szCs w:val="21"/>
                    </w:rPr>
                  </w:pPr>
                  <w:r>
                    <w:rPr>
                      <w:szCs w:val="21"/>
                    </w:rPr>
                    <w:t>25</w:t>
                  </w:r>
                </w:p>
              </w:tc>
              <w:tc>
                <w:tcPr>
                  <w:tcW w:w="808" w:type="pct"/>
                  <w:vAlign w:val="center"/>
                </w:tcPr>
                <w:p>
                  <w:pPr>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94" w:type="pct"/>
                  <w:vAlign w:val="center"/>
                </w:tcPr>
                <w:p>
                  <w:pPr>
                    <w:jc w:val="center"/>
                    <w:rPr>
                      <w:szCs w:val="21"/>
                    </w:rPr>
                  </w:pPr>
                  <w:r>
                    <w:rPr>
                      <w:szCs w:val="21"/>
                    </w:rPr>
                    <w:t>3</w:t>
                  </w:r>
                </w:p>
              </w:tc>
              <w:tc>
                <w:tcPr>
                  <w:tcW w:w="897" w:type="pct"/>
                  <w:vAlign w:val="center"/>
                </w:tcPr>
                <w:p>
                  <w:pPr>
                    <w:jc w:val="center"/>
                    <w:rPr>
                      <w:szCs w:val="21"/>
                    </w:rPr>
                  </w:pPr>
                  <w:r>
                    <w:rPr>
                      <w:szCs w:val="21"/>
                    </w:rPr>
                    <w:t>回水泵</w:t>
                  </w:r>
                </w:p>
              </w:tc>
              <w:tc>
                <w:tcPr>
                  <w:tcW w:w="492" w:type="pct"/>
                  <w:vAlign w:val="center"/>
                </w:tcPr>
                <w:p>
                  <w:pPr>
                    <w:jc w:val="center"/>
                    <w:rPr>
                      <w:szCs w:val="21"/>
                    </w:rPr>
                  </w:pPr>
                  <w:r>
                    <w:rPr>
                      <w:szCs w:val="21"/>
                    </w:rPr>
                    <w:t>1</w:t>
                  </w:r>
                </w:p>
              </w:tc>
              <w:tc>
                <w:tcPr>
                  <w:tcW w:w="647" w:type="pct"/>
                  <w:vAlign w:val="center"/>
                </w:tcPr>
                <w:p>
                  <w:pPr>
                    <w:jc w:val="center"/>
                    <w:rPr>
                      <w:szCs w:val="21"/>
                    </w:rPr>
                  </w:pPr>
                  <w:r>
                    <w:rPr>
                      <w:szCs w:val="21"/>
                    </w:rPr>
                    <w:t>85</w:t>
                  </w:r>
                </w:p>
              </w:tc>
              <w:tc>
                <w:tcPr>
                  <w:tcW w:w="1189" w:type="pct"/>
                  <w:vAlign w:val="center"/>
                </w:tcPr>
                <w:p>
                  <w:pPr>
                    <w:jc w:val="center"/>
                    <w:rPr>
                      <w:szCs w:val="21"/>
                    </w:rPr>
                  </w:pPr>
                  <w:r>
                    <w:rPr>
                      <w:szCs w:val="21"/>
                    </w:rPr>
                    <w:t>放置于水泵房，减振、柔性连接</w:t>
                  </w:r>
                </w:p>
              </w:tc>
              <w:tc>
                <w:tcPr>
                  <w:tcW w:w="469" w:type="pct"/>
                  <w:vAlign w:val="center"/>
                </w:tcPr>
                <w:p>
                  <w:pPr>
                    <w:jc w:val="center"/>
                    <w:rPr>
                      <w:szCs w:val="21"/>
                    </w:rPr>
                  </w:pPr>
                  <w:r>
                    <w:rPr>
                      <w:szCs w:val="21"/>
                    </w:rPr>
                    <w:t>25</w:t>
                  </w:r>
                </w:p>
              </w:tc>
              <w:tc>
                <w:tcPr>
                  <w:tcW w:w="808" w:type="pct"/>
                  <w:vAlign w:val="center"/>
                </w:tcPr>
                <w:p>
                  <w:pPr>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94" w:type="pct"/>
                  <w:vAlign w:val="center"/>
                </w:tcPr>
                <w:p>
                  <w:pPr>
                    <w:jc w:val="center"/>
                    <w:rPr>
                      <w:szCs w:val="21"/>
                    </w:rPr>
                  </w:pPr>
                  <w:r>
                    <w:rPr>
                      <w:szCs w:val="21"/>
                    </w:rPr>
                    <w:t>4</w:t>
                  </w:r>
                </w:p>
              </w:tc>
              <w:tc>
                <w:tcPr>
                  <w:tcW w:w="897" w:type="pct"/>
                  <w:vAlign w:val="center"/>
                </w:tcPr>
                <w:p>
                  <w:pPr>
                    <w:jc w:val="center"/>
                    <w:rPr>
                      <w:szCs w:val="21"/>
                    </w:rPr>
                  </w:pPr>
                  <w:r>
                    <w:rPr>
                      <w:szCs w:val="21"/>
                    </w:rPr>
                    <w:t>灌溉泵</w:t>
                  </w:r>
                </w:p>
              </w:tc>
              <w:tc>
                <w:tcPr>
                  <w:tcW w:w="492" w:type="pct"/>
                  <w:vAlign w:val="center"/>
                </w:tcPr>
                <w:p>
                  <w:pPr>
                    <w:jc w:val="center"/>
                    <w:rPr>
                      <w:szCs w:val="21"/>
                    </w:rPr>
                  </w:pPr>
                  <w:r>
                    <w:rPr>
                      <w:szCs w:val="21"/>
                    </w:rPr>
                    <w:t>1</w:t>
                  </w:r>
                </w:p>
              </w:tc>
              <w:tc>
                <w:tcPr>
                  <w:tcW w:w="647" w:type="pct"/>
                  <w:vAlign w:val="center"/>
                </w:tcPr>
                <w:p>
                  <w:pPr>
                    <w:jc w:val="center"/>
                    <w:rPr>
                      <w:szCs w:val="21"/>
                    </w:rPr>
                  </w:pPr>
                  <w:r>
                    <w:rPr>
                      <w:szCs w:val="21"/>
                    </w:rPr>
                    <w:t>85</w:t>
                  </w:r>
                </w:p>
              </w:tc>
              <w:tc>
                <w:tcPr>
                  <w:tcW w:w="1189" w:type="pct"/>
                  <w:vAlign w:val="center"/>
                </w:tcPr>
                <w:p>
                  <w:pPr>
                    <w:jc w:val="center"/>
                    <w:rPr>
                      <w:szCs w:val="21"/>
                    </w:rPr>
                  </w:pPr>
                  <w:r>
                    <w:rPr>
                      <w:szCs w:val="21"/>
                    </w:rPr>
                    <w:t>放置于水泵房，减振、柔性连接</w:t>
                  </w:r>
                </w:p>
              </w:tc>
              <w:tc>
                <w:tcPr>
                  <w:tcW w:w="469" w:type="pct"/>
                  <w:vAlign w:val="center"/>
                </w:tcPr>
                <w:p>
                  <w:pPr>
                    <w:jc w:val="center"/>
                    <w:rPr>
                      <w:szCs w:val="21"/>
                    </w:rPr>
                  </w:pPr>
                  <w:r>
                    <w:rPr>
                      <w:szCs w:val="21"/>
                    </w:rPr>
                    <w:t>25</w:t>
                  </w:r>
                </w:p>
              </w:tc>
              <w:tc>
                <w:tcPr>
                  <w:tcW w:w="808" w:type="pct"/>
                  <w:vAlign w:val="center"/>
                </w:tcPr>
                <w:p>
                  <w:pPr>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94" w:type="pct"/>
                  <w:vAlign w:val="center"/>
                </w:tcPr>
                <w:p>
                  <w:pPr>
                    <w:jc w:val="center"/>
                    <w:rPr>
                      <w:szCs w:val="21"/>
                    </w:rPr>
                  </w:pPr>
                  <w:r>
                    <w:rPr>
                      <w:szCs w:val="21"/>
                    </w:rPr>
                    <w:t>5</w:t>
                  </w:r>
                </w:p>
              </w:tc>
              <w:tc>
                <w:tcPr>
                  <w:tcW w:w="897" w:type="pct"/>
                  <w:vAlign w:val="center"/>
                </w:tcPr>
                <w:p>
                  <w:pPr>
                    <w:jc w:val="center"/>
                    <w:rPr>
                      <w:szCs w:val="21"/>
                    </w:rPr>
                  </w:pPr>
                  <w:r>
                    <w:rPr>
                      <w:szCs w:val="21"/>
                    </w:rPr>
                    <w:t>消毒机</w:t>
                  </w:r>
                </w:p>
              </w:tc>
              <w:tc>
                <w:tcPr>
                  <w:tcW w:w="492" w:type="pct"/>
                  <w:vAlign w:val="center"/>
                </w:tcPr>
                <w:p>
                  <w:pPr>
                    <w:jc w:val="center"/>
                    <w:rPr>
                      <w:szCs w:val="21"/>
                    </w:rPr>
                  </w:pPr>
                  <w:r>
                    <w:rPr>
                      <w:szCs w:val="21"/>
                    </w:rPr>
                    <w:t>1</w:t>
                  </w:r>
                </w:p>
              </w:tc>
              <w:tc>
                <w:tcPr>
                  <w:tcW w:w="647" w:type="pct"/>
                  <w:vAlign w:val="center"/>
                </w:tcPr>
                <w:p>
                  <w:pPr>
                    <w:jc w:val="center"/>
                    <w:rPr>
                      <w:szCs w:val="21"/>
                    </w:rPr>
                  </w:pPr>
                  <w:r>
                    <w:rPr>
                      <w:szCs w:val="21"/>
                    </w:rPr>
                    <w:t>85</w:t>
                  </w:r>
                </w:p>
              </w:tc>
              <w:tc>
                <w:tcPr>
                  <w:tcW w:w="1189" w:type="pct"/>
                  <w:vAlign w:val="center"/>
                </w:tcPr>
                <w:p>
                  <w:pPr>
                    <w:jc w:val="center"/>
                    <w:rPr>
                      <w:szCs w:val="21"/>
                    </w:rPr>
                  </w:pPr>
                  <w:r>
                    <w:rPr>
                      <w:szCs w:val="21"/>
                    </w:rPr>
                    <w:t>基础减振、建筑隔声</w:t>
                  </w:r>
                </w:p>
              </w:tc>
              <w:tc>
                <w:tcPr>
                  <w:tcW w:w="469" w:type="pct"/>
                  <w:vAlign w:val="center"/>
                </w:tcPr>
                <w:p>
                  <w:pPr>
                    <w:jc w:val="center"/>
                    <w:rPr>
                      <w:szCs w:val="21"/>
                    </w:rPr>
                  </w:pPr>
                  <w:r>
                    <w:rPr>
                      <w:szCs w:val="21"/>
                    </w:rPr>
                    <w:t>15</w:t>
                  </w:r>
                </w:p>
              </w:tc>
              <w:tc>
                <w:tcPr>
                  <w:tcW w:w="808" w:type="pct"/>
                  <w:vAlign w:val="center"/>
                </w:tcPr>
                <w:p>
                  <w:pPr>
                    <w:jc w:val="center"/>
                    <w:rPr>
                      <w:szCs w:val="21"/>
                    </w:rPr>
                  </w:pPr>
                  <w:r>
                    <w:rPr>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94" w:type="pct"/>
                  <w:vAlign w:val="center"/>
                </w:tcPr>
                <w:p>
                  <w:pPr>
                    <w:jc w:val="center"/>
                    <w:rPr>
                      <w:szCs w:val="21"/>
                    </w:rPr>
                  </w:pPr>
                  <w:r>
                    <w:rPr>
                      <w:szCs w:val="21"/>
                    </w:rPr>
                    <w:t>6</w:t>
                  </w:r>
                </w:p>
              </w:tc>
              <w:tc>
                <w:tcPr>
                  <w:tcW w:w="897" w:type="pct"/>
                  <w:vAlign w:val="center"/>
                </w:tcPr>
                <w:p>
                  <w:pPr>
                    <w:jc w:val="center"/>
                    <w:rPr>
                      <w:szCs w:val="21"/>
                    </w:rPr>
                  </w:pPr>
                  <w:r>
                    <w:rPr>
                      <w:szCs w:val="21"/>
                    </w:rPr>
                    <w:t>制冷风机</w:t>
                  </w:r>
                </w:p>
              </w:tc>
              <w:tc>
                <w:tcPr>
                  <w:tcW w:w="492" w:type="pct"/>
                  <w:vAlign w:val="center"/>
                </w:tcPr>
                <w:p>
                  <w:pPr>
                    <w:jc w:val="center"/>
                    <w:rPr>
                      <w:szCs w:val="21"/>
                    </w:rPr>
                  </w:pPr>
                  <w:r>
                    <w:rPr>
                      <w:szCs w:val="21"/>
                    </w:rPr>
                    <w:t>1</w:t>
                  </w:r>
                </w:p>
              </w:tc>
              <w:tc>
                <w:tcPr>
                  <w:tcW w:w="647" w:type="pct"/>
                  <w:vAlign w:val="center"/>
                </w:tcPr>
                <w:p>
                  <w:pPr>
                    <w:jc w:val="center"/>
                    <w:rPr>
                      <w:szCs w:val="21"/>
                    </w:rPr>
                  </w:pPr>
                  <w:r>
                    <w:rPr>
                      <w:szCs w:val="21"/>
                    </w:rPr>
                    <w:t>85</w:t>
                  </w:r>
                </w:p>
              </w:tc>
              <w:tc>
                <w:tcPr>
                  <w:tcW w:w="1189" w:type="pct"/>
                  <w:vAlign w:val="center"/>
                </w:tcPr>
                <w:p>
                  <w:pPr>
                    <w:jc w:val="center"/>
                    <w:rPr>
                      <w:szCs w:val="21"/>
                    </w:rPr>
                  </w:pPr>
                  <w:r>
                    <w:rPr>
                      <w:szCs w:val="21"/>
                    </w:rPr>
                    <w:t>基础减振、建筑隔声</w:t>
                  </w:r>
                </w:p>
              </w:tc>
              <w:tc>
                <w:tcPr>
                  <w:tcW w:w="469" w:type="pct"/>
                  <w:vAlign w:val="center"/>
                </w:tcPr>
                <w:p>
                  <w:pPr>
                    <w:jc w:val="center"/>
                    <w:rPr>
                      <w:szCs w:val="21"/>
                    </w:rPr>
                  </w:pPr>
                  <w:r>
                    <w:rPr>
                      <w:szCs w:val="21"/>
                    </w:rPr>
                    <w:t>15</w:t>
                  </w:r>
                </w:p>
              </w:tc>
              <w:tc>
                <w:tcPr>
                  <w:tcW w:w="808" w:type="pct"/>
                  <w:vAlign w:val="center"/>
                </w:tcPr>
                <w:p>
                  <w:pPr>
                    <w:jc w:val="center"/>
                    <w:rPr>
                      <w:szCs w:val="21"/>
                    </w:rPr>
                  </w:pPr>
                  <w:r>
                    <w:rPr>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94" w:type="pct"/>
                  <w:vAlign w:val="center"/>
                </w:tcPr>
                <w:p>
                  <w:pPr>
                    <w:jc w:val="center"/>
                    <w:rPr>
                      <w:szCs w:val="21"/>
                    </w:rPr>
                  </w:pPr>
                  <w:r>
                    <w:rPr>
                      <w:szCs w:val="21"/>
                    </w:rPr>
                    <w:t>7</w:t>
                  </w:r>
                </w:p>
              </w:tc>
              <w:tc>
                <w:tcPr>
                  <w:tcW w:w="897" w:type="pct"/>
                  <w:vAlign w:val="center"/>
                </w:tcPr>
                <w:p>
                  <w:pPr>
                    <w:jc w:val="center"/>
                    <w:rPr>
                      <w:szCs w:val="21"/>
                    </w:rPr>
                  </w:pPr>
                  <w:r>
                    <w:rPr>
                      <w:szCs w:val="21"/>
                    </w:rPr>
                    <w:t>纯水机</w:t>
                  </w:r>
                </w:p>
              </w:tc>
              <w:tc>
                <w:tcPr>
                  <w:tcW w:w="492" w:type="pct"/>
                  <w:vAlign w:val="center"/>
                </w:tcPr>
                <w:p>
                  <w:pPr>
                    <w:jc w:val="center"/>
                    <w:rPr>
                      <w:szCs w:val="21"/>
                    </w:rPr>
                  </w:pPr>
                  <w:r>
                    <w:rPr>
                      <w:szCs w:val="21"/>
                    </w:rPr>
                    <w:t>1</w:t>
                  </w:r>
                </w:p>
              </w:tc>
              <w:tc>
                <w:tcPr>
                  <w:tcW w:w="647" w:type="pct"/>
                  <w:vAlign w:val="center"/>
                </w:tcPr>
                <w:p>
                  <w:pPr>
                    <w:jc w:val="center"/>
                    <w:rPr>
                      <w:szCs w:val="21"/>
                    </w:rPr>
                  </w:pPr>
                  <w:r>
                    <w:rPr>
                      <w:szCs w:val="21"/>
                    </w:rPr>
                    <w:t>85</w:t>
                  </w:r>
                </w:p>
              </w:tc>
              <w:tc>
                <w:tcPr>
                  <w:tcW w:w="1189" w:type="pct"/>
                  <w:vAlign w:val="center"/>
                </w:tcPr>
                <w:p>
                  <w:pPr>
                    <w:jc w:val="center"/>
                    <w:rPr>
                      <w:szCs w:val="21"/>
                    </w:rPr>
                  </w:pPr>
                  <w:r>
                    <w:rPr>
                      <w:szCs w:val="21"/>
                    </w:rPr>
                    <w:t>基础减振、建筑隔声</w:t>
                  </w:r>
                </w:p>
              </w:tc>
              <w:tc>
                <w:tcPr>
                  <w:tcW w:w="469" w:type="pct"/>
                  <w:vAlign w:val="center"/>
                </w:tcPr>
                <w:p>
                  <w:pPr>
                    <w:jc w:val="center"/>
                    <w:rPr>
                      <w:szCs w:val="21"/>
                    </w:rPr>
                  </w:pPr>
                  <w:r>
                    <w:rPr>
                      <w:szCs w:val="21"/>
                    </w:rPr>
                    <w:t>15</w:t>
                  </w:r>
                </w:p>
              </w:tc>
              <w:tc>
                <w:tcPr>
                  <w:tcW w:w="808" w:type="pct"/>
                  <w:vAlign w:val="center"/>
                </w:tcPr>
                <w:p>
                  <w:pPr>
                    <w:jc w:val="center"/>
                    <w:rPr>
                      <w:szCs w:val="21"/>
                    </w:rPr>
                  </w:pPr>
                  <w:r>
                    <w:rPr>
                      <w:szCs w:val="21"/>
                    </w:rPr>
                    <w:t>70</w:t>
                  </w:r>
                </w:p>
              </w:tc>
            </w:tr>
          </w:tbl>
          <w:p>
            <w:pPr>
              <w:pStyle w:val="5"/>
              <w:spacing w:before="0" w:line="360" w:lineRule="auto"/>
              <w:ind w:firstLine="482"/>
              <w:rPr>
                <w:b/>
                <w:bCs/>
                <w:sz w:val="24"/>
              </w:rPr>
            </w:pPr>
            <w:r>
              <w:rPr>
                <w:b/>
                <w:bCs/>
                <w:sz w:val="24"/>
              </w:rPr>
              <w:t>（3）预测内容</w:t>
            </w:r>
          </w:p>
          <w:p>
            <w:pPr>
              <w:autoSpaceDE w:val="0"/>
              <w:autoSpaceDN w:val="0"/>
              <w:spacing w:line="360" w:lineRule="auto"/>
              <w:ind w:firstLine="482"/>
              <w:jc w:val="left"/>
              <w:rPr>
                <w:sz w:val="24"/>
              </w:rPr>
            </w:pPr>
            <w:r>
              <w:rPr>
                <w:sz w:val="24"/>
              </w:rPr>
              <w:t>A</w:t>
            </w:r>
            <w:r>
              <w:rPr>
                <w:rFonts w:hint="eastAsia"/>
                <w:sz w:val="24"/>
              </w:rPr>
              <w:t>.</w:t>
            </w:r>
            <w:r>
              <w:rPr>
                <w:sz w:val="24"/>
              </w:rPr>
              <w:t>预测模式</w:t>
            </w:r>
          </w:p>
          <w:p>
            <w:pPr>
              <w:spacing w:line="360" w:lineRule="auto"/>
              <w:ind w:firstLine="480" w:firstLineChars="200"/>
              <w:rPr>
                <w:sz w:val="24"/>
              </w:rPr>
            </w:pPr>
            <w:r>
              <w:rPr>
                <w:sz w:val="24"/>
              </w:rPr>
              <w:t>本次评价采用《环境影响评价技术导则 声环境》（HJ2.4-2021）中推荐模式预测项目运行期间产生的噪声值，预测采用公式如下：</w:t>
            </w:r>
          </w:p>
          <w:p>
            <w:pPr>
              <w:widowControl/>
              <w:spacing w:line="360" w:lineRule="auto"/>
              <w:jc w:val="center"/>
              <w:rPr>
                <w:sz w:val="24"/>
              </w:rPr>
            </w:pPr>
            <w:r>
              <w:rPr>
                <w:sz w:val="24"/>
              </w:rPr>
              <w:t>Lp(r)＝Lp(r0)+DC－</w:t>
            </w:r>
            <w:r>
              <w:rPr>
                <w:rFonts w:hint="eastAsia"/>
                <w:sz w:val="24"/>
              </w:rPr>
              <w:t>(</w:t>
            </w:r>
            <w:r>
              <w:rPr>
                <w:sz w:val="24"/>
              </w:rPr>
              <w:t>Adiv＋Aatm＋Agr＋Abar＋Amisc)</w:t>
            </w:r>
          </w:p>
          <w:p>
            <w:pPr>
              <w:pStyle w:val="8"/>
              <w:spacing w:before="0" w:after="0" w:line="360" w:lineRule="auto"/>
              <w:ind w:firstLine="480" w:firstLineChars="200"/>
              <w:rPr>
                <w:sz w:val="24"/>
                <w:szCs w:val="24"/>
              </w:rPr>
            </w:pPr>
            <w:r>
              <w:rPr>
                <w:sz w:val="24"/>
                <w:szCs w:val="24"/>
              </w:rPr>
              <w:t xml:space="preserve">式中：L——受声点的声压级，dB（A）； </w:t>
            </w:r>
          </w:p>
          <w:p>
            <w:pPr>
              <w:pStyle w:val="8"/>
              <w:spacing w:before="0" w:after="0" w:line="360" w:lineRule="auto"/>
              <w:ind w:firstLine="1200" w:firstLineChars="500"/>
              <w:rPr>
                <w:sz w:val="24"/>
                <w:szCs w:val="24"/>
              </w:rPr>
            </w:pPr>
            <w:r>
              <w:rPr>
                <w:sz w:val="24"/>
                <w:szCs w:val="24"/>
              </w:rPr>
              <w:t>L0——声源源强，dB（A）；</w:t>
            </w:r>
          </w:p>
          <w:p>
            <w:pPr>
              <w:widowControl/>
              <w:spacing w:line="360" w:lineRule="auto"/>
              <w:ind w:firstLine="1200" w:firstLineChars="500"/>
              <w:jc w:val="left"/>
              <w:rPr>
                <w:sz w:val="24"/>
              </w:rPr>
            </w:pPr>
            <w:r>
              <w:rPr>
                <w:sz w:val="24"/>
              </w:rPr>
              <w:t xml:space="preserve">DC ——指向性校正，它描述点声源的等效连续声压级与产生声功率级Lw的全向点声源在规定方向的声级的偏差程度，dB； </w:t>
            </w:r>
          </w:p>
          <w:p>
            <w:pPr>
              <w:pStyle w:val="8"/>
              <w:spacing w:before="0" w:after="0" w:line="360" w:lineRule="auto"/>
              <w:ind w:firstLine="1200" w:firstLineChars="500"/>
              <w:rPr>
                <w:sz w:val="24"/>
                <w:szCs w:val="24"/>
              </w:rPr>
            </w:pPr>
            <w:r>
              <w:rPr>
                <w:sz w:val="24"/>
                <w:szCs w:val="24"/>
              </w:rPr>
              <w:t>r0——声源及受声点之间的距离，m；</w:t>
            </w:r>
          </w:p>
          <w:p>
            <w:pPr>
              <w:pStyle w:val="8"/>
              <w:spacing w:before="0" w:after="0" w:line="360" w:lineRule="auto"/>
              <w:ind w:firstLine="1200" w:firstLineChars="500"/>
              <w:rPr>
                <w:sz w:val="24"/>
                <w:szCs w:val="24"/>
              </w:rPr>
            </w:pPr>
            <w:r>
              <w:rPr>
                <w:sz w:val="24"/>
                <w:szCs w:val="24"/>
              </w:rPr>
              <w:t>Adiv、Aatm、Agr、Abar、Amisc——各种衰减量，分别为几何衰减、空气吸收、地面效应、屏障屏蔽、其他多方面效应引起的衰减量，dB（A）。</w:t>
            </w:r>
          </w:p>
          <w:p>
            <w:pPr>
              <w:pStyle w:val="8"/>
              <w:spacing w:before="0" w:after="0" w:line="360" w:lineRule="auto"/>
              <w:ind w:firstLine="480" w:firstLineChars="200"/>
              <w:rPr>
                <w:sz w:val="24"/>
                <w:szCs w:val="24"/>
              </w:rPr>
            </w:pPr>
            <w:r>
              <w:rPr>
                <w:sz w:val="24"/>
                <w:szCs w:val="24"/>
              </w:rPr>
              <w:t>声压级合成模式：</w:t>
            </w:r>
          </w:p>
          <w:p>
            <w:pPr>
              <w:widowControl/>
              <w:spacing w:line="360" w:lineRule="auto"/>
              <w:jc w:val="center"/>
              <w:rPr>
                <w:sz w:val="24"/>
              </w:rPr>
            </w:pPr>
            <w:r>
              <w:rPr>
                <w:sz w:val="24"/>
              </w:rPr>
              <w:drawing>
                <wp:inline distT="0" distB="0" distL="114300" distR="114300">
                  <wp:extent cx="2026285" cy="480695"/>
                  <wp:effectExtent l="0" t="0" r="1206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2026285" cy="480695"/>
                          </a:xfrm>
                          <a:prstGeom prst="rect">
                            <a:avLst/>
                          </a:prstGeom>
                          <a:noFill/>
                          <a:ln>
                            <a:noFill/>
                          </a:ln>
                        </pic:spPr>
                      </pic:pic>
                    </a:graphicData>
                  </a:graphic>
                </wp:inline>
              </w:drawing>
            </w:r>
          </w:p>
          <w:p>
            <w:pPr>
              <w:pStyle w:val="8"/>
              <w:spacing w:before="0" w:after="0" w:line="360" w:lineRule="auto"/>
              <w:ind w:firstLine="1200" w:firstLineChars="500"/>
              <w:rPr>
                <w:sz w:val="24"/>
                <w:szCs w:val="24"/>
              </w:rPr>
            </w:pPr>
            <w:r>
              <w:rPr>
                <w:sz w:val="24"/>
                <w:szCs w:val="24"/>
              </w:rPr>
              <w:t xml:space="preserve">式中：LA(r) ——距声源 r 处的 A 声级，dB(A)； </w:t>
            </w:r>
          </w:p>
          <w:p>
            <w:pPr>
              <w:pStyle w:val="8"/>
              <w:spacing w:before="0" w:after="0" w:line="360" w:lineRule="auto"/>
              <w:ind w:firstLine="1920" w:firstLineChars="800"/>
              <w:rPr>
                <w:sz w:val="24"/>
                <w:szCs w:val="24"/>
              </w:rPr>
            </w:pPr>
            <w:r>
              <w:rPr>
                <w:sz w:val="24"/>
                <w:szCs w:val="24"/>
              </w:rPr>
              <w:t xml:space="preserve">Lpi(r) ——预测点（r）处，第 i 倍频带声压级，dB； </w:t>
            </w:r>
          </w:p>
          <w:p>
            <w:pPr>
              <w:pStyle w:val="8"/>
              <w:spacing w:before="0" w:after="0" w:line="360" w:lineRule="auto"/>
              <w:ind w:firstLine="1920" w:firstLineChars="800"/>
              <w:rPr>
                <w:sz w:val="24"/>
                <w:szCs w:val="24"/>
              </w:rPr>
            </w:pPr>
            <w:r>
              <w:rPr>
                <w:sz w:val="24"/>
                <w:szCs w:val="24"/>
              </w:rPr>
              <w:t>ΔLi ——第 i 倍频带的 A 计权网络修正值，dB；</w:t>
            </w:r>
          </w:p>
          <w:p>
            <w:pPr>
              <w:pStyle w:val="8"/>
              <w:spacing w:before="0" w:after="0" w:line="360" w:lineRule="auto"/>
              <w:ind w:firstLine="1200" w:firstLineChars="500"/>
              <w:rPr>
                <w:sz w:val="24"/>
                <w:szCs w:val="24"/>
              </w:rPr>
            </w:pPr>
            <w:r>
              <w:rPr>
                <w:sz w:val="24"/>
                <w:szCs w:val="24"/>
              </w:rPr>
              <w:t xml:space="preserve">       N——声源个数。</w:t>
            </w:r>
          </w:p>
          <w:p>
            <w:pPr>
              <w:autoSpaceDE w:val="0"/>
              <w:autoSpaceDN w:val="0"/>
              <w:spacing w:line="360" w:lineRule="auto"/>
              <w:ind w:firstLine="482"/>
              <w:jc w:val="left"/>
              <w:rPr>
                <w:sz w:val="24"/>
              </w:rPr>
            </w:pPr>
            <w:r>
              <w:rPr>
                <w:sz w:val="24"/>
              </w:rPr>
              <w:t>B</w:t>
            </w:r>
            <w:r>
              <w:rPr>
                <w:rFonts w:hint="eastAsia"/>
                <w:sz w:val="24"/>
              </w:rPr>
              <w:t>.</w:t>
            </w:r>
            <w:r>
              <w:rPr>
                <w:sz w:val="24"/>
              </w:rPr>
              <w:t>预测点布设</w:t>
            </w:r>
          </w:p>
          <w:p>
            <w:pPr>
              <w:spacing w:line="360" w:lineRule="auto"/>
              <w:ind w:firstLine="480" w:firstLineChars="200"/>
              <w:rPr>
                <w:sz w:val="24"/>
              </w:rPr>
            </w:pPr>
            <w:r>
              <w:rPr>
                <w:sz w:val="24"/>
              </w:rPr>
              <w:t>本项目噪声预测点设置为受噪声影响最大的厂界点，详见图4-1噪声预测点示意图。</w:t>
            </w:r>
          </w:p>
          <w:p>
            <w:pPr>
              <w:spacing w:line="360" w:lineRule="auto"/>
              <w:rPr>
                <w:sz w:val="24"/>
              </w:rPr>
            </w:pPr>
            <w:r>
              <w:rPr>
                <w:sz w:val="24"/>
              </w:rPr>
              <w:drawing>
                <wp:inline distT="0" distB="0" distL="114300" distR="114300">
                  <wp:extent cx="5711825" cy="2522855"/>
                  <wp:effectExtent l="0" t="0" r="3175" b="0"/>
                  <wp:docPr id="43" name="图片 43" descr="微信截图_2023031613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微信截图_20230316133447"/>
                          <pic:cNvPicPr>
                            <a:picLocks noChangeAspect="1"/>
                          </pic:cNvPicPr>
                        </pic:nvPicPr>
                        <pic:blipFill>
                          <a:blip r:embed="rId19"/>
                          <a:stretch>
                            <a:fillRect/>
                          </a:stretch>
                        </pic:blipFill>
                        <pic:spPr>
                          <a:xfrm>
                            <a:off x="0" y="0"/>
                            <a:ext cx="5721689" cy="2527367"/>
                          </a:xfrm>
                          <a:prstGeom prst="rect">
                            <a:avLst/>
                          </a:prstGeom>
                        </pic:spPr>
                      </pic:pic>
                    </a:graphicData>
                  </a:graphic>
                </wp:inline>
              </w:drawing>
            </w:r>
          </w:p>
          <w:p>
            <w:pPr>
              <w:spacing w:before="156" w:beforeLines="50" w:line="360" w:lineRule="auto"/>
              <w:jc w:val="center"/>
              <w:rPr>
                <w:b/>
                <w:bCs/>
                <w:sz w:val="24"/>
              </w:rPr>
            </w:pPr>
            <w:r>
              <w:rPr>
                <w:b/>
                <w:bCs/>
                <w:sz w:val="24"/>
              </w:rPr>
              <w:t>图4-1  噪声预测点示意图</w:t>
            </w:r>
          </w:p>
          <w:p>
            <w:pPr>
              <w:spacing w:line="360" w:lineRule="auto"/>
              <w:ind w:firstLine="480" w:firstLineChars="200"/>
              <w:jc w:val="center"/>
              <w:rPr>
                <w:b/>
                <w:bCs/>
                <w:sz w:val="24"/>
              </w:rPr>
            </w:pPr>
            <w:r>
              <w:rPr>
                <w:b/>
                <w:bCs/>
                <w:sz w:val="24"/>
              </w:rPr>
              <w:t>表4-10 厂房各噪声源与预测点距离  单位：m</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1545"/>
              <w:gridCol w:w="1612"/>
              <w:gridCol w:w="1379"/>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89" w:type="pct"/>
                  <w:vMerge w:val="restart"/>
                  <w:vAlign w:val="center"/>
                </w:tcPr>
                <w:p>
                  <w:pPr>
                    <w:ind w:left="-115" w:leftChars="-55" w:right="-113" w:rightChars="-54"/>
                    <w:jc w:val="center"/>
                    <w:rPr>
                      <w:b/>
                      <w:bCs/>
                      <w:szCs w:val="21"/>
                    </w:rPr>
                  </w:pPr>
                  <w:r>
                    <w:rPr>
                      <w:b/>
                      <w:bCs/>
                      <w:szCs w:val="21"/>
                    </w:rPr>
                    <mc:AlternateContent>
                      <mc:Choice Requires="wps">
                        <w:drawing>
                          <wp:anchor distT="0" distB="0" distL="114300" distR="114300" simplePos="0" relativeHeight="251663360" behindDoc="0" locked="0" layoutInCell="1" allowOverlap="1">
                            <wp:simplePos x="0" y="0"/>
                            <wp:positionH relativeFrom="column">
                              <wp:posOffset>-59055</wp:posOffset>
                            </wp:positionH>
                            <wp:positionV relativeFrom="paragraph">
                              <wp:posOffset>-13970</wp:posOffset>
                            </wp:positionV>
                            <wp:extent cx="1681480" cy="580390"/>
                            <wp:effectExtent l="0" t="0" r="33020" b="29210"/>
                            <wp:wrapNone/>
                            <wp:docPr id="12" name="直接箭头连接符 12"/>
                            <wp:cNvGraphicFramePr/>
                            <a:graphic xmlns:a="http://schemas.openxmlformats.org/drawingml/2006/main">
                              <a:graphicData uri="http://schemas.microsoft.com/office/word/2010/wordprocessingShape">
                                <wps:wsp>
                                  <wps:cNvCnPr/>
                                  <wps:spPr>
                                    <a:xfrm>
                                      <a:off x="0" y="0"/>
                                      <a:ext cx="1681480" cy="58039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65pt;margin-top:-1.1pt;height:45.7pt;width:132.4pt;z-index:251663360;mso-width-relative:page;mso-height-relative:page;" filled="f" stroked="t" coordsize="21600,21600" o:gfxdata="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YYGedgAAAAIAQAADwAAAAAAAAABACAAAAAiAAAAZHJz&#10;L2Rvd25yZXYueG1sUEsBAhQAFAAAAAgAh07iQA+2BkkEAgAA8wMAAA4AAAAAAAAAAQAgAAAAJwEA&#10;AGRycy9lMm9Eb2MueG1sUEsFBgAAAAAGAAYAWQEAAJ0FAAAAAA==&#10;">
                            <v:fill on="f" focussize="0,0"/>
                            <v:stroke weight="0.5pt" color="#000000" joinstyle="round"/>
                            <v:imagedata o:title=""/>
                            <o:lock v:ext="edit" aspectratio="f"/>
                          </v:shape>
                        </w:pict>
                      </mc:Fallback>
                    </mc:AlternateContent>
                  </w:r>
                  <w:r>
                    <w:rPr>
                      <w:b/>
                      <w:bCs/>
                      <w:szCs w:val="21"/>
                    </w:rPr>
                    <w:t xml:space="preserve">        预测点</w:t>
                  </w:r>
                </w:p>
                <w:p>
                  <w:pPr>
                    <w:ind w:left="-115" w:leftChars="-55" w:right="-113" w:rightChars="-54"/>
                    <w:rPr>
                      <w:b/>
                      <w:bCs/>
                      <w:szCs w:val="21"/>
                    </w:rPr>
                  </w:pPr>
                  <w:r>
                    <w:rPr>
                      <w:b/>
                      <w:bCs/>
                      <w:szCs w:val="21"/>
                    </w:rPr>
                    <mc:AlternateContent>
                      <mc:Choice Requires="wps">
                        <w:drawing>
                          <wp:anchor distT="0" distB="0" distL="114300" distR="114300" simplePos="0" relativeHeight="251662336" behindDoc="0" locked="0" layoutInCell="1" allowOverlap="1">
                            <wp:simplePos x="0" y="0"/>
                            <wp:positionH relativeFrom="column">
                              <wp:posOffset>-74930</wp:posOffset>
                            </wp:positionH>
                            <wp:positionV relativeFrom="paragraph">
                              <wp:posOffset>88900</wp:posOffset>
                            </wp:positionV>
                            <wp:extent cx="1725930" cy="291465"/>
                            <wp:effectExtent l="0" t="0" r="26670" b="32385"/>
                            <wp:wrapNone/>
                            <wp:docPr id="13" name="直接箭头连接符 13"/>
                            <wp:cNvGraphicFramePr/>
                            <a:graphic xmlns:a="http://schemas.openxmlformats.org/drawingml/2006/main">
                              <a:graphicData uri="http://schemas.microsoft.com/office/word/2010/wordprocessingShape">
                                <wps:wsp>
                                  <wps:cNvCnPr/>
                                  <wps:spPr>
                                    <a:xfrm>
                                      <a:off x="0" y="0"/>
                                      <a:ext cx="1725930" cy="291465"/>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9pt;margin-top:7pt;height:22.95pt;width:135.9pt;z-index:251662336;mso-width-relative:page;mso-height-relative:page;" filled="f" stroked="t" coordsize="21600,21600" o:gfxdata="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3HdxNcAAAAJAQAADwAAAAAAAAABACAAAAAiAAAAZHJzL2Rv&#10;d25yZXYueG1sUEsBAhQAFAAAAAgAh07iQHH5qOICAgAA8wMAAA4AAAAAAAAAAQAgAAAAJgEAAGRy&#10;cy9lMm9Eb2MueG1sUEsFBgAAAAAGAAYAWQEAAJoFAAAAAA==&#10;">
                            <v:fill on="f" focussize="0,0"/>
                            <v:stroke weight="0.5pt" color="#000000" joinstyle="round"/>
                            <v:imagedata o:title=""/>
                            <o:lock v:ext="edit" aspectratio="f"/>
                          </v:shape>
                        </w:pict>
                      </mc:Fallback>
                    </mc:AlternateContent>
                  </w:r>
                  <w:r>
                    <w:rPr>
                      <w:b/>
                      <w:bCs/>
                      <w:szCs w:val="21"/>
                    </w:rPr>
                    <w:t xml:space="preserve">     距离</w:t>
                  </w:r>
                </w:p>
                <w:p>
                  <w:pPr>
                    <w:ind w:left="-115" w:leftChars="-55" w:right="-113" w:rightChars="-54" w:firstLine="105" w:firstLineChars="50"/>
                    <w:rPr>
                      <w:b/>
                      <w:bCs/>
                      <w:szCs w:val="21"/>
                    </w:rPr>
                  </w:pPr>
                  <w:r>
                    <w:rPr>
                      <w:b/>
                      <w:bCs/>
                      <w:szCs w:val="21"/>
                    </w:rPr>
                    <w:t>源强点</w:t>
                  </w:r>
                </w:p>
              </w:tc>
              <w:tc>
                <w:tcPr>
                  <w:tcW w:w="3510" w:type="pct"/>
                  <w:gridSpan w:val="4"/>
                  <w:vAlign w:val="center"/>
                </w:tcPr>
                <w:p>
                  <w:pPr>
                    <w:jc w:val="center"/>
                    <w:rPr>
                      <w:b/>
                      <w:bCs/>
                      <w:szCs w:val="21"/>
                    </w:rPr>
                  </w:pPr>
                  <w:r>
                    <w:rPr>
                      <w:b/>
                      <w:bCs/>
                      <w:szCs w:val="21"/>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89" w:type="pct"/>
                  <w:vMerge w:val="continue"/>
                  <w:vAlign w:val="center"/>
                </w:tcPr>
                <w:p>
                  <w:pPr>
                    <w:ind w:left="-115" w:leftChars="-55" w:right="-113" w:rightChars="-54"/>
                    <w:jc w:val="center"/>
                    <w:rPr>
                      <w:b/>
                      <w:bCs/>
                      <w:szCs w:val="21"/>
                    </w:rPr>
                  </w:pPr>
                </w:p>
              </w:tc>
              <w:tc>
                <w:tcPr>
                  <w:tcW w:w="895" w:type="pct"/>
                  <w:vAlign w:val="center"/>
                </w:tcPr>
                <w:p>
                  <w:pPr>
                    <w:ind w:left="-178" w:leftChars="-85" w:right="-109" w:rightChars="-52"/>
                    <w:jc w:val="center"/>
                    <w:rPr>
                      <w:b/>
                      <w:bCs/>
                      <w:szCs w:val="21"/>
                    </w:rPr>
                  </w:pPr>
                  <w:r>
                    <w:rPr>
                      <w:b/>
                      <w:bCs/>
                      <w:szCs w:val="21"/>
                    </w:rPr>
                    <w:t>厂界北</w:t>
                  </w:r>
                </w:p>
              </w:tc>
              <w:tc>
                <w:tcPr>
                  <w:tcW w:w="934" w:type="pct"/>
                  <w:vAlign w:val="center"/>
                </w:tcPr>
                <w:p>
                  <w:pPr>
                    <w:ind w:left="-178" w:leftChars="-85" w:right="-109" w:rightChars="-52"/>
                    <w:jc w:val="center"/>
                    <w:rPr>
                      <w:b/>
                      <w:bCs/>
                      <w:szCs w:val="21"/>
                    </w:rPr>
                  </w:pPr>
                  <w:r>
                    <w:rPr>
                      <w:b/>
                      <w:bCs/>
                      <w:szCs w:val="21"/>
                    </w:rPr>
                    <w:t>厂界东</w:t>
                  </w:r>
                </w:p>
              </w:tc>
              <w:tc>
                <w:tcPr>
                  <w:tcW w:w="799" w:type="pct"/>
                  <w:vAlign w:val="center"/>
                </w:tcPr>
                <w:p>
                  <w:pPr>
                    <w:ind w:left="-178" w:leftChars="-85" w:right="-109" w:rightChars="-52"/>
                    <w:jc w:val="center"/>
                    <w:rPr>
                      <w:b/>
                      <w:bCs/>
                      <w:szCs w:val="21"/>
                    </w:rPr>
                  </w:pPr>
                  <w:r>
                    <w:rPr>
                      <w:b/>
                      <w:bCs/>
                      <w:szCs w:val="21"/>
                    </w:rPr>
                    <w:t>厂界南</w:t>
                  </w:r>
                </w:p>
              </w:tc>
              <w:tc>
                <w:tcPr>
                  <w:tcW w:w="881" w:type="pct"/>
                  <w:vAlign w:val="center"/>
                </w:tcPr>
                <w:p>
                  <w:pPr>
                    <w:ind w:left="-178" w:leftChars="-85" w:right="-109" w:rightChars="-52"/>
                    <w:jc w:val="center"/>
                    <w:rPr>
                      <w:b/>
                      <w:bCs/>
                      <w:szCs w:val="21"/>
                    </w:rPr>
                  </w:pPr>
                  <w:r>
                    <w:rPr>
                      <w:b/>
                      <w:bCs/>
                      <w:szCs w:val="21"/>
                    </w:rPr>
                    <w:t>厂界西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236" w:type="dxa"/>
                  <w:vAlign w:val="center"/>
                </w:tcPr>
                <w:p>
                  <w:pPr>
                    <w:ind w:left="-115" w:leftChars="-55" w:right="-113" w:rightChars="-54"/>
                    <w:jc w:val="center"/>
                    <w:rPr>
                      <w:szCs w:val="21"/>
                    </w:rPr>
                  </w:pPr>
                  <w:r>
                    <w:rPr>
                      <w:szCs w:val="21"/>
                    </w:rPr>
                    <w:t>施肥机</w:t>
                  </w:r>
                </w:p>
              </w:tc>
              <w:tc>
                <w:tcPr>
                  <w:tcW w:w="895" w:type="pct"/>
                  <w:vAlign w:val="center"/>
                </w:tcPr>
                <w:p>
                  <w:pPr>
                    <w:ind w:left="-178" w:leftChars="-85" w:right="-109" w:rightChars="-52"/>
                    <w:jc w:val="center"/>
                    <w:rPr>
                      <w:szCs w:val="21"/>
                    </w:rPr>
                  </w:pPr>
                  <w:r>
                    <w:rPr>
                      <w:szCs w:val="21"/>
                    </w:rPr>
                    <w:t>62</w:t>
                  </w:r>
                </w:p>
              </w:tc>
              <w:tc>
                <w:tcPr>
                  <w:tcW w:w="934" w:type="pct"/>
                  <w:vAlign w:val="center"/>
                </w:tcPr>
                <w:p>
                  <w:pPr>
                    <w:ind w:left="-178" w:leftChars="-85" w:right="-109" w:rightChars="-52"/>
                    <w:jc w:val="center"/>
                    <w:rPr>
                      <w:szCs w:val="21"/>
                    </w:rPr>
                  </w:pPr>
                  <w:r>
                    <w:rPr>
                      <w:szCs w:val="21"/>
                    </w:rPr>
                    <w:t>287</w:t>
                  </w:r>
                </w:p>
              </w:tc>
              <w:tc>
                <w:tcPr>
                  <w:tcW w:w="799" w:type="pct"/>
                  <w:vAlign w:val="center"/>
                </w:tcPr>
                <w:p>
                  <w:pPr>
                    <w:ind w:left="-178" w:leftChars="-85" w:right="-109" w:rightChars="-52"/>
                    <w:jc w:val="center"/>
                    <w:rPr>
                      <w:szCs w:val="21"/>
                    </w:rPr>
                  </w:pPr>
                  <w:r>
                    <w:rPr>
                      <w:szCs w:val="21"/>
                    </w:rPr>
                    <w:t>107</w:t>
                  </w:r>
                </w:p>
              </w:tc>
              <w:tc>
                <w:tcPr>
                  <w:tcW w:w="881" w:type="pct"/>
                  <w:vAlign w:val="center"/>
                </w:tcPr>
                <w:p>
                  <w:pPr>
                    <w:ind w:left="-178" w:leftChars="-85" w:right="-109" w:rightChars="-52"/>
                    <w:jc w:val="center"/>
                    <w:rPr>
                      <w:szCs w:val="21"/>
                    </w:rPr>
                  </w:pPr>
                  <w:r>
                    <w:rPr>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236" w:type="dxa"/>
                </w:tcPr>
                <w:p>
                  <w:pPr>
                    <w:ind w:left="-115" w:leftChars="-55" w:right="-113" w:rightChars="-54"/>
                    <w:jc w:val="center"/>
                    <w:rPr>
                      <w:szCs w:val="21"/>
                    </w:rPr>
                  </w:pPr>
                  <w:r>
                    <w:rPr>
                      <w:szCs w:val="21"/>
                    </w:rPr>
                    <w:t>清水泵</w:t>
                  </w:r>
                </w:p>
              </w:tc>
              <w:tc>
                <w:tcPr>
                  <w:tcW w:w="895" w:type="pct"/>
                  <w:vAlign w:val="center"/>
                </w:tcPr>
                <w:p>
                  <w:pPr>
                    <w:ind w:left="-178" w:leftChars="-85" w:right="-109" w:rightChars="-52"/>
                    <w:jc w:val="center"/>
                    <w:rPr>
                      <w:szCs w:val="21"/>
                    </w:rPr>
                  </w:pPr>
                  <w:r>
                    <w:rPr>
                      <w:szCs w:val="21"/>
                    </w:rPr>
                    <w:t>100</w:t>
                  </w:r>
                </w:p>
              </w:tc>
              <w:tc>
                <w:tcPr>
                  <w:tcW w:w="934" w:type="pct"/>
                  <w:vAlign w:val="center"/>
                </w:tcPr>
                <w:p>
                  <w:pPr>
                    <w:ind w:left="-178" w:leftChars="-85" w:right="-109" w:rightChars="-52"/>
                    <w:jc w:val="center"/>
                    <w:rPr>
                      <w:szCs w:val="21"/>
                    </w:rPr>
                  </w:pPr>
                  <w:r>
                    <w:rPr>
                      <w:szCs w:val="21"/>
                    </w:rPr>
                    <w:t>49</w:t>
                  </w:r>
                </w:p>
              </w:tc>
              <w:tc>
                <w:tcPr>
                  <w:tcW w:w="799" w:type="pct"/>
                  <w:vAlign w:val="center"/>
                </w:tcPr>
                <w:p>
                  <w:pPr>
                    <w:ind w:left="-178" w:leftChars="-85" w:right="-109" w:rightChars="-52"/>
                    <w:jc w:val="center"/>
                    <w:rPr>
                      <w:szCs w:val="21"/>
                    </w:rPr>
                  </w:pPr>
                  <w:r>
                    <w:rPr>
                      <w:szCs w:val="21"/>
                    </w:rPr>
                    <w:t>78</w:t>
                  </w:r>
                </w:p>
              </w:tc>
              <w:tc>
                <w:tcPr>
                  <w:tcW w:w="881" w:type="pct"/>
                  <w:vAlign w:val="center"/>
                </w:tcPr>
                <w:p>
                  <w:pPr>
                    <w:ind w:left="-178" w:leftChars="-85" w:right="-109" w:rightChars="-52"/>
                    <w:jc w:val="center"/>
                    <w:rPr>
                      <w:szCs w:val="21"/>
                    </w:rPr>
                  </w:pPr>
                  <w:r>
                    <w:rPr>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236" w:type="dxa"/>
                </w:tcPr>
                <w:p>
                  <w:pPr>
                    <w:ind w:left="-115" w:leftChars="-55" w:right="-113" w:rightChars="-54"/>
                    <w:jc w:val="center"/>
                    <w:rPr>
                      <w:szCs w:val="21"/>
                    </w:rPr>
                  </w:pPr>
                  <w:r>
                    <w:rPr>
                      <w:szCs w:val="21"/>
                    </w:rPr>
                    <w:t>回水泵</w:t>
                  </w:r>
                </w:p>
              </w:tc>
              <w:tc>
                <w:tcPr>
                  <w:tcW w:w="895" w:type="pct"/>
                  <w:vAlign w:val="center"/>
                </w:tcPr>
                <w:p>
                  <w:pPr>
                    <w:ind w:left="-178" w:leftChars="-85" w:right="-109" w:rightChars="-52"/>
                    <w:jc w:val="center"/>
                    <w:rPr>
                      <w:szCs w:val="21"/>
                    </w:rPr>
                  </w:pPr>
                  <w:r>
                    <w:rPr>
                      <w:szCs w:val="21"/>
                    </w:rPr>
                    <w:t>57</w:t>
                  </w:r>
                </w:p>
              </w:tc>
              <w:tc>
                <w:tcPr>
                  <w:tcW w:w="934" w:type="pct"/>
                  <w:vAlign w:val="center"/>
                </w:tcPr>
                <w:p>
                  <w:pPr>
                    <w:ind w:left="-178" w:leftChars="-85" w:right="-109" w:rightChars="-52"/>
                    <w:jc w:val="center"/>
                    <w:rPr>
                      <w:szCs w:val="21"/>
                    </w:rPr>
                  </w:pPr>
                  <w:r>
                    <w:rPr>
                      <w:szCs w:val="21"/>
                    </w:rPr>
                    <w:t>287</w:t>
                  </w:r>
                </w:p>
              </w:tc>
              <w:tc>
                <w:tcPr>
                  <w:tcW w:w="799" w:type="pct"/>
                  <w:vAlign w:val="center"/>
                </w:tcPr>
                <w:p>
                  <w:pPr>
                    <w:ind w:left="-178" w:leftChars="-85" w:right="-109" w:rightChars="-52"/>
                    <w:jc w:val="center"/>
                    <w:rPr>
                      <w:szCs w:val="21"/>
                    </w:rPr>
                  </w:pPr>
                  <w:r>
                    <w:rPr>
                      <w:szCs w:val="21"/>
                    </w:rPr>
                    <w:t>116</w:t>
                  </w:r>
                </w:p>
              </w:tc>
              <w:tc>
                <w:tcPr>
                  <w:tcW w:w="881" w:type="pct"/>
                  <w:vAlign w:val="center"/>
                </w:tcPr>
                <w:p>
                  <w:pPr>
                    <w:ind w:left="-178" w:leftChars="-85" w:right="-109" w:rightChars="-52"/>
                    <w:jc w:val="center"/>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236" w:type="dxa"/>
                </w:tcPr>
                <w:p>
                  <w:pPr>
                    <w:ind w:left="-115" w:leftChars="-55" w:right="-113" w:rightChars="-54"/>
                    <w:jc w:val="center"/>
                    <w:rPr>
                      <w:szCs w:val="21"/>
                    </w:rPr>
                  </w:pPr>
                  <w:r>
                    <w:rPr>
                      <w:szCs w:val="21"/>
                    </w:rPr>
                    <w:t>灌溉泵</w:t>
                  </w:r>
                </w:p>
              </w:tc>
              <w:tc>
                <w:tcPr>
                  <w:tcW w:w="895" w:type="pct"/>
                  <w:vAlign w:val="center"/>
                </w:tcPr>
                <w:p>
                  <w:pPr>
                    <w:ind w:left="-178" w:leftChars="-85" w:right="-109" w:rightChars="-52"/>
                    <w:jc w:val="center"/>
                    <w:rPr>
                      <w:szCs w:val="21"/>
                    </w:rPr>
                  </w:pPr>
                  <w:r>
                    <w:rPr>
                      <w:szCs w:val="21"/>
                    </w:rPr>
                    <w:t>81</w:t>
                  </w:r>
                </w:p>
              </w:tc>
              <w:tc>
                <w:tcPr>
                  <w:tcW w:w="934" w:type="pct"/>
                  <w:vAlign w:val="center"/>
                </w:tcPr>
                <w:p>
                  <w:pPr>
                    <w:ind w:left="-178" w:leftChars="-85" w:right="-109" w:rightChars="-52"/>
                    <w:jc w:val="center"/>
                    <w:rPr>
                      <w:szCs w:val="21"/>
                    </w:rPr>
                  </w:pPr>
                  <w:r>
                    <w:rPr>
                      <w:szCs w:val="21"/>
                    </w:rPr>
                    <w:t>105</w:t>
                  </w:r>
                </w:p>
              </w:tc>
              <w:tc>
                <w:tcPr>
                  <w:tcW w:w="799" w:type="pct"/>
                  <w:vAlign w:val="center"/>
                </w:tcPr>
                <w:p>
                  <w:pPr>
                    <w:ind w:left="-178" w:leftChars="-85" w:right="-109" w:rightChars="-52"/>
                    <w:jc w:val="center"/>
                    <w:rPr>
                      <w:szCs w:val="21"/>
                    </w:rPr>
                  </w:pPr>
                  <w:r>
                    <w:rPr>
                      <w:szCs w:val="21"/>
                    </w:rPr>
                    <w:t>90</w:t>
                  </w:r>
                </w:p>
              </w:tc>
              <w:tc>
                <w:tcPr>
                  <w:tcW w:w="881" w:type="pct"/>
                  <w:vAlign w:val="center"/>
                </w:tcPr>
                <w:p>
                  <w:pPr>
                    <w:ind w:left="-178" w:leftChars="-85" w:right="-109" w:rightChars="-52"/>
                    <w:jc w:val="center"/>
                    <w:rPr>
                      <w:szCs w:val="21"/>
                    </w:rPr>
                  </w:pPr>
                  <w:r>
                    <w:rPr>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236" w:type="dxa"/>
                </w:tcPr>
                <w:p>
                  <w:pPr>
                    <w:ind w:left="-115" w:leftChars="-55" w:right="-113" w:rightChars="-54"/>
                    <w:jc w:val="center"/>
                    <w:rPr>
                      <w:szCs w:val="21"/>
                    </w:rPr>
                  </w:pPr>
                  <w:r>
                    <w:rPr>
                      <w:szCs w:val="21"/>
                    </w:rPr>
                    <w:t>消毒机</w:t>
                  </w:r>
                </w:p>
              </w:tc>
              <w:tc>
                <w:tcPr>
                  <w:tcW w:w="895" w:type="pct"/>
                  <w:vAlign w:val="center"/>
                </w:tcPr>
                <w:p>
                  <w:pPr>
                    <w:ind w:left="-178" w:leftChars="-85" w:right="-109" w:rightChars="-52"/>
                    <w:jc w:val="center"/>
                    <w:rPr>
                      <w:szCs w:val="21"/>
                    </w:rPr>
                  </w:pPr>
                  <w:r>
                    <w:rPr>
                      <w:szCs w:val="21"/>
                    </w:rPr>
                    <w:t>91</w:t>
                  </w:r>
                </w:p>
              </w:tc>
              <w:tc>
                <w:tcPr>
                  <w:tcW w:w="934" w:type="pct"/>
                  <w:vAlign w:val="center"/>
                </w:tcPr>
                <w:p>
                  <w:pPr>
                    <w:ind w:left="-178" w:leftChars="-85" w:right="-109" w:rightChars="-52"/>
                    <w:jc w:val="center"/>
                    <w:rPr>
                      <w:szCs w:val="21"/>
                    </w:rPr>
                  </w:pPr>
                  <w:r>
                    <w:rPr>
                      <w:szCs w:val="21"/>
                    </w:rPr>
                    <w:t>223</w:t>
                  </w:r>
                </w:p>
              </w:tc>
              <w:tc>
                <w:tcPr>
                  <w:tcW w:w="799" w:type="pct"/>
                  <w:vAlign w:val="center"/>
                </w:tcPr>
                <w:p>
                  <w:pPr>
                    <w:ind w:left="-178" w:leftChars="-85" w:right="-109" w:rightChars="-52"/>
                    <w:jc w:val="center"/>
                    <w:rPr>
                      <w:szCs w:val="21"/>
                    </w:rPr>
                  </w:pPr>
                  <w:r>
                    <w:rPr>
                      <w:szCs w:val="21"/>
                    </w:rPr>
                    <w:t>84</w:t>
                  </w:r>
                </w:p>
              </w:tc>
              <w:tc>
                <w:tcPr>
                  <w:tcW w:w="881" w:type="pct"/>
                  <w:vAlign w:val="center"/>
                </w:tcPr>
                <w:p>
                  <w:pPr>
                    <w:ind w:left="-178" w:leftChars="-85" w:right="-109" w:rightChars="-52"/>
                    <w:jc w:val="center"/>
                    <w:rPr>
                      <w:szCs w:val="21"/>
                    </w:rPr>
                  </w:pPr>
                  <w:r>
                    <w:rPr>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236" w:type="dxa"/>
                </w:tcPr>
                <w:p>
                  <w:pPr>
                    <w:ind w:left="-115" w:leftChars="-55" w:right="-113" w:rightChars="-54"/>
                    <w:jc w:val="center"/>
                    <w:rPr>
                      <w:szCs w:val="21"/>
                    </w:rPr>
                  </w:pPr>
                  <w:r>
                    <w:rPr>
                      <w:szCs w:val="21"/>
                    </w:rPr>
                    <w:t>压缩机</w:t>
                  </w:r>
                </w:p>
              </w:tc>
              <w:tc>
                <w:tcPr>
                  <w:tcW w:w="895" w:type="pct"/>
                  <w:vAlign w:val="center"/>
                </w:tcPr>
                <w:p>
                  <w:pPr>
                    <w:ind w:left="-178" w:leftChars="-85" w:right="-109" w:rightChars="-52"/>
                    <w:jc w:val="center"/>
                    <w:rPr>
                      <w:szCs w:val="21"/>
                    </w:rPr>
                  </w:pPr>
                  <w:r>
                    <w:rPr>
                      <w:szCs w:val="21"/>
                    </w:rPr>
                    <w:t>45</w:t>
                  </w:r>
                </w:p>
              </w:tc>
              <w:tc>
                <w:tcPr>
                  <w:tcW w:w="934" w:type="pct"/>
                  <w:vAlign w:val="center"/>
                </w:tcPr>
                <w:p>
                  <w:pPr>
                    <w:ind w:left="-178" w:leftChars="-85" w:right="-109" w:rightChars="-52"/>
                    <w:jc w:val="center"/>
                    <w:rPr>
                      <w:szCs w:val="21"/>
                    </w:rPr>
                  </w:pPr>
                  <w:r>
                    <w:rPr>
                      <w:szCs w:val="21"/>
                    </w:rPr>
                    <w:t>30</w:t>
                  </w:r>
                </w:p>
              </w:tc>
              <w:tc>
                <w:tcPr>
                  <w:tcW w:w="799" w:type="pct"/>
                  <w:vAlign w:val="center"/>
                </w:tcPr>
                <w:p>
                  <w:pPr>
                    <w:ind w:left="-178" w:leftChars="-85" w:right="-109" w:rightChars="-52"/>
                    <w:jc w:val="center"/>
                    <w:rPr>
                      <w:szCs w:val="21"/>
                    </w:rPr>
                  </w:pPr>
                  <w:r>
                    <w:rPr>
                      <w:szCs w:val="21"/>
                    </w:rPr>
                    <w:t>128</w:t>
                  </w:r>
                </w:p>
              </w:tc>
              <w:tc>
                <w:tcPr>
                  <w:tcW w:w="881" w:type="pct"/>
                  <w:vAlign w:val="center"/>
                </w:tcPr>
                <w:p>
                  <w:pPr>
                    <w:ind w:left="-178" w:leftChars="-85" w:right="-109" w:rightChars="-52"/>
                    <w:jc w:val="center"/>
                    <w:rPr>
                      <w:szCs w:val="21"/>
                    </w:rPr>
                  </w:pPr>
                  <w:r>
                    <w:rPr>
                      <w:szCs w:val="21"/>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236" w:type="dxa"/>
                </w:tcPr>
                <w:p>
                  <w:pPr>
                    <w:ind w:left="-115" w:leftChars="-55" w:right="-113" w:rightChars="-54"/>
                    <w:jc w:val="center"/>
                    <w:rPr>
                      <w:szCs w:val="21"/>
                    </w:rPr>
                  </w:pPr>
                  <w:r>
                    <w:rPr>
                      <w:szCs w:val="21"/>
                    </w:rPr>
                    <w:t>制冷风机</w:t>
                  </w:r>
                </w:p>
              </w:tc>
              <w:tc>
                <w:tcPr>
                  <w:tcW w:w="895" w:type="pct"/>
                  <w:vAlign w:val="center"/>
                </w:tcPr>
                <w:p>
                  <w:pPr>
                    <w:ind w:left="-178" w:leftChars="-85" w:right="-109" w:rightChars="-52"/>
                    <w:jc w:val="center"/>
                    <w:rPr>
                      <w:szCs w:val="21"/>
                    </w:rPr>
                  </w:pPr>
                  <w:r>
                    <w:rPr>
                      <w:szCs w:val="21"/>
                    </w:rPr>
                    <w:t>40</w:t>
                  </w:r>
                </w:p>
              </w:tc>
              <w:tc>
                <w:tcPr>
                  <w:tcW w:w="934" w:type="pct"/>
                  <w:vAlign w:val="center"/>
                </w:tcPr>
                <w:p>
                  <w:pPr>
                    <w:ind w:left="-178" w:leftChars="-85" w:right="-109" w:rightChars="-52"/>
                    <w:jc w:val="center"/>
                    <w:rPr>
                      <w:szCs w:val="21"/>
                    </w:rPr>
                  </w:pPr>
                  <w:r>
                    <w:rPr>
                      <w:szCs w:val="21"/>
                    </w:rPr>
                    <w:t>51</w:t>
                  </w:r>
                </w:p>
              </w:tc>
              <w:tc>
                <w:tcPr>
                  <w:tcW w:w="799" w:type="pct"/>
                  <w:vAlign w:val="center"/>
                </w:tcPr>
                <w:p>
                  <w:pPr>
                    <w:ind w:left="-178" w:leftChars="-85" w:right="-109" w:rightChars="-52"/>
                    <w:jc w:val="center"/>
                    <w:rPr>
                      <w:szCs w:val="21"/>
                    </w:rPr>
                  </w:pPr>
                  <w:r>
                    <w:rPr>
                      <w:szCs w:val="21"/>
                    </w:rPr>
                    <w:t>132</w:t>
                  </w:r>
                </w:p>
              </w:tc>
              <w:tc>
                <w:tcPr>
                  <w:tcW w:w="881" w:type="pct"/>
                  <w:vAlign w:val="center"/>
                </w:tcPr>
                <w:p>
                  <w:pPr>
                    <w:ind w:left="-178" w:leftChars="-85" w:right="-109" w:rightChars="-52"/>
                    <w:jc w:val="center"/>
                    <w:rPr>
                      <w:szCs w:val="21"/>
                    </w:rPr>
                  </w:pPr>
                  <w:r>
                    <w:rPr>
                      <w:szCs w:val="21"/>
                    </w:rPr>
                    <w:t>260</w:t>
                  </w:r>
                </w:p>
              </w:tc>
            </w:tr>
          </w:tbl>
          <w:p>
            <w:pPr>
              <w:spacing w:before="78" w:beforeLines="25" w:line="360" w:lineRule="auto"/>
              <w:ind w:firstLine="480" w:firstLineChars="200"/>
              <w:rPr>
                <w:sz w:val="24"/>
              </w:rPr>
            </w:pPr>
            <w:r>
              <w:rPr>
                <w:sz w:val="24"/>
              </w:rPr>
              <w:t>C</w:t>
            </w:r>
            <w:r>
              <w:rPr>
                <w:rFonts w:hint="eastAsia"/>
                <w:sz w:val="24"/>
              </w:rPr>
              <w:t>.</w:t>
            </w:r>
            <w:r>
              <w:rPr>
                <w:sz w:val="24"/>
              </w:rPr>
              <w:t>预测结果</w:t>
            </w:r>
          </w:p>
          <w:p>
            <w:pPr>
              <w:spacing w:line="360" w:lineRule="auto"/>
              <w:ind w:firstLine="480" w:firstLineChars="200"/>
              <w:rPr>
                <w:sz w:val="24"/>
              </w:rPr>
            </w:pPr>
            <w:r>
              <w:rPr>
                <w:sz w:val="24"/>
              </w:rPr>
              <w:t xml:space="preserve">各噪声源经距离衰减及降噪后的贡献值及达标情况见表4-11。 </w:t>
            </w:r>
          </w:p>
          <w:p>
            <w:pPr>
              <w:spacing w:line="360" w:lineRule="auto"/>
              <w:jc w:val="center"/>
              <w:rPr>
                <w:b/>
                <w:bCs/>
                <w:sz w:val="24"/>
              </w:rPr>
            </w:pPr>
            <w:r>
              <w:rPr>
                <w:b/>
                <w:bCs/>
                <w:sz w:val="24"/>
              </w:rPr>
              <w:t>表4-11 各噪声源经距离衰减及降噪后的贡献值及达标情况 单位：dB（A）</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7"/>
              <w:gridCol w:w="1273"/>
              <w:gridCol w:w="1616"/>
              <w:gridCol w:w="1383"/>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49" w:type="pct"/>
                  <w:vMerge w:val="restart"/>
                  <w:vAlign w:val="center"/>
                </w:tcPr>
                <w:p>
                  <w:pPr>
                    <w:ind w:left="-115" w:leftChars="-55" w:right="-113" w:rightChars="-54"/>
                    <w:jc w:val="center"/>
                    <w:rPr>
                      <w:b/>
                      <w:bCs/>
                      <w:szCs w:val="21"/>
                    </w:rPr>
                  </w:pPr>
                  <w:r>
                    <w:rPr>
                      <w:b/>
                      <w:bCs/>
                      <w:szCs w:val="21"/>
                    </w:rPr>
                    <mc:AlternateContent>
                      <mc:Choice Requires="wps">
                        <w:drawing>
                          <wp:anchor distT="0" distB="0" distL="114300" distR="114300" simplePos="0" relativeHeight="251665408" behindDoc="0" locked="0" layoutInCell="1" allowOverlap="1">
                            <wp:simplePos x="0" y="0"/>
                            <wp:positionH relativeFrom="column">
                              <wp:posOffset>265430</wp:posOffset>
                            </wp:positionH>
                            <wp:positionV relativeFrom="paragraph">
                              <wp:posOffset>-8890</wp:posOffset>
                            </wp:positionV>
                            <wp:extent cx="1563370" cy="588645"/>
                            <wp:effectExtent l="0" t="0" r="36830" b="20955"/>
                            <wp:wrapNone/>
                            <wp:docPr id="18" name="直接箭头连接符 18"/>
                            <wp:cNvGraphicFramePr/>
                            <a:graphic xmlns:a="http://schemas.openxmlformats.org/drawingml/2006/main">
                              <a:graphicData uri="http://schemas.microsoft.com/office/word/2010/wordprocessingShape">
                                <wps:wsp>
                                  <wps:cNvCnPr/>
                                  <wps:spPr>
                                    <a:xfrm>
                                      <a:off x="0" y="0"/>
                                      <a:ext cx="1563370" cy="5886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pt;margin-top:-0.7pt;height:46.35pt;width:123.1pt;z-index:251665408;mso-width-relative:page;mso-height-relative:page;" filled="f" stroked="t" coordsize="21600,21600" o:gfxdata="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udRQDXAAAACAEAAA8AAAAAAAAAAQAgAAAAIgAAAGRycy9k&#10;b3ducmV2LnhtbFBLAQIUABQAAAAIAIdO4kDq8+V7AwIAAPMDAAAOAAAAAAAAAAEAIAAAACYBAABk&#10;cnMvZTJvRG9jLnhtbFBLBQYAAAAABgAGAFkBAACbBQAAAAA=&#10;">
                            <v:fill on="f" focussize="0,0"/>
                            <v:stroke color="#000000" joinstyle="round"/>
                            <v:imagedata o:title=""/>
                            <o:lock v:ext="edit" aspectratio="f"/>
                          </v:shape>
                        </w:pict>
                      </mc:Fallback>
                    </mc:AlternateContent>
                  </w:r>
                  <w:r>
                    <w:rPr>
                      <w:b/>
                      <w:bCs/>
                      <w:szCs w:val="21"/>
                    </w:rPr>
                    <w:t xml:space="preserve">        预测点</w:t>
                  </w:r>
                </w:p>
                <w:p>
                  <w:pPr>
                    <w:ind w:left="-115" w:leftChars="-55" w:right="-113" w:rightChars="-54"/>
                    <w:rPr>
                      <w:b/>
                      <w:bCs/>
                      <w:szCs w:val="21"/>
                    </w:rPr>
                  </w:pPr>
                  <w:r>
                    <w:rPr>
                      <w:b/>
                      <w:bCs/>
                      <w:szCs w:val="21"/>
                    </w:rPr>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73025</wp:posOffset>
                            </wp:positionV>
                            <wp:extent cx="1892300" cy="316865"/>
                            <wp:effectExtent l="0" t="0" r="31750" b="26035"/>
                            <wp:wrapNone/>
                            <wp:docPr id="19" name="直接箭头连接符 19"/>
                            <wp:cNvGraphicFramePr/>
                            <a:graphic xmlns:a="http://schemas.openxmlformats.org/drawingml/2006/main">
                              <a:graphicData uri="http://schemas.microsoft.com/office/word/2010/wordprocessingShape">
                                <wps:wsp>
                                  <wps:cNvCnPr/>
                                  <wps:spPr>
                                    <a:xfrm>
                                      <a:off x="0" y="0"/>
                                      <a:ext cx="1892300" cy="3168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pt;margin-top:5.75pt;height:24.95pt;width:149pt;z-index:251664384;mso-width-relative:page;mso-height-relative:page;" filled="f" stroked="t" coordsize="21600,21600" o:gfxdata="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7VjidcAAAAJAQAADwAAAAAAAAABACAAAAAiAAAAZHJzL2Rv&#10;d25yZXYueG1sUEsBAhQAFAAAAAgAh07iQO+G+sUCAgAA8wMAAA4AAAAAAAAAAQAgAAAAJgEAAGRy&#10;cy9lMm9Eb2MueG1sUEsFBgAAAAAGAAYAWQEAAJoFAAAAAA==&#10;">
                            <v:fill on="f" focussize="0,0"/>
                            <v:stroke color="#000000" joinstyle="round"/>
                            <v:imagedata o:title=""/>
                            <o:lock v:ext="edit" aspectratio="f"/>
                          </v:shape>
                        </w:pict>
                      </mc:Fallback>
                    </mc:AlternateContent>
                  </w:r>
                  <w:r>
                    <w:rPr>
                      <w:b/>
                      <w:bCs/>
                      <w:szCs w:val="21"/>
                    </w:rPr>
                    <w:t xml:space="preserve">      距离</w:t>
                  </w:r>
                </w:p>
                <w:p>
                  <w:pPr>
                    <w:ind w:left="-115" w:leftChars="-55" w:right="-113" w:rightChars="-54" w:firstLine="105" w:firstLineChars="50"/>
                    <w:rPr>
                      <w:b/>
                      <w:bCs/>
                      <w:szCs w:val="21"/>
                    </w:rPr>
                  </w:pPr>
                  <w:r>
                    <w:rPr>
                      <w:b/>
                      <w:bCs/>
                      <w:szCs w:val="21"/>
                    </w:rPr>
                    <w:t>源强点</w:t>
                  </w:r>
                </w:p>
              </w:tc>
              <w:tc>
                <w:tcPr>
                  <w:tcW w:w="3350" w:type="pct"/>
                  <w:gridSpan w:val="4"/>
                  <w:vAlign w:val="center"/>
                </w:tcPr>
                <w:p>
                  <w:pPr>
                    <w:jc w:val="center"/>
                    <w:rPr>
                      <w:b/>
                      <w:bCs/>
                      <w:szCs w:val="21"/>
                    </w:rPr>
                  </w:pPr>
                  <w:r>
                    <w:rPr>
                      <w:b/>
                      <w:bCs/>
                      <w:szCs w:val="21"/>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49" w:type="pct"/>
                  <w:vMerge w:val="continue"/>
                  <w:vAlign w:val="center"/>
                </w:tcPr>
                <w:p>
                  <w:pPr>
                    <w:ind w:left="-115" w:leftChars="-55" w:right="-113" w:rightChars="-54"/>
                    <w:jc w:val="center"/>
                    <w:rPr>
                      <w:b/>
                      <w:bCs/>
                      <w:szCs w:val="21"/>
                    </w:rPr>
                  </w:pPr>
                </w:p>
              </w:tc>
              <w:tc>
                <w:tcPr>
                  <w:tcW w:w="737" w:type="pct"/>
                  <w:vAlign w:val="center"/>
                </w:tcPr>
                <w:p>
                  <w:pPr>
                    <w:ind w:left="-178" w:leftChars="-85" w:right="-109" w:rightChars="-52"/>
                    <w:jc w:val="center"/>
                    <w:rPr>
                      <w:b/>
                      <w:bCs/>
                      <w:szCs w:val="21"/>
                    </w:rPr>
                  </w:pPr>
                  <w:r>
                    <w:rPr>
                      <w:b/>
                      <w:bCs/>
                      <w:szCs w:val="21"/>
                    </w:rPr>
                    <w:t>厂界南</w:t>
                  </w:r>
                </w:p>
              </w:tc>
              <w:tc>
                <w:tcPr>
                  <w:tcW w:w="935" w:type="pct"/>
                  <w:vAlign w:val="center"/>
                </w:tcPr>
                <w:p>
                  <w:pPr>
                    <w:ind w:left="-178" w:leftChars="-85" w:right="-109" w:rightChars="-52"/>
                    <w:jc w:val="center"/>
                    <w:rPr>
                      <w:b/>
                      <w:bCs/>
                      <w:szCs w:val="21"/>
                    </w:rPr>
                  </w:pPr>
                  <w:r>
                    <w:rPr>
                      <w:b/>
                      <w:bCs/>
                      <w:szCs w:val="21"/>
                    </w:rPr>
                    <w:t>厂界西</w:t>
                  </w:r>
                </w:p>
              </w:tc>
              <w:tc>
                <w:tcPr>
                  <w:tcW w:w="801" w:type="pct"/>
                  <w:vAlign w:val="center"/>
                </w:tcPr>
                <w:p>
                  <w:pPr>
                    <w:ind w:left="-178" w:leftChars="-85" w:right="-109" w:rightChars="-52"/>
                    <w:jc w:val="center"/>
                    <w:rPr>
                      <w:b/>
                      <w:bCs/>
                      <w:szCs w:val="21"/>
                    </w:rPr>
                  </w:pPr>
                  <w:r>
                    <w:rPr>
                      <w:b/>
                      <w:bCs/>
                      <w:szCs w:val="21"/>
                    </w:rPr>
                    <w:t>厂界北</w:t>
                  </w:r>
                </w:p>
              </w:tc>
              <w:tc>
                <w:tcPr>
                  <w:tcW w:w="876" w:type="pct"/>
                  <w:vAlign w:val="center"/>
                </w:tcPr>
                <w:p>
                  <w:pPr>
                    <w:ind w:left="-178" w:leftChars="-85" w:right="-109" w:rightChars="-52"/>
                    <w:jc w:val="center"/>
                    <w:rPr>
                      <w:b/>
                      <w:bCs/>
                      <w:szCs w:val="21"/>
                    </w:rPr>
                  </w:pPr>
                  <w:r>
                    <w:rPr>
                      <w:b/>
                      <w:bCs/>
                      <w:szCs w:val="21"/>
                    </w:rPr>
                    <w:t>厂界东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49" w:type="pct"/>
                  <w:vAlign w:val="center"/>
                </w:tcPr>
                <w:p>
                  <w:pPr>
                    <w:jc w:val="center"/>
                    <w:rPr>
                      <w:szCs w:val="21"/>
                    </w:rPr>
                  </w:pPr>
                  <w:r>
                    <w:rPr>
                      <w:szCs w:val="21"/>
                    </w:rPr>
                    <w:t>昼间贡献值</w:t>
                  </w:r>
                </w:p>
              </w:tc>
              <w:tc>
                <w:tcPr>
                  <w:tcW w:w="737" w:type="pct"/>
                  <w:vAlign w:val="center"/>
                </w:tcPr>
                <w:p>
                  <w:pPr>
                    <w:ind w:left="-178" w:leftChars="-85" w:right="-109" w:rightChars="-52"/>
                    <w:jc w:val="center"/>
                    <w:rPr>
                      <w:szCs w:val="21"/>
                    </w:rPr>
                  </w:pPr>
                  <w:r>
                    <w:rPr>
                      <w:szCs w:val="21"/>
                    </w:rPr>
                    <w:t>41.92</w:t>
                  </w:r>
                </w:p>
              </w:tc>
              <w:tc>
                <w:tcPr>
                  <w:tcW w:w="935" w:type="pct"/>
                  <w:vAlign w:val="center"/>
                </w:tcPr>
                <w:p>
                  <w:pPr>
                    <w:ind w:left="-178" w:leftChars="-85" w:right="-109" w:rightChars="-52"/>
                    <w:jc w:val="center"/>
                    <w:rPr>
                      <w:szCs w:val="21"/>
                    </w:rPr>
                  </w:pPr>
                  <w:r>
                    <w:rPr>
                      <w:szCs w:val="21"/>
                    </w:rPr>
                    <w:t>41.99</w:t>
                  </w:r>
                </w:p>
              </w:tc>
              <w:tc>
                <w:tcPr>
                  <w:tcW w:w="801" w:type="pct"/>
                  <w:vAlign w:val="center"/>
                </w:tcPr>
                <w:p>
                  <w:pPr>
                    <w:ind w:left="-178" w:leftChars="-85" w:right="-109" w:rightChars="-52"/>
                    <w:jc w:val="center"/>
                    <w:rPr>
                      <w:szCs w:val="21"/>
                    </w:rPr>
                  </w:pPr>
                  <w:r>
                    <w:rPr>
                      <w:szCs w:val="21"/>
                    </w:rPr>
                    <w:t>35.84</w:t>
                  </w:r>
                </w:p>
              </w:tc>
              <w:tc>
                <w:tcPr>
                  <w:tcW w:w="876" w:type="pct"/>
                  <w:vAlign w:val="center"/>
                </w:tcPr>
                <w:p>
                  <w:pPr>
                    <w:ind w:left="-178" w:leftChars="-85" w:right="-109" w:rightChars="-52"/>
                    <w:jc w:val="center"/>
                    <w:rPr>
                      <w:szCs w:val="21"/>
                    </w:rPr>
                  </w:pPr>
                  <w:r>
                    <w:rPr>
                      <w:szCs w:val="21"/>
                    </w:rPr>
                    <w:t>40.23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49" w:type="pct"/>
                  <w:vAlign w:val="center"/>
                </w:tcPr>
                <w:p>
                  <w:pPr>
                    <w:jc w:val="center"/>
                    <w:rPr>
                      <w:szCs w:val="21"/>
                    </w:rPr>
                  </w:pPr>
                  <w:r>
                    <w:rPr>
                      <w:szCs w:val="21"/>
                    </w:rPr>
                    <w:t>标准值</w:t>
                  </w:r>
                </w:p>
              </w:tc>
              <w:tc>
                <w:tcPr>
                  <w:tcW w:w="1673" w:type="pct"/>
                  <w:gridSpan w:val="2"/>
                  <w:vAlign w:val="center"/>
                </w:tcPr>
                <w:p>
                  <w:pPr>
                    <w:ind w:left="-178" w:leftChars="-85" w:right="-109" w:rightChars="-52"/>
                    <w:jc w:val="center"/>
                    <w:rPr>
                      <w:szCs w:val="21"/>
                    </w:rPr>
                  </w:pPr>
                  <w:r>
                    <w:rPr>
                      <w:szCs w:val="21"/>
                    </w:rPr>
                    <w:t>昼间dB（A）≤</w:t>
                  </w:r>
                  <w:r>
                    <w:rPr>
                      <w:rFonts w:hint="eastAsia"/>
                      <w:szCs w:val="21"/>
                    </w:rPr>
                    <w:t>60</w:t>
                  </w:r>
                </w:p>
              </w:tc>
              <w:tc>
                <w:tcPr>
                  <w:tcW w:w="1677" w:type="pct"/>
                  <w:gridSpan w:val="2"/>
                  <w:vAlign w:val="center"/>
                </w:tcPr>
                <w:p>
                  <w:pPr>
                    <w:ind w:left="-178" w:leftChars="-85" w:right="-109" w:rightChars="-52"/>
                    <w:jc w:val="center"/>
                    <w:rPr>
                      <w:szCs w:val="21"/>
                    </w:rPr>
                  </w:pPr>
                  <w:r>
                    <w:rPr>
                      <w:szCs w:val="21"/>
                    </w:rPr>
                    <w:t>昼间dB（A）≤60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49" w:type="pct"/>
                  <w:vAlign w:val="center"/>
                </w:tcPr>
                <w:p>
                  <w:pPr>
                    <w:jc w:val="center"/>
                    <w:rPr>
                      <w:szCs w:val="21"/>
                    </w:rPr>
                  </w:pPr>
                  <w:r>
                    <w:rPr>
                      <w:szCs w:val="21"/>
                    </w:rPr>
                    <w:t>达标分析</w:t>
                  </w:r>
                </w:p>
              </w:tc>
              <w:tc>
                <w:tcPr>
                  <w:tcW w:w="737" w:type="pct"/>
                  <w:vAlign w:val="center"/>
                </w:tcPr>
                <w:p>
                  <w:pPr>
                    <w:ind w:left="-178" w:leftChars="-85" w:right="-109" w:rightChars="-52"/>
                    <w:jc w:val="center"/>
                    <w:rPr>
                      <w:szCs w:val="21"/>
                    </w:rPr>
                  </w:pPr>
                  <w:r>
                    <w:rPr>
                      <w:szCs w:val="21"/>
                    </w:rPr>
                    <w:t>达标</w:t>
                  </w:r>
                </w:p>
              </w:tc>
              <w:tc>
                <w:tcPr>
                  <w:tcW w:w="935" w:type="pct"/>
                  <w:vAlign w:val="center"/>
                </w:tcPr>
                <w:p>
                  <w:pPr>
                    <w:ind w:left="-178" w:leftChars="-85" w:right="-109" w:rightChars="-52"/>
                    <w:jc w:val="center"/>
                    <w:rPr>
                      <w:szCs w:val="21"/>
                    </w:rPr>
                  </w:pPr>
                  <w:r>
                    <w:rPr>
                      <w:szCs w:val="21"/>
                    </w:rPr>
                    <w:t>达标</w:t>
                  </w:r>
                </w:p>
              </w:tc>
              <w:tc>
                <w:tcPr>
                  <w:tcW w:w="801" w:type="pct"/>
                  <w:vAlign w:val="center"/>
                </w:tcPr>
                <w:p>
                  <w:pPr>
                    <w:ind w:left="-178" w:leftChars="-85" w:right="-109" w:rightChars="-52"/>
                    <w:jc w:val="center"/>
                    <w:rPr>
                      <w:szCs w:val="21"/>
                    </w:rPr>
                  </w:pPr>
                  <w:r>
                    <w:rPr>
                      <w:szCs w:val="21"/>
                    </w:rPr>
                    <w:t>达标</w:t>
                  </w:r>
                </w:p>
              </w:tc>
              <w:tc>
                <w:tcPr>
                  <w:tcW w:w="876" w:type="pct"/>
                  <w:vAlign w:val="center"/>
                </w:tcPr>
                <w:p>
                  <w:pPr>
                    <w:ind w:left="-178" w:leftChars="-85" w:right="-109" w:rightChars="-52"/>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49" w:type="pct"/>
                  <w:vAlign w:val="center"/>
                </w:tcPr>
                <w:p>
                  <w:pPr>
                    <w:jc w:val="center"/>
                    <w:rPr>
                      <w:szCs w:val="21"/>
                    </w:rPr>
                  </w:pPr>
                  <w:r>
                    <w:rPr>
                      <w:szCs w:val="21"/>
                    </w:rPr>
                    <w:t>夜间贡献值</w:t>
                  </w:r>
                </w:p>
              </w:tc>
              <w:tc>
                <w:tcPr>
                  <w:tcW w:w="1107" w:type="dxa"/>
                  <w:vAlign w:val="center"/>
                </w:tcPr>
                <w:p>
                  <w:pPr>
                    <w:ind w:left="-178" w:leftChars="-85" w:right="-109" w:rightChars="-52"/>
                    <w:jc w:val="center"/>
                    <w:rPr>
                      <w:szCs w:val="21"/>
                    </w:rPr>
                  </w:pPr>
                  <w:r>
                    <w:rPr>
                      <w:szCs w:val="21"/>
                    </w:rPr>
                    <w:t>41.92</w:t>
                  </w:r>
                </w:p>
              </w:tc>
              <w:tc>
                <w:tcPr>
                  <w:tcW w:w="1406" w:type="dxa"/>
                  <w:vAlign w:val="center"/>
                </w:tcPr>
                <w:p>
                  <w:pPr>
                    <w:ind w:left="-178" w:leftChars="-85" w:right="-109" w:rightChars="-52"/>
                    <w:jc w:val="center"/>
                    <w:rPr>
                      <w:szCs w:val="21"/>
                    </w:rPr>
                  </w:pPr>
                  <w:r>
                    <w:rPr>
                      <w:szCs w:val="21"/>
                    </w:rPr>
                    <w:t>41.99</w:t>
                  </w:r>
                </w:p>
              </w:tc>
              <w:tc>
                <w:tcPr>
                  <w:tcW w:w="1203" w:type="dxa"/>
                  <w:vAlign w:val="center"/>
                </w:tcPr>
                <w:p>
                  <w:pPr>
                    <w:ind w:left="-178" w:leftChars="-85" w:right="-109" w:rightChars="-52"/>
                    <w:jc w:val="center"/>
                    <w:rPr>
                      <w:szCs w:val="21"/>
                    </w:rPr>
                  </w:pPr>
                  <w:r>
                    <w:rPr>
                      <w:szCs w:val="21"/>
                    </w:rPr>
                    <w:t>35.84</w:t>
                  </w:r>
                </w:p>
              </w:tc>
              <w:tc>
                <w:tcPr>
                  <w:tcW w:w="1317" w:type="dxa"/>
                  <w:vAlign w:val="center"/>
                </w:tcPr>
                <w:p>
                  <w:pPr>
                    <w:ind w:left="-178" w:leftChars="-85" w:right="-109" w:rightChars="-52"/>
                    <w:jc w:val="center"/>
                    <w:rPr>
                      <w:szCs w:val="21"/>
                    </w:rPr>
                  </w:pPr>
                  <w:r>
                    <w:rPr>
                      <w:szCs w:val="21"/>
                    </w:rPr>
                    <w:t>40.23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49" w:type="pct"/>
                  <w:vAlign w:val="center"/>
                </w:tcPr>
                <w:p>
                  <w:pPr>
                    <w:jc w:val="center"/>
                    <w:rPr>
                      <w:szCs w:val="21"/>
                    </w:rPr>
                  </w:pPr>
                  <w:r>
                    <w:rPr>
                      <w:szCs w:val="21"/>
                    </w:rPr>
                    <w:t>标准值</w:t>
                  </w:r>
                </w:p>
              </w:tc>
              <w:tc>
                <w:tcPr>
                  <w:tcW w:w="1673" w:type="pct"/>
                  <w:gridSpan w:val="2"/>
                  <w:vAlign w:val="center"/>
                </w:tcPr>
                <w:p>
                  <w:pPr>
                    <w:ind w:left="-178" w:leftChars="-85" w:right="-109" w:rightChars="-52"/>
                    <w:jc w:val="center"/>
                    <w:rPr>
                      <w:szCs w:val="21"/>
                    </w:rPr>
                  </w:pPr>
                  <w:r>
                    <w:rPr>
                      <w:szCs w:val="21"/>
                    </w:rPr>
                    <w:t>夜间dB（A）≤5</w:t>
                  </w:r>
                  <w:r>
                    <w:rPr>
                      <w:rFonts w:hint="eastAsia"/>
                      <w:szCs w:val="21"/>
                    </w:rPr>
                    <w:t>0</w:t>
                  </w:r>
                </w:p>
              </w:tc>
              <w:tc>
                <w:tcPr>
                  <w:tcW w:w="1677" w:type="pct"/>
                  <w:gridSpan w:val="2"/>
                  <w:vAlign w:val="center"/>
                </w:tcPr>
                <w:p>
                  <w:pPr>
                    <w:ind w:left="-178" w:leftChars="-85" w:right="-109" w:rightChars="-52"/>
                    <w:jc w:val="center"/>
                    <w:rPr>
                      <w:szCs w:val="21"/>
                    </w:rPr>
                  </w:pPr>
                  <w:r>
                    <w:rPr>
                      <w:szCs w:val="21"/>
                    </w:rPr>
                    <w:t>夜间dB（A）≤50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649" w:type="pct"/>
                  <w:vAlign w:val="center"/>
                </w:tcPr>
                <w:p>
                  <w:pPr>
                    <w:jc w:val="center"/>
                    <w:rPr>
                      <w:szCs w:val="21"/>
                    </w:rPr>
                  </w:pPr>
                  <w:r>
                    <w:rPr>
                      <w:szCs w:val="21"/>
                    </w:rPr>
                    <w:t>达标分析</w:t>
                  </w:r>
                </w:p>
              </w:tc>
              <w:tc>
                <w:tcPr>
                  <w:tcW w:w="737" w:type="pct"/>
                  <w:vAlign w:val="center"/>
                </w:tcPr>
                <w:p>
                  <w:pPr>
                    <w:ind w:left="-178" w:leftChars="-85" w:right="-109" w:rightChars="-52"/>
                    <w:jc w:val="center"/>
                    <w:rPr>
                      <w:szCs w:val="21"/>
                    </w:rPr>
                  </w:pPr>
                  <w:r>
                    <w:rPr>
                      <w:szCs w:val="21"/>
                    </w:rPr>
                    <w:t>达标</w:t>
                  </w:r>
                </w:p>
              </w:tc>
              <w:tc>
                <w:tcPr>
                  <w:tcW w:w="935" w:type="pct"/>
                  <w:vAlign w:val="center"/>
                </w:tcPr>
                <w:p>
                  <w:pPr>
                    <w:ind w:left="-178" w:leftChars="-85" w:right="-109" w:rightChars="-52"/>
                    <w:jc w:val="center"/>
                    <w:rPr>
                      <w:szCs w:val="21"/>
                    </w:rPr>
                  </w:pPr>
                  <w:r>
                    <w:rPr>
                      <w:szCs w:val="21"/>
                    </w:rPr>
                    <w:t>达标</w:t>
                  </w:r>
                </w:p>
              </w:tc>
              <w:tc>
                <w:tcPr>
                  <w:tcW w:w="801" w:type="pct"/>
                  <w:vAlign w:val="center"/>
                </w:tcPr>
                <w:p>
                  <w:pPr>
                    <w:ind w:left="-178" w:leftChars="-85" w:right="-109" w:rightChars="-52"/>
                    <w:jc w:val="center"/>
                    <w:rPr>
                      <w:szCs w:val="21"/>
                    </w:rPr>
                  </w:pPr>
                  <w:r>
                    <w:rPr>
                      <w:szCs w:val="21"/>
                    </w:rPr>
                    <w:t>达标</w:t>
                  </w:r>
                </w:p>
              </w:tc>
              <w:tc>
                <w:tcPr>
                  <w:tcW w:w="876" w:type="pct"/>
                  <w:vAlign w:val="center"/>
                </w:tcPr>
                <w:p>
                  <w:pPr>
                    <w:ind w:left="-178" w:leftChars="-85" w:right="-109" w:rightChars="-52"/>
                    <w:jc w:val="center"/>
                    <w:rPr>
                      <w:szCs w:val="21"/>
                    </w:rPr>
                  </w:pPr>
                  <w:r>
                    <w:rPr>
                      <w:szCs w:val="21"/>
                    </w:rPr>
                    <w:t>达标</w:t>
                  </w:r>
                </w:p>
              </w:tc>
            </w:tr>
          </w:tbl>
          <w:p>
            <w:pPr>
              <w:pStyle w:val="36"/>
              <w:adjustRightInd/>
              <w:jc w:val="both"/>
              <w:rPr>
                <w:rFonts w:hAnsi="Times New Roman"/>
              </w:rPr>
            </w:pPr>
            <w:r>
              <w:rPr>
                <w:rFonts w:hint="eastAsia" w:hAnsi="Times New Roman"/>
              </w:rPr>
              <w:t>根据预测结果，项目</w:t>
            </w:r>
            <w:r>
              <w:rPr>
                <w:rFonts w:hAnsi="Times New Roman"/>
              </w:rPr>
              <w:t>厂界噪声</w:t>
            </w:r>
            <w:r>
              <w:rPr>
                <w:rFonts w:hint="eastAsia" w:hAnsi="Times New Roman"/>
              </w:rPr>
              <w:t>能够</w:t>
            </w:r>
            <w:r>
              <w:rPr>
                <w:rFonts w:hAnsi="Times New Roman"/>
              </w:rPr>
              <w:t>达到《工业企业厂界环境噪声排放标准》（GB12348-2008）2类的标准限值要求。</w:t>
            </w:r>
          </w:p>
          <w:p>
            <w:pPr>
              <w:pStyle w:val="36"/>
              <w:adjustRightInd/>
              <w:jc w:val="both"/>
              <w:rPr>
                <w:rFonts w:hAnsi="Times New Roman"/>
              </w:rPr>
            </w:pPr>
            <w:r>
              <w:rPr>
                <w:rFonts w:hAnsi="Times New Roman"/>
              </w:rPr>
              <w:t>综上所述，项目运营期厂界噪声</w:t>
            </w:r>
            <w:r>
              <w:rPr>
                <w:rFonts w:hint="eastAsia" w:hAnsi="Times New Roman"/>
              </w:rPr>
              <w:t>能够</w:t>
            </w:r>
            <w:r>
              <w:rPr>
                <w:rFonts w:hAnsi="Times New Roman"/>
              </w:rPr>
              <w:t>达到《工业企业厂界环境噪声排放标准》（GB12348-2008）2类的标准限值要求，</w:t>
            </w:r>
            <w:r>
              <w:rPr>
                <w:rFonts w:hint="eastAsia" w:hAnsi="Times New Roman"/>
              </w:rPr>
              <w:t>声环境评价范围内没</w:t>
            </w:r>
            <w:r>
              <w:rPr>
                <w:rFonts w:hAnsi="Times New Roman"/>
              </w:rPr>
              <w:t>有声环境敏感目标，项目运营期间所产生的噪声对周边环境的影响较小。</w:t>
            </w:r>
          </w:p>
          <w:p>
            <w:pPr>
              <w:spacing w:before="156" w:beforeLines="50" w:line="360" w:lineRule="auto"/>
              <w:ind w:firstLine="480" w:firstLineChars="200"/>
              <w:rPr>
                <w:b/>
                <w:bCs/>
                <w:sz w:val="24"/>
              </w:rPr>
            </w:pPr>
            <w:r>
              <w:rPr>
                <w:b/>
                <w:bCs/>
                <w:sz w:val="24"/>
              </w:rPr>
              <w:t>（4）降噪措施</w:t>
            </w:r>
          </w:p>
          <w:p>
            <w:pPr>
              <w:spacing w:line="360" w:lineRule="auto"/>
              <w:ind w:firstLine="480" w:firstLineChars="200"/>
              <w:rPr>
                <w:sz w:val="24"/>
              </w:rPr>
            </w:pPr>
            <w:r>
              <w:rPr>
                <w:sz w:val="24"/>
              </w:rPr>
              <w:t>①对噪声产生设备加装基础减震配件，降低设备振动产生的噪声；设备均设置于厂房内，降低设备运行产生的噪声。</w:t>
            </w:r>
          </w:p>
          <w:p>
            <w:pPr>
              <w:spacing w:line="360" w:lineRule="auto"/>
              <w:ind w:firstLine="480" w:firstLineChars="200"/>
              <w:rPr>
                <w:sz w:val="24"/>
              </w:rPr>
            </w:pPr>
            <w:r>
              <w:rPr>
                <w:sz w:val="24"/>
              </w:rPr>
              <w:t>②强化车间管理制度，合理安排生产时间。</w:t>
            </w:r>
          </w:p>
          <w:p>
            <w:pPr>
              <w:spacing w:line="360" w:lineRule="auto"/>
              <w:ind w:firstLine="480" w:firstLineChars="200"/>
              <w:rPr>
                <w:sz w:val="24"/>
              </w:rPr>
            </w:pPr>
            <w:r>
              <w:rPr>
                <w:sz w:val="24"/>
              </w:rPr>
              <w:t>③建立设备定期维护、保养的管理制度，避免设备运转非正常噪声。</w:t>
            </w:r>
          </w:p>
          <w:p>
            <w:pPr>
              <w:spacing w:line="360" w:lineRule="auto"/>
              <w:ind w:firstLine="480" w:firstLineChars="200"/>
              <w:rPr>
                <w:sz w:val="24"/>
              </w:rPr>
            </w:pPr>
            <w:r>
              <w:rPr>
                <w:sz w:val="24"/>
              </w:rPr>
              <w:t>此外，进出厂区车辆噪声约为65dB</w:t>
            </w:r>
            <w:r>
              <w:rPr>
                <w:rFonts w:hint="eastAsia"/>
                <w:sz w:val="24"/>
              </w:rPr>
              <w:t>（</w:t>
            </w:r>
            <w:r>
              <w:rPr>
                <w:sz w:val="24"/>
              </w:rPr>
              <w:t>A</w:t>
            </w:r>
            <w:r>
              <w:rPr>
                <w:rFonts w:hint="eastAsia"/>
                <w:sz w:val="24"/>
              </w:rPr>
              <w:t>）</w:t>
            </w:r>
            <w:r>
              <w:rPr>
                <w:sz w:val="24"/>
              </w:rPr>
              <w:t>左右，其为移动噪声源，影响具有瞬时性。为了减小进出车辆噪声的影响，项目应采取以下措施：</w:t>
            </w:r>
          </w:p>
          <w:p>
            <w:pPr>
              <w:spacing w:line="360" w:lineRule="auto"/>
              <w:ind w:firstLine="480" w:firstLineChars="200"/>
              <w:rPr>
                <w:sz w:val="24"/>
              </w:rPr>
            </w:pPr>
            <w:r>
              <w:rPr>
                <w:sz w:val="24"/>
              </w:rPr>
              <w:t>④进出车站车辆必须减速行驶。</w:t>
            </w:r>
          </w:p>
          <w:p>
            <w:pPr>
              <w:spacing w:line="360" w:lineRule="auto"/>
              <w:ind w:firstLine="480" w:firstLineChars="200"/>
              <w:rPr>
                <w:sz w:val="24"/>
              </w:rPr>
            </w:pPr>
            <w:r>
              <w:rPr>
                <w:sz w:val="24"/>
              </w:rPr>
              <w:t>⑤车辆进出厂区严禁鸣喇叭。</w:t>
            </w:r>
          </w:p>
          <w:p>
            <w:pPr>
              <w:autoSpaceDE w:val="0"/>
              <w:autoSpaceDN w:val="0"/>
              <w:spacing w:line="360" w:lineRule="auto"/>
              <w:ind w:firstLine="480" w:firstLineChars="200"/>
              <w:jc w:val="left"/>
              <w:rPr>
                <w:b/>
                <w:bCs/>
                <w:sz w:val="24"/>
              </w:rPr>
            </w:pPr>
            <w:r>
              <w:rPr>
                <w:b/>
                <w:bCs/>
                <w:sz w:val="24"/>
              </w:rPr>
              <w:t>4、固体废物环境影响分析</w:t>
            </w:r>
          </w:p>
          <w:p>
            <w:pPr>
              <w:pStyle w:val="36"/>
              <w:adjustRightInd/>
              <w:jc w:val="both"/>
              <w:rPr>
                <w:rFonts w:hAnsi="Times New Roman"/>
              </w:rPr>
            </w:pPr>
            <w:r>
              <w:rPr>
                <w:rFonts w:hAnsi="Times New Roman"/>
              </w:rPr>
              <w:t xml:space="preserve">运营期产生的固体废物包括种植固废、生产固废、生活垃圾及危险废物等。 </w:t>
            </w:r>
          </w:p>
          <w:p>
            <w:pPr>
              <w:spacing w:line="360" w:lineRule="auto"/>
              <w:ind w:firstLine="480" w:firstLineChars="200"/>
              <w:rPr>
                <w:sz w:val="24"/>
              </w:rPr>
            </w:pPr>
            <w:r>
              <w:rPr>
                <w:sz w:val="24"/>
              </w:rPr>
              <w:t>（1）一般固废</w:t>
            </w:r>
          </w:p>
          <w:p>
            <w:pPr>
              <w:spacing w:line="360" w:lineRule="auto"/>
              <w:ind w:firstLine="480" w:firstLineChars="200"/>
              <w:rPr>
                <w:sz w:val="24"/>
              </w:rPr>
            </w:pPr>
            <w:r>
              <w:rPr>
                <w:sz w:val="24"/>
              </w:rPr>
              <w:t>①枯萎玫瑰花（S1）和不合格玫瑰花（S2）</w:t>
            </w:r>
          </w:p>
          <w:p>
            <w:pPr>
              <w:widowControl/>
              <w:spacing w:line="360" w:lineRule="auto"/>
              <w:ind w:firstLine="480" w:firstLineChars="200"/>
              <w:jc w:val="left"/>
              <w:rPr>
                <w:sz w:val="24"/>
              </w:rPr>
            </w:pPr>
            <w:r>
              <w:rPr>
                <w:sz w:val="24"/>
              </w:rPr>
              <w:t>玫瑰育苗长成后，准备栽植，先进行育苗挑选。根据业主</w:t>
            </w:r>
            <w:r>
              <w:rPr>
                <w:rFonts w:hint="eastAsia"/>
                <w:sz w:val="24"/>
              </w:rPr>
              <w:t>介绍</w:t>
            </w:r>
            <w:r>
              <w:rPr>
                <w:sz w:val="24"/>
              </w:rPr>
              <w:t>，不合格玫瑰花及枯萎玫瑰花产生量为0.03t/亩·a。本项目种植面积约为99.4亩，一年6茬。即枯萎玫瑰花（S1）和不合格玫瑰花（S2）产生量为17.892t/a。收集后，外售</w:t>
            </w:r>
            <w:r>
              <w:rPr>
                <w:rFonts w:hint="eastAsia"/>
                <w:sz w:val="24"/>
              </w:rPr>
              <w:t>农户</w:t>
            </w:r>
            <w:r>
              <w:rPr>
                <w:sz w:val="24"/>
              </w:rPr>
              <w:t>处理或处理后还田</w:t>
            </w:r>
            <w:r>
              <w:rPr>
                <w:rFonts w:hint="eastAsia"/>
                <w:sz w:val="24"/>
              </w:rPr>
              <w:t>（不发酵）</w:t>
            </w:r>
            <w:r>
              <w:rPr>
                <w:sz w:val="24"/>
              </w:rPr>
              <w:t>，对周边环境影响较小。</w:t>
            </w:r>
          </w:p>
          <w:p>
            <w:pPr>
              <w:widowControl/>
              <w:spacing w:line="360" w:lineRule="auto"/>
              <w:ind w:firstLine="480" w:firstLineChars="200"/>
              <w:jc w:val="left"/>
              <w:rPr>
                <w:sz w:val="24"/>
              </w:rPr>
            </w:pPr>
            <w:r>
              <w:rPr>
                <w:sz w:val="24"/>
              </w:rPr>
              <w:t>②废包材（S3）</w:t>
            </w:r>
          </w:p>
          <w:p>
            <w:pPr>
              <w:spacing w:line="360" w:lineRule="auto"/>
              <w:ind w:firstLine="480" w:firstLineChars="200"/>
              <w:rPr>
                <w:sz w:val="24"/>
              </w:rPr>
            </w:pPr>
            <w:r>
              <w:rPr>
                <w:sz w:val="24"/>
              </w:rPr>
              <w:t>项目包花过程中会产生废包材，产生量约6t/a，废包材收集后外售处理，对周围环境影响较小。</w:t>
            </w:r>
          </w:p>
          <w:p>
            <w:pPr>
              <w:spacing w:line="360" w:lineRule="auto"/>
              <w:ind w:firstLine="480" w:firstLineChars="200"/>
              <w:rPr>
                <w:sz w:val="24"/>
              </w:rPr>
            </w:pPr>
            <w:r>
              <w:rPr>
                <w:sz w:val="24"/>
              </w:rPr>
              <w:t>③生活垃圾</w:t>
            </w:r>
          </w:p>
          <w:p>
            <w:pPr>
              <w:widowControl/>
              <w:spacing w:line="360" w:lineRule="auto"/>
              <w:ind w:firstLine="480" w:firstLineChars="200"/>
              <w:jc w:val="left"/>
              <w:rPr>
                <w:sz w:val="24"/>
              </w:rPr>
            </w:pPr>
            <w:r>
              <w:rPr>
                <w:sz w:val="24"/>
              </w:rPr>
              <w:t>项目员工共35名，员工在场内食宿，员工生活垃圾产生量按每人 0.5kg/d 计，员工生活垃圾产生量为 6.39t/a，故本项目生活垃圾产生量为6.39t/a，并入周边村庄生活垃圾处理系统一同处理。</w:t>
            </w:r>
          </w:p>
          <w:p>
            <w:pPr>
              <w:pStyle w:val="36"/>
              <w:adjustRightInd/>
              <w:jc w:val="both"/>
              <w:rPr>
                <w:rFonts w:hAnsi="Times New Roman"/>
              </w:rPr>
            </w:pPr>
            <w:r>
              <w:rPr>
                <w:rFonts w:hAnsi="Times New Roman"/>
              </w:rPr>
              <w:t>④生物质锅炉灰渣</w:t>
            </w:r>
          </w:p>
          <w:p>
            <w:pPr>
              <w:widowControl/>
              <w:spacing w:line="360" w:lineRule="auto"/>
              <w:ind w:firstLine="480" w:firstLineChars="200"/>
              <w:jc w:val="left"/>
              <w:rPr>
                <w:sz w:val="24"/>
              </w:rPr>
            </w:pPr>
            <w:r>
              <w:rPr>
                <w:sz w:val="24"/>
              </w:rPr>
              <w:t>项目采用生物质锅炉提供蒸汽进行蒸馏，并设有除尘设备，项目生物质颗粒灰分约为 1.4%，则本项目锅炉灰渣及除尘器废渣为</w:t>
            </w:r>
            <w:r>
              <w:rPr>
                <w:rFonts w:hint="eastAsia"/>
                <w:sz w:val="24"/>
              </w:rPr>
              <w:t>11.49</w:t>
            </w:r>
            <w:r>
              <w:rPr>
                <w:sz w:val="24"/>
              </w:rPr>
              <w:t>t/a（</w:t>
            </w:r>
            <w:r>
              <w:rPr>
                <w:rFonts w:hint="eastAsia"/>
                <w:sz w:val="24"/>
              </w:rPr>
              <w:t>75.6</w:t>
            </w:r>
            <w:r>
              <w:rPr>
                <w:sz w:val="24"/>
              </w:rPr>
              <w:t>kg/d</w:t>
            </w:r>
            <w:r>
              <w:rPr>
                <w:rFonts w:hint="eastAsia"/>
                <w:sz w:val="24"/>
              </w:rPr>
              <w:t>，按152天计</w:t>
            </w:r>
            <w:r>
              <w:rPr>
                <w:sz w:val="24"/>
              </w:rPr>
              <w:t>），产生量较小，每天收集清运，用作周边农户还田使用。</w:t>
            </w:r>
          </w:p>
          <w:p>
            <w:pPr>
              <w:spacing w:line="360" w:lineRule="auto"/>
              <w:ind w:firstLine="480" w:firstLineChars="200"/>
              <w:rPr>
                <w:sz w:val="24"/>
              </w:rPr>
            </w:pPr>
            <w:r>
              <w:rPr>
                <w:rFonts w:hint="eastAsia"/>
                <w:sz w:val="24"/>
              </w:rPr>
              <w:t>⑤</w:t>
            </w:r>
            <w:r>
              <w:rPr>
                <w:sz w:val="24"/>
              </w:rPr>
              <w:t>农药、化肥包装</w:t>
            </w:r>
          </w:p>
          <w:p>
            <w:pPr>
              <w:spacing w:line="360" w:lineRule="auto"/>
              <w:ind w:firstLine="480" w:firstLineChars="200"/>
              <w:rPr>
                <w:sz w:val="24"/>
              </w:rPr>
            </w:pPr>
            <w:r>
              <w:rPr>
                <w:sz w:val="24"/>
              </w:rPr>
              <w:t>项目基地在玫瑰种植阶段，使用农药和化肥时会产生废弃的包装物，化肥包装物的量为总用量的3‰计，根据业主提供的资料，本项目化肥共计120.19t/a（部分化肥需根据植株需求，每月不定期配比施肥，保证玫瑰正常生长需求。本项目肥料用量以每种化肥使用计），因此，产生的化肥废弃包装物为0.36t/a；农药包装物的量为总用量的1%计，本项目使用农药共计0.13t/a，计算得农药包装物为0.013t/a。根据《国家危险废物名录》（2021）中“附录”中“危险废物豁免管理清单”，属于豁免类。故全过程可不按危险废物管理，</w:t>
            </w:r>
            <w:r>
              <w:rPr>
                <w:rFonts w:hint="eastAsia"/>
                <w:sz w:val="24"/>
              </w:rPr>
              <w:t>按照一般固体废物处置</w:t>
            </w:r>
            <w:r>
              <w:rPr>
                <w:sz w:val="24"/>
              </w:rPr>
              <w:t>。</w:t>
            </w:r>
          </w:p>
          <w:p>
            <w:pPr>
              <w:spacing w:line="360" w:lineRule="auto"/>
              <w:ind w:firstLine="480" w:firstLineChars="200"/>
              <w:rPr>
                <w:sz w:val="24"/>
              </w:rPr>
            </w:pPr>
            <w:r>
              <w:rPr>
                <w:rFonts w:hint="eastAsia"/>
                <w:sz w:val="24"/>
              </w:rPr>
              <w:t>⑥含油废手套</w:t>
            </w:r>
          </w:p>
          <w:p>
            <w:pPr>
              <w:spacing w:line="360" w:lineRule="auto"/>
              <w:ind w:firstLine="480" w:firstLineChars="200"/>
              <w:rPr>
                <w:sz w:val="24"/>
              </w:rPr>
            </w:pPr>
            <w:r>
              <w:rPr>
                <w:sz w:val="24"/>
              </w:rPr>
              <w:t>项目生产过程中员工佩戴使用抹布手套，废含油抹布手套的产生量约为0.005t/a</w:t>
            </w:r>
            <w:r>
              <w:rPr>
                <w:rFonts w:hint="eastAsia"/>
                <w:sz w:val="24"/>
              </w:rPr>
              <w:t>，</w:t>
            </w:r>
            <w:r>
              <w:rPr>
                <w:sz w:val="24"/>
              </w:rPr>
              <w:t>根据《国家危险废物名录》（2021）中“附录”中“危险废物豁免管理清单”，属于豁免类。故全过程可不按危险废物管理，</w:t>
            </w:r>
            <w:r>
              <w:rPr>
                <w:rFonts w:hint="eastAsia"/>
                <w:sz w:val="24"/>
              </w:rPr>
              <w:t>按照一般固体废物处置</w:t>
            </w:r>
            <w:r>
              <w:rPr>
                <w:sz w:val="24"/>
              </w:rPr>
              <w:t>。</w:t>
            </w:r>
          </w:p>
          <w:p>
            <w:pPr>
              <w:spacing w:line="360" w:lineRule="auto"/>
              <w:ind w:firstLine="480" w:firstLineChars="200"/>
              <w:rPr>
                <w:sz w:val="24"/>
              </w:rPr>
            </w:pPr>
            <w:r>
              <w:rPr>
                <w:rFonts w:hint="eastAsia"/>
                <w:sz w:val="24"/>
              </w:rPr>
              <w:t>⑦</w:t>
            </w:r>
            <w:r>
              <w:rPr>
                <w:sz w:val="24"/>
              </w:rPr>
              <w:t>废渗透膜</w:t>
            </w:r>
          </w:p>
          <w:p>
            <w:pPr>
              <w:spacing w:line="360" w:lineRule="auto"/>
              <w:ind w:firstLine="480" w:firstLineChars="200"/>
              <w:rPr>
                <w:sz w:val="24"/>
              </w:rPr>
            </w:pPr>
            <w:r>
              <w:rPr>
                <w:sz w:val="24"/>
              </w:rPr>
              <w:t>本项目运营过程中软化水制造会产生废弃废渗透膜0.3t/a，</w:t>
            </w:r>
            <w:r>
              <w:rPr>
                <w:rFonts w:hint="eastAsia"/>
                <w:sz w:val="24"/>
              </w:rPr>
              <w:t>为一般固废，</w:t>
            </w:r>
            <w:r>
              <w:rPr>
                <w:sz w:val="24"/>
              </w:rPr>
              <w:t>收集后</w:t>
            </w:r>
            <w:r>
              <w:rPr>
                <w:rFonts w:hint="eastAsia"/>
                <w:sz w:val="24"/>
              </w:rPr>
              <w:t>统一</w:t>
            </w:r>
            <w:r>
              <w:rPr>
                <w:sz w:val="24"/>
              </w:rPr>
              <w:t>回收处理，对周边环境影响不大。</w:t>
            </w:r>
          </w:p>
          <w:p>
            <w:pPr>
              <w:spacing w:line="360" w:lineRule="auto"/>
              <w:ind w:firstLine="480" w:firstLineChars="200"/>
              <w:rPr>
                <w:sz w:val="24"/>
              </w:rPr>
            </w:pPr>
            <w:r>
              <w:rPr>
                <w:sz w:val="24"/>
              </w:rPr>
              <w:t>（2）危险废物</w:t>
            </w:r>
          </w:p>
          <w:p>
            <w:pPr>
              <w:spacing w:line="360" w:lineRule="auto"/>
              <w:ind w:firstLine="480" w:firstLineChars="200"/>
              <w:rPr>
                <w:sz w:val="24"/>
              </w:rPr>
            </w:pPr>
            <w:r>
              <w:rPr>
                <w:rFonts w:hint="eastAsia"/>
                <w:sz w:val="24"/>
              </w:rPr>
              <w:t>①</w:t>
            </w:r>
            <w:r>
              <w:rPr>
                <w:sz w:val="24"/>
              </w:rPr>
              <w:t>废机油</w:t>
            </w:r>
          </w:p>
          <w:p>
            <w:pPr>
              <w:spacing w:line="360" w:lineRule="auto"/>
              <w:ind w:firstLine="480" w:firstLineChars="200"/>
              <w:rPr>
                <w:sz w:val="24"/>
              </w:rPr>
            </w:pPr>
            <w:r>
              <w:rPr>
                <w:sz w:val="24"/>
              </w:rPr>
              <w:t>本项目设备运行过程使用的废机油，产生量约0. 2t/a，根据《国家危险废物名录》（2021），为危险固废，废物类别HW08，废物代码900-217-08，收集后暂存在</w:t>
            </w:r>
            <w:r>
              <w:rPr>
                <w:rFonts w:hint="eastAsia"/>
                <w:sz w:val="24"/>
              </w:rPr>
              <w:t>危险废物贮存库</w:t>
            </w:r>
            <w:r>
              <w:rPr>
                <w:sz w:val="24"/>
              </w:rPr>
              <w:t>，委托相关资质单位回收处理，对周边环境影响不大。</w:t>
            </w:r>
          </w:p>
          <w:p>
            <w:pPr>
              <w:pStyle w:val="14"/>
              <w:spacing w:line="360" w:lineRule="auto"/>
              <w:ind w:firstLine="480" w:firstLineChars="200"/>
              <w:rPr>
                <w:rFonts w:ascii="Times New Roman"/>
                <w:color w:val="auto"/>
                <w:kern w:val="2"/>
              </w:rPr>
            </w:pPr>
            <w:r>
              <w:rPr>
                <w:rFonts w:hint="eastAsia" w:ascii="Times New Roman"/>
                <w:color w:val="auto"/>
              </w:rPr>
              <w:t>②</w:t>
            </w:r>
            <w:r>
              <w:rPr>
                <w:rFonts w:ascii="Times New Roman"/>
                <w:color w:val="auto"/>
                <w:kern w:val="2"/>
              </w:rPr>
              <w:t>硝酸、磷酸、硫酸铵包装物</w:t>
            </w:r>
          </w:p>
          <w:p>
            <w:pPr>
              <w:spacing w:line="360" w:lineRule="auto"/>
              <w:ind w:firstLine="480" w:firstLineChars="200"/>
              <w:rPr>
                <w:sz w:val="24"/>
              </w:rPr>
            </w:pPr>
            <w:r>
              <w:rPr>
                <w:sz w:val="24"/>
              </w:rPr>
              <w:t>本项目运营过程中有使用硝酸、磷酸、硫酸铵等为危险物质，根据《国家危险废物名录》（2021），以上物质使用后空瓶属于HW49其他废物，废物代码900-042-49，产生量约为0.3t/a，收集后暂存在</w:t>
            </w:r>
            <w:r>
              <w:rPr>
                <w:rFonts w:hint="eastAsia"/>
                <w:sz w:val="24"/>
              </w:rPr>
              <w:t>危险废物贮存库</w:t>
            </w:r>
            <w:r>
              <w:rPr>
                <w:sz w:val="24"/>
              </w:rPr>
              <w:t>，委托具有危废处置资质的单位回收处理，对周边环境影响不大。</w:t>
            </w:r>
          </w:p>
          <w:p>
            <w:pPr>
              <w:spacing w:line="360" w:lineRule="auto"/>
              <w:ind w:firstLine="480" w:firstLineChars="200"/>
              <w:rPr>
                <w:sz w:val="24"/>
              </w:rPr>
            </w:pPr>
            <w:r>
              <w:rPr>
                <w:sz w:val="24"/>
              </w:rPr>
              <w:t>环评要求建设</w:t>
            </w:r>
            <w:r>
              <w:rPr>
                <w:rFonts w:hint="eastAsia"/>
                <w:sz w:val="24"/>
              </w:rPr>
              <w:t>危险废物贮存库</w:t>
            </w:r>
            <w:r>
              <w:rPr>
                <w:sz w:val="24"/>
              </w:rPr>
              <w:t>（占地面积为15m</w:t>
            </w:r>
            <w:r>
              <w:rPr>
                <w:sz w:val="24"/>
                <w:vertAlign w:val="superscript"/>
              </w:rPr>
              <w:t>2</w:t>
            </w:r>
            <w:r>
              <w:rPr>
                <w:sz w:val="24"/>
              </w:rPr>
              <w:t>），使用高密度的聚丙烯桶对废润滑油等进行收集，并将收集容器贴上标签，设置警告牌，将其统一暂存于</w:t>
            </w:r>
            <w:r>
              <w:rPr>
                <w:rFonts w:hint="eastAsia"/>
                <w:sz w:val="24"/>
              </w:rPr>
              <w:t>危险废物贮存库</w:t>
            </w:r>
            <w:r>
              <w:rPr>
                <w:sz w:val="24"/>
              </w:rPr>
              <w:t>内，定期委托有资质的单位处理。</w:t>
            </w:r>
            <w:r>
              <w:rPr>
                <w:rFonts w:hint="eastAsia"/>
                <w:sz w:val="24"/>
              </w:rPr>
              <w:t>危险废物贮存库</w:t>
            </w:r>
            <w:r>
              <w:rPr>
                <w:sz w:val="24"/>
              </w:rPr>
              <w:t>的建设须满足《危险废物贮存污染控制标准》（GB18597-2023）中的相关要求，地面与裙脚要用坚固、防渗的材料建造，建筑材料必须与危险废物相容。必须有泄漏液体收集装置、气体导出口及气体净化装置。设施内要有安全照明设施和观察窗口。用以存放装载液体、半固体危险废物容器的地方，必须有耐腐蚀的硬化地面，且表面无裂隙。应设计堵截泄漏的裙脚，地面与裙脚所围建的容积不低于堵截最大容器的最大储量或总储量的1/5。不相容的危险废物必须分开存放，并设有隔离间隔断。基础必须防渗，防渗层为至少1m厚</w:t>
            </w:r>
            <w:r>
              <w:rPr>
                <w:rFonts w:hint="eastAsia"/>
                <w:sz w:val="24"/>
              </w:rPr>
              <w:t>黏土</w:t>
            </w:r>
            <w:r>
              <w:rPr>
                <w:sz w:val="24"/>
              </w:rPr>
              <w:t>层（渗透系数≤10</w:t>
            </w:r>
            <w:r>
              <w:rPr>
                <w:rFonts w:hint="eastAsia"/>
                <w:sz w:val="24"/>
              </w:rPr>
              <w:t>—</w:t>
            </w:r>
            <w:r>
              <w:rPr>
                <w:sz w:val="24"/>
                <w:vertAlign w:val="superscript"/>
              </w:rPr>
              <w:t>7</w:t>
            </w:r>
            <w:r>
              <w:rPr>
                <w:sz w:val="24"/>
              </w:rPr>
              <w:t>cm/s</w:t>
            </w:r>
            <w:r>
              <w:rPr>
                <w:rFonts w:hint="eastAsia"/>
                <w:sz w:val="24"/>
              </w:rPr>
              <w:t>）</w:t>
            </w:r>
            <w:r>
              <w:rPr>
                <w:sz w:val="24"/>
              </w:rPr>
              <w:t>，或2mm厚高密度聚乙烯，或至少2mm厚</w:t>
            </w:r>
            <w:r>
              <w:rPr>
                <w:rFonts w:hint="eastAsia"/>
                <w:sz w:val="24"/>
              </w:rPr>
              <w:t>的其他</w:t>
            </w:r>
            <w:r>
              <w:rPr>
                <w:sz w:val="24"/>
              </w:rPr>
              <w:t>人工材料，渗透系数≤10</w:t>
            </w:r>
            <w:r>
              <w:rPr>
                <w:rFonts w:hint="eastAsia"/>
                <w:sz w:val="24"/>
              </w:rPr>
              <w:t>—</w:t>
            </w:r>
            <w:r>
              <w:rPr>
                <w:sz w:val="24"/>
                <w:vertAlign w:val="superscript"/>
              </w:rPr>
              <w:t>10</w:t>
            </w:r>
            <w:r>
              <w:rPr>
                <w:sz w:val="24"/>
              </w:rPr>
              <w:t>cm/s。</w:t>
            </w:r>
          </w:p>
          <w:p>
            <w:pPr>
              <w:spacing w:line="360" w:lineRule="auto"/>
              <w:ind w:firstLine="480" w:firstLineChars="200"/>
              <w:rPr>
                <w:sz w:val="24"/>
              </w:rPr>
            </w:pPr>
            <w:r>
              <w:rPr>
                <w:sz w:val="24"/>
              </w:rPr>
              <w:t>危险废物在送往有资质的危险废物处理单位进行无害化处理前应按《危险废物转移管理办法》相关要求。</w:t>
            </w:r>
          </w:p>
          <w:p>
            <w:pPr>
              <w:spacing w:line="360" w:lineRule="auto"/>
              <w:ind w:firstLine="480" w:firstLineChars="200"/>
              <w:rPr>
                <w:sz w:val="24"/>
              </w:rPr>
            </w:pPr>
            <w:r>
              <w:rPr>
                <w:sz w:val="24"/>
              </w:rPr>
              <w:t>危险废物产生单位在转移危险废物前，须按照国家有关规定报批危险废物转移计划；经批准后，产生单位应当向移出地环境保护行政主管部门申请领取联单。</w:t>
            </w:r>
          </w:p>
          <w:p>
            <w:pPr>
              <w:spacing w:line="360" w:lineRule="auto"/>
              <w:ind w:firstLine="480" w:firstLineChars="200"/>
              <w:rPr>
                <w:sz w:val="24"/>
              </w:rPr>
            </w:pPr>
            <w:r>
              <w:rPr>
                <w:sz w:val="24"/>
              </w:rPr>
              <w:t>产生单位应当在危险废物转移前三日内报告移出地环境保护行政主管部门，并同时将预期到达时间报告接受地环境保护行政主管部门。</w:t>
            </w:r>
          </w:p>
          <w:p>
            <w:pPr>
              <w:spacing w:line="360" w:lineRule="auto"/>
              <w:ind w:firstLine="480" w:firstLineChars="200"/>
              <w:rPr>
                <w:sz w:val="24"/>
              </w:rPr>
            </w:pPr>
            <w:r>
              <w:rPr>
                <w:sz w:val="24"/>
              </w:rPr>
              <w:t>危险废物产生单位应当如实填写联单中产生单位栏目，并加盖公章，经交付危险废物运输单位核实验收签字后，将联单第一联副联自留存档，将联单第二联交移出地环境保护行政主管部门，联单第一联正联及其余各联交付运输单位随危险废物转移运行。</w:t>
            </w:r>
          </w:p>
          <w:p>
            <w:pPr>
              <w:spacing w:line="360" w:lineRule="auto"/>
              <w:rPr>
                <w:b/>
                <w:bCs/>
                <w:sz w:val="24"/>
              </w:rPr>
            </w:pPr>
            <w:r>
              <w:rPr>
                <w:sz w:val="24"/>
              </w:rPr>
              <w:t>固废的统计及处置情况见表4-12所示。</w:t>
            </w:r>
          </w:p>
          <w:p>
            <w:pPr>
              <w:spacing w:line="360" w:lineRule="auto"/>
              <w:ind w:firstLine="480" w:firstLineChars="200"/>
              <w:jc w:val="center"/>
              <w:rPr>
                <w:b/>
                <w:bCs/>
                <w:sz w:val="24"/>
              </w:rPr>
            </w:pPr>
            <w:r>
              <w:rPr>
                <w:b/>
                <w:bCs/>
                <w:sz w:val="24"/>
              </w:rPr>
              <w:t xml:space="preserve">表4-12 </w:t>
            </w:r>
            <w:r>
              <w:rPr>
                <w:rFonts w:hint="eastAsia"/>
                <w:b/>
                <w:bCs/>
                <w:sz w:val="24"/>
              </w:rPr>
              <w:t>项目</w:t>
            </w:r>
            <w:r>
              <w:rPr>
                <w:b/>
                <w:bCs/>
                <w:sz w:val="24"/>
              </w:rPr>
              <w:t>固废产生情况及处置措施</w:t>
            </w:r>
          </w:p>
          <w:tbl>
            <w:tblPr>
              <w:tblStyle w:val="26"/>
              <w:tblpPr w:leftFromText="180" w:rightFromText="180" w:vertAnchor="text" w:horzAnchor="page" w:tblpX="113" w:tblpY="46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222"/>
              <w:gridCol w:w="1079"/>
              <w:gridCol w:w="1082"/>
              <w:gridCol w:w="1218"/>
              <w:gridCol w:w="1082"/>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9" w:type="pct"/>
                  <w:vAlign w:val="center"/>
                </w:tcPr>
                <w:p>
                  <w:pPr>
                    <w:jc w:val="center"/>
                    <w:rPr>
                      <w:b/>
                      <w:bCs/>
                      <w:szCs w:val="21"/>
                    </w:rPr>
                  </w:pPr>
                  <w:r>
                    <w:rPr>
                      <w:b/>
                      <w:bCs/>
                      <w:szCs w:val="21"/>
                    </w:rPr>
                    <w:t>序号</w:t>
                  </w:r>
                </w:p>
              </w:tc>
              <w:tc>
                <w:tcPr>
                  <w:tcW w:w="708" w:type="pct"/>
                  <w:vAlign w:val="center"/>
                </w:tcPr>
                <w:p>
                  <w:pPr>
                    <w:jc w:val="center"/>
                    <w:rPr>
                      <w:b/>
                      <w:bCs/>
                      <w:szCs w:val="21"/>
                    </w:rPr>
                  </w:pPr>
                  <w:r>
                    <w:rPr>
                      <w:b/>
                      <w:bCs/>
                      <w:szCs w:val="21"/>
                    </w:rPr>
                    <w:t>废物名称</w:t>
                  </w:r>
                </w:p>
              </w:tc>
              <w:tc>
                <w:tcPr>
                  <w:tcW w:w="625" w:type="pct"/>
                  <w:vAlign w:val="center"/>
                </w:tcPr>
                <w:p>
                  <w:pPr>
                    <w:jc w:val="center"/>
                    <w:rPr>
                      <w:b/>
                      <w:bCs/>
                      <w:szCs w:val="21"/>
                    </w:rPr>
                  </w:pPr>
                  <w:r>
                    <w:rPr>
                      <w:b/>
                      <w:bCs/>
                      <w:szCs w:val="21"/>
                    </w:rPr>
                    <w:t>产生位置</w:t>
                  </w:r>
                </w:p>
              </w:tc>
              <w:tc>
                <w:tcPr>
                  <w:tcW w:w="627" w:type="pct"/>
                  <w:vAlign w:val="center"/>
                </w:tcPr>
                <w:p>
                  <w:pPr>
                    <w:jc w:val="center"/>
                    <w:rPr>
                      <w:b/>
                      <w:bCs/>
                      <w:szCs w:val="21"/>
                    </w:rPr>
                  </w:pPr>
                  <w:r>
                    <w:rPr>
                      <w:b/>
                      <w:bCs/>
                      <w:szCs w:val="21"/>
                    </w:rPr>
                    <w:t>固废属性</w:t>
                  </w:r>
                </w:p>
              </w:tc>
              <w:tc>
                <w:tcPr>
                  <w:tcW w:w="706" w:type="pct"/>
                  <w:vAlign w:val="center"/>
                </w:tcPr>
                <w:p>
                  <w:pPr>
                    <w:jc w:val="center"/>
                    <w:rPr>
                      <w:b/>
                      <w:bCs/>
                      <w:szCs w:val="21"/>
                    </w:rPr>
                  </w:pPr>
                  <w:r>
                    <w:rPr>
                      <w:b/>
                      <w:bCs/>
                      <w:szCs w:val="21"/>
                    </w:rPr>
                    <w:t>危废代码</w:t>
                  </w:r>
                </w:p>
              </w:tc>
              <w:tc>
                <w:tcPr>
                  <w:tcW w:w="627" w:type="pct"/>
                  <w:vAlign w:val="center"/>
                </w:tcPr>
                <w:p>
                  <w:pPr>
                    <w:jc w:val="center"/>
                    <w:rPr>
                      <w:b/>
                      <w:bCs/>
                      <w:szCs w:val="21"/>
                    </w:rPr>
                  </w:pPr>
                  <w:r>
                    <w:rPr>
                      <w:b/>
                      <w:bCs/>
                      <w:szCs w:val="21"/>
                    </w:rPr>
                    <w:t>产生量t/a</w:t>
                  </w:r>
                </w:p>
              </w:tc>
              <w:tc>
                <w:tcPr>
                  <w:tcW w:w="1318" w:type="pct"/>
                  <w:vAlign w:val="center"/>
                </w:tcPr>
                <w:p>
                  <w:pPr>
                    <w:jc w:val="center"/>
                    <w:rPr>
                      <w:b/>
                      <w:bCs/>
                      <w:szCs w:val="21"/>
                    </w:rPr>
                  </w:pPr>
                  <w:r>
                    <w:rPr>
                      <w:b/>
                      <w:bCs/>
                      <w:szCs w:val="21"/>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9" w:type="pct"/>
                  <w:vAlign w:val="center"/>
                </w:tcPr>
                <w:p>
                  <w:pPr>
                    <w:jc w:val="center"/>
                    <w:rPr>
                      <w:szCs w:val="21"/>
                    </w:rPr>
                  </w:pPr>
                  <w:r>
                    <w:rPr>
                      <w:szCs w:val="21"/>
                    </w:rPr>
                    <w:t>1</w:t>
                  </w:r>
                </w:p>
              </w:tc>
              <w:tc>
                <w:tcPr>
                  <w:tcW w:w="708" w:type="pct"/>
                  <w:vAlign w:val="center"/>
                </w:tcPr>
                <w:p>
                  <w:pPr>
                    <w:jc w:val="center"/>
                    <w:rPr>
                      <w:szCs w:val="21"/>
                    </w:rPr>
                  </w:pPr>
                  <w:r>
                    <w:rPr>
                      <w:szCs w:val="21"/>
                    </w:rPr>
                    <w:t>废包材</w:t>
                  </w:r>
                </w:p>
              </w:tc>
              <w:tc>
                <w:tcPr>
                  <w:tcW w:w="625" w:type="pct"/>
                  <w:vAlign w:val="center"/>
                </w:tcPr>
                <w:p>
                  <w:pPr>
                    <w:jc w:val="center"/>
                    <w:rPr>
                      <w:szCs w:val="21"/>
                    </w:rPr>
                  </w:pPr>
                  <w:r>
                    <w:rPr>
                      <w:szCs w:val="21"/>
                    </w:rPr>
                    <w:t>生产</w:t>
                  </w:r>
                </w:p>
              </w:tc>
              <w:tc>
                <w:tcPr>
                  <w:tcW w:w="627" w:type="pct"/>
                  <w:vAlign w:val="center"/>
                </w:tcPr>
                <w:p>
                  <w:pPr>
                    <w:jc w:val="center"/>
                    <w:rPr>
                      <w:szCs w:val="21"/>
                    </w:rPr>
                  </w:pPr>
                  <w:r>
                    <w:rPr>
                      <w:szCs w:val="21"/>
                    </w:rPr>
                    <w:t>一般固废</w:t>
                  </w:r>
                </w:p>
              </w:tc>
              <w:tc>
                <w:tcPr>
                  <w:tcW w:w="706" w:type="pct"/>
                  <w:vAlign w:val="center"/>
                </w:tcPr>
                <w:p>
                  <w:pPr>
                    <w:jc w:val="center"/>
                    <w:rPr>
                      <w:szCs w:val="21"/>
                    </w:rPr>
                  </w:pPr>
                  <w:r>
                    <w:rPr>
                      <w:szCs w:val="21"/>
                    </w:rPr>
                    <w:t>/</w:t>
                  </w:r>
                </w:p>
              </w:tc>
              <w:tc>
                <w:tcPr>
                  <w:tcW w:w="627" w:type="pct"/>
                  <w:vAlign w:val="center"/>
                </w:tcPr>
                <w:p>
                  <w:pPr>
                    <w:jc w:val="center"/>
                    <w:rPr>
                      <w:szCs w:val="21"/>
                    </w:rPr>
                  </w:pPr>
                  <w:r>
                    <w:rPr>
                      <w:szCs w:val="21"/>
                    </w:rPr>
                    <w:t>6</w:t>
                  </w:r>
                </w:p>
              </w:tc>
              <w:tc>
                <w:tcPr>
                  <w:tcW w:w="1318" w:type="pct"/>
                  <w:vAlign w:val="center"/>
                </w:tcPr>
                <w:p>
                  <w:pPr>
                    <w:jc w:val="center"/>
                    <w:rPr>
                      <w:szCs w:val="21"/>
                    </w:rPr>
                  </w:pPr>
                  <w:r>
                    <w:rPr>
                      <w:szCs w:val="21"/>
                    </w:rPr>
                    <w:t>外售处理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9" w:type="pct"/>
                  <w:vAlign w:val="center"/>
                </w:tcPr>
                <w:p>
                  <w:pPr>
                    <w:jc w:val="center"/>
                    <w:rPr>
                      <w:szCs w:val="21"/>
                    </w:rPr>
                  </w:pPr>
                  <w:r>
                    <w:rPr>
                      <w:szCs w:val="21"/>
                    </w:rPr>
                    <w:t>2</w:t>
                  </w:r>
                </w:p>
              </w:tc>
              <w:tc>
                <w:tcPr>
                  <w:tcW w:w="708" w:type="pct"/>
                  <w:vAlign w:val="center"/>
                </w:tcPr>
                <w:p>
                  <w:pPr>
                    <w:jc w:val="center"/>
                    <w:rPr>
                      <w:szCs w:val="21"/>
                    </w:rPr>
                  </w:pPr>
                  <w:r>
                    <w:rPr>
                      <w:szCs w:val="21"/>
                    </w:rPr>
                    <w:t>生活垃圾</w:t>
                  </w:r>
                </w:p>
              </w:tc>
              <w:tc>
                <w:tcPr>
                  <w:tcW w:w="625" w:type="pct"/>
                  <w:vAlign w:val="center"/>
                </w:tcPr>
                <w:p>
                  <w:pPr>
                    <w:jc w:val="center"/>
                    <w:rPr>
                      <w:szCs w:val="21"/>
                    </w:rPr>
                  </w:pPr>
                  <w:r>
                    <w:rPr>
                      <w:szCs w:val="21"/>
                    </w:rPr>
                    <w:t>生活区</w:t>
                  </w:r>
                </w:p>
              </w:tc>
              <w:tc>
                <w:tcPr>
                  <w:tcW w:w="627" w:type="pct"/>
                  <w:vAlign w:val="center"/>
                </w:tcPr>
                <w:p>
                  <w:pPr>
                    <w:jc w:val="center"/>
                    <w:rPr>
                      <w:szCs w:val="21"/>
                    </w:rPr>
                  </w:pPr>
                  <w:r>
                    <w:rPr>
                      <w:szCs w:val="21"/>
                    </w:rPr>
                    <w:t>一般固废</w:t>
                  </w:r>
                </w:p>
              </w:tc>
              <w:tc>
                <w:tcPr>
                  <w:tcW w:w="706" w:type="pct"/>
                  <w:vAlign w:val="center"/>
                </w:tcPr>
                <w:p>
                  <w:pPr>
                    <w:jc w:val="center"/>
                    <w:rPr>
                      <w:szCs w:val="21"/>
                    </w:rPr>
                  </w:pPr>
                  <w:r>
                    <w:rPr>
                      <w:szCs w:val="21"/>
                    </w:rPr>
                    <w:t>/</w:t>
                  </w:r>
                </w:p>
              </w:tc>
              <w:tc>
                <w:tcPr>
                  <w:tcW w:w="627" w:type="pct"/>
                  <w:vAlign w:val="center"/>
                </w:tcPr>
                <w:p>
                  <w:pPr>
                    <w:jc w:val="center"/>
                    <w:rPr>
                      <w:szCs w:val="21"/>
                    </w:rPr>
                  </w:pPr>
                  <w:r>
                    <w:rPr>
                      <w:szCs w:val="21"/>
                    </w:rPr>
                    <w:t>6.39</w:t>
                  </w:r>
                </w:p>
              </w:tc>
              <w:tc>
                <w:tcPr>
                  <w:tcW w:w="1318" w:type="pct"/>
                  <w:vAlign w:val="center"/>
                </w:tcPr>
                <w:p>
                  <w:pPr>
                    <w:jc w:val="center"/>
                    <w:rPr>
                      <w:szCs w:val="21"/>
                    </w:rPr>
                  </w:pPr>
                  <w:r>
                    <w:rPr>
                      <w:szCs w:val="21"/>
                    </w:rPr>
                    <w:t>由环卫部门清运处置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9" w:type="pct"/>
                  <w:vAlign w:val="center"/>
                </w:tcPr>
                <w:p>
                  <w:pPr>
                    <w:jc w:val="center"/>
                    <w:rPr>
                      <w:szCs w:val="21"/>
                    </w:rPr>
                  </w:pPr>
                  <w:r>
                    <w:rPr>
                      <w:szCs w:val="21"/>
                    </w:rPr>
                    <w:t>3</w:t>
                  </w:r>
                </w:p>
              </w:tc>
              <w:tc>
                <w:tcPr>
                  <w:tcW w:w="708" w:type="pct"/>
                  <w:vAlign w:val="center"/>
                </w:tcPr>
                <w:p>
                  <w:pPr>
                    <w:jc w:val="center"/>
                    <w:rPr>
                      <w:szCs w:val="21"/>
                    </w:rPr>
                  </w:pPr>
                  <w:r>
                    <w:rPr>
                      <w:szCs w:val="21"/>
                    </w:rPr>
                    <w:t>不合格玫瑰花和枯萎玫瑰花枝</w:t>
                  </w:r>
                </w:p>
              </w:tc>
              <w:tc>
                <w:tcPr>
                  <w:tcW w:w="625" w:type="pct"/>
                  <w:vAlign w:val="center"/>
                </w:tcPr>
                <w:p>
                  <w:pPr>
                    <w:jc w:val="center"/>
                    <w:rPr>
                      <w:szCs w:val="21"/>
                    </w:rPr>
                  </w:pPr>
                  <w:r>
                    <w:rPr>
                      <w:szCs w:val="21"/>
                    </w:rPr>
                    <w:t>生产</w:t>
                  </w:r>
                </w:p>
              </w:tc>
              <w:tc>
                <w:tcPr>
                  <w:tcW w:w="627" w:type="pct"/>
                  <w:vAlign w:val="center"/>
                </w:tcPr>
                <w:p>
                  <w:pPr>
                    <w:jc w:val="center"/>
                    <w:rPr>
                      <w:szCs w:val="21"/>
                    </w:rPr>
                  </w:pPr>
                  <w:r>
                    <w:rPr>
                      <w:szCs w:val="21"/>
                    </w:rPr>
                    <w:t>一般固废</w:t>
                  </w:r>
                </w:p>
              </w:tc>
              <w:tc>
                <w:tcPr>
                  <w:tcW w:w="706" w:type="pct"/>
                  <w:vAlign w:val="center"/>
                </w:tcPr>
                <w:p>
                  <w:pPr>
                    <w:jc w:val="center"/>
                    <w:rPr>
                      <w:szCs w:val="21"/>
                    </w:rPr>
                  </w:pPr>
                  <w:r>
                    <w:rPr>
                      <w:szCs w:val="21"/>
                    </w:rPr>
                    <w:t>/</w:t>
                  </w:r>
                </w:p>
              </w:tc>
              <w:tc>
                <w:tcPr>
                  <w:tcW w:w="627" w:type="pct"/>
                  <w:vAlign w:val="center"/>
                </w:tcPr>
                <w:p>
                  <w:pPr>
                    <w:jc w:val="center"/>
                    <w:rPr>
                      <w:szCs w:val="21"/>
                    </w:rPr>
                  </w:pPr>
                  <w:r>
                    <w:rPr>
                      <w:szCs w:val="21"/>
                    </w:rPr>
                    <w:t>17.892</w:t>
                  </w:r>
                </w:p>
              </w:tc>
              <w:tc>
                <w:tcPr>
                  <w:tcW w:w="1318" w:type="pct"/>
                  <w:vAlign w:val="center"/>
                </w:tcPr>
                <w:p>
                  <w:pPr>
                    <w:jc w:val="center"/>
                    <w:rPr>
                      <w:szCs w:val="21"/>
                    </w:rPr>
                  </w:pPr>
                  <w:r>
                    <w:rPr>
                      <w:szCs w:val="21"/>
                    </w:rPr>
                    <w:t>收集后外售</w:t>
                  </w:r>
                  <w:r>
                    <w:rPr>
                      <w:rFonts w:hint="eastAsia"/>
                      <w:szCs w:val="21"/>
                    </w:rPr>
                    <w:t>农户</w:t>
                  </w:r>
                  <w:r>
                    <w:rPr>
                      <w:szCs w:val="21"/>
                    </w:rPr>
                    <w:t>处理或处理后还田</w:t>
                  </w:r>
                  <w:r>
                    <w:rPr>
                      <w:rFonts w:hint="eastAsia"/>
                      <w:szCs w:val="21"/>
                    </w:rPr>
                    <w:t>（不发酵）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9" w:type="pct"/>
                  <w:vAlign w:val="center"/>
                </w:tcPr>
                <w:p>
                  <w:pPr>
                    <w:jc w:val="center"/>
                    <w:rPr>
                      <w:szCs w:val="21"/>
                    </w:rPr>
                  </w:pPr>
                  <w:r>
                    <w:rPr>
                      <w:szCs w:val="21"/>
                    </w:rPr>
                    <w:t>4</w:t>
                  </w:r>
                </w:p>
              </w:tc>
              <w:tc>
                <w:tcPr>
                  <w:tcW w:w="708" w:type="pct"/>
                  <w:vAlign w:val="center"/>
                </w:tcPr>
                <w:p>
                  <w:pPr>
                    <w:jc w:val="center"/>
                    <w:rPr>
                      <w:szCs w:val="21"/>
                    </w:rPr>
                  </w:pPr>
                  <w:r>
                    <w:rPr>
                      <w:szCs w:val="21"/>
                    </w:rPr>
                    <w:t>生物质锅炉灰渣</w:t>
                  </w:r>
                </w:p>
              </w:tc>
              <w:tc>
                <w:tcPr>
                  <w:tcW w:w="625" w:type="pct"/>
                  <w:vAlign w:val="center"/>
                </w:tcPr>
                <w:p>
                  <w:pPr>
                    <w:jc w:val="center"/>
                    <w:rPr>
                      <w:szCs w:val="21"/>
                    </w:rPr>
                  </w:pPr>
                  <w:r>
                    <w:rPr>
                      <w:szCs w:val="21"/>
                    </w:rPr>
                    <w:t>生物质锅炉</w:t>
                  </w:r>
                </w:p>
              </w:tc>
              <w:tc>
                <w:tcPr>
                  <w:tcW w:w="627" w:type="pct"/>
                  <w:vAlign w:val="center"/>
                </w:tcPr>
                <w:p>
                  <w:pPr>
                    <w:jc w:val="center"/>
                    <w:rPr>
                      <w:szCs w:val="21"/>
                    </w:rPr>
                  </w:pPr>
                  <w:r>
                    <w:rPr>
                      <w:szCs w:val="21"/>
                    </w:rPr>
                    <w:t>一般固废</w:t>
                  </w:r>
                </w:p>
              </w:tc>
              <w:tc>
                <w:tcPr>
                  <w:tcW w:w="706" w:type="pct"/>
                  <w:vAlign w:val="center"/>
                </w:tcPr>
                <w:p>
                  <w:pPr>
                    <w:jc w:val="center"/>
                    <w:rPr>
                      <w:szCs w:val="21"/>
                    </w:rPr>
                  </w:pPr>
                  <w:r>
                    <w:rPr>
                      <w:szCs w:val="21"/>
                    </w:rPr>
                    <w:t>/</w:t>
                  </w:r>
                </w:p>
              </w:tc>
              <w:tc>
                <w:tcPr>
                  <w:tcW w:w="627" w:type="pct"/>
                  <w:vAlign w:val="center"/>
                </w:tcPr>
                <w:p>
                  <w:pPr>
                    <w:jc w:val="center"/>
                    <w:rPr>
                      <w:szCs w:val="21"/>
                    </w:rPr>
                  </w:pPr>
                  <w:r>
                    <w:rPr>
                      <w:szCs w:val="21"/>
                    </w:rPr>
                    <w:t>1.54</w:t>
                  </w:r>
                </w:p>
              </w:tc>
              <w:tc>
                <w:tcPr>
                  <w:tcW w:w="1318" w:type="pct"/>
                  <w:vAlign w:val="center"/>
                </w:tcPr>
                <w:p>
                  <w:pPr>
                    <w:jc w:val="center"/>
                    <w:rPr>
                      <w:szCs w:val="21"/>
                    </w:rPr>
                  </w:pPr>
                  <w:r>
                    <w:rPr>
                      <w:szCs w:val="21"/>
                    </w:rPr>
                    <w:t>用作周边农户还田使用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9" w:type="pct"/>
                  <w:vAlign w:val="center"/>
                </w:tcPr>
                <w:p>
                  <w:pPr>
                    <w:jc w:val="center"/>
                    <w:rPr>
                      <w:szCs w:val="21"/>
                    </w:rPr>
                  </w:pPr>
                  <w:r>
                    <w:rPr>
                      <w:rFonts w:hint="eastAsia"/>
                      <w:szCs w:val="21"/>
                    </w:rPr>
                    <w:t>5</w:t>
                  </w:r>
                </w:p>
              </w:tc>
              <w:tc>
                <w:tcPr>
                  <w:tcW w:w="708" w:type="pct"/>
                  <w:vAlign w:val="center"/>
                </w:tcPr>
                <w:p>
                  <w:pPr>
                    <w:jc w:val="center"/>
                    <w:rPr>
                      <w:szCs w:val="21"/>
                    </w:rPr>
                  </w:pPr>
                  <w:r>
                    <w:rPr>
                      <w:szCs w:val="21"/>
                    </w:rPr>
                    <w:t>农药、化肥包装物</w:t>
                  </w:r>
                </w:p>
              </w:tc>
              <w:tc>
                <w:tcPr>
                  <w:tcW w:w="625" w:type="pct"/>
                  <w:vAlign w:val="center"/>
                </w:tcPr>
                <w:p>
                  <w:pPr>
                    <w:jc w:val="center"/>
                    <w:rPr>
                      <w:szCs w:val="21"/>
                    </w:rPr>
                  </w:pPr>
                  <w:r>
                    <w:rPr>
                      <w:szCs w:val="21"/>
                    </w:rPr>
                    <w:t>生产</w:t>
                  </w:r>
                </w:p>
              </w:tc>
              <w:tc>
                <w:tcPr>
                  <w:tcW w:w="627" w:type="pct"/>
                  <w:vAlign w:val="center"/>
                </w:tcPr>
                <w:p>
                  <w:pPr>
                    <w:jc w:val="center"/>
                    <w:rPr>
                      <w:szCs w:val="21"/>
                    </w:rPr>
                  </w:pPr>
                  <w:r>
                    <w:rPr>
                      <w:szCs w:val="21"/>
                    </w:rPr>
                    <w:t>危险固废</w:t>
                  </w:r>
                </w:p>
              </w:tc>
              <w:tc>
                <w:tcPr>
                  <w:tcW w:w="706" w:type="pct"/>
                  <w:vAlign w:val="center"/>
                </w:tcPr>
                <w:p>
                  <w:pPr>
                    <w:jc w:val="center"/>
                    <w:rPr>
                      <w:szCs w:val="21"/>
                    </w:rPr>
                  </w:pPr>
                  <w:r>
                    <w:rPr>
                      <w:szCs w:val="21"/>
                    </w:rPr>
                    <w:t>900-003-04</w:t>
                  </w:r>
                </w:p>
              </w:tc>
              <w:tc>
                <w:tcPr>
                  <w:tcW w:w="627" w:type="pct"/>
                  <w:vAlign w:val="center"/>
                </w:tcPr>
                <w:p>
                  <w:pPr>
                    <w:jc w:val="center"/>
                    <w:rPr>
                      <w:szCs w:val="21"/>
                    </w:rPr>
                  </w:pPr>
                  <w:r>
                    <w:rPr>
                      <w:szCs w:val="21"/>
                    </w:rPr>
                    <w:t>0.373</w:t>
                  </w:r>
                </w:p>
              </w:tc>
              <w:tc>
                <w:tcPr>
                  <w:tcW w:w="1318" w:type="pct"/>
                  <w:vAlign w:val="center"/>
                </w:tcPr>
                <w:p>
                  <w:pPr>
                    <w:jc w:val="center"/>
                    <w:rPr>
                      <w:szCs w:val="21"/>
                    </w:rPr>
                  </w:pPr>
                  <w:r>
                    <w:rPr>
                      <w:szCs w:val="21"/>
                    </w:rPr>
                    <w:t>属于豁免类</w:t>
                  </w:r>
                  <w:r>
                    <w:rPr>
                      <w:rFonts w:hint="eastAsia"/>
                      <w:szCs w:val="21"/>
                    </w:rPr>
                    <w:t>，按照一般固体废物处置。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9" w:type="pct"/>
                  <w:vAlign w:val="center"/>
                </w:tcPr>
                <w:p>
                  <w:pPr>
                    <w:jc w:val="center"/>
                    <w:rPr>
                      <w:szCs w:val="21"/>
                    </w:rPr>
                  </w:pPr>
                  <w:r>
                    <w:rPr>
                      <w:rFonts w:hint="eastAsia"/>
                      <w:szCs w:val="21"/>
                    </w:rPr>
                    <w:t>6</w:t>
                  </w:r>
                </w:p>
              </w:tc>
              <w:tc>
                <w:tcPr>
                  <w:tcW w:w="708" w:type="pct"/>
                  <w:vAlign w:val="center"/>
                </w:tcPr>
                <w:p>
                  <w:pPr>
                    <w:jc w:val="center"/>
                    <w:rPr>
                      <w:szCs w:val="21"/>
                    </w:rPr>
                  </w:pPr>
                  <w:r>
                    <w:rPr>
                      <w:szCs w:val="21"/>
                    </w:rPr>
                    <w:t>废渗透膜</w:t>
                  </w:r>
                </w:p>
              </w:tc>
              <w:tc>
                <w:tcPr>
                  <w:tcW w:w="625" w:type="pct"/>
                  <w:vAlign w:val="center"/>
                </w:tcPr>
                <w:p>
                  <w:pPr>
                    <w:jc w:val="center"/>
                    <w:rPr>
                      <w:szCs w:val="21"/>
                    </w:rPr>
                  </w:pPr>
                  <w:r>
                    <w:rPr>
                      <w:szCs w:val="21"/>
                    </w:rPr>
                    <w:t>软化水生产</w:t>
                  </w:r>
                </w:p>
              </w:tc>
              <w:tc>
                <w:tcPr>
                  <w:tcW w:w="627" w:type="pct"/>
                  <w:vAlign w:val="center"/>
                </w:tcPr>
                <w:p>
                  <w:pPr>
                    <w:jc w:val="center"/>
                    <w:rPr>
                      <w:szCs w:val="21"/>
                    </w:rPr>
                  </w:pPr>
                  <w:r>
                    <w:rPr>
                      <w:rFonts w:hint="eastAsia"/>
                      <w:szCs w:val="21"/>
                    </w:rPr>
                    <w:t>一般固废</w:t>
                  </w:r>
                </w:p>
              </w:tc>
              <w:tc>
                <w:tcPr>
                  <w:tcW w:w="706" w:type="pct"/>
                  <w:vAlign w:val="center"/>
                </w:tcPr>
                <w:p>
                  <w:pPr>
                    <w:jc w:val="center"/>
                    <w:rPr>
                      <w:szCs w:val="21"/>
                    </w:rPr>
                  </w:pPr>
                  <w:r>
                    <w:rPr>
                      <w:rFonts w:hint="eastAsia"/>
                      <w:szCs w:val="21"/>
                    </w:rPr>
                    <w:t>/</w:t>
                  </w:r>
                </w:p>
              </w:tc>
              <w:tc>
                <w:tcPr>
                  <w:tcW w:w="627" w:type="pct"/>
                  <w:vAlign w:val="center"/>
                </w:tcPr>
                <w:p>
                  <w:pPr>
                    <w:jc w:val="center"/>
                    <w:rPr>
                      <w:szCs w:val="21"/>
                    </w:rPr>
                  </w:pPr>
                  <w:r>
                    <w:rPr>
                      <w:szCs w:val="21"/>
                    </w:rPr>
                    <w:t>0.3</w:t>
                  </w:r>
                </w:p>
              </w:tc>
              <w:tc>
                <w:tcPr>
                  <w:tcW w:w="1318" w:type="pct"/>
                  <w:vAlign w:val="center"/>
                </w:tcPr>
                <w:p>
                  <w:pPr>
                    <w:jc w:val="center"/>
                    <w:rPr>
                      <w:szCs w:val="21"/>
                    </w:rPr>
                  </w:pPr>
                  <w:r>
                    <w:rPr>
                      <w:szCs w:val="21"/>
                    </w:rPr>
                    <w:t>收集后</w:t>
                  </w:r>
                  <w:r>
                    <w:rPr>
                      <w:rFonts w:hint="eastAsia"/>
                      <w:szCs w:val="21"/>
                    </w:rPr>
                    <w:t>统一</w:t>
                  </w:r>
                  <w:r>
                    <w:rPr>
                      <w:szCs w:val="21"/>
                    </w:rPr>
                    <w:t>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9" w:type="pct"/>
                  <w:vAlign w:val="center"/>
                </w:tcPr>
                <w:p>
                  <w:pPr>
                    <w:jc w:val="center"/>
                    <w:rPr>
                      <w:szCs w:val="21"/>
                    </w:rPr>
                  </w:pPr>
                  <w:r>
                    <w:rPr>
                      <w:rFonts w:hint="eastAsia"/>
                      <w:szCs w:val="21"/>
                    </w:rPr>
                    <w:t>7</w:t>
                  </w:r>
                </w:p>
              </w:tc>
              <w:tc>
                <w:tcPr>
                  <w:tcW w:w="708" w:type="pct"/>
                  <w:vAlign w:val="center"/>
                </w:tcPr>
                <w:p>
                  <w:pPr>
                    <w:pStyle w:val="14"/>
                    <w:jc w:val="center"/>
                    <w:rPr>
                      <w:rFonts w:ascii="Times New Roman"/>
                      <w:color w:val="auto"/>
                      <w:sz w:val="21"/>
                      <w:szCs w:val="21"/>
                    </w:rPr>
                  </w:pPr>
                  <w:r>
                    <w:rPr>
                      <w:rFonts w:ascii="Times New Roman"/>
                      <w:color w:val="auto"/>
                      <w:kern w:val="2"/>
                      <w:sz w:val="21"/>
                      <w:szCs w:val="21"/>
                    </w:rPr>
                    <w:t>废机油</w:t>
                  </w:r>
                </w:p>
              </w:tc>
              <w:tc>
                <w:tcPr>
                  <w:tcW w:w="625" w:type="pct"/>
                  <w:vAlign w:val="center"/>
                </w:tcPr>
                <w:p>
                  <w:pPr>
                    <w:jc w:val="center"/>
                    <w:rPr>
                      <w:szCs w:val="21"/>
                    </w:rPr>
                  </w:pPr>
                  <w:r>
                    <w:rPr>
                      <w:szCs w:val="21"/>
                    </w:rPr>
                    <w:t>生产</w:t>
                  </w:r>
                </w:p>
              </w:tc>
              <w:tc>
                <w:tcPr>
                  <w:tcW w:w="627" w:type="pct"/>
                  <w:vAlign w:val="center"/>
                </w:tcPr>
                <w:p>
                  <w:pPr>
                    <w:jc w:val="center"/>
                    <w:rPr>
                      <w:szCs w:val="21"/>
                    </w:rPr>
                  </w:pPr>
                  <w:r>
                    <w:rPr>
                      <w:szCs w:val="21"/>
                    </w:rPr>
                    <w:t>危险废物</w:t>
                  </w:r>
                </w:p>
              </w:tc>
              <w:tc>
                <w:tcPr>
                  <w:tcW w:w="706" w:type="pct"/>
                  <w:vAlign w:val="center"/>
                </w:tcPr>
                <w:p>
                  <w:pPr>
                    <w:jc w:val="center"/>
                    <w:rPr>
                      <w:szCs w:val="21"/>
                    </w:rPr>
                  </w:pPr>
                  <w:r>
                    <w:rPr>
                      <w:szCs w:val="21"/>
                    </w:rPr>
                    <w:t>900-217-08</w:t>
                  </w:r>
                </w:p>
              </w:tc>
              <w:tc>
                <w:tcPr>
                  <w:tcW w:w="627" w:type="pct"/>
                  <w:vAlign w:val="center"/>
                </w:tcPr>
                <w:p>
                  <w:pPr>
                    <w:jc w:val="center"/>
                    <w:rPr>
                      <w:szCs w:val="21"/>
                    </w:rPr>
                  </w:pPr>
                  <w:r>
                    <w:rPr>
                      <w:szCs w:val="21"/>
                    </w:rPr>
                    <w:t>0.2</w:t>
                  </w:r>
                </w:p>
              </w:tc>
              <w:tc>
                <w:tcPr>
                  <w:tcW w:w="1318" w:type="pct"/>
                </w:tcPr>
                <w:p>
                  <w:pPr>
                    <w:rPr>
                      <w:szCs w:val="21"/>
                    </w:rPr>
                  </w:pPr>
                  <w:r>
                    <w:rPr>
                      <w:szCs w:val="21"/>
                    </w:rPr>
                    <w:t>暂存于</w:t>
                  </w:r>
                  <w:r>
                    <w:rPr>
                      <w:rFonts w:hint="eastAsia"/>
                      <w:szCs w:val="21"/>
                    </w:rPr>
                    <w:t>危险废物贮存间</w:t>
                  </w:r>
                  <w:r>
                    <w:rPr>
                      <w:szCs w:val="21"/>
                    </w:rPr>
                    <w:t>内，委托具有危废处置资质的单位回收处理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9" w:type="pct"/>
                  <w:vAlign w:val="center"/>
                </w:tcPr>
                <w:p>
                  <w:pPr>
                    <w:jc w:val="center"/>
                    <w:rPr>
                      <w:szCs w:val="21"/>
                    </w:rPr>
                  </w:pPr>
                  <w:r>
                    <w:rPr>
                      <w:rFonts w:hint="eastAsia"/>
                      <w:szCs w:val="21"/>
                    </w:rPr>
                    <w:t>8</w:t>
                  </w:r>
                </w:p>
              </w:tc>
              <w:tc>
                <w:tcPr>
                  <w:tcW w:w="708" w:type="pct"/>
                  <w:vAlign w:val="center"/>
                </w:tcPr>
                <w:p>
                  <w:pPr>
                    <w:pStyle w:val="13"/>
                    <w:jc w:val="center"/>
                    <w:rPr>
                      <w:rFonts w:ascii="Times New Roman" w:hAnsi="Times New Roman"/>
                      <w:szCs w:val="21"/>
                    </w:rPr>
                  </w:pPr>
                  <w:r>
                    <w:rPr>
                      <w:rFonts w:ascii="Times New Roman" w:hAnsi="Times New Roman"/>
                      <w:szCs w:val="21"/>
                    </w:rPr>
                    <w:t>硝酸包装</w:t>
                  </w:r>
                </w:p>
              </w:tc>
              <w:tc>
                <w:tcPr>
                  <w:tcW w:w="625" w:type="pct"/>
                  <w:vAlign w:val="center"/>
                </w:tcPr>
                <w:p>
                  <w:pPr>
                    <w:jc w:val="center"/>
                    <w:rPr>
                      <w:szCs w:val="21"/>
                    </w:rPr>
                  </w:pPr>
                  <w:r>
                    <w:rPr>
                      <w:szCs w:val="21"/>
                    </w:rPr>
                    <w:t>生产</w:t>
                  </w:r>
                </w:p>
              </w:tc>
              <w:tc>
                <w:tcPr>
                  <w:tcW w:w="627" w:type="pct"/>
                  <w:vAlign w:val="center"/>
                </w:tcPr>
                <w:p>
                  <w:pPr>
                    <w:jc w:val="center"/>
                    <w:rPr>
                      <w:szCs w:val="21"/>
                    </w:rPr>
                  </w:pPr>
                  <w:r>
                    <w:rPr>
                      <w:szCs w:val="21"/>
                    </w:rPr>
                    <w:t>危险废物</w:t>
                  </w:r>
                </w:p>
              </w:tc>
              <w:tc>
                <w:tcPr>
                  <w:tcW w:w="706" w:type="pct"/>
                  <w:vAlign w:val="center"/>
                </w:tcPr>
                <w:p>
                  <w:pPr>
                    <w:jc w:val="center"/>
                    <w:rPr>
                      <w:szCs w:val="21"/>
                    </w:rPr>
                  </w:pPr>
                  <w:r>
                    <w:rPr>
                      <w:szCs w:val="21"/>
                    </w:rPr>
                    <w:t>900-042-49</w:t>
                  </w:r>
                </w:p>
              </w:tc>
              <w:tc>
                <w:tcPr>
                  <w:tcW w:w="627" w:type="pct"/>
                  <w:vAlign w:val="center"/>
                </w:tcPr>
                <w:p>
                  <w:pPr>
                    <w:jc w:val="center"/>
                    <w:rPr>
                      <w:szCs w:val="21"/>
                    </w:rPr>
                  </w:pPr>
                  <w:r>
                    <w:rPr>
                      <w:szCs w:val="21"/>
                    </w:rPr>
                    <w:t>0.3</w:t>
                  </w:r>
                </w:p>
              </w:tc>
              <w:tc>
                <w:tcPr>
                  <w:tcW w:w="1318" w:type="pct"/>
                </w:tcPr>
                <w:p>
                  <w:pPr>
                    <w:rPr>
                      <w:szCs w:val="21"/>
                    </w:rPr>
                  </w:pPr>
                  <w:r>
                    <w:rPr>
                      <w:szCs w:val="21"/>
                    </w:rPr>
                    <w:t>暂存于</w:t>
                  </w:r>
                  <w:r>
                    <w:rPr>
                      <w:rFonts w:hint="eastAsia"/>
                      <w:szCs w:val="21"/>
                    </w:rPr>
                    <w:t>危险废物贮存间</w:t>
                  </w:r>
                  <w:r>
                    <w:rPr>
                      <w:szCs w:val="21"/>
                    </w:rPr>
                    <w:t>内，委托具有危废处置资质的单位回收处理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9" w:type="pct"/>
                  <w:vAlign w:val="center"/>
                </w:tcPr>
                <w:p>
                  <w:pPr>
                    <w:jc w:val="center"/>
                    <w:rPr>
                      <w:szCs w:val="21"/>
                    </w:rPr>
                  </w:pPr>
                  <w:r>
                    <w:rPr>
                      <w:rFonts w:hint="eastAsia"/>
                      <w:szCs w:val="21"/>
                    </w:rPr>
                    <w:t>9</w:t>
                  </w:r>
                </w:p>
              </w:tc>
              <w:tc>
                <w:tcPr>
                  <w:tcW w:w="708" w:type="pct"/>
                  <w:vAlign w:val="center"/>
                </w:tcPr>
                <w:p>
                  <w:pPr>
                    <w:pStyle w:val="13"/>
                    <w:jc w:val="center"/>
                    <w:rPr>
                      <w:rFonts w:ascii="Times New Roman" w:hAnsi="Times New Roman"/>
                      <w:szCs w:val="21"/>
                    </w:rPr>
                  </w:pPr>
                  <w:r>
                    <w:rPr>
                      <w:rFonts w:ascii="Times New Roman" w:hAnsi="Times New Roman"/>
                      <w:szCs w:val="21"/>
                    </w:rPr>
                    <w:t>废含油手套</w:t>
                  </w:r>
                </w:p>
              </w:tc>
              <w:tc>
                <w:tcPr>
                  <w:tcW w:w="625" w:type="pct"/>
                  <w:vAlign w:val="center"/>
                </w:tcPr>
                <w:p>
                  <w:pPr>
                    <w:jc w:val="center"/>
                    <w:rPr>
                      <w:szCs w:val="21"/>
                    </w:rPr>
                  </w:pPr>
                  <w:r>
                    <w:rPr>
                      <w:szCs w:val="21"/>
                    </w:rPr>
                    <w:t>生产</w:t>
                  </w:r>
                </w:p>
              </w:tc>
              <w:tc>
                <w:tcPr>
                  <w:tcW w:w="627" w:type="pct"/>
                  <w:vAlign w:val="center"/>
                </w:tcPr>
                <w:p>
                  <w:pPr>
                    <w:jc w:val="center"/>
                    <w:rPr>
                      <w:szCs w:val="21"/>
                    </w:rPr>
                  </w:pPr>
                  <w:r>
                    <w:rPr>
                      <w:szCs w:val="21"/>
                    </w:rPr>
                    <w:t>危险废物</w:t>
                  </w:r>
                </w:p>
              </w:tc>
              <w:tc>
                <w:tcPr>
                  <w:tcW w:w="706" w:type="pct"/>
                  <w:vAlign w:val="center"/>
                </w:tcPr>
                <w:p>
                  <w:pPr>
                    <w:jc w:val="center"/>
                    <w:rPr>
                      <w:szCs w:val="21"/>
                    </w:rPr>
                  </w:pPr>
                  <w:r>
                    <w:rPr>
                      <w:szCs w:val="21"/>
                    </w:rPr>
                    <w:t>/</w:t>
                  </w:r>
                </w:p>
              </w:tc>
              <w:tc>
                <w:tcPr>
                  <w:tcW w:w="627" w:type="pct"/>
                  <w:vAlign w:val="center"/>
                </w:tcPr>
                <w:p>
                  <w:pPr>
                    <w:jc w:val="center"/>
                    <w:rPr>
                      <w:szCs w:val="21"/>
                    </w:rPr>
                  </w:pPr>
                  <w:r>
                    <w:rPr>
                      <w:szCs w:val="21"/>
                    </w:rPr>
                    <w:t>0.005</w:t>
                  </w:r>
                </w:p>
              </w:tc>
              <w:tc>
                <w:tcPr>
                  <w:tcW w:w="1318" w:type="pct"/>
                </w:tcPr>
                <w:p>
                  <w:pPr>
                    <w:rPr>
                      <w:szCs w:val="21"/>
                    </w:rPr>
                  </w:pPr>
                  <w:r>
                    <w:rPr>
                      <w:szCs w:val="21"/>
                    </w:rPr>
                    <w:t>属于豁免类，按照一般固体废物处置。</w:t>
                  </w:r>
                </w:p>
              </w:tc>
            </w:tr>
          </w:tbl>
          <w:p>
            <w:pPr>
              <w:spacing w:line="360" w:lineRule="auto"/>
              <w:ind w:firstLine="480" w:firstLineChars="200"/>
              <w:rPr>
                <w:sz w:val="24"/>
              </w:rPr>
            </w:pPr>
            <w:r>
              <w:rPr>
                <w:sz w:val="24"/>
              </w:rPr>
              <w:t>综上，项目各项固废均得到有效处置，处置率达100%。</w:t>
            </w:r>
          </w:p>
          <w:p>
            <w:pPr>
              <w:spacing w:line="360" w:lineRule="auto"/>
              <w:ind w:firstLine="480" w:firstLineChars="200"/>
              <w:rPr>
                <w:sz w:val="24"/>
              </w:rPr>
            </w:pPr>
            <w:r>
              <w:rPr>
                <w:b/>
                <w:bCs/>
                <w:sz w:val="24"/>
              </w:rPr>
              <w:t>5、生态环境影响分析</w:t>
            </w:r>
          </w:p>
          <w:p>
            <w:pPr>
              <w:snapToGrid w:val="0"/>
              <w:spacing w:line="360" w:lineRule="auto"/>
              <w:ind w:firstLine="480" w:firstLineChars="200"/>
              <w:rPr>
                <w:sz w:val="24"/>
              </w:rPr>
            </w:pPr>
            <w:r>
              <w:rPr>
                <w:sz w:val="24"/>
                <w:lang w:val="zh-CN"/>
              </w:rPr>
              <w:t>项目位于</w:t>
            </w:r>
            <w:r>
              <w:rPr>
                <w:sz w:val="24"/>
              </w:rPr>
              <w:t>云南省楚雄州姚安县光禄镇旧城村</w:t>
            </w:r>
            <w:r>
              <w:rPr>
                <w:sz w:val="24"/>
                <w:lang w:val="zh-CN"/>
              </w:rPr>
              <w:t>，</w:t>
            </w:r>
            <w:r>
              <w:rPr>
                <w:sz w:val="24"/>
              </w:rPr>
              <w:t>不新增用地，项目区域内无保护类动、植物分布，不会对当地群落结构、生态平衡造成不利影响，对周边生态环境影响较小。</w:t>
            </w:r>
          </w:p>
          <w:p>
            <w:pPr>
              <w:pStyle w:val="13"/>
              <w:spacing w:line="360" w:lineRule="auto"/>
              <w:ind w:firstLine="480" w:firstLineChars="200"/>
              <w:rPr>
                <w:rFonts w:ascii="Times New Roman" w:hAnsi="Times New Roman"/>
                <w:b/>
                <w:bCs/>
                <w:sz w:val="24"/>
              </w:rPr>
            </w:pPr>
            <w:r>
              <w:rPr>
                <w:rFonts w:ascii="Times New Roman" w:hAnsi="Times New Roman"/>
                <w:b/>
                <w:bCs/>
                <w:sz w:val="24"/>
              </w:rPr>
              <w:t>6、地下水、土壤环境影响分析</w:t>
            </w:r>
          </w:p>
          <w:p>
            <w:pPr>
              <w:snapToGrid w:val="0"/>
              <w:spacing w:line="360" w:lineRule="auto"/>
              <w:ind w:firstLine="480" w:firstLineChars="200"/>
              <w:rPr>
                <w:sz w:val="24"/>
              </w:rPr>
            </w:pPr>
            <w:r>
              <w:rPr>
                <w:sz w:val="24"/>
              </w:rPr>
              <w:t>本项目土壤、地下水环境影响评价项目类别为Ⅳ类，本项目不开展地下水环境影响评价。但本项目风险物质硝酸、废机油等有泄漏风险，本项目风险物质储存间要求为重点防渗区，按照危险化学品暂存间建设标准进行建设，</w:t>
            </w:r>
            <w:r>
              <w:rPr>
                <w:rFonts w:eastAsia="Arial"/>
                <w:sz w:val="24"/>
                <w:shd w:val="clear" w:color="auto" w:fill="FFFFFF"/>
              </w:rPr>
              <w:t>表面防渗材料应与所接触的物料或污染物相容，可采用抗渗混凝土、高密度聚乙烯膜、钠基膨润土防水毯或其他防渗性能等效的材料。防渗层为至少1m厚黏土层</w:t>
            </w:r>
            <w:r>
              <w:rPr>
                <w:rFonts w:hint="eastAsia"/>
                <w:sz w:val="24"/>
                <w:shd w:val="clear" w:color="auto" w:fill="FFFFFF"/>
              </w:rPr>
              <w:t>（</w:t>
            </w:r>
            <w:r>
              <w:rPr>
                <w:rFonts w:eastAsia="Arial"/>
                <w:sz w:val="24"/>
                <w:shd w:val="clear" w:color="auto" w:fill="FFFFFF"/>
              </w:rPr>
              <w:t xml:space="preserve">渗透系数不大于10 </w:t>
            </w:r>
            <w:r>
              <w:rPr>
                <w:rFonts w:eastAsia="Arial"/>
                <w:sz w:val="24"/>
                <w:shd w:val="clear" w:color="auto" w:fill="FFFFFF"/>
                <w:vertAlign w:val="superscript"/>
              </w:rPr>
              <w:t>-7</w:t>
            </w:r>
            <w:r>
              <w:rPr>
                <w:rFonts w:eastAsia="Arial"/>
                <w:sz w:val="24"/>
                <w:shd w:val="clear" w:color="auto" w:fill="FFFFFF"/>
              </w:rPr>
              <w:t xml:space="preserve"> cm/s</w:t>
            </w:r>
            <w:r>
              <w:rPr>
                <w:rFonts w:hint="eastAsia"/>
                <w:sz w:val="24"/>
                <w:shd w:val="clear" w:color="auto" w:fill="FFFFFF"/>
              </w:rPr>
              <w:t>）</w:t>
            </w:r>
            <w:r>
              <w:rPr>
                <w:rFonts w:eastAsia="Arial"/>
                <w:sz w:val="24"/>
                <w:shd w:val="clear" w:color="auto" w:fill="FFFFFF"/>
              </w:rPr>
              <w:t>，或至少2 mm 厚高密度聚乙烯膜等人工防渗材料</w:t>
            </w:r>
            <w:r>
              <w:rPr>
                <w:rFonts w:hint="eastAsia"/>
                <w:sz w:val="24"/>
                <w:shd w:val="clear" w:color="auto" w:fill="FFFFFF"/>
              </w:rPr>
              <w:t>（</w:t>
            </w:r>
            <w:r>
              <w:rPr>
                <w:rFonts w:eastAsia="Arial"/>
                <w:sz w:val="24"/>
                <w:shd w:val="clear" w:color="auto" w:fill="FFFFFF"/>
              </w:rPr>
              <w:t>渗透系数不大于10</w:t>
            </w:r>
            <w:r>
              <w:rPr>
                <w:rFonts w:eastAsia="Arial"/>
                <w:sz w:val="24"/>
                <w:shd w:val="clear" w:color="auto" w:fill="FFFFFF"/>
                <w:vertAlign w:val="superscript"/>
              </w:rPr>
              <w:t xml:space="preserve"> -10</w:t>
            </w:r>
            <w:r>
              <w:rPr>
                <w:rFonts w:eastAsia="Arial"/>
                <w:sz w:val="24"/>
                <w:shd w:val="clear" w:color="auto" w:fill="FFFFFF"/>
              </w:rPr>
              <w:t xml:space="preserve"> cm/s</w:t>
            </w:r>
            <w:r>
              <w:rPr>
                <w:rFonts w:hint="eastAsia"/>
                <w:sz w:val="24"/>
                <w:shd w:val="clear" w:color="auto" w:fill="FFFFFF"/>
              </w:rPr>
              <w:t>）</w:t>
            </w:r>
            <w:r>
              <w:rPr>
                <w:rFonts w:eastAsia="Arial"/>
                <w:sz w:val="24"/>
                <w:shd w:val="clear" w:color="auto" w:fill="FFFFFF"/>
              </w:rPr>
              <w:t>，或其他防渗性能等效的材料。</w:t>
            </w:r>
            <w:r>
              <w:rPr>
                <w:sz w:val="24"/>
              </w:rPr>
              <w:t>并做好相关标识及应急预案，对地下水、土壤环境影响较小。</w:t>
            </w:r>
          </w:p>
          <w:p>
            <w:pPr>
              <w:spacing w:line="360" w:lineRule="auto"/>
              <w:rPr>
                <w:b/>
                <w:bCs/>
                <w:sz w:val="24"/>
              </w:rPr>
            </w:pPr>
            <w:r>
              <w:rPr>
                <w:b/>
                <w:bCs/>
                <w:sz w:val="24"/>
              </w:rPr>
              <w:t>三、环境风险分析</w:t>
            </w:r>
          </w:p>
          <w:p>
            <w:pPr>
              <w:spacing w:line="360" w:lineRule="auto"/>
              <w:ind w:firstLine="480" w:firstLineChars="200"/>
              <w:rPr>
                <w:b/>
                <w:bCs/>
                <w:sz w:val="24"/>
              </w:rPr>
            </w:pPr>
            <w:r>
              <w:rPr>
                <w:b/>
                <w:bCs/>
                <w:sz w:val="24"/>
              </w:rPr>
              <w:t>1、风险调查</w:t>
            </w:r>
          </w:p>
          <w:p>
            <w:pPr>
              <w:spacing w:line="360" w:lineRule="auto"/>
              <w:ind w:firstLine="480" w:firstLineChars="200"/>
              <w:rPr>
                <w:sz w:val="24"/>
              </w:rPr>
            </w:pPr>
            <w:r>
              <w:rPr>
                <w:sz w:val="24"/>
              </w:rPr>
              <w:t>（1）危险物质</w:t>
            </w:r>
          </w:p>
          <w:p>
            <w:pPr>
              <w:spacing w:line="360" w:lineRule="auto"/>
              <w:ind w:firstLine="480" w:firstLineChars="200"/>
              <w:rPr>
                <w:sz w:val="24"/>
              </w:rPr>
            </w:pPr>
            <w:r>
              <w:rPr>
                <w:sz w:val="24"/>
              </w:rPr>
              <w:t>本项目为锅炉项目建设，根据本项目的主要原材料及辅助材料、产品以及生产过程排放的“三废”污染物等，本项目运营期可能涉及危险物质储存的情况见下表4-13。</w:t>
            </w:r>
          </w:p>
          <w:p>
            <w:pPr>
              <w:spacing w:before="156" w:beforeLines="50" w:line="360" w:lineRule="auto"/>
              <w:jc w:val="center"/>
              <w:rPr>
                <w:b/>
                <w:bCs/>
                <w:sz w:val="24"/>
              </w:rPr>
            </w:pPr>
            <w:r>
              <w:rPr>
                <w:b/>
                <w:bCs/>
                <w:sz w:val="24"/>
              </w:rPr>
              <w:t>表4-13  可能涉及危险物质储存情况一览表</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1876"/>
              <w:gridCol w:w="1544"/>
              <w:gridCol w:w="1451"/>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41" w:type="pct"/>
                  <w:vAlign w:val="center"/>
                </w:tcPr>
                <w:p>
                  <w:pPr>
                    <w:jc w:val="center"/>
                    <w:rPr>
                      <w:b/>
                      <w:bCs/>
                      <w:szCs w:val="21"/>
                    </w:rPr>
                  </w:pPr>
                  <w:r>
                    <w:rPr>
                      <w:b/>
                      <w:bCs/>
                      <w:szCs w:val="21"/>
                    </w:rPr>
                    <w:t>名称</w:t>
                  </w:r>
                </w:p>
              </w:tc>
              <w:tc>
                <w:tcPr>
                  <w:tcW w:w="1087" w:type="pct"/>
                  <w:vAlign w:val="center"/>
                </w:tcPr>
                <w:p>
                  <w:pPr>
                    <w:jc w:val="center"/>
                    <w:rPr>
                      <w:b/>
                      <w:bCs/>
                      <w:szCs w:val="21"/>
                    </w:rPr>
                  </w:pPr>
                  <w:r>
                    <w:rPr>
                      <w:b/>
                      <w:bCs/>
                      <w:szCs w:val="21"/>
                    </w:rPr>
                    <w:t>危险性</w:t>
                  </w:r>
                </w:p>
              </w:tc>
              <w:tc>
                <w:tcPr>
                  <w:tcW w:w="895" w:type="pct"/>
                  <w:vAlign w:val="center"/>
                </w:tcPr>
                <w:p>
                  <w:pPr>
                    <w:jc w:val="center"/>
                    <w:rPr>
                      <w:b/>
                      <w:bCs/>
                      <w:szCs w:val="21"/>
                    </w:rPr>
                  </w:pPr>
                  <w:r>
                    <w:rPr>
                      <w:b/>
                      <w:bCs/>
                      <w:szCs w:val="21"/>
                    </w:rPr>
                    <w:t>毒性</w:t>
                  </w:r>
                </w:p>
              </w:tc>
              <w:tc>
                <w:tcPr>
                  <w:tcW w:w="841" w:type="pct"/>
                  <w:vAlign w:val="center"/>
                </w:tcPr>
                <w:p>
                  <w:pPr>
                    <w:jc w:val="center"/>
                    <w:rPr>
                      <w:b/>
                      <w:bCs/>
                      <w:szCs w:val="21"/>
                    </w:rPr>
                  </w:pPr>
                  <w:r>
                    <w:rPr>
                      <w:b/>
                      <w:bCs/>
                      <w:szCs w:val="21"/>
                    </w:rPr>
                    <w:t>判定结果</w:t>
                  </w:r>
                </w:p>
              </w:tc>
              <w:tc>
                <w:tcPr>
                  <w:tcW w:w="934" w:type="pct"/>
                  <w:vAlign w:val="center"/>
                </w:tcPr>
                <w:p>
                  <w:pPr>
                    <w:jc w:val="center"/>
                    <w:rPr>
                      <w:b/>
                      <w:bCs/>
                      <w:szCs w:val="21"/>
                    </w:rPr>
                  </w:pPr>
                  <w:r>
                    <w:rPr>
                      <w:rFonts w:hint="eastAsia"/>
                      <w:b/>
                      <w:bCs/>
                      <w:szCs w:val="21"/>
                    </w:rPr>
                    <w:t>最大</w:t>
                  </w:r>
                  <w:r>
                    <w:rPr>
                      <w:b/>
                      <w:bCs/>
                      <w:szCs w:val="21"/>
                    </w:rPr>
                    <w:t>储量（t）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pct"/>
                  <w:vAlign w:val="center"/>
                </w:tcPr>
                <w:p>
                  <w:pPr>
                    <w:jc w:val="center"/>
                    <w:rPr>
                      <w:szCs w:val="21"/>
                    </w:rPr>
                  </w:pPr>
                  <w:r>
                    <w:rPr>
                      <w:szCs w:val="21"/>
                    </w:rPr>
                    <w:t>天然气（甲烷）</w:t>
                  </w:r>
                </w:p>
              </w:tc>
              <w:tc>
                <w:tcPr>
                  <w:tcW w:w="1087" w:type="pct"/>
                  <w:vAlign w:val="center"/>
                </w:tcPr>
                <w:p>
                  <w:pPr>
                    <w:jc w:val="center"/>
                    <w:rPr>
                      <w:szCs w:val="21"/>
                    </w:rPr>
                  </w:pPr>
                  <w:r>
                    <w:rPr>
                      <w:szCs w:val="21"/>
                    </w:rPr>
                    <w:t>可燃</w:t>
                  </w:r>
                </w:p>
              </w:tc>
              <w:tc>
                <w:tcPr>
                  <w:tcW w:w="895" w:type="pct"/>
                  <w:vAlign w:val="center"/>
                </w:tcPr>
                <w:p>
                  <w:pPr>
                    <w:jc w:val="center"/>
                    <w:rPr>
                      <w:szCs w:val="21"/>
                    </w:rPr>
                  </w:pPr>
                  <w:r>
                    <w:rPr>
                      <w:szCs w:val="21"/>
                    </w:rPr>
                    <w:t>/</w:t>
                  </w:r>
                </w:p>
              </w:tc>
              <w:tc>
                <w:tcPr>
                  <w:tcW w:w="841" w:type="pct"/>
                  <w:vAlign w:val="center"/>
                </w:tcPr>
                <w:p>
                  <w:pPr>
                    <w:jc w:val="center"/>
                    <w:rPr>
                      <w:szCs w:val="21"/>
                    </w:rPr>
                  </w:pPr>
                  <w:r>
                    <w:rPr>
                      <w:szCs w:val="21"/>
                    </w:rPr>
                    <w:t>是</w:t>
                  </w:r>
                </w:p>
              </w:tc>
              <w:tc>
                <w:tcPr>
                  <w:tcW w:w="934" w:type="pct"/>
                  <w:vAlign w:val="center"/>
                </w:tcPr>
                <w:p>
                  <w:pPr>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pct"/>
                  <w:vAlign w:val="center"/>
                </w:tcPr>
                <w:p>
                  <w:pPr>
                    <w:jc w:val="center"/>
                    <w:rPr>
                      <w:szCs w:val="21"/>
                    </w:rPr>
                  </w:pPr>
                  <w:r>
                    <w:rPr>
                      <w:szCs w:val="21"/>
                    </w:rPr>
                    <w:t>硝酸</w:t>
                  </w:r>
                </w:p>
              </w:tc>
              <w:tc>
                <w:tcPr>
                  <w:tcW w:w="1087" w:type="pct"/>
                  <w:vAlign w:val="center"/>
                </w:tcPr>
                <w:p>
                  <w:pPr>
                    <w:jc w:val="center"/>
                    <w:rPr>
                      <w:szCs w:val="21"/>
                    </w:rPr>
                  </w:pPr>
                  <w:r>
                    <w:rPr>
                      <w:szCs w:val="21"/>
                    </w:rPr>
                    <w:t>/</w:t>
                  </w:r>
                </w:p>
              </w:tc>
              <w:tc>
                <w:tcPr>
                  <w:tcW w:w="895" w:type="pct"/>
                  <w:vAlign w:val="center"/>
                </w:tcPr>
                <w:p>
                  <w:pPr>
                    <w:jc w:val="center"/>
                    <w:rPr>
                      <w:szCs w:val="21"/>
                    </w:rPr>
                  </w:pPr>
                  <w:r>
                    <w:rPr>
                      <w:szCs w:val="21"/>
                    </w:rPr>
                    <w:t>有毒</w:t>
                  </w:r>
                </w:p>
              </w:tc>
              <w:tc>
                <w:tcPr>
                  <w:tcW w:w="841" w:type="pct"/>
                  <w:vAlign w:val="center"/>
                </w:tcPr>
                <w:p>
                  <w:pPr>
                    <w:jc w:val="center"/>
                    <w:rPr>
                      <w:szCs w:val="21"/>
                    </w:rPr>
                  </w:pPr>
                  <w:r>
                    <w:rPr>
                      <w:szCs w:val="21"/>
                    </w:rPr>
                    <w:t>是</w:t>
                  </w:r>
                </w:p>
              </w:tc>
              <w:tc>
                <w:tcPr>
                  <w:tcW w:w="934" w:type="pct"/>
                  <w:vAlign w:val="center"/>
                </w:tcPr>
                <w:p>
                  <w:pPr>
                    <w:jc w:val="center"/>
                    <w:rPr>
                      <w:szCs w:val="21"/>
                    </w:rPr>
                  </w:pPr>
                  <w:r>
                    <w:rPr>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pct"/>
                  <w:vAlign w:val="center"/>
                </w:tcPr>
                <w:p>
                  <w:pPr>
                    <w:jc w:val="center"/>
                    <w:rPr>
                      <w:szCs w:val="21"/>
                    </w:rPr>
                  </w:pPr>
                  <w:r>
                    <w:rPr>
                      <w:szCs w:val="21"/>
                    </w:rPr>
                    <w:t>机油</w:t>
                  </w:r>
                </w:p>
              </w:tc>
              <w:tc>
                <w:tcPr>
                  <w:tcW w:w="1087" w:type="pct"/>
                  <w:vAlign w:val="center"/>
                </w:tcPr>
                <w:p>
                  <w:pPr>
                    <w:jc w:val="center"/>
                    <w:rPr>
                      <w:szCs w:val="21"/>
                    </w:rPr>
                  </w:pPr>
                  <w:r>
                    <w:rPr>
                      <w:szCs w:val="21"/>
                    </w:rPr>
                    <w:t>可燃</w:t>
                  </w:r>
                </w:p>
              </w:tc>
              <w:tc>
                <w:tcPr>
                  <w:tcW w:w="895" w:type="pct"/>
                  <w:vAlign w:val="center"/>
                </w:tcPr>
                <w:p>
                  <w:pPr>
                    <w:jc w:val="center"/>
                    <w:rPr>
                      <w:szCs w:val="21"/>
                    </w:rPr>
                  </w:pPr>
                  <w:r>
                    <w:rPr>
                      <w:szCs w:val="21"/>
                    </w:rPr>
                    <w:t>是</w:t>
                  </w:r>
                </w:p>
              </w:tc>
              <w:tc>
                <w:tcPr>
                  <w:tcW w:w="841" w:type="pct"/>
                  <w:vAlign w:val="center"/>
                </w:tcPr>
                <w:p>
                  <w:pPr>
                    <w:jc w:val="center"/>
                    <w:rPr>
                      <w:szCs w:val="21"/>
                    </w:rPr>
                  </w:pPr>
                  <w:r>
                    <w:rPr>
                      <w:szCs w:val="21"/>
                    </w:rPr>
                    <w:t>是</w:t>
                  </w:r>
                </w:p>
              </w:tc>
              <w:tc>
                <w:tcPr>
                  <w:tcW w:w="934" w:type="pct"/>
                  <w:vAlign w:val="center"/>
                </w:tcPr>
                <w:p>
                  <w:pPr>
                    <w:jc w:val="center"/>
                    <w:rPr>
                      <w:szCs w:val="21"/>
                    </w:rPr>
                  </w:pPr>
                  <w:r>
                    <w:rPr>
                      <w:szCs w:val="21"/>
                    </w:rPr>
                    <w:t>2500</w:t>
                  </w:r>
                </w:p>
              </w:tc>
            </w:tr>
          </w:tbl>
          <w:p>
            <w:pPr>
              <w:spacing w:line="360" w:lineRule="auto"/>
              <w:ind w:firstLine="240" w:firstLineChars="100"/>
              <w:rPr>
                <w:sz w:val="24"/>
              </w:rPr>
            </w:pPr>
            <w:r>
              <w:rPr>
                <w:sz w:val="24"/>
              </w:rPr>
              <w:t>理化性质见下表。</w:t>
            </w:r>
          </w:p>
          <w:p>
            <w:pPr>
              <w:spacing w:before="156" w:beforeLines="50" w:line="360" w:lineRule="auto"/>
              <w:jc w:val="center"/>
              <w:rPr>
                <w:b/>
                <w:bCs/>
                <w:sz w:val="24"/>
              </w:rPr>
            </w:pPr>
            <w:r>
              <w:rPr>
                <w:b/>
                <w:bCs/>
                <w:sz w:val="24"/>
              </w:rPr>
              <w:t>表4-14  甲烷理化性质表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01"/>
              <w:gridCol w:w="689"/>
              <w:gridCol w:w="3338"/>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237" w:type="pct"/>
                  <w:vMerge w:val="restart"/>
                  <w:vAlign w:val="center"/>
                </w:tcPr>
                <w:p>
                  <w:pPr>
                    <w:jc w:val="center"/>
                    <w:rPr>
                      <w:szCs w:val="21"/>
                    </w:rPr>
                  </w:pPr>
                  <w:r>
                    <w:rPr>
                      <w:szCs w:val="21"/>
                    </w:rPr>
                    <w:t>标识</w:t>
                  </w:r>
                </w:p>
              </w:tc>
              <w:tc>
                <w:tcPr>
                  <w:tcW w:w="1019" w:type="pct"/>
                  <w:vAlign w:val="center"/>
                </w:tcPr>
                <w:p>
                  <w:pPr>
                    <w:jc w:val="center"/>
                    <w:rPr>
                      <w:szCs w:val="21"/>
                    </w:rPr>
                  </w:pPr>
                  <w:r>
                    <w:rPr>
                      <w:szCs w:val="21"/>
                    </w:rPr>
                    <w:t>中文名</w:t>
                  </w:r>
                </w:p>
              </w:tc>
              <w:tc>
                <w:tcPr>
                  <w:tcW w:w="135" w:type="pct"/>
                  <w:vAlign w:val="center"/>
                </w:tcPr>
                <w:p>
                  <w:pPr>
                    <w:jc w:val="center"/>
                    <w:rPr>
                      <w:szCs w:val="21"/>
                    </w:rPr>
                  </w:pPr>
                  <w:r>
                    <w:rPr>
                      <w:szCs w:val="21"/>
                    </w:rPr>
                    <w:t>甲烷</w:t>
                  </w:r>
                </w:p>
              </w:tc>
              <w:tc>
                <w:tcPr>
                  <w:tcW w:w="2025" w:type="pct"/>
                  <w:vAlign w:val="center"/>
                </w:tcPr>
                <w:p>
                  <w:pPr>
                    <w:jc w:val="center"/>
                    <w:rPr>
                      <w:szCs w:val="21"/>
                    </w:rPr>
                  </w:pPr>
                  <w:r>
                    <w:rPr>
                      <w:szCs w:val="21"/>
                    </w:rPr>
                    <w:t>英文名</w:t>
                  </w:r>
                </w:p>
              </w:tc>
              <w:tc>
                <w:tcPr>
                  <w:tcW w:w="1584" w:type="pct"/>
                  <w:vAlign w:val="center"/>
                </w:tcPr>
                <w:p>
                  <w:pPr>
                    <w:jc w:val="center"/>
                    <w:rPr>
                      <w:szCs w:val="21"/>
                    </w:rPr>
                  </w:pPr>
                  <w:r>
                    <w:rPr>
                      <w:szCs w:val="21"/>
                    </w:rPr>
                    <w:t>Methane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7" w:type="pct"/>
                  <w:vMerge w:val="continue"/>
                  <w:vAlign w:val="center"/>
                </w:tcPr>
                <w:p>
                  <w:pPr>
                    <w:rPr>
                      <w:szCs w:val="21"/>
                    </w:rPr>
                  </w:pPr>
                </w:p>
              </w:tc>
              <w:tc>
                <w:tcPr>
                  <w:tcW w:w="1019" w:type="pct"/>
                  <w:vAlign w:val="center"/>
                </w:tcPr>
                <w:p>
                  <w:pPr>
                    <w:jc w:val="center"/>
                    <w:rPr>
                      <w:szCs w:val="21"/>
                    </w:rPr>
                  </w:pPr>
                  <w:r>
                    <w:rPr>
                      <w:szCs w:val="21"/>
                    </w:rPr>
                    <w:t>分子式</w:t>
                  </w:r>
                </w:p>
              </w:tc>
              <w:tc>
                <w:tcPr>
                  <w:tcW w:w="135" w:type="pct"/>
                  <w:vAlign w:val="center"/>
                </w:tcPr>
                <w:p>
                  <w:pPr>
                    <w:jc w:val="center"/>
                    <w:rPr>
                      <w:szCs w:val="21"/>
                    </w:rPr>
                  </w:pPr>
                  <w:r>
                    <w:rPr>
                      <w:szCs w:val="21"/>
                    </w:rPr>
                    <w:t>CH</w:t>
                  </w:r>
                  <w:r>
                    <w:rPr>
                      <w:szCs w:val="21"/>
                      <w:vertAlign w:val="subscript"/>
                    </w:rPr>
                    <w:t>4</w:t>
                  </w:r>
                </w:p>
              </w:tc>
              <w:tc>
                <w:tcPr>
                  <w:tcW w:w="2025" w:type="pct"/>
                  <w:vAlign w:val="center"/>
                </w:tcPr>
                <w:p>
                  <w:pPr>
                    <w:jc w:val="center"/>
                    <w:rPr>
                      <w:szCs w:val="21"/>
                    </w:rPr>
                  </w:pPr>
                  <w:r>
                    <w:rPr>
                      <w:szCs w:val="21"/>
                    </w:rPr>
                    <w:t>危规号</w:t>
                  </w:r>
                </w:p>
              </w:tc>
              <w:tc>
                <w:tcPr>
                  <w:tcW w:w="1584"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7" w:type="pct"/>
                  <w:vMerge w:val="continue"/>
                  <w:vAlign w:val="center"/>
                </w:tcPr>
                <w:p>
                  <w:pPr>
                    <w:rPr>
                      <w:szCs w:val="21"/>
                    </w:rPr>
                  </w:pPr>
                </w:p>
              </w:tc>
              <w:tc>
                <w:tcPr>
                  <w:tcW w:w="1019" w:type="pct"/>
                  <w:vAlign w:val="center"/>
                </w:tcPr>
                <w:p>
                  <w:pPr>
                    <w:jc w:val="center"/>
                    <w:rPr>
                      <w:szCs w:val="21"/>
                    </w:rPr>
                  </w:pPr>
                  <w:r>
                    <w:rPr>
                      <w:szCs w:val="21"/>
                    </w:rPr>
                    <w:t>分子量</w:t>
                  </w:r>
                </w:p>
              </w:tc>
              <w:tc>
                <w:tcPr>
                  <w:tcW w:w="135" w:type="pct"/>
                  <w:vAlign w:val="center"/>
                </w:tcPr>
                <w:p>
                  <w:pPr>
                    <w:jc w:val="center"/>
                    <w:rPr>
                      <w:szCs w:val="21"/>
                    </w:rPr>
                  </w:pPr>
                  <w:r>
                    <w:rPr>
                      <w:szCs w:val="21"/>
                    </w:rPr>
                    <w:t>16.04</w:t>
                  </w:r>
                </w:p>
              </w:tc>
              <w:tc>
                <w:tcPr>
                  <w:tcW w:w="2025" w:type="pct"/>
                  <w:vAlign w:val="center"/>
                </w:tcPr>
                <w:p>
                  <w:pPr>
                    <w:jc w:val="center"/>
                    <w:rPr>
                      <w:szCs w:val="21"/>
                    </w:rPr>
                  </w:pPr>
                  <w:r>
                    <w:rPr>
                      <w:szCs w:val="21"/>
                    </w:rPr>
                    <w:t>危险性类别</w:t>
                  </w:r>
                </w:p>
              </w:tc>
              <w:tc>
                <w:tcPr>
                  <w:tcW w:w="1584"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7" w:type="pct"/>
                  <w:vMerge w:val="restart"/>
                  <w:vAlign w:val="center"/>
                </w:tcPr>
                <w:p>
                  <w:pPr>
                    <w:jc w:val="center"/>
                    <w:rPr>
                      <w:szCs w:val="21"/>
                    </w:rPr>
                  </w:pPr>
                  <w:r>
                    <w:rPr>
                      <w:szCs w:val="21"/>
                    </w:rPr>
                    <w:t>理化特性</w:t>
                  </w:r>
                </w:p>
              </w:tc>
              <w:tc>
                <w:tcPr>
                  <w:tcW w:w="1019" w:type="pct"/>
                  <w:vAlign w:val="center"/>
                </w:tcPr>
                <w:p>
                  <w:pPr>
                    <w:jc w:val="center"/>
                    <w:rPr>
                      <w:szCs w:val="21"/>
                    </w:rPr>
                  </w:pPr>
                  <w:r>
                    <w:rPr>
                      <w:szCs w:val="21"/>
                    </w:rPr>
                    <w:t>熔点（℃）</w:t>
                  </w:r>
                </w:p>
              </w:tc>
              <w:tc>
                <w:tcPr>
                  <w:tcW w:w="135" w:type="pct"/>
                  <w:vAlign w:val="center"/>
                </w:tcPr>
                <w:p>
                  <w:pPr>
                    <w:jc w:val="center"/>
                    <w:rPr>
                      <w:szCs w:val="21"/>
                    </w:rPr>
                  </w:pPr>
                  <w:r>
                    <w:rPr>
                      <w:szCs w:val="21"/>
                    </w:rPr>
                    <w:t>-183</w:t>
                  </w:r>
                </w:p>
              </w:tc>
              <w:tc>
                <w:tcPr>
                  <w:tcW w:w="2025" w:type="pct"/>
                  <w:vAlign w:val="center"/>
                </w:tcPr>
                <w:p>
                  <w:pPr>
                    <w:jc w:val="center"/>
                    <w:rPr>
                      <w:szCs w:val="21"/>
                    </w:rPr>
                  </w:pPr>
                  <w:r>
                    <w:rPr>
                      <w:szCs w:val="21"/>
                    </w:rPr>
                    <w:t>沸点（℃）</w:t>
                  </w:r>
                </w:p>
              </w:tc>
              <w:tc>
                <w:tcPr>
                  <w:tcW w:w="1584" w:type="pct"/>
                  <w:vAlign w:val="center"/>
                </w:tcPr>
                <w:p>
                  <w:pPr>
                    <w:jc w:val="center"/>
                    <w:rPr>
                      <w:szCs w:val="21"/>
                    </w:rPr>
                  </w:pPr>
                  <w:r>
                    <w:rPr>
                      <w:szCs w:val="21"/>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7" w:type="pct"/>
                  <w:vMerge w:val="continue"/>
                  <w:vAlign w:val="center"/>
                </w:tcPr>
                <w:p>
                  <w:pPr>
                    <w:rPr>
                      <w:szCs w:val="21"/>
                    </w:rPr>
                  </w:pPr>
                </w:p>
              </w:tc>
              <w:tc>
                <w:tcPr>
                  <w:tcW w:w="1019" w:type="pct"/>
                  <w:vAlign w:val="center"/>
                </w:tcPr>
                <w:p>
                  <w:pPr>
                    <w:jc w:val="center"/>
                    <w:rPr>
                      <w:szCs w:val="21"/>
                    </w:rPr>
                  </w:pPr>
                  <w:r>
                    <w:rPr>
                      <w:szCs w:val="21"/>
                    </w:rPr>
                    <w:t>燃烧热（kJ/mol）</w:t>
                  </w:r>
                </w:p>
              </w:tc>
              <w:tc>
                <w:tcPr>
                  <w:tcW w:w="135" w:type="pct"/>
                  <w:vAlign w:val="center"/>
                </w:tcPr>
                <w:p>
                  <w:pPr>
                    <w:jc w:val="center"/>
                    <w:rPr>
                      <w:szCs w:val="21"/>
                    </w:rPr>
                  </w:pPr>
                  <w:r>
                    <w:rPr>
                      <w:szCs w:val="21"/>
                    </w:rPr>
                    <w:t>/</w:t>
                  </w:r>
                </w:p>
              </w:tc>
              <w:tc>
                <w:tcPr>
                  <w:tcW w:w="2025" w:type="pct"/>
                  <w:vAlign w:val="center"/>
                </w:tcPr>
                <w:p>
                  <w:pPr>
                    <w:jc w:val="center"/>
                    <w:rPr>
                      <w:szCs w:val="21"/>
                    </w:rPr>
                  </w:pPr>
                  <w:r>
                    <w:rPr>
                      <w:szCs w:val="21"/>
                    </w:rPr>
                    <w:t>饱和蒸汽压（kPa）</w:t>
                  </w:r>
                </w:p>
              </w:tc>
              <w:tc>
                <w:tcPr>
                  <w:tcW w:w="1584"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7" w:type="pct"/>
                  <w:vMerge w:val="continue"/>
                  <w:vAlign w:val="center"/>
                </w:tcPr>
                <w:p>
                  <w:pPr>
                    <w:rPr>
                      <w:szCs w:val="21"/>
                    </w:rPr>
                  </w:pPr>
                </w:p>
              </w:tc>
              <w:tc>
                <w:tcPr>
                  <w:tcW w:w="1019" w:type="pct"/>
                  <w:vAlign w:val="center"/>
                </w:tcPr>
                <w:p>
                  <w:pPr>
                    <w:jc w:val="center"/>
                    <w:rPr>
                      <w:szCs w:val="21"/>
                    </w:rPr>
                  </w:pPr>
                  <w:r>
                    <w:rPr>
                      <w:szCs w:val="21"/>
                    </w:rPr>
                    <w:t>相对密度</w:t>
                  </w:r>
                </w:p>
              </w:tc>
              <w:tc>
                <w:tcPr>
                  <w:tcW w:w="3744" w:type="pct"/>
                  <w:gridSpan w:val="3"/>
                  <w:vAlign w:val="center"/>
                </w:tcPr>
                <w:p>
                  <w:pPr>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7" w:type="pct"/>
                  <w:vMerge w:val="continue"/>
                  <w:vAlign w:val="center"/>
                </w:tcPr>
                <w:p>
                  <w:pPr>
                    <w:rPr>
                      <w:szCs w:val="21"/>
                    </w:rPr>
                  </w:pPr>
                </w:p>
              </w:tc>
              <w:tc>
                <w:tcPr>
                  <w:tcW w:w="1019" w:type="pct"/>
                  <w:vAlign w:val="center"/>
                </w:tcPr>
                <w:p>
                  <w:pPr>
                    <w:jc w:val="center"/>
                    <w:rPr>
                      <w:szCs w:val="21"/>
                    </w:rPr>
                  </w:pPr>
                  <w:r>
                    <w:rPr>
                      <w:szCs w:val="21"/>
                    </w:rPr>
                    <w:t>外观性状</w:t>
                  </w:r>
                </w:p>
              </w:tc>
              <w:tc>
                <w:tcPr>
                  <w:tcW w:w="3744" w:type="pct"/>
                  <w:gridSpan w:val="3"/>
                  <w:vAlign w:val="center"/>
                </w:tcPr>
                <w:p>
                  <w:pPr>
                    <w:jc w:val="center"/>
                    <w:rPr>
                      <w:szCs w:val="21"/>
                    </w:rPr>
                  </w:pPr>
                  <w:r>
                    <w:rPr>
                      <w:szCs w:val="21"/>
                    </w:rPr>
                    <w:t>无色无臭可燃性气体。 微溶于水，溶于乙醇、乙醚等有机溶剂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7" w:type="pct"/>
                  <w:vMerge w:val="continue"/>
                  <w:vAlign w:val="center"/>
                </w:tcPr>
                <w:p>
                  <w:pPr>
                    <w:rPr>
                      <w:szCs w:val="21"/>
                    </w:rPr>
                  </w:pPr>
                </w:p>
              </w:tc>
              <w:tc>
                <w:tcPr>
                  <w:tcW w:w="1019" w:type="pct"/>
                  <w:vAlign w:val="center"/>
                </w:tcPr>
                <w:p>
                  <w:pPr>
                    <w:jc w:val="center"/>
                    <w:rPr>
                      <w:szCs w:val="21"/>
                    </w:rPr>
                  </w:pPr>
                  <w:r>
                    <w:rPr>
                      <w:szCs w:val="21"/>
                    </w:rPr>
                    <w:t>溶解性</w:t>
                  </w:r>
                </w:p>
              </w:tc>
              <w:tc>
                <w:tcPr>
                  <w:tcW w:w="3744" w:type="pct"/>
                  <w:gridSpan w:val="3"/>
                  <w:vAlign w:val="center"/>
                </w:tcPr>
                <w:p>
                  <w:pPr>
                    <w:jc w:val="center"/>
                    <w:rPr>
                      <w:szCs w:val="21"/>
                    </w:rPr>
                  </w:pPr>
                  <w:r>
                    <w:rPr>
                      <w:szCs w:val="21"/>
                    </w:rPr>
                    <w:t>极难溶于水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7" w:type="pct"/>
                  <w:vMerge w:val="continue"/>
                  <w:vAlign w:val="center"/>
                </w:tcPr>
                <w:p>
                  <w:pPr>
                    <w:rPr>
                      <w:szCs w:val="21"/>
                    </w:rPr>
                  </w:pPr>
                </w:p>
              </w:tc>
              <w:tc>
                <w:tcPr>
                  <w:tcW w:w="1019" w:type="pct"/>
                  <w:vAlign w:val="center"/>
                </w:tcPr>
                <w:p>
                  <w:pPr>
                    <w:jc w:val="center"/>
                    <w:rPr>
                      <w:szCs w:val="21"/>
                    </w:rPr>
                  </w:pPr>
                  <w:r>
                    <w:rPr>
                      <w:szCs w:val="21"/>
                    </w:rPr>
                    <w:t>稳定性</w:t>
                  </w:r>
                </w:p>
              </w:tc>
              <w:tc>
                <w:tcPr>
                  <w:tcW w:w="135" w:type="pct"/>
                  <w:vAlign w:val="center"/>
                </w:tcPr>
                <w:p>
                  <w:pPr>
                    <w:jc w:val="center"/>
                    <w:rPr>
                      <w:szCs w:val="21"/>
                    </w:rPr>
                  </w:pPr>
                  <w:r>
                    <w:rPr>
                      <w:szCs w:val="21"/>
                    </w:rPr>
                    <w:t>稳定</w:t>
                  </w:r>
                </w:p>
              </w:tc>
              <w:tc>
                <w:tcPr>
                  <w:tcW w:w="2025" w:type="pct"/>
                  <w:vAlign w:val="center"/>
                </w:tcPr>
                <w:p>
                  <w:pPr>
                    <w:jc w:val="center"/>
                    <w:rPr>
                      <w:szCs w:val="21"/>
                    </w:rPr>
                  </w:pPr>
                  <w:r>
                    <w:rPr>
                      <w:szCs w:val="21"/>
                    </w:rPr>
                    <w:t>避免接触的条件</w:t>
                  </w:r>
                </w:p>
              </w:tc>
              <w:tc>
                <w:tcPr>
                  <w:tcW w:w="1584"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7" w:type="pct"/>
                  <w:vMerge w:val="continue"/>
                  <w:vAlign w:val="center"/>
                </w:tcPr>
                <w:p>
                  <w:pPr>
                    <w:rPr>
                      <w:szCs w:val="21"/>
                    </w:rPr>
                  </w:pPr>
                </w:p>
              </w:tc>
              <w:tc>
                <w:tcPr>
                  <w:tcW w:w="1019" w:type="pct"/>
                  <w:vAlign w:val="center"/>
                </w:tcPr>
                <w:p>
                  <w:pPr>
                    <w:jc w:val="center"/>
                    <w:rPr>
                      <w:szCs w:val="21"/>
                    </w:rPr>
                  </w:pPr>
                  <w:r>
                    <w:rPr>
                      <w:szCs w:val="21"/>
                    </w:rPr>
                    <w:t>禁配物</w:t>
                  </w:r>
                </w:p>
              </w:tc>
              <w:tc>
                <w:tcPr>
                  <w:tcW w:w="135" w:type="pct"/>
                  <w:vAlign w:val="center"/>
                </w:tcPr>
                <w:p>
                  <w:pPr>
                    <w:jc w:val="center"/>
                    <w:rPr>
                      <w:szCs w:val="21"/>
                    </w:rPr>
                  </w:pPr>
                  <w:r>
                    <w:rPr>
                      <w:szCs w:val="21"/>
                    </w:rPr>
                    <w:t>/</w:t>
                  </w:r>
                </w:p>
              </w:tc>
              <w:tc>
                <w:tcPr>
                  <w:tcW w:w="2025" w:type="pct"/>
                  <w:vAlign w:val="center"/>
                </w:tcPr>
                <w:p>
                  <w:pPr>
                    <w:jc w:val="center"/>
                    <w:rPr>
                      <w:szCs w:val="21"/>
                    </w:rPr>
                  </w:pPr>
                  <w:r>
                    <w:rPr>
                      <w:szCs w:val="21"/>
                    </w:rPr>
                    <w:t>燃烧产物</w:t>
                  </w:r>
                </w:p>
              </w:tc>
              <w:tc>
                <w:tcPr>
                  <w:tcW w:w="1584"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7" w:type="pct"/>
                  <w:vMerge w:val="restart"/>
                  <w:vAlign w:val="center"/>
                </w:tcPr>
                <w:p>
                  <w:pPr>
                    <w:jc w:val="center"/>
                    <w:rPr>
                      <w:szCs w:val="21"/>
                    </w:rPr>
                  </w:pPr>
                  <w:r>
                    <w:rPr>
                      <w:szCs w:val="21"/>
                    </w:rPr>
                    <w:t>燃爆特性</w:t>
                  </w:r>
                </w:p>
              </w:tc>
              <w:tc>
                <w:tcPr>
                  <w:tcW w:w="1019" w:type="pct"/>
                  <w:vAlign w:val="center"/>
                </w:tcPr>
                <w:p>
                  <w:pPr>
                    <w:jc w:val="center"/>
                    <w:rPr>
                      <w:szCs w:val="21"/>
                    </w:rPr>
                  </w:pPr>
                  <w:r>
                    <w:rPr>
                      <w:szCs w:val="21"/>
                    </w:rPr>
                    <w:t>燃烧性</w:t>
                  </w:r>
                </w:p>
              </w:tc>
              <w:tc>
                <w:tcPr>
                  <w:tcW w:w="135" w:type="pct"/>
                  <w:vAlign w:val="center"/>
                </w:tcPr>
                <w:p>
                  <w:pPr>
                    <w:jc w:val="center"/>
                    <w:rPr>
                      <w:szCs w:val="21"/>
                    </w:rPr>
                  </w:pPr>
                  <w:r>
                    <w:rPr>
                      <w:szCs w:val="21"/>
                    </w:rPr>
                    <w:t>/</w:t>
                  </w:r>
                </w:p>
              </w:tc>
              <w:tc>
                <w:tcPr>
                  <w:tcW w:w="2025" w:type="pct"/>
                  <w:vAlign w:val="center"/>
                </w:tcPr>
                <w:p>
                  <w:pPr>
                    <w:jc w:val="center"/>
                    <w:rPr>
                      <w:szCs w:val="21"/>
                    </w:rPr>
                  </w:pPr>
                  <w:r>
                    <w:rPr>
                      <w:szCs w:val="21"/>
                    </w:rPr>
                    <w:t>建规火险分级</w:t>
                  </w:r>
                </w:p>
              </w:tc>
              <w:tc>
                <w:tcPr>
                  <w:tcW w:w="1584"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7" w:type="pct"/>
                  <w:vMerge w:val="continue"/>
                  <w:vAlign w:val="center"/>
                </w:tcPr>
                <w:p>
                  <w:pPr>
                    <w:rPr>
                      <w:szCs w:val="21"/>
                    </w:rPr>
                  </w:pPr>
                </w:p>
              </w:tc>
              <w:tc>
                <w:tcPr>
                  <w:tcW w:w="1019" w:type="pct"/>
                  <w:vAlign w:val="center"/>
                </w:tcPr>
                <w:p>
                  <w:pPr>
                    <w:jc w:val="center"/>
                    <w:rPr>
                      <w:szCs w:val="21"/>
                    </w:rPr>
                  </w:pPr>
                  <w:r>
                    <w:rPr>
                      <w:szCs w:val="21"/>
                    </w:rPr>
                    <w:t>闪点（℃）</w:t>
                  </w:r>
                </w:p>
              </w:tc>
              <w:tc>
                <w:tcPr>
                  <w:tcW w:w="135" w:type="pct"/>
                  <w:vAlign w:val="center"/>
                </w:tcPr>
                <w:p>
                  <w:pPr>
                    <w:jc w:val="center"/>
                    <w:rPr>
                      <w:szCs w:val="21"/>
                    </w:rPr>
                  </w:pPr>
                  <w:r>
                    <w:rPr>
                      <w:szCs w:val="21"/>
                    </w:rPr>
                    <w:t>-188</w:t>
                  </w:r>
                </w:p>
              </w:tc>
              <w:tc>
                <w:tcPr>
                  <w:tcW w:w="2025" w:type="pct"/>
                  <w:vAlign w:val="center"/>
                </w:tcPr>
                <w:p>
                  <w:pPr>
                    <w:jc w:val="center"/>
                    <w:rPr>
                      <w:szCs w:val="21"/>
                    </w:rPr>
                  </w:pPr>
                  <w:r>
                    <w:rPr>
                      <w:szCs w:val="21"/>
                    </w:rPr>
                    <w:t>引燃温度（℃）</w:t>
                  </w:r>
                </w:p>
              </w:tc>
              <w:tc>
                <w:tcPr>
                  <w:tcW w:w="1584"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7" w:type="pct"/>
                  <w:vMerge w:val="continue"/>
                  <w:vAlign w:val="center"/>
                </w:tcPr>
                <w:p>
                  <w:pPr>
                    <w:rPr>
                      <w:szCs w:val="21"/>
                    </w:rPr>
                  </w:pPr>
                </w:p>
              </w:tc>
              <w:tc>
                <w:tcPr>
                  <w:tcW w:w="1019" w:type="pct"/>
                  <w:vAlign w:val="center"/>
                </w:tcPr>
                <w:p>
                  <w:pPr>
                    <w:rPr>
                      <w:szCs w:val="21"/>
                    </w:rPr>
                  </w:pPr>
                  <w:r>
                    <w:rPr>
                      <w:szCs w:val="21"/>
                    </w:rPr>
                    <w:t>爆炸上限（V%）</w:t>
                  </w:r>
                </w:p>
              </w:tc>
              <w:tc>
                <w:tcPr>
                  <w:tcW w:w="135" w:type="pct"/>
                  <w:vAlign w:val="center"/>
                </w:tcPr>
                <w:p>
                  <w:pPr>
                    <w:jc w:val="center"/>
                    <w:rPr>
                      <w:szCs w:val="21"/>
                    </w:rPr>
                  </w:pPr>
                  <w:r>
                    <w:rPr>
                      <w:szCs w:val="21"/>
                    </w:rPr>
                    <w:t>15.4</w:t>
                  </w:r>
                </w:p>
              </w:tc>
              <w:tc>
                <w:tcPr>
                  <w:tcW w:w="2025" w:type="pct"/>
                  <w:vAlign w:val="center"/>
                </w:tcPr>
                <w:p>
                  <w:pPr>
                    <w:rPr>
                      <w:szCs w:val="21"/>
                    </w:rPr>
                  </w:pPr>
                  <w:r>
                    <w:rPr>
                      <w:szCs w:val="21"/>
                    </w:rPr>
                    <w:t>爆炸下限（V%）</w:t>
                  </w:r>
                </w:p>
              </w:tc>
              <w:tc>
                <w:tcPr>
                  <w:tcW w:w="1584" w:type="pct"/>
                  <w:vAlign w:val="center"/>
                </w:tcPr>
                <w:p>
                  <w:pPr>
                    <w:jc w:val="center"/>
                    <w:rPr>
                      <w:szCs w:val="21"/>
                    </w:rPr>
                  </w:pPr>
                  <w:r>
                    <w:rPr>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7" w:type="pct"/>
                  <w:vMerge w:val="continue"/>
                  <w:vAlign w:val="center"/>
                </w:tcPr>
                <w:p>
                  <w:pPr>
                    <w:rPr>
                      <w:szCs w:val="21"/>
                    </w:rPr>
                  </w:pPr>
                </w:p>
              </w:tc>
              <w:tc>
                <w:tcPr>
                  <w:tcW w:w="1019" w:type="pct"/>
                  <w:vAlign w:val="center"/>
                </w:tcPr>
                <w:p>
                  <w:pPr>
                    <w:jc w:val="center"/>
                    <w:rPr>
                      <w:szCs w:val="21"/>
                    </w:rPr>
                  </w:pPr>
                  <w:r>
                    <w:rPr>
                      <w:szCs w:val="21"/>
                    </w:rPr>
                    <w:t>危险特性</w:t>
                  </w:r>
                </w:p>
              </w:tc>
              <w:tc>
                <w:tcPr>
                  <w:tcW w:w="3744" w:type="pct"/>
                  <w:gridSpan w:val="3"/>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237" w:type="pct"/>
                  <w:vMerge w:val="continue"/>
                  <w:vAlign w:val="center"/>
                </w:tcPr>
                <w:p>
                  <w:pPr>
                    <w:rPr>
                      <w:szCs w:val="21"/>
                    </w:rPr>
                  </w:pPr>
                </w:p>
              </w:tc>
              <w:tc>
                <w:tcPr>
                  <w:tcW w:w="1019" w:type="pct"/>
                  <w:vAlign w:val="center"/>
                </w:tcPr>
                <w:p>
                  <w:pPr>
                    <w:jc w:val="center"/>
                    <w:rPr>
                      <w:szCs w:val="21"/>
                    </w:rPr>
                  </w:pPr>
                  <w:r>
                    <w:rPr>
                      <w:szCs w:val="21"/>
                    </w:rPr>
                    <w:t>灭火方法</w:t>
                  </w:r>
                </w:p>
              </w:tc>
              <w:tc>
                <w:tcPr>
                  <w:tcW w:w="3744" w:type="pct"/>
                  <w:gridSpan w:val="3"/>
                  <w:vAlign w:val="center"/>
                </w:tcPr>
                <w:p>
                  <w:pPr>
                    <w:jc w:val="left"/>
                    <w:rPr>
                      <w:szCs w:val="21"/>
                    </w:rPr>
                  </w:pPr>
                  <w:r>
                    <w:rPr>
                      <w:szCs w:val="21"/>
                    </w:rPr>
                    <w:t xml:space="preserve">  切断气源。若不能立即切断气源，则不允许熄灭正在燃烧的气体。喷水冷却容器，可能的话将容器从火场移至空旷处。</w:t>
                  </w:r>
                </w:p>
                <w:p>
                  <w:pPr>
                    <w:ind w:firstLine="420" w:firstLineChars="200"/>
                    <w:jc w:val="left"/>
                    <w:rPr>
                      <w:szCs w:val="21"/>
                    </w:rPr>
                  </w:pPr>
                  <w:r>
                    <w:rPr>
                      <w:szCs w:val="21"/>
                    </w:rPr>
                    <w:t>灭火剂：雾状水、泡沫、二氧化碳、干粉。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7" w:type="pct"/>
                  <w:vMerge w:val="restart"/>
                  <w:vAlign w:val="center"/>
                </w:tcPr>
                <w:p>
                  <w:pPr>
                    <w:jc w:val="center"/>
                    <w:rPr>
                      <w:szCs w:val="21"/>
                    </w:rPr>
                  </w:pPr>
                  <w:r>
                    <w:rPr>
                      <w:szCs w:val="21"/>
                    </w:rPr>
                    <w:t>毒性及健康危害</w:t>
                  </w:r>
                </w:p>
              </w:tc>
              <w:tc>
                <w:tcPr>
                  <w:tcW w:w="1019" w:type="pct"/>
                  <w:vAlign w:val="center"/>
                </w:tcPr>
                <w:p>
                  <w:pPr>
                    <w:jc w:val="center"/>
                    <w:rPr>
                      <w:szCs w:val="21"/>
                    </w:rPr>
                  </w:pPr>
                  <w:r>
                    <w:rPr>
                      <w:szCs w:val="21"/>
                    </w:rPr>
                    <w:t>侵入途径</w:t>
                  </w:r>
                </w:p>
              </w:tc>
              <w:tc>
                <w:tcPr>
                  <w:tcW w:w="3744" w:type="pct"/>
                  <w:gridSpan w:val="3"/>
                  <w:vAlign w:val="center"/>
                </w:tcPr>
                <w:p>
                  <w:pPr>
                    <w:jc w:val="center"/>
                    <w:rPr>
                      <w:szCs w:val="21"/>
                    </w:rPr>
                  </w:pPr>
                  <w:r>
                    <w:rPr>
                      <w:szCs w:val="21"/>
                    </w:rPr>
                    <w:t>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7" w:type="pct"/>
                  <w:vMerge w:val="continue"/>
                  <w:vAlign w:val="center"/>
                </w:tcPr>
                <w:p>
                  <w:pPr>
                    <w:rPr>
                      <w:szCs w:val="21"/>
                    </w:rPr>
                  </w:pPr>
                </w:p>
              </w:tc>
              <w:tc>
                <w:tcPr>
                  <w:tcW w:w="1019" w:type="pct"/>
                  <w:vAlign w:val="center"/>
                </w:tcPr>
                <w:p>
                  <w:pPr>
                    <w:jc w:val="center"/>
                    <w:rPr>
                      <w:szCs w:val="21"/>
                    </w:rPr>
                  </w:pPr>
                  <w:r>
                    <w:rPr>
                      <w:szCs w:val="21"/>
                    </w:rPr>
                    <w:t>急性毒性</w:t>
                  </w:r>
                </w:p>
              </w:tc>
              <w:tc>
                <w:tcPr>
                  <w:tcW w:w="3744" w:type="pct"/>
                  <w:gridSpan w:val="3"/>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237" w:type="pct"/>
                  <w:vMerge w:val="continue"/>
                  <w:vAlign w:val="center"/>
                </w:tcPr>
                <w:p>
                  <w:pPr>
                    <w:rPr>
                      <w:szCs w:val="21"/>
                    </w:rPr>
                  </w:pPr>
                </w:p>
              </w:tc>
              <w:tc>
                <w:tcPr>
                  <w:tcW w:w="1019" w:type="pct"/>
                  <w:vAlign w:val="center"/>
                </w:tcPr>
                <w:p>
                  <w:pPr>
                    <w:jc w:val="center"/>
                    <w:rPr>
                      <w:szCs w:val="21"/>
                    </w:rPr>
                  </w:pPr>
                  <w:r>
                    <w:rPr>
                      <w:szCs w:val="21"/>
                    </w:rPr>
                    <w:t>健康危害</w:t>
                  </w:r>
                </w:p>
              </w:tc>
              <w:tc>
                <w:tcPr>
                  <w:tcW w:w="3744" w:type="pct"/>
                  <w:gridSpan w:val="3"/>
                  <w:vAlign w:val="center"/>
                </w:tcPr>
                <w:p>
                  <w:pPr>
                    <w:ind w:firstLine="420" w:firstLineChars="200"/>
                    <w:rPr>
                      <w:szCs w:val="21"/>
                    </w:rPr>
                  </w:pPr>
                  <w:r>
                    <w:rPr>
                      <w:szCs w:val="21"/>
                    </w:rPr>
                    <w:t>甲烷对人基本无毒，但浓度过高时，使空气中氧含量明显降低，使人窒息。当空气中甲烷达25%</w:t>
                  </w:r>
                  <w:r>
                    <w:rPr>
                      <w:rFonts w:hint="eastAsia"/>
                      <w:szCs w:val="21"/>
                    </w:rPr>
                    <w:t>—</w:t>
                  </w:r>
                  <w:r>
                    <w:rPr>
                      <w:szCs w:val="21"/>
                    </w:rPr>
                    <w:t>30%时，可引起头痛、头晕、乏力、注意力不集中、呼吸和心跳加速、共济失调。若不及时远离，可致窒息死亡。皮肤接触液化的甲烷，可致冻伤。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237" w:type="pct"/>
                  <w:vAlign w:val="center"/>
                </w:tcPr>
                <w:p>
                  <w:pPr>
                    <w:jc w:val="center"/>
                    <w:rPr>
                      <w:szCs w:val="21"/>
                    </w:rPr>
                  </w:pPr>
                  <w:r>
                    <w:rPr>
                      <w:szCs w:val="21"/>
                    </w:rPr>
                    <w:t>泄漏处置</w:t>
                  </w:r>
                </w:p>
              </w:tc>
              <w:tc>
                <w:tcPr>
                  <w:tcW w:w="4763" w:type="pct"/>
                  <w:gridSpan w:val="4"/>
                  <w:vAlign w:val="center"/>
                </w:tcPr>
                <w:p>
                  <w:pPr>
                    <w:ind w:firstLine="420" w:firstLineChars="200"/>
                    <w:rPr>
                      <w:szCs w:val="21"/>
                    </w:rPr>
                  </w:pPr>
                  <w:r>
                    <w:rPr>
                      <w:szCs w:val="21"/>
                    </w:rPr>
                    <w:t>迅速撤离泄漏污染区人员至上风处，并进行隔离，严格限制出入。切断火源。建议应急处理人员戴自给正压式呼吸器，穿消防防护服。尽可能切断泄漏源。合理通风，加速扩散。喷雾状水稀释、溶解。构筑围堤或挖坑收容产生的大量废水。如有可能，将漏出气用</w:t>
                  </w:r>
                  <w:r>
                    <w:fldChar w:fldCharType="begin"/>
                  </w:r>
                  <w:r>
                    <w:instrText xml:space="preserve"> HYPERLINK "https://baike.sogou.com/lemma/ShowInnerLink.htm?lemmaId=27949858&amp;ss_c=ssc.citiao.link" \t "https://baike.sogou.com/_blank" </w:instrText>
                  </w:r>
                  <w:r>
                    <w:fldChar w:fldCharType="separate"/>
                  </w:r>
                  <w:r>
                    <w:rPr>
                      <w:szCs w:val="21"/>
                    </w:rPr>
                    <w:t>排风机</w:t>
                  </w:r>
                  <w:r>
                    <w:rPr>
                      <w:szCs w:val="21"/>
                    </w:rPr>
                    <w:fldChar w:fldCharType="end"/>
                  </w:r>
                  <w:r>
                    <w:rPr>
                      <w:szCs w:val="21"/>
                    </w:rPr>
                    <w:t>送至空旷地方或装设适当喷头烧掉。也可以将漏气的容器移至空旷处，注意通风。漏气容器要妥善处理，修复、检验后再用。</w:t>
                  </w:r>
                </w:p>
              </w:tc>
            </w:tr>
          </w:tbl>
          <w:p>
            <w:pPr>
              <w:spacing w:before="156" w:beforeLines="50" w:line="360" w:lineRule="auto"/>
              <w:jc w:val="center"/>
              <w:rPr>
                <w:sz w:val="24"/>
              </w:rPr>
            </w:pPr>
            <w:r>
              <w:rPr>
                <w:b/>
                <w:bCs/>
                <w:sz w:val="24"/>
              </w:rPr>
              <w:t>表4-15  硝酸理化性质表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646"/>
              <w:gridCol w:w="1835"/>
              <w:gridCol w:w="1762"/>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688" w:type="pct"/>
                  <w:vMerge w:val="restart"/>
                  <w:vAlign w:val="center"/>
                </w:tcPr>
                <w:p>
                  <w:pPr>
                    <w:jc w:val="center"/>
                    <w:rPr>
                      <w:szCs w:val="21"/>
                    </w:rPr>
                  </w:pPr>
                  <w:r>
                    <w:rPr>
                      <w:szCs w:val="21"/>
                    </w:rPr>
                    <w:t>标识</w:t>
                  </w:r>
                </w:p>
              </w:tc>
              <w:tc>
                <w:tcPr>
                  <w:tcW w:w="954" w:type="pct"/>
                  <w:vAlign w:val="center"/>
                </w:tcPr>
                <w:p>
                  <w:pPr>
                    <w:jc w:val="center"/>
                    <w:rPr>
                      <w:szCs w:val="21"/>
                    </w:rPr>
                  </w:pPr>
                  <w:r>
                    <w:rPr>
                      <w:szCs w:val="21"/>
                    </w:rPr>
                    <w:t>中文名</w:t>
                  </w:r>
                </w:p>
              </w:tc>
              <w:tc>
                <w:tcPr>
                  <w:tcW w:w="1063" w:type="pct"/>
                  <w:vAlign w:val="center"/>
                </w:tcPr>
                <w:p>
                  <w:pPr>
                    <w:jc w:val="center"/>
                    <w:rPr>
                      <w:szCs w:val="21"/>
                    </w:rPr>
                  </w:pPr>
                  <w:r>
                    <w:rPr>
                      <w:szCs w:val="21"/>
                    </w:rPr>
                    <w:t>硝酸</w:t>
                  </w:r>
                </w:p>
              </w:tc>
              <w:tc>
                <w:tcPr>
                  <w:tcW w:w="1021" w:type="pct"/>
                  <w:vAlign w:val="center"/>
                </w:tcPr>
                <w:p>
                  <w:pPr>
                    <w:jc w:val="center"/>
                    <w:rPr>
                      <w:szCs w:val="21"/>
                    </w:rPr>
                  </w:pPr>
                  <w:r>
                    <w:rPr>
                      <w:szCs w:val="21"/>
                    </w:rPr>
                    <w:t>英文名</w:t>
                  </w:r>
                </w:p>
              </w:tc>
              <w:tc>
                <w:tcPr>
                  <w:tcW w:w="1271" w:type="pct"/>
                  <w:vAlign w:val="center"/>
                </w:tcPr>
                <w:p>
                  <w:pPr>
                    <w:jc w:val="center"/>
                    <w:rPr>
                      <w:szCs w:val="21"/>
                    </w:rPr>
                  </w:pPr>
                  <w:r>
                    <w:rPr>
                      <w:szCs w:val="21"/>
                    </w:rPr>
                    <w:t>Nitric acid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分子式</w:t>
                  </w:r>
                </w:p>
              </w:tc>
              <w:tc>
                <w:tcPr>
                  <w:tcW w:w="1063" w:type="pct"/>
                  <w:vAlign w:val="center"/>
                </w:tcPr>
                <w:p>
                  <w:pPr>
                    <w:jc w:val="center"/>
                    <w:rPr>
                      <w:szCs w:val="21"/>
                    </w:rPr>
                  </w:pPr>
                  <w:r>
                    <w:rPr>
                      <w:szCs w:val="21"/>
                    </w:rPr>
                    <w:t>HNO</w:t>
                  </w:r>
                  <w:r>
                    <w:rPr>
                      <w:szCs w:val="21"/>
                      <w:vertAlign w:val="subscript"/>
                    </w:rPr>
                    <w:t>3</w:t>
                  </w:r>
                </w:p>
              </w:tc>
              <w:tc>
                <w:tcPr>
                  <w:tcW w:w="1021" w:type="pct"/>
                  <w:vAlign w:val="center"/>
                </w:tcPr>
                <w:p>
                  <w:pPr>
                    <w:jc w:val="center"/>
                    <w:rPr>
                      <w:szCs w:val="21"/>
                    </w:rPr>
                  </w:pPr>
                  <w:r>
                    <w:rPr>
                      <w:szCs w:val="21"/>
                    </w:rPr>
                    <w:t>危规号</w:t>
                  </w:r>
                </w:p>
              </w:tc>
              <w:tc>
                <w:tcPr>
                  <w:tcW w:w="127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分子量</w:t>
                  </w:r>
                </w:p>
              </w:tc>
              <w:tc>
                <w:tcPr>
                  <w:tcW w:w="1063" w:type="pct"/>
                  <w:vAlign w:val="center"/>
                </w:tcPr>
                <w:p>
                  <w:pPr>
                    <w:jc w:val="center"/>
                    <w:rPr>
                      <w:szCs w:val="21"/>
                    </w:rPr>
                  </w:pPr>
                  <w:r>
                    <w:rPr>
                      <w:szCs w:val="21"/>
                    </w:rPr>
                    <w:t>63.01</w:t>
                  </w:r>
                </w:p>
              </w:tc>
              <w:tc>
                <w:tcPr>
                  <w:tcW w:w="1021" w:type="pct"/>
                  <w:vAlign w:val="center"/>
                </w:tcPr>
                <w:p>
                  <w:pPr>
                    <w:jc w:val="center"/>
                    <w:rPr>
                      <w:szCs w:val="21"/>
                    </w:rPr>
                  </w:pPr>
                  <w:r>
                    <w:rPr>
                      <w:szCs w:val="21"/>
                    </w:rPr>
                    <w:t>危险性类别</w:t>
                  </w:r>
                </w:p>
              </w:tc>
              <w:tc>
                <w:tcPr>
                  <w:tcW w:w="127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restart"/>
                  <w:vAlign w:val="center"/>
                </w:tcPr>
                <w:p>
                  <w:pPr>
                    <w:jc w:val="center"/>
                    <w:rPr>
                      <w:szCs w:val="21"/>
                    </w:rPr>
                  </w:pPr>
                  <w:r>
                    <w:rPr>
                      <w:szCs w:val="21"/>
                    </w:rPr>
                    <w:t>理化特性</w:t>
                  </w:r>
                </w:p>
              </w:tc>
              <w:tc>
                <w:tcPr>
                  <w:tcW w:w="954" w:type="pct"/>
                  <w:vAlign w:val="center"/>
                </w:tcPr>
                <w:p>
                  <w:pPr>
                    <w:jc w:val="center"/>
                    <w:rPr>
                      <w:szCs w:val="21"/>
                    </w:rPr>
                  </w:pPr>
                  <w:r>
                    <w:rPr>
                      <w:szCs w:val="21"/>
                    </w:rPr>
                    <w:t>熔点（℃）</w:t>
                  </w:r>
                </w:p>
              </w:tc>
              <w:tc>
                <w:tcPr>
                  <w:tcW w:w="1063" w:type="pct"/>
                  <w:vAlign w:val="center"/>
                </w:tcPr>
                <w:p>
                  <w:pPr>
                    <w:jc w:val="center"/>
                    <w:rPr>
                      <w:szCs w:val="21"/>
                    </w:rPr>
                  </w:pPr>
                  <w:r>
                    <w:rPr>
                      <w:szCs w:val="21"/>
                    </w:rPr>
                    <w:t>-42</w:t>
                  </w:r>
                </w:p>
              </w:tc>
              <w:tc>
                <w:tcPr>
                  <w:tcW w:w="1021" w:type="pct"/>
                  <w:vAlign w:val="center"/>
                </w:tcPr>
                <w:p>
                  <w:pPr>
                    <w:jc w:val="center"/>
                    <w:rPr>
                      <w:szCs w:val="21"/>
                    </w:rPr>
                  </w:pPr>
                  <w:r>
                    <w:rPr>
                      <w:szCs w:val="21"/>
                    </w:rPr>
                    <w:t>沸点（℃）</w:t>
                  </w:r>
                </w:p>
              </w:tc>
              <w:tc>
                <w:tcPr>
                  <w:tcW w:w="1271" w:type="pct"/>
                  <w:vAlign w:val="center"/>
                </w:tcPr>
                <w:p>
                  <w:pPr>
                    <w:jc w:val="center"/>
                    <w:rPr>
                      <w:szCs w:val="21"/>
                    </w:rPr>
                  </w:pPr>
                  <w:r>
                    <w:rPr>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燃烧热（kJ/mol）</w:t>
                  </w:r>
                </w:p>
              </w:tc>
              <w:tc>
                <w:tcPr>
                  <w:tcW w:w="1063" w:type="pct"/>
                  <w:vAlign w:val="center"/>
                </w:tcPr>
                <w:p>
                  <w:pPr>
                    <w:jc w:val="center"/>
                    <w:rPr>
                      <w:szCs w:val="21"/>
                    </w:rPr>
                  </w:pPr>
                  <w:r>
                    <w:rPr>
                      <w:szCs w:val="21"/>
                    </w:rPr>
                    <w:t>/</w:t>
                  </w:r>
                </w:p>
              </w:tc>
              <w:tc>
                <w:tcPr>
                  <w:tcW w:w="1021" w:type="pct"/>
                  <w:vAlign w:val="center"/>
                </w:tcPr>
                <w:p>
                  <w:pPr>
                    <w:jc w:val="center"/>
                    <w:rPr>
                      <w:szCs w:val="21"/>
                    </w:rPr>
                  </w:pPr>
                  <w:r>
                    <w:rPr>
                      <w:szCs w:val="21"/>
                    </w:rPr>
                    <w:t>饱和蒸汽压（kPa）</w:t>
                  </w:r>
                </w:p>
              </w:tc>
              <w:tc>
                <w:tcPr>
                  <w:tcW w:w="127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相对密度</w:t>
                  </w:r>
                </w:p>
              </w:tc>
              <w:tc>
                <w:tcPr>
                  <w:tcW w:w="3356" w:type="pct"/>
                  <w:gridSpan w:val="3"/>
                  <w:vAlign w:val="center"/>
                </w:tcPr>
                <w:p>
                  <w:pPr>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外观性状</w:t>
                  </w:r>
                </w:p>
              </w:tc>
              <w:tc>
                <w:tcPr>
                  <w:tcW w:w="3356" w:type="pct"/>
                  <w:gridSpan w:val="3"/>
                  <w:vAlign w:val="center"/>
                </w:tcPr>
                <w:p>
                  <w:pPr>
                    <w:jc w:val="center"/>
                    <w:rPr>
                      <w:szCs w:val="21"/>
                    </w:rPr>
                  </w:pPr>
                  <w:r>
                    <w:rPr>
                      <w:szCs w:val="21"/>
                    </w:rPr>
                    <w:t>无色液体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溶解性</w:t>
                  </w:r>
                </w:p>
              </w:tc>
              <w:tc>
                <w:tcPr>
                  <w:tcW w:w="3356" w:type="pct"/>
                  <w:gridSpan w:val="3"/>
                  <w:vAlign w:val="center"/>
                </w:tcPr>
                <w:p>
                  <w:pPr>
                    <w:jc w:val="center"/>
                    <w:rPr>
                      <w:szCs w:val="21"/>
                    </w:rPr>
                  </w:pPr>
                  <w:r>
                    <w:rPr>
                      <w:szCs w:val="21"/>
                    </w:rPr>
                    <w:t>易溶于水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稳定性</w:t>
                  </w:r>
                </w:p>
              </w:tc>
              <w:tc>
                <w:tcPr>
                  <w:tcW w:w="1063" w:type="pct"/>
                  <w:vAlign w:val="center"/>
                </w:tcPr>
                <w:p>
                  <w:pPr>
                    <w:jc w:val="center"/>
                    <w:rPr>
                      <w:szCs w:val="21"/>
                    </w:rPr>
                  </w:pPr>
                  <w:r>
                    <w:rPr>
                      <w:szCs w:val="21"/>
                    </w:rPr>
                    <w:t>不稳定</w:t>
                  </w:r>
                </w:p>
              </w:tc>
              <w:tc>
                <w:tcPr>
                  <w:tcW w:w="1021" w:type="pct"/>
                  <w:vAlign w:val="center"/>
                </w:tcPr>
                <w:p>
                  <w:pPr>
                    <w:jc w:val="center"/>
                    <w:rPr>
                      <w:szCs w:val="21"/>
                    </w:rPr>
                  </w:pPr>
                  <w:r>
                    <w:rPr>
                      <w:szCs w:val="21"/>
                    </w:rPr>
                    <w:t>避免接触的条件</w:t>
                  </w:r>
                </w:p>
              </w:tc>
              <w:tc>
                <w:tcPr>
                  <w:tcW w:w="127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禁配物</w:t>
                  </w:r>
                </w:p>
              </w:tc>
              <w:tc>
                <w:tcPr>
                  <w:tcW w:w="1063" w:type="pct"/>
                  <w:vAlign w:val="center"/>
                </w:tcPr>
                <w:p>
                  <w:pPr>
                    <w:jc w:val="center"/>
                    <w:rPr>
                      <w:szCs w:val="21"/>
                    </w:rPr>
                  </w:pPr>
                  <w:r>
                    <w:rPr>
                      <w:szCs w:val="21"/>
                    </w:rPr>
                    <w:t>/</w:t>
                  </w:r>
                </w:p>
              </w:tc>
              <w:tc>
                <w:tcPr>
                  <w:tcW w:w="1021" w:type="pct"/>
                  <w:vAlign w:val="center"/>
                </w:tcPr>
                <w:p>
                  <w:pPr>
                    <w:jc w:val="center"/>
                    <w:rPr>
                      <w:szCs w:val="21"/>
                    </w:rPr>
                  </w:pPr>
                  <w:r>
                    <w:rPr>
                      <w:szCs w:val="21"/>
                    </w:rPr>
                    <w:t>燃烧产物</w:t>
                  </w:r>
                </w:p>
              </w:tc>
              <w:tc>
                <w:tcPr>
                  <w:tcW w:w="127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restart"/>
                  <w:vAlign w:val="center"/>
                </w:tcPr>
                <w:p>
                  <w:pPr>
                    <w:jc w:val="center"/>
                    <w:rPr>
                      <w:szCs w:val="21"/>
                    </w:rPr>
                  </w:pPr>
                  <w:r>
                    <w:rPr>
                      <w:szCs w:val="21"/>
                    </w:rPr>
                    <w:t>燃爆特性</w:t>
                  </w:r>
                </w:p>
              </w:tc>
              <w:tc>
                <w:tcPr>
                  <w:tcW w:w="954" w:type="pct"/>
                  <w:vAlign w:val="center"/>
                </w:tcPr>
                <w:p>
                  <w:pPr>
                    <w:jc w:val="center"/>
                    <w:rPr>
                      <w:szCs w:val="21"/>
                    </w:rPr>
                  </w:pPr>
                  <w:r>
                    <w:rPr>
                      <w:szCs w:val="21"/>
                    </w:rPr>
                    <w:t>燃烧性</w:t>
                  </w:r>
                </w:p>
              </w:tc>
              <w:tc>
                <w:tcPr>
                  <w:tcW w:w="1063" w:type="pct"/>
                  <w:vAlign w:val="center"/>
                </w:tcPr>
                <w:p>
                  <w:pPr>
                    <w:jc w:val="center"/>
                    <w:rPr>
                      <w:szCs w:val="21"/>
                    </w:rPr>
                  </w:pPr>
                  <w:r>
                    <w:rPr>
                      <w:szCs w:val="21"/>
                    </w:rPr>
                    <w:t>/</w:t>
                  </w:r>
                </w:p>
              </w:tc>
              <w:tc>
                <w:tcPr>
                  <w:tcW w:w="1021" w:type="pct"/>
                  <w:vAlign w:val="center"/>
                </w:tcPr>
                <w:p>
                  <w:pPr>
                    <w:jc w:val="center"/>
                    <w:rPr>
                      <w:szCs w:val="21"/>
                    </w:rPr>
                  </w:pPr>
                  <w:r>
                    <w:rPr>
                      <w:szCs w:val="21"/>
                    </w:rPr>
                    <w:t>建规火险分级</w:t>
                  </w:r>
                </w:p>
              </w:tc>
              <w:tc>
                <w:tcPr>
                  <w:tcW w:w="127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闪点（℃）</w:t>
                  </w:r>
                </w:p>
              </w:tc>
              <w:tc>
                <w:tcPr>
                  <w:tcW w:w="1063" w:type="pct"/>
                  <w:vAlign w:val="center"/>
                </w:tcPr>
                <w:p>
                  <w:pPr>
                    <w:jc w:val="center"/>
                    <w:rPr>
                      <w:szCs w:val="21"/>
                    </w:rPr>
                  </w:pPr>
                  <w:r>
                    <w:rPr>
                      <w:szCs w:val="21"/>
                    </w:rPr>
                    <w:t>2</w:t>
                  </w:r>
                </w:p>
              </w:tc>
              <w:tc>
                <w:tcPr>
                  <w:tcW w:w="1021" w:type="pct"/>
                  <w:vAlign w:val="center"/>
                </w:tcPr>
                <w:p>
                  <w:pPr>
                    <w:jc w:val="center"/>
                    <w:rPr>
                      <w:szCs w:val="21"/>
                    </w:rPr>
                  </w:pPr>
                  <w:r>
                    <w:rPr>
                      <w:szCs w:val="21"/>
                    </w:rPr>
                    <w:t>引燃温度（℃）</w:t>
                  </w:r>
                </w:p>
              </w:tc>
              <w:tc>
                <w:tcPr>
                  <w:tcW w:w="127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rPr>
                      <w:szCs w:val="21"/>
                    </w:rPr>
                  </w:pPr>
                  <w:r>
                    <w:rPr>
                      <w:szCs w:val="21"/>
                    </w:rPr>
                    <w:t>爆炸下限（V%）</w:t>
                  </w:r>
                </w:p>
              </w:tc>
              <w:tc>
                <w:tcPr>
                  <w:tcW w:w="1063" w:type="pct"/>
                  <w:vAlign w:val="center"/>
                </w:tcPr>
                <w:p>
                  <w:pPr>
                    <w:jc w:val="center"/>
                    <w:rPr>
                      <w:szCs w:val="21"/>
                    </w:rPr>
                  </w:pPr>
                  <w:r>
                    <w:rPr>
                      <w:szCs w:val="21"/>
                    </w:rPr>
                    <w:t>/</w:t>
                  </w:r>
                </w:p>
              </w:tc>
              <w:tc>
                <w:tcPr>
                  <w:tcW w:w="1021" w:type="pct"/>
                  <w:vAlign w:val="center"/>
                </w:tcPr>
                <w:p>
                  <w:pPr>
                    <w:rPr>
                      <w:szCs w:val="21"/>
                    </w:rPr>
                  </w:pPr>
                  <w:r>
                    <w:rPr>
                      <w:szCs w:val="21"/>
                    </w:rPr>
                    <w:t>爆炸下限（V%）</w:t>
                  </w:r>
                </w:p>
              </w:tc>
              <w:tc>
                <w:tcPr>
                  <w:tcW w:w="127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危险特性</w:t>
                  </w:r>
                </w:p>
              </w:tc>
              <w:tc>
                <w:tcPr>
                  <w:tcW w:w="3356" w:type="pct"/>
                  <w:gridSpan w:val="3"/>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灭火方法</w:t>
                  </w:r>
                </w:p>
              </w:tc>
              <w:tc>
                <w:tcPr>
                  <w:tcW w:w="3356" w:type="pct"/>
                  <w:gridSpan w:val="3"/>
                  <w:vAlign w:val="center"/>
                </w:tcPr>
                <w:p>
                  <w:pPr>
                    <w:ind w:firstLine="420" w:firstLineChars="20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restart"/>
                  <w:vAlign w:val="center"/>
                </w:tcPr>
                <w:p>
                  <w:pPr>
                    <w:jc w:val="center"/>
                    <w:rPr>
                      <w:szCs w:val="21"/>
                    </w:rPr>
                  </w:pPr>
                  <w:r>
                    <w:rPr>
                      <w:szCs w:val="21"/>
                    </w:rPr>
                    <w:t>毒性及健康危害</w:t>
                  </w:r>
                </w:p>
              </w:tc>
              <w:tc>
                <w:tcPr>
                  <w:tcW w:w="954" w:type="pct"/>
                  <w:vAlign w:val="center"/>
                </w:tcPr>
                <w:p>
                  <w:pPr>
                    <w:jc w:val="center"/>
                    <w:rPr>
                      <w:szCs w:val="21"/>
                    </w:rPr>
                  </w:pPr>
                  <w:r>
                    <w:rPr>
                      <w:szCs w:val="21"/>
                    </w:rPr>
                    <w:t>侵入途径</w:t>
                  </w:r>
                </w:p>
              </w:tc>
              <w:tc>
                <w:tcPr>
                  <w:tcW w:w="3356" w:type="pct"/>
                  <w:gridSpan w:val="3"/>
                  <w:vAlign w:val="center"/>
                </w:tcPr>
                <w:p>
                  <w:pPr>
                    <w:jc w:val="center"/>
                    <w:rPr>
                      <w:szCs w:val="21"/>
                    </w:rPr>
                  </w:pPr>
                  <w:r>
                    <w:rPr>
                      <w:szCs w:val="21"/>
                    </w:rPr>
                    <w:t>吸入、食入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急性毒性</w:t>
                  </w:r>
                </w:p>
              </w:tc>
              <w:tc>
                <w:tcPr>
                  <w:tcW w:w="3356" w:type="pct"/>
                  <w:gridSpan w:val="3"/>
                  <w:vAlign w:val="center"/>
                </w:tcPr>
                <w:p>
                  <w:pPr>
                    <w:ind w:firstLine="420" w:firstLineChars="200"/>
                    <w:jc w:val="left"/>
                    <w:rPr>
                      <w:szCs w:val="21"/>
                    </w:rPr>
                  </w:pPr>
                  <w:r>
                    <w:rPr>
                      <w:szCs w:val="21"/>
                    </w:rPr>
                    <w:t>与硝酸蒸气接触有很大危险性。硝酸溶液及硝酸蒸气对皮肤和黏膜有强刺激和腐蚀作用。</w:t>
                  </w:r>
                  <w:r>
                    <w:fldChar w:fldCharType="begin"/>
                  </w:r>
                  <w:r>
                    <w:instrText xml:space="preserve">HYPERLINK "https://baike.sogou.com/lemma/ShowInnerLink.htm?lemmaId=7711236&amp;ss_c=ssc.citiao.link" \t "https://baike.sogou.com/_blank"</w:instrText>
                  </w:r>
                  <w:r>
                    <w:fldChar w:fldCharType="separate"/>
                  </w:r>
                  <w:r>
                    <w:rPr>
                      <w:szCs w:val="21"/>
                    </w:rPr>
                    <w:t>浓硝酸</w:t>
                  </w:r>
                  <w:r>
                    <w:rPr>
                      <w:szCs w:val="21"/>
                    </w:rPr>
                    <w:fldChar w:fldCharType="end"/>
                  </w:r>
                  <w:r>
                    <w:rPr>
                      <w:szCs w:val="21"/>
                    </w:rPr>
                    <w:t>烟雾可释放出</w:t>
                  </w:r>
                  <w:r>
                    <w:fldChar w:fldCharType="begin"/>
                  </w:r>
                  <w:r>
                    <w:instrText xml:space="preserve"> HYPERLINK "https://baike.sogou.com/lemma/ShowInnerLink.htm?lemmaId=6439226&amp;ss_c=ssc.citiao.link" \t "https://baike.sogou.com/_blank" </w:instrText>
                  </w:r>
                  <w:r>
                    <w:fldChar w:fldCharType="separate"/>
                  </w:r>
                  <w:r>
                    <w:rPr>
                      <w:szCs w:val="21"/>
                    </w:rPr>
                    <w:t>五氧化二氮</w:t>
                  </w:r>
                  <w:r>
                    <w:rPr>
                      <w:szCs w:val="21"/>
                    </w:rPr>
                    <w:fldChar w:fldCharType="end"/>
                  </w:r>
                  <w:r>
                    <w:rPr>
                      <w:szCs w:val="21"/>
                    </w:rPr>
                    <w:t>（</w:t>
                  </w:r>
                  <w:r>
                    <w:fldChar w:fldCharType="begin"/>
                  </w:r>
                  <w:r>
                    <w:instrText xml:space="preserve"> HYPERLINK "https://baike.sogou.com/lemma/ShowInnerLink.htm?lemmaId=6439226&amp;ss_c=ssc.citiao.link" \t "https://baike.sogou.com/_blank" </w:instrText>
                  </w:r>
                  <w:r>
                    <w:fldChar w:fldCharType="separate"/>
                  </w:r>
                  <w:r>
                    <w:rPr>
                      <w:szCs w:val="21"/>
                    </w:rPr>
                    <w:t>硝酐</w:t>
                  </w:r>
                  <w:r>
                    <w:rPr>
                      <w:szCs w:val="21"/>
                    </w:rPr>
                    <w:fldChar w:fldCharType="end"/>
                  </w:r>
                  <w:r>
                    <w:rPr>
                      <w:szCs w:val="21"/>
                    </w:rPr>
                    <w:t>）遇</w:t>
                  </w:r>
                  <w:r>
                    <w:rPr>
                      <w:rFonts w:hint="eastAsia"/>
                      <w:szCs w:val="21"/>
                    </w:rPr>
                    <w:t>水蒸气</w:t>
                  </w:r>
                  <w:r>
                    <w:rPr>
                      <w:szCs w:val="21"/>
                    </w:rPr>
                    <w:t>形成酸雾，可迅速分解而形成二氧化氮，浓硝酸加热时产生硝酸蒸汽，也可分解产生二氧化氮，吸入后可引起急性氮氧化物中毒。人在低于12ppm（30mg/m³）左右时未见明显的损害。吸入可引起肺炎。大鼠吸入LC50 49 ppm/4小时。国外报道3例吸入硝酸烟雾后短时间内无呼吸道症状。4－6h后进行性呼吸困难。入院后均有发绀及口、鼻流出泡沫液体。给机械通气及100%氧气吸入。在24h内死亡。经尸检，肺组织免疫组织学分析及电镜检查表明细胞损伤可能由于二氧化氮的</w:t>
                  </w:r>
                  <w:r>
                    <w:fldChar w:fldCharType="begin"/>
                  </w:r>
                  <w:r>
                    <w:instrText xml:space="preserve">HYPERLINK "https://baike.sogou.com/lemma/ShowInnerLink.htm?lemmaId=3282218&amp;ss_c=ssc.citiao.link" \t "https://baike.sogou.com/_blank"</w:instrText>
                  </w:r>
                  <w:r>
                    <w:fldChar w:fldCharType="separate"/>
                  </w:r>
                  <w:r>
                    <w:rPr>
                      <w:szCs w:val="21"/>
                    </w:rPr>
                    <w:t>水合作用</w:t>
                  </w:r>
                  <w:r>
                    <w:rPr>
                      <w:szCs w:val="21"/>
                    </w:rPr>
                    <w:fldChar w:fldCharType="end"/>
                  </w:r>
                  <w:r>
                    <w:rPr>
                      <w:szCs w:val="21"/>
                    </w:rPr>
                    <w:t>产生自由基所引起的，此种时间依赖的作用可能是迟发性</w:t>
                  </w:r>
                  <w:r>
                    <w:fldChar w:fldCharType="begin"/>
                  </w:r>
                  <w:r>
                    <w:instrText xml:space="preserve"> HYPERLINK "https://baike.sogou.com/lemma/ShowInnerLink.htm?lemmaId=6622147&amp;ss_c=ssc.citiao.link" \t "https://baike.sogou.com/_blank" </w:instrText>
                  </w:r>
                  <w:r>
                    <w:fldChar w:fldCharType="separate"/>
                  </w:r>
                  <w:r>
                    <w:rPr>
                      <w:szCs w:val="21"/>
                    </w:rPr>
                    <w:t>肺损伤</w:t>
                  </w:r>
                  <w:r>
                    <w:rPr>
                      <w:szCs w:val="21"/>
                    </w:rPr>
                    <w:fldChar w:fldCharType="end"/>
                  </w:r>
                  <w:r>
                    <w:rPr>
                      <w:szCs w:val="21"/>
                    </w:rPr>
                    <w:t>症状的部分原因。 吸入硝酸烟雾可引起急性中毒。口服硝酸可引起腐蚀性</w:t>
                  </w:r>
                  <w:r>
                    <w:fldChar w:fldCharType="begin"/>
                  </w:r>
                  <w:r>
                    <w:instrText xml:space="preserve"> HYPERLINK "https://baike.sogou.com/lemma/ShowInnerLink.htm?lemmaId=6027186&amp;ss_c=ssc.citiao.link" \t "https://baike.sogou.com/_blank" </w:instrText>
                  </w:r>
                  <w:r>
                    <w:fldChar w:fldCharType="separate"/>
                  </w:r>
                  <w:r>
                    <w:rPr>
                      <w:szCs w:val="21"/>
                    </w:rPr>
                    <w:t>口腔炎</w:t>
                  </w:r>
                  <w:r>
                    <w:rPr>
                      <w:szCs w:val="21"/>
                    </w:rPr>
                    <w:fldChar w:fldCharType="end"/>
                  </w:r>
                  <w:r>
                    <w:rPr>
                      <w:szCs w:val="21"/>
                    </w:rPr>
                    <w:t>和</w:t>
                  </w:r>
                  <w:r>
                    <w:fldChar w:fldCharType="begin"/>
                  </w:r>
                  <w:r>
                    <w:instrText xml:space="preserve"> HYPERLINK "https://baike.sogou.com/lemma/ShowInnerLink.htm?lemmaId=5770723&amp;ss_c=ssc.citiao.link" \t "https://baike.sogou.com/_blank" </w:instrText>
                  </w:r>
                  <w:r>
                    <w:fldChar w:fldCharType="separate"/>
                  </w:r>
                  <w:r>
                    <w:rPr>
                      <w:szCs w:val="21"/>
                    </w:rPr>
                    <w:t>胃肠炎</w:t>
                  </w:r>
                  <w:r>
                    <w:rPr>
                      <w:szCs w:val="21"/>
                    </w:rPr>
                    <w:fldChar w:fldCharType="end"/>
                  </w:r>
                  <w:r>
                    <w:rPr>
                      <w:szCs w:val="21"/>
                    </w:rPr>
                    <w:t>，可出现休克或</w:t>
                  </w:r>
                  <w:r>
                    <w:fldChar w:fldCharType="begin"/>
                  </w:r>
                  <w:r>
                    <w:instrText xml:space="preserve"> HYPERLINK "https://baike.sogou.com/lemma/ShowInnerLink.htm?lemmaId=472842&amp;ss_c=ssc.citiao.link" \t "https://baike.sogou.com/_blank" </w:instrText>
                  </w:r>
                  <w:r>
                    <w:fldChar w:fldCharType="separate"/>
                  </w:r>
                  <w:r>
                    <w:rPr>
                      <w:szCs w:val="21"/>
                    </w:rPr>
                    <w:t>肾功能衰竭</w:t>
                  </w:r>
                  <w:r>
                    <w:rPr>
                      <w:szCs w:val="21"/>
                    </w:rPr>
                    <w:fldChar w:fldCharType="end"/>
                  </w:r>
                  <w:r>
                    <w:rPr>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健康危害</w:t>
                  </w:r>
                </w:p>
              </w:tc>
              <w:tc>
                <w:tcPr>
                  <w:tcW w:w="3356" w:type="pct"/>
                  <w:gridSpan w:val="3"/>
                  <w:vAlign w:val="center"/>
                </w:tcPr>
                <w:p>
                  <w:pPr>
                    <w:ind w:firstLine="420" w:firstLineChars="200"/>
                    <w:rPr>
                      <w:szCs w:val="21"/>
                    </w:rPr>
                  </w:pPr>
                  <w:r>
                    <w:rPr>
                      <w:szCs w:val="21"/>
                    </w:rPr>
                    <w:t>吸入硝酸气雾产生呼吸道刺激作用，可引起</w:t>
                  </w:r>
                  <w:r>
                    <w:fldChar w:fldCharType="begin"/>
                  </w:r>
                  <w:r>
                    <w:instrText xml:space="preserve"> HYPERLINK "https://baike.sogou.com/lemma/ShowInnerLink.htm?lemmaId=7628105&amp;ss_c=ssc.citiao.link" \t "https://baike.sogou.com/_blank" </w:instrText>
                  </w:r>
                  <w:r>
                    <w:fldChar w:fldCharType="separate"/>
                  </w:r>
                  <w:r>
                    <w:rPr>
                      <w:szCs w:val="21"/>
                    </w:rPr>
                    <w:t>急性肺水肿</w:t>
                  </w:r>
                  <w:r>
                    <w:rPr>
                      <w:szCs w:val="21"/>
                    </w:rPr>
                    <w:fldChar w:fldCharType="end"/>
                  </w:r>
                  <w:r>
                    <w:rPr>
                      <w:szCs w:val="21"/>
                    </w:rPr>
                    <w:t>。口服引起腹部剧痛，严重者可有</w:t>
                  </w:r>
                  <w:r>
                    <w:fldChar w:fldCharType="begin"/>
                  </w:r>
                  <w:r>
                    <w:instrText xml:space="preserve"> HYPERLINK "https://baike.sogou.com/lemma/ShowInnerLink.htm?lemmaId=610349&amp;ss_c=ssc.citiao.link" \t "https://baike.sogou.com/_blank" </w:instrText>
                  </w:r>
                  <w:r>
                    <w:fldChar w:fldCharType="separate"/>
                  </w:r>
                  <w:r>
                    <w:rPr>
                      <w:szCs w:val="21"/>
                    </w:rPr>
                    <w:t>胃穿孔</w:t>
                  </w:r>
                  <w:r>
                    <w:rPr>
                      <w:szCs w:val="21"/>
                    </w:rPr>
                    <w:fldChar w:fldCharType="end"/>
                  </w:r>
                  <w:r>
                    <w:rPr>
                      <w:szCs w:val="21"/>
                    </w:rPr>
                    <w:t>、</w:t>
                  </w:r>
                  <w:r>
                    <w:fldChar w:fldCharType="begin"/>
                  </w:r>
                  <w:r>
                    <w:instrText xml:space="preserve"> HYPERLINK "https://baike.sogou.com/lemma/ShowInnerLink.htm?lemmaId=6541678&amp;ss_c=ssc.citiao.link" \t "https://baike.sogou.com/_blank" </w:instrText>
                  </w:r>
                  <w:r>
                    <w:fldChar w:fldCharType="separate"/>
                  </w:r>
                  <w:r>
                    <w:rPr>
                      <w:szCs w:val="21"/>
                    </w:rPr>
                    <w:t>腹膜炎</w:t>
                  </w:r>
                  <w:r>
                    <w:rPr>
                      <w:szCs w:val="21"/>
                    </w:rPr>
                    <w:fldChar w:fldCharType="end"/>
                  </w:r>
                  <w:r>
                    <w:rPr>
                      <w:szCs w:val="21"/>
                    </w:rPr>
                    <w:t>、喉痉挛、肾损害、休克以及窒息。眼和皮肤接触引起灼伤。 慢性影响 长期接触可引起牙齿</w:t>
                  </w:r>
                  <w:r>
                    <w:fldChar w:fldCharType="begin"/>
                  </w:r>
                  <w:r>
                    <w:instrText xml:space="preserve"> HYPERLINK "https://baike.sogou.com/lemma/ShowInnerLink.htm?lemmaId=75872676&amp;ss_c=ssc.citiao.link" \t "https://baike.sogou.com/_blank" </w:instrText>
                  </w:r>
                  <w:r>
                    <w:fldChar w:fldCharType="separate"/>
                  </w:r>
                  <w:r>
                    <w:rPr>
                      <w:szCs w:val="21"/>
                    </w:rPr>
                    <w:t>酸蚀症</w:t>
                  </w:r>
                  <w:r>
                    <w:rPr>
                      <w:szCs w:val="21"/>
                    </w:rPr>
                    <w:fldChar w:fldCharType="end"/>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Align w:val="center"/>
                </w:tcPr>
                <w:p>
                  <w:pPr>
                    <w:jc w:val="center"/>
                    <w:rPr>
                      <w:szCs w:val="21"/>
                    </w:rPr>
                  </w:pPr>
                  <w:r>
                    <w:rPr>
                      <w:szCs w:val="21"/>
                    </w:rPr>
                    <w:t>泄漏处置</w:t>
                  </w:r>
                </w:p>
              </w:tc>
              <w:tc>
                <w:tcPr>
                  <w:tcW w:w="4311" w:type="pct"/>
                  <w:gridSpan w:val="4"/>
                  <w:vAlign w:val="center"/>
                </w:tcPr>
                <w:p>
                  <w:pPr>
                    <w:ind w:firstLine="420" w:firstLineChars="200"/>
                    <w:rPr>
                      <w:szCs w:val="21"/>
                    </w:rPr>
                  </w:pPr>
                  <w:r>
                    <w:rPr>
                      <w:szCs w:val="21"/>
                    </w:rPr>
                    <w:t>根据液体流动和蒸气扩散的影响区域划定警戒区，无关人员从侧风、上风向撤离至安全区。建议应急处理人员戴正压自给式</w:t>
                  </w:r>
                  <w:r>
                    <w:fldChar w:fldCharType="begin"/>
                  </w:r>
                  <w:r>
                    <w:instrText xml:space="preserve"> HYPERLINK "https://baike.sogou.com/lemma/ShowInnerLink.htm?lemmaId=305648&amp;ss_c=ssc.citiao.link" \t "https://baike.sogou.com/_blank" </w:instrText>
                  </w:r>
                  <w:r>
                    <w:fldChar w:fldCharType="separate"/>
                  </w:r>
                  <w:r>
                    <w:rPr>
                      <w:szCs w:val="21"/>
                    </w:rPr>
                    <w:t>呼吸器</w:t>
                  </w:r>
                  <w:r>
                    <w:rPr>
                      <w:szCs w:val="21"/>
                    </w:rPr>
                    <w:fldChar w:fldCharType="end"/>
                  </w:r>
                  <w:r>
                    <w:rPr>
                      <w:szCs w:val="21"/>
                    </w:rPr>
                    <w:t>，穿防酸碱服。作业时使用的所有设备应接地。穿上适当的防护服前严禁接触破裂的容器和泄漏物。尽可能切断泄漏源。防止泄漏物进入水体、下水道、地下室或密闭性空间。喷雾状水抑制蒸气或改变蒸气云流向，避免水流接触泄漏物。勿使水进入包装容器内。小量泄漏：用干燥的砂土</w:t>
                  </w:r>
                  <w:r>
                    <w:rPr>
                      <w:rFonts w:hint="eastAsia"/>
                      <w:szCs w:val="21"/>
                    </w:rPr>
                    <w:t>或其他</w:t>
                  </w:r>
                  <w:r>
                    <w:rPr>
                      <w:szCs w:val="21"/>
                    </w:rPr>
                    <w:t>不燃材料覆盖泄漏物。大量泄漏：构筑围堤或挖坑收容。用飞尘或</w:t>
                  </w:r>
                  <w:r>
                    <w:fldChar w:fldCharType="begin"/>
                  </w:r>
                  <w:r>
                    <w:instrText xml:space="preserve"> HYPERLINK "https://baike.sogou.com/lemma/ShowInnerLink.htm?lemmaId=23779784&amp;ss_c=ssc.citiao.link" \t "https://baike.sogou.com/_blank" </w:instrText>
                  </w:r>
                  <w:r>
                    <w:fldChar w:fldCharType="separate"/>
                  </w:r>
                  <w:r>
                    <w:rPr>
                      <w:szCs w:val="21"/>
                    </w:rPr>
                    <w:t>石灰粉</w:t>
                  </w:r>
                  <w:r>
                    <w:rPr>
                      <w:szCs w:val="21"/>
                    </w:rPr>
                    <w:fldChar w:fldCharType="end"/>
                  </w:r>
                  <w:r>
                    <w:rPr>
                      <w:szCs w:val="21"/>
                    </w:rPr>
                    <w:t>吸收大量液体。用农用石灰</w:t>
                  </w:r>
                  <w:r>
                    <w:rPr>
                      <w:rFonts w:hint="eastAsia"/>
                      <w:szCs w:val="21"/>
                    </w:rPr>
                    <w:t>（</w:t>
                  </w:r>
                  <w:r>
                    <w:rPr>
                      <w:szCs w:val="21"/>
                    </w:rPr>
                    <w:t>CaO</w:t>
                  </w:r>
                  <w:r>
                    <w:rPr>
                      <w:rFonts w:hint="eastAsia"/>
                      <w:szCs w:val="21"/>
                    </w:rPr>
                    <w:t>）</w:t>
                  </w:r>
                  <w:r>
                    <w:rPr>
                      <w:szCs w:val="21"/>
                    </w:rPr>
                    <w:t>、碎石灰石</w:t>
                  </w:r>
                  <w:r>
                    <w:rPr>
                      <w:rFonts w:hint="eastAsia"/>
                      <w:szCs w:val="21"/>
                    </w:rPr>
                    <w:t>（</w:t>
                  </w:r>
                  <w:r>
                    <w:fldChar w:fldCharType="begin"/>
                  </w:r>
                  <w:r>
                    <w:instrText xml:space="preserve"> HYPERLINK "https://baike.sogou.com/lemma/ShowInnerLink.htm?lemmaId=293024&amp;ss_c=ssc.citiao.link" \t "https://baike.sogou.com/_blank" </w:instrText>
                  </w:r>
                  <w:r>
                    <w:fldChar w:fldCharType="separate"/>
                  </w:r>
                  <w:r>
                    <w:rPr>
                      <w:szCs w:val="21"/>
                    </w:rPr>
                    <w:t>CaCO</w:t>
                  </w:r>
                  <w:r>
                    <w:rPr>
                      <w:szCs w:val="21"/>
                      <w:vertAlign w:val="subscript"/>
                    </w:rPr>
                    <w:t>3</w:t>
                  </w:r>
                  <w:r>
                    <w:rPr>
                      <w:szCs w:val="21"/>
                      <w:vertAlign w:val="subscript"/>
                    </w:rPr>
                    <w:fldChar w:fldCharType="end"/>
                  </w:r>
                  <w:r>
                    <w:rPr>
                      <w:szCs w:val="21"/>
                    </w:rPr>
                    <w:t>)或碳酸氢钠</w:t>
                  </w:r>
                  <w:r>
                    <w:rPr>
                      <w:rFonts w:hint="eastAsia"/>
                      <w:szCs w:val="21"/>
                    </w:rPr>
                    <w:t>（</w:t>
                  </w:r>
                  <w:r>
                    <w:fldChar w:fldCharType="begin"/>
                  </w:r>
                  <w:r>
                    <w:instrText xml:space="preserve"> HYPERLINK "https://baike.sogou.com/lemma/ShowInnerLink.htm?lemmaId=115541&amp;ss_c=ssc.citiao.link" \t "https://baike.sogou.com/_blank" </w:instrText>
                  </w:r>
                  <w:r>
                    <w:fldChar w:fldCharType="separate"/>
                  </w:r>
                  <w:r>
                    <w:rPr>
                      <w:szCs w:val="21"/>
                    </w:rPr>
                    <w:t>NaHCO</w:t>
                  </w:r>
                  <w:r>
                    <w:rPr>
                      <w:szCs w:val="21"/>
                      <w:vertAlign w:val="subscript"/>
                    </w:rPr>
                    <w:t>3</w:t>
                  </w:r>
                  <w:r>
                    <w:rPr>
                      <w:szCs w:val="21"/>
                      <w:vertAlign w:val="subscript"/>
                    </w:rPr>
                    <w:fldChar w:fldCharType="end"/>
                  </w:r>
                  <w:r>
                    <w:rPr>
                      <w:szCs w:val="21"/>
                    </w:rPr>
                    <w:t>)中和。用抗溶性泡沫覆盖，减少蒸发。用耐腐蚀泵转移至槽车或专用收集器内。</w:t>
                  </w:r>
                </w:p>
              </w:tc>
            </w:tr>
          </w:tbl>
          <w:p>
            <w:pPr>
              <w:spacing w:before="156" w:beforeLines="50" w:line="360" w:lineRule="auto"/>
              <w:jc w:val="center"/>
              <w:rPr>
                <w:sz w:val="24"/>
              </w:rPr>
            </w:pPr>
            <w:r>
              <w:rPr>
                <w:b/>
                <w:sz w:val="24"/>
              </w:rPr>
              <w:t>表4-16  机油理化性质表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646"/>
              <w:gridCol w:w="1835"/>
              <w:gridCol w:w="1762"/>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688" w:type="pct"/>
                  <w:vMerge w:val="restart"/>
                  <w:vAlign w:val="center"/>
                </w:tcPr>
                <w:p>
                  <w:pPr>
                    <w:jc w:val="center"/>
                    <w:rPr>
                      <w:szCs w:val="21"/>
                    </w:rPr>
                  </w:pPr>
                  <w:r>
                    <w:rPr>
                      <w:szCs w:val="21"/>
                    </w:rPr>
                    <w:t>标识</w:t>
                  </w:r>
                </w:p>
              </w:tc>
              <w:tc>
                <w:tcPr>
                  <w:tcW w:w="954" w:type="pct"/>
                  <w:vAlign w:val="center"/>
                </w:tcPr>
                <w:p>
                  <w:pPr>
                    <w:jc w:val="center"/>
                    <w:rPr>
                      <w:szCs w:val="21"/>
                    </w:rPr>
                  </w:pPr>
                  <w:r>
                    <w:rPr>
                      <w:szCs w:val="21"/>
                    </w:rPr>
                    <w:t>中文名</w:t>
                  </w:r>
                </w:p>
              </w:tc>
              <w:tc>
                <w:tcPr>
                  <w:tcW w:w="1063" w:type="pct"/>
                  <w:vAlign w:val="center"/>
                </w:tcPr>
                <w:p>
                  <w:pPr>
                    <w:jc w:val="center"/>
                    <w:rPr>
                      <w:szCs w:val="21"/>
                    </w:rPr>
                  </w:pPr>
                  <w:r>
                    <w:rPr>
                      <w:szCs w:val="21"/>
                    </w:rPr>
                    <w:t>机油</w:t>
                  </w:r>
                </w:p>
              </w:tc>
              <w:tc>
                <w:tcPr>
                  <w:tcW w:w="1021" w:type="pct"/>
                  <w:vAlign w:val="center"/>
                </w:tcPr>
                <w:p>
                  <w:pPr>
                    <w:jc w:val="center"/>
                    <w:rPr>
                      <w:szCs w:val="21"/>
                    </w:rPr>
                  </w:pPr>
                  <w:r>
                    <w:rPr>
                      <w:szCs w:val="21"/>
                    </w:rPr>
                    <w:t>英文名</w:t>
                  </w:r>
                </w:p>
              </w:tc>
              <w:tc>
                <w:tcPr>
                  <w:tcW w:w="1272" w:type="pct"/>
                  <w:vAlign w:val="center"/>
                </w:tcPr>
                <w:p>
                  <w:pPr>
                    <w:jc w:val="center"/>
                    <w:rPr>
                      <w:szCs w:val="21"/>
                    </w:rPr>
                  </w:pPr>
                  <w:r>
                    <w:rPr>
                      <w:szCs w:val="21"/>
                    </w:rPr>
                    <w:t>Engine 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分子式</w:t>
                  </w:r>
                </w:p>
              </w:tc>
              <w:tc>
                <w:tcPr>
                  <w:tcW w:w="1063" w:type="pct"/>
                  <w:vAlign w:val="center"/>
                </w:tcPr>
                <w:p>
                  <w:pPr>
                    <w:jc w:val="center"/>
                    <w:rPr>
                      <w:szCs w:val="21"/>
                    </w:rPr>
                  </w:pPr>
                  <w:r>
                    <w:rPr>
                      <w:szCs w:val="21"/>
                    </w:rPr>
                    <w:t>/</w:t>
                  </w:r>
                </w:p>
              </w:tc>
              <w:tc>
                <w:tcPr>
                  <w:tcW w:w="1021" w:type="pct"/>
                  <w:vAlign w:val="center"/>
                </w:tcPr>
                <w:p>
                  <w:pPr>
                    <w:jc w:val="center"/>
                    <w:rPr>
                      <w:szCs w:val="21"/>
                    </w:rPr>
                  </w:pPr>
                  <w:r>
                    <w:rPr>
                      <w:szCs w:val="21"/>
                    </w:rPr>
                    <w:t>危规号</w:t>
                  </w:r>
                </w:p>
              </w:tc>
              <w:tc>
                <w:tcPr>
                  <w:tcW w:w="1272"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分子量</w:t>
                  </w:r>
                </w:p>
              </w:tc>
              <w:tc>
                <w:tcPr>
                  <w:tcW w:w="1063" w:type="pct"/>
                  <w:vAlign w:val="center"/>
                </w:tcPr>
                <w:p>
                  <w:pPr>
                    <w:jc w:val="center"/>
                    <w:rPr>
                      <w:szCs w:val="21"/>
                    </w:rPr>
                  </w:pPr>
                  <w:r>
                    <w:rPr>
                      <w:szCs w:val="21"/>
                    </w:rPr>
                    <w:t>230-500</w:t>
                  </w:r>
                </w:p>
              </w:tc>
              <w:tc>
                <w:tcPr>
                  <w:tcW w:w="1021" w:type="pct"/>
                  <w:vAlign w:val="center"/>
                </w:tcPr>
                <w:p>
                  <w:pPr>
                    <w:jc w:val="center"/>
                    <w:rPr>
                      <w:szCs w:val="21"/>
                    </w:rPr>
                  </w:pPr>
                  <w:r>
                    <w:rPr>
                      <w:szCs w:val="21"/>
                    </w:rPr>
                    <w:t>危险性类别</w:t>
                  </w:r>
                </w:p>
              </w:tc>
              <w:tc>
                <w:tcPr>
                  <w:tcW w:w="1272"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restart"/>
                  <w:vAlign w:val="center"/>
                </w:tcPr>
                <w:p>
                  <w:pPr>
                    <w:jc w:val="center"/>
                    <w:rPr>
                      <w:szCs w:val="21"/>
                    </w:rPr>
                  </w:pPr>
                  <w:r>
                    <w:rPr>
                      <w:szCs w:val="21"/>
                    </w:rPr>
                    <w:t>理化特性</w:t>
                  </w:r>
                </w:p>
              </w:tc>
              <w:tc>
                <w:tcPr>
                  <w:tcW w:w="954" w:type="pct"/>
                  <w:vAlign w:val="center"/>
                </w:tcPr>
                <w:p>
                  <w:pPr>
                    <w:jc w:val="center"/>
                    <w:rPr>
                      <w:szCs w:val="21"/>
                    </w:rPr>
                  </w:pPr>
                  <w:r>
                    <w:rPr>
                      <w:szCs w:val="21"/>
                    </w:rPr>
                    <w:t>熔点（℃）</w:t>
                  </w:r>
                </w:p>
              </w:tc>
              <w:tc>
                <w:tcPr>
                  <w:tcW w:w="1063" w:type="pct"/>
                  <w:vAlign w:val="center"/>
                </w:tcPr>
                <w:p>
                  <w:pPr>
                    <w:jc w:val="center"/>
                    <w:rPr>
                      <w:szCs w:val="21"/>
                    </w:rPr>
                  </w:pPr>
                  <w:r>
                    <w:rPr>
                      <w:szCs w:val="21"/>
                    </w:rPr>
                    <w:t>/</w:t>
                  </w:r>
                </w:p>
              </w:tc>
              <w:tc>
                <w:tcPr>
                  <w:tcW w:w="1021" w:type="pct"/>
                  <w:vAlign w:val="center"/>
                </w:tcPr>
                <w:p>
                  <w:pPr>
                    <w:jc w:val="center"/>
                    <w:rPr>
                      <w:szCs w:val="21"/>
                    </w:rPr>
                  </w:pPr>
                  <w:r>
                    <w:rPr>
                      <w:szCs w:val="21"/>
                    </w:rPr>
                    <w:t>沸点（℃）</w:t>
                  </w:r>
                </w:p>
              </w:tc>
              <w:tc>
                <w:tcPr>
                  <w:tcW w:w="1272"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燃烧热（kJ/mol）</w:t>
                  </w:r>
                </w:p>
              </w:tc>
              <w:tc>
                <w:tcPr>
                  <w:tcW w:w="1063" w:type="pct"/>
                  <w:vAlign w:val="center"/>
                </w:tcPr>
                <w:p>
                  <w:pPr>
                    <w:jc w:val="center"/>
                    <w:rPr>
                      <w:szCs w:val="21"/>
                    </w:rPr>
                  </w:pPr>
                  <w:r>
                    <w:rPr>
                      <w:szCs w:val="21"/>
                    </w:rPr>
                    <w:t>/</w:t>
                  </w:r>
                </w:p>
              </w:tc>
              <w:tc>
                <w:tcPr>
                  <w:tcW w:w="1021" w:type="pct"/>
                  <w:vAlign w:val="center"/>
                </w:tcPr>
                <w:p>
                  <w:pPr>
                    <w:jc w:val="center"/>
                    <w:rPr>
                      <w:szCs w:val="21"/>
                    </w:rPr>
                  </w:pPr>
                  <w:r>
                    <w:rPr>
                      <w:szCs w:val="21"/>
                    </w:rPr>
                    <w:t>饱和蒸汽压（kPa）</w:t>
                  </w:r>
                </w:p>
              </w:tc>
              <w:tc>
                <w:tcPr>
                  <w:tcW w:w="1272"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相对密度</w:t>
                  </w:r>
                </w:p>
              </w:tc>
              <w:tc>
                <w:tcPr>
                  <w:tcW w:w="3357" w:type="pct"/>
                  <w:gridSpan w:val="3"/>
                  <w:vAlign w:val="center"/>
                </w:tcPr>
                <w:p>
                  <w:pPr>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外观性状</w:t>
                  </w:r>
                </w:p>
              </w:tc>
              <w:tc>
                <w:tcPr>
                  <w:tcW w:w="3357" w:type="pct"/>
                  <w:gridSpan w:val="3"/>
                  <w:vAlign w:val="center"/>
                </w:tcPr>
                <w:p>
                  <w:pPr>
                    <w:jc w:val="center"/>
                    <w:rPr>
                      <w:szCs w:val="21"/>
                    </w:rPr>
                  </w:pPr>
                  <w:r>
                    <w:rPr>
                      <w:szCs w:val="21"/>
                    </w:rPr>
                    <w:t>油状液体，淡黄色至褐色，无气味或略带异味黄褐色液体或气体，有刺激性气味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溶解性</w:t>
                  </w:r>
                </w:p>
              </w:tc>
              <w:tc>
                <w:tcPr>
                  <w:tcW w:w="3357" w:type="pct"/>
                  <w:gridSpan w:val="3"/>
                  <w:vAlign w:val="center"/>
                </w:tcPr>
                <w:p>
                  <w:pPr>
                    <w:jc w:val="center"/>
                    <w:rPr>
                      <w:szCs w:val="21"/>
                    </w:rPr>
                  </w:pPr>
                  <w:r>
                    <w:rPr>
                      <w:szCs w:val="21"/>
                    </w:rPr>
                    <w:t>不溶于水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稳定性</w:t>
                  </w:r>
                </w:p>
              </w:tc>
              <w:tc>
                <w:tcPr>
                  <w:tcW w:w="1063" w:type="pct"/>
                  <w:vAlign w:val="center"/>
                </w:tcPr>
                <w:p>
                  <w:pPr>
                    <w:jc w:val="center"/>
                    <w:rPr>
                      <w:szCs w:val="21"/>
                    </w:rPr>
                  </w:pPr>
                  <w:r>
                    <w:rPr>
                      <w:szCs w:val="21"/>
                    </w:rPr>
                    <w:t>稳定</w:t>
                  </w:r>
                </w:p>
              </w:tc>
              <w:tc>
                <w:tcPr>
                  <w:tcW w:w="1021" w:type="pct"/>
                  <w:vAlign w:val="center"/>
                </w:tcPr>
                <w:p>
                  <w:pPr>
                    <w:jc w:val="center"/>
                    <w:rPr>
                      <w:szCs w:val="21"/>
                    </w:rPr>
                  </w:pPr>
                  <w:r>
                    <w:rPr>
                      <w:szCs w:val="21"/>
                    </w:rPr>
                    <w:t>避免接触的条件</w:t>
                  </w:r>
                </w:p>
              </w:tc>
              <w:tc>
                <w:tcPr>
                  <w:tcW w:w="1272"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禁配物</w:t>
                  </w:r>
                </w:p>
              </w:tc>
              <w:tc>
                <w:tcPr>
                  <w:tcW w:w="1063" w:type="pct"/>
                  <w:vAlign w:val="center"/>
                </w:tcPr>
                <w:p>
                  <w:pPr>
                    <w:jc w:val="center"/>
                    <w:rPr>
                      <w:szCs w:val="21"/>
                    </w:rPr>
                  </w:pPr>
                  <w:r>
                    <w:rPr>
                      <w:szCs w:val="21"/>
                    </w:rPr>
                    <w:t>/</w:t>
                  </w:r>
                </w:p>
              </w:tc>
              <w:tc>
                <w:tcPr>
                  <w:tcW w:w="1021" w:type="pct"/>
                  <w:vAlign w:val="center"/>
                </w:tcPr>
                <w:p>
                  <w:pPr>
                    <w:jc w:val="center"/>
                    <w:rPr>
                      <w:szCs w:val="21"/>
                    </w:rPr>
                  </w:pPr>
                  <w:r>
                    <w:rPr>
                      <w:szCs w:val="21"/>
                    </w:rPr>
                    <w:t>燃烧产物</w:t>
                  </w:r>
                </w:p>
              </w:tc>
              <w:tc>
                <w:tcPr>
                  <w:tcW w:w="1272" w:type="pct"/>
                  <w:vAlign w:val="center"/>
                </w:tcPr>
                <w:p>
                  <w:pPr>
                    <w:jc w:val="center"/>
                    <w:rPr>
                      <w:szCs w:val="21"/>
                    </w:rPr>
                  </w:pPr>
                  <w:r>
                    <w:rPr>
                      <w:szCs w:val="21"/>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restart"/>
                  <w:vAlign w:val="center"/>
                </w:tcPr>
                <w:p>
                  <w:pPr>
                    <w:jc w:val="center"/>
                    <w:rPr>
                      <w:szCs w:val="21"/>
                    </w:rPr>
                  </w:pPr>
                  <w:r>
                    <w:rPr>
                      <w:szCs w:val="21"/>
                    </w:rPr>
                    <w:t>燃爆特性</w:t>
                  </w:r>
                </w:p>
              </w:tc>
              <w:tc>
                <w:tcPr>
                  <w:tcW w:w="954" w:type="pct"/>
                  <w:vAlign w:val="center"/>
                </w:tcPr>
                <w:p>
                  <w:pPr>
                    <w:jc w:val="center"/>
                    <w:rPr>
                      <w:szCs w:val="21"/>
                    </w:rPr>
                  </w:pPr>
                  <w:r>
                    <w:rPr>
                      <w:szCs w:val="21"/>
                    </w:rPr>
                    <w:t>燃烧性</w:t>
                  </w:r>
                </w:p>
              </w:tc>
              <w:tc>
                <w:tcPr>
                  <w:tcW w:w="1063" w:type="pct"/>
                  <w:vAlign w:val="center"/>
                </w:tcPr>
                <w:p>
                  <w:pPr>
                    <w:jc w:val="center"/>
                    <w:rPr>
                      <w:szCs w:val="21"/>
                    </w:rPr>
                  </w:pPr>
                  <w:r>
                    <w:rPr>
                      <w:szCs w:val="21"/>
                    </w:rPr>
                    <w:t>可燃</w:t>
                  </w:r>
                </w:p>
              </w:tc>
              <w:tc>
                <w:tcPr>
                  <w:tcW w:w="1021" w:type="pct"/>
                  <w:vAlign w:val="center"/>
                </w:tcPr>
                <w:p>
                  <w:pPr>
                    <w:jc w:val="center"/>
                    <w:rPr>
                      <w:szCs w:val="21"/>
                    </w:rPr>
                  </w:pPr>
                  <w:r>
                    <w:rPr>
                      <w:szCs w:val="21"/>
                    </w:rPr>
                    <w:t>建规火险分级</w:t>
                  </w:r>
                </w:p>
              </w:tc>
              <w:tc>
                <w:tcPr>
                  <w:tcW w:w="1272"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闪点（℃）</w:t>
                  </w:r>
                </w:p>
              </w:tc>
              <w:tc>
                <w:tcPr>
                  <w:tcW w:w="1063" w:type="pct"/>
                  <w:vAlign w:val="center"/>
                </w:tcPr>
                <w:p>
                  <w:pPr>
                    <w:jc w:val="center"/>
                    <w:rPr>
                      <w:szCs w:val="21"/>
                    </w:rPr>
                  </w:pPr>
                  <w:r>
                    <w:rPr>
                      <w:szCs w:val="21"/>
                    </w:rPr>
                    <w:t>76</w:t>
                  </w:r>
                </w:p>
              </w:tc>
              <w:tc>
                <w:tcPr>
                  <w:tcW w:w="1021" w:type="pct"/>
                  <w:vAlign w:val="center"/>
                </w:tcPr>
                <w:p>
                  <w:pPr>
                    <w:jc w:val="center"/>
                    <w:rPr>
                      <w:szCs w:val="21"/>
                    </w:rPr>
                  </w:pPr>
                  <w:r>
                    <w:rPr>
                      <w:szCs w:val="21"/>
                    </w:rPr>
                    <w:t>引燃温度（℃）</w:t>
                  </w:r>
                </w:p>
              </w:tc>
              <w:tc>
                <w:tcPr>
                  <w:tcW w:w="1272"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rPr>
                      <w:szCs w:val="21"/>
                    </w:rPr>
                  </w:pPr>
                  <w:r>
                    <w:rPr>
                      <w:szCs w:val="21"/>
                    </w:rPr>
                    <w:t>爆炸下限（V%）</w:t>
                  </w:r>
                </w:p>
              </w:tc>
              <w:tc>
                <w:tcPr>
                  <w:tcW w:w="1063" w:type="pct"/>
                  <w:vAlign w:val="center"/>
                </w:tcPr>
                <w:p>
                  <w:pPr>
                    <w:rPr>
                      <w:szCs w:val="21"/>
                    </w:rPr>
                  </w:pPr>
                  <w:r>
                    <w:rPr>
                      <w:szCs w:val="21"/>
                    </w:rPr>
                    <w:t>/</w:t>
                  </w:r>
                </w:p>
              </w:tc>
              <w:tc>
                <w:tcPr>
                  <w:tcW w:w="1021" w:type="pct"/>
                  <w:vAlign w:val="center"/>
                </w:tcPr>
                <w:p>
                  <w:pPr>
                    <w:rPr>
                      <w:szCs w:val="21"/>
                    </w:rPr>
                  </w:pPr>
                  <w:r>
                    <w:rPr>
                      <w:szCs w:val="21"/>
                    </w:rPr>
                    <w:t>爆炸下限（V%）</w:t>
                  </w:r>
                </w:p>
              </w:tc>
              <w:tc>
                <w:tcPr>
                  <w:tcW w:w="1272"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危险特性</w:t>
                  </w:r>
                </w:p>
              </w:tc>
              <w:tc>
                <w:tcPr>
                  <w:tcW w:w="3357" w:type="pct"/>
                  <w:gridSpan w:val="3"/>
                  <w:vAlign w:val="center"/>
                </w:tcPr>
                <w:p>
                  <w:pPr>
                    <w:jc w:val="center"/>
                    <w:rPr>
                      <w:szCs w:val="21"/>
                    </w:rPr>
                  </w:pPr>
                  <w:r>
                    <w:rPr>
                      <w:szCs w:val="21"/>
                    </w:rPr>
                    <w:t>遇明火高热可燃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灭火方法</w:t>
                  </w:r>
                </w:p>
              </w:tc>
              <w:tc>
                <w:tcPr>
                  <w:tcW w:w="3357" w:type="pct"/>
                  <w:gridSpan w:val="3"/>
                  <w:vAlign w:val="center"/>
                </w:tcPr>
                <w:p>
                  <w:pPr>
                    <w:rPr>
                      <w:szCs w:val="21"/>
                    </w:rPr>
                  </w:pPr>
                  <w:r>
                    <w:rPr>
                      <w:szCs w:val="21"/>
                    </w:rPr>
                    <w:t>消防人员佩戴防毒面具，穿全身防火服，在上风向灭火。尽可能将容器从火场移至空旷处。喷水保持火场容器冷却，直至灭火结束。处于火场中的容器若已变色或从安全泄压装置中产生声音，必须马上撤离。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restart"/>
                  <w:vAlign w:val="center"/>
                </w:tcPr>
                <w:p>
                  <w:pPr>
                    <w:jc w:val="center"/>
                    <w:rPr>
                      <w:szCs w:val="21"/>
                    </w:rPr>
                  </w:pPr>
                  <w:r>
                    <w:rPr>
                      <w:szCs w:val="21"/>
                    </w:rPr>
                    <w:t>毒性及健康危害</w:t>
                  </w:r>
                </w:p>
              </w:tc>
              <w:tc>
                <w:tcPr>
                  <w:tcW w:w="954" w:type="pct"/>
                  <w:vAlign w:val="center"/>
                </w:tcPr>
                <w:p>
                  <w:pPr>
                    <w:jc w:val="center"/>
                    <w:rPr>
                      <w:szCs w:val="21"/>
                    </w:rPr>
                  </w:pPr>
                  <w:r>
                    <w:rPr>
                      <w:szCs w:val="21"/>
                    </w:rPr>
                    <w:t>侵入途径</w:t>
                  </w:r>
                </w:p>
              </w:tc>
              <w:tc>
                <w:tcPr>
                  <w:tcW w:w="3357" w:type="pct"/>
                  <w:gridSpan w:val="3"/>
                  <w:vAlign w:val="center"/>
                </w:tcPr>
                <w:p>
                  <w:pPr>
                    <w:jc w:val="center"/>
                    <w:rPr>
                      <w:szCs w:val="21"/>
                    </w:rPr>
                  </w:pPr>
                  <w:r>
                    <w:rPr>
                      <w:szCs w:val="21"/>
                    </w:rPr>
                    <w:t>吸入、食入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急性毒性</w:t>
                  </w:r>
                </w:p>
              </w:tc>
              <w:tc>
                <w:tcPr>
                  <w:tcW w:w="3357" w:type="pct"/>
                  <w:gridSpan w:val="3"/>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Merge w:val="continue"/>
                  <w:vAlign w:val="center"/>
                </w:tcPr>
                <w:p>
                  <w:pPr>
                    <w:rPr>
                      <w:szCs w:val="21"/>
                    </w:rPr>
                  </w:pPr>
                </w:p>
              </w:tc>
              <w:tc>
                <w:tcPr>
                  <w:tcW w:w="954" w:type="pct"/>
                  <w:vAlign w:val="center"/>
                </w:tcPr>
                <w:p>
                  <w:pPr>
                    <w:jc w:val="center"/>
                    <w:rPr>
                      <w:szCs w:val="21"/>
                    </w:rPr>
                  </w:pPr>
                  <w:r>
                    <w:rPr>
                      <w:szCs w:val="21"/>
                    </w:rPr>
                    <w:t>健康危害</w:t>
                  </w:r>
                </w:p>
              </w:tc>
              <w:tc>
                <w:tcPr>
                  <w:tcW w:w="3357" w:type="pct"/>
                  <w:gridSpan w:val="3"/>
                  <w:vAlign w:val="center"/>
                </w:tcPr>
                <w:p>
                  <w:pPr>
                    <w:rPr>
                      <w:szCs w:val="21"/>
                    </w:rPr>
                  </w:pPr>
                  <w:r>
                    <w:rPr>
                      <w:szCs w:val="21"/>
                    </w:rPr>
                    <w:t>急性吸入，可出现乏力、头晕、头痛、恶心，严重者可引起油脂性肺炎。慢接触者，暴露部位可发生油性痤疮和接触性皮炎。可引起神经衰弱综合征，呼吸道及眼部刺激症状及慢性油脂性肺炎。有资料报道，接触石油润滑油的工人，有致癌的病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vAlign w:val="center"/>
                </w:tcPr>
                <w:p>
                  <w:pPr>
                    <w:jc w:val="center"/>
                    <w:rPr>
                      <w:szCs w:val="21"/>
                    </w:rPr>
                  </w:pPr>
                  <w:r>
                    <w:rPr>
                      <w:szCs w:val="21"/>
                    </w:rPr>
                    <w:t>泄漏处置</w:t>
                  </w:r>
                </w:p>
              </w:tc>
              <w:tc>
                <w:tcPr>
                  <w:tcW w:w="4311" w:type="pct"/>
                  <w:gridSpan w:val="4"/>
                  <w:vAlign w:val="center"/>
                </w:tcPr>
                <w:p>
                  <w:pPr>
                    <w:rPr>
                      <w:szCs w:val="21"/>
                    </w:rPr>
                  </w:pPr>
                  <w:r>
                    <w:rPr>
                      <w:szCs w:val="21"/>
                    </w:rPr>
                    <w:t>迅速撤离泄漏污染区人员至安全区，并进行隔离，严格限制出入。切断火源。建议应急处理人员戴自给正压式呼吸器，穿防毒服，尽可能切断泄漏源。防止流入下水道，排洪沟等限制性空间。</w:t>
                  </w:r>
                </w:p>
                <w:p>
                  <w:pPr>
                    <w:rPr>
                      <w:szCs w:val="21"/>
                    </w:rPr>
                  </w:pPr>
                  <w:r>
                    <w:rPr>
                      <w:szCs w:val="21"/>
                    </w:rPr>
                    <w:t>小量泄漏：用砂土</w:t>
                  </w:r>
                  <w:r>
                    <w:rPr>
                      <w:rFonts w:hint="eastAsia"/>
                      <w:szCs w:val="21"/>
                    </w:rPr>
                    <w:t>或其他</w:t>
                  </w:r>
                  <w:r>
                    <w:rPr>
                      <w:szCs w:val="21"/>
                    </w:rPr>
                    <w:t>不燃材料吸附或吸收。</w:t>
                  </w:r>
                </w:p>
                <w:p>
                  <w:pPr>
                    <w:rPr>
                      <w:szCs w:val="21"/>
                    </w:rPr>
                  </w:pPr>
                  <w:r>
                    <w:rPr>
                      <w:szCs w:val="21"/>
                    </w:rPr>
                    <w:t>大量泄漏：构筑围堤或挖坑收容。用泵转移至槽车或专用收集器内，回收或运至废物处置场所处置。</w:t>
                  </w:r>
                </w:p>
              </w:tc>
            </w:tr>
          </w:tbl>
          <w:p>
            <w:pPr>
              <w:spacing w:line="360" w:lineRule="auto"/>
              <w:ind w:firstLine="480" w:firstLineChars="200"/>
              <w:rPr>
                <w:sz w:val="24"/>
              </w:rPr>
            </w:pPr>
            <w:r>
              <w:rPr>
                <w:sz w:val="24"/>
              </w:rPr>
              <w:t>根据上表分析，项目储存的</w:t>
            </w:r>
            <w:r>
              <w:rPr>
                <w:rFonts w:hint="eastAsia"/>
                <w:sz w:val="24"/>
              </w:rPr>
              <w:t>甲烷</w:t>
            </w:r>
            <w:r>
              <w:rPr>
                <w:sz w:val="24"/>
              </w:rPr>
              <w:t>属于《建设项目环境风险评价技术导则》（HJ/T169-2018）附录B中的甲烷；硝酸属于《建设项目环境风险评价技术导则》（HJ/T169-2018）附录B中的硝酸；机油属于《建设项目环境风险评价技术导则》（HJ/T169-2018）附录B中的油类物质。以上物质为本次环境风险评价的主要风险因子。</w:t>
            </w:r>
          </w:p>
          <w:p>
            <w:pPr>
              <w:spacing w:line="360" w:lineRule="auto"/>
              <w:ind w:firstLine="480" w:firstLineChars="200"/>
              <w:rPr>
                <w:sz w:val="24"/>
              </w:rPr>
            </w:pPr>
            <w:r>
              <w:rPr>
                <w:sz w:val="24"/>
              </w:rPr>
              <w:t>（2）评价工作等级划分</w:t>
            </w:r>
          </w:p>
          <w:p>
            <w:pPr>
              <w:spacing w:line="360" w:lineRule="auto"/>
              <w:ind w:firstLine="480" w:firstLineChars="200"/>
              <w:rPr>
                <w:sz w:val="24"/>
              </w:rPr>
            </w:pPr>
            <w:r>
              <w:rPr>
                <w:sz w:val="24"/>
              </w:rPr>
              <w:t>根据《建设项目环境风险评价技术导则》（HJ169—2018） ，首先对本项目危险物质数量及临界量比值（Q）进行计算。</w:t>
            </w:r>
          </w:p>
          <w:p>
            <w:pPr>
              <w:spacing w:line="360" w:lineRule="auto"/>
              <w:ind w:firstLine="480" w:firstLineChars="200"/>
              <w:rPr>
                <w:sz w:val="24"/>
              </w:rPr>
            </w:pPr>
            <w:r>
              <w:rPr>
                <w:sz w:val="24"/>
              </w:rPr>
              <w:t>根据《建设项目环境风险评价技术导则 》（HJ169-2018）附录C危险物质数量与临界量比值Q的计算方法：</w:t>
            </w:r>
          </w:p>
          <w:p>
            <w:pPr>
              <w:spacing w:line="360" w:lineRule="auto"/>
              <w:ind w:firstLine="480" w:firstLineChars="200"/>
              <w:rPr>
                <w:sz w:val="24"/>
              </w:rPr>
            </w:pPr>
            <w:r>
              <w:rPr>
                <w:sz w:val="24"/>
              </w:rPr>
              <w:t>当只涉及一种危险物质时，计算该物质的总量与临界量的比值，即为Q；</w:t>
            </w:r>
          </w:p>
          <w:p>
            <w:pPr>
              <w:spacing w:line="360" w:lineRule="auto"/>
              <w:ind w:firstLine="480" w:firstLineChars="200"/>
              <w:rPr>
                <w:sz w:val="24"/>
              </w:rPr>
            </w:pPr>
            <w:r>
              <w:rPr>
                <w:sz w:val="24"/>
              </w:rPr>
              <w:t>当存在多种危险物质时，则按下式计算物质总量与其临界量比值（Q）:</w:t>
            </w:r>
          </w:p>
          <w:p>
            <w:pPr>
              <w:spacing w:line="360" w:lineRule="auto"/>
              <w:ind w:firstLine="480" w:firstLineChars="200"/>
              <w:rPr>
                <w:sz w:val="24"/>
              </w:rPr>
            </w:pPr>
            <w:r>
              <w:rPr>
                <w:sz w:val="24"/>
              </w:rPr>
              <w:drawing>
                <wp:anchor distT="0" distB="0" distL="114300" distR="114300" simplePos="0" relativeHeight="251661312" behindDoc="0" locked="0" layoutInCell="1" allowOverlap="1">
                  <wp:simplePos x="0" y="0"/>
                  <wp:positionH relativeFrom="margin">
                    <wp:align>center</wp:align>
                  </wp:positionH>
                  <wp:positionV relativeFrom="paragraph">
                    <wp:posOffset>83185</wp:posOffset>
                  </wp:positionV>
                  <wp:extent cx="1637665" cy="429260"/>
                  <wp:effectExtent l="0" t="0" r="635" b="8890"/>
                  <wp:wrapTopAndBottom/>
                  <wp:docPr id="9" name="图片 7" descr="a9d2e34bb94ee063953e44063c87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a9d2e34bb94ee063953e44063c87edf"/>
                          <pic:cNvPicPr>
                            <a:picLocks noChangeAspect="1"/>
                          </pic:cNvPicPr>
                        </pic:nvPicPr>
                        <pic:blipFill>
                          <a:blip r:embed="rId20"/>
                          <a:stretch>
                            <a:fillRect/>
                          </a:stretch>
                        </pic:blipFill>
                        <pic:spPr>
                          <a:xfrm>
                            <a:off x="0" y="0"/>
                            <a:ext cx="1637665" cy="429260"/>
                          </a:xfrm>
                          <a:prstGeom prst="rect">
                            <a:avLst/>
                          </a:prstGeom>
                          <a:noFill/>
                          <a:ln>
                            <a:noFill/>
                          </a:ln>
                        </pic:spPr>
                      </pic:pic>
                    </a:graphicData>
                  </a:graphic>
                </wp:anchor>
              </w:drawing>
            </w:r>
            <w:r>
              <w:rPr>
                <w:sz w:val="24"/>
              </w:rPr>
              <w:t>式中：q1，q1，…，qn——每种危险物质的最大存在总量，t；</w:t>
            </w:r>
          </w:p>
          <w:p>
            <w:pPr>
              <w:spacing w:line="360" w:lineRule="auto"/>
              <w:ind w:firstLine="480" w:firstLineChars="200"/>
              <w:rPr>
                <w:sz w:val="24"/>
              </w:rPr>
            </w:pPr>
            <w:r>
              <w:rPr>
                <w:sz w:val="24"/>
              </w:rPr>
              <w:t>Q1，Q2，…，Qn——每种危险物质的临界量，t。</w:t>
            </w:r>
          </w:p>
          <w:p>
            <w:pPr>
              <w:spacing w:line="360" w:lineRule="auto"/>
              <w:ind w:firstLine="480" w:firstLineChars="200"/>
              <w:rPr>
                <w:sz w:val="24"/>
              </w:rPr>
            </w:pPr>
            <w:r>
              <w:rPr>
                <w:sz w:val="24"/>
              </w:rPr>
              <w:t>当 Q＜1 时，该项目环境风险潜势为I。</w:t>
            </w:r>
          </w:p>
          <w:p>
            <w:pPr>
              <w:spacing w:line="360" w:lineRule="auto"/>
              <w:ind w:firstLine="480" w:firstLineChars="200"/>
              <w:rPr>
                <w:sz w:val="24"/>
              </w:rPr>
            </w:pPr>
            <w:r>
              <w:rPr>
                <w:sz w:val="24"/>
              </w:rPr>
              <w:t>当 Q≥1，将 Q 值划分为：（1）1≤Q＜10；（2）10≤Q＜100；</w:t>
            </w:r>
          </w:p>
          <w:p>
            <w:pPr>
              <w:spacing w:line="360" w:lineRule="auto"/>
              <w:ind w:firstLine="480" w:firstLineChars="200"/>
              <w:rPr>
                <w:sz w:val="24"/>
              </w:rPr>
            </w:pPr>
            <w:r>
              <w:rPr>
                <w:sz w:val="24"/>
              </w:rPr>
              <w:t>本项目天然气不涉及天然气的储存罐，天然气长输管线中，两个截断阀室之间管段的天然气最大存在量约0.002t，本项目天然气在线量不超过临界量，不构成重大危险源。本项目危险物质数量及临界量比值（Q）统计如下。</w:t>
            </w:r>
          </w:p>
          <w:p>
            <w:pPr>
              <w:spacing w:line="360" w:lineRule="auto"/>
              <w:jc w:val="center"/>
              <w:rPr>
                <w:sz w:val="24"/>
              </w:rPr>
            </w:pPr>
            <w:r>
              <w:rPr>
                <w:sz w:val="24"/>
              </w:rPr>
              <w:t>表4-17本项目危险物质数量及临界量比值（Q）一览表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966"/>
              <w:gridCol w:w="2907"/>
              <w:gridCol w:w="1165"/>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66" w:type="pct"/>
                  <w:vAlign w:val="center"/>
                </w:tcPr>
                <w:p>
                  <w:pPr>
                    <w:jc w:val="center"/>
                    <w:rPr>
                      <w:b/>
                      <w:bCs/>
                      <w:szCs w:val="21"/>
                    </w:rPr>
                  </w:pPr>
                  <w:r>
                    <w:rPr>
                      <w:b/>
                      <w:bCs/>
                      <w:szCs w:val="21"/>
                    </w:rPr>
                    <w:t>序号</w:t>
                  </w:r>
                </w:p>
              </w:tc>
              <w:tc>
                <w:tcPr>
                  <w:tcW w:w="1139" w:type="pct"/>
                  <w:vAlign w:val="center"/>
                </w:tcPr>
                <w:p>
                  <w:pPr>
                    <w:jc w:val="center"/>
                    <w:rPr>
                      <w:b/>
                      <w:bCs/>
                      <w:szCs w:val="21"/>
                    </w:rPr>
                  </w:pPr>
                  <w:r>
                    <w:rPr>
                      <w:b/>
                      <w:bCs/>
                      <w:szCs w:val="21"/>
                    </w:rPr>
                    <w:t>名称</w:t>
                  </w:r>
                </w:p>
              </w:tc>
              <w:tc>
                <w:tcPr>
                  <w:tcW w:w="1684" w:type="pct"/>
                  <w:vAlign w:val="center"/>
                </w:tcPr>
                <w:p>
                  <w:pPr>
                    <w:jc w:val="center"/>
                    <w:rPr>
                      <w:b/>
                      <w:bCs/>
                      <w:szCs w:val="21"/>
                    </w:rPr>
                  </w:pPr>
                  <w:r>
                    <w:rPr>
                      <w:b/>
                      <w:bCs/>
                      <w:szCs w:val="21"/>
                    </w:rPr>
                    <w:t>最大存在总量（t）</w:t>
                  </w:r>
                </w:p>
                <w:p>
                  <w:pPr>
                    <w:jc w:val="center"/>
                    <w:rPr>
                      <w:b/>
                      <w:bCs/>
                      <w:szCs w:val="21"/>
                    </w:rPr>
                  </w:pPr>
                  <w:r>
                    <w:rPr>
                      <w:b/>
                      <w:bCs/>
                      <w:szCs w:val="21"/>
                    </w:rPr>
                    <w:t>（包括车间暂存区及存储区量）</w:t>
                  </w:r>
                </w:p>
              </w:tc>
              <w:tc>
                <w:tcPr>
                  <w:tcW w:w="675" w:type="pct"/>
                  <w:vAlign w:val="center"/>
                </w:tcPr>
                <w:p>
                  <w:pPr>
                    <w:jc w:val="center"/>
                    <w:rPr>
                      <w:b/>
                      <w:bCs/>
                      <w:szCs w:val="21"/>
                    </w:rPr>
                  </w:pPr>
                  <w:r>
                    <w:rPr>
                      <w:b/>
                      <w:bCs/>
                      <w:szCs w:val="21"/>
                    </w:rPr>
                    <w:t>临界量（t）</w:t>
                  </w:r>
                </w:p>
              </w:tc>
              <w:tc>
                <w:tcPr>
                  <w:tcW w:w="834" w:type="pct"/>
                  <w:vAlign w:val="center"/>
                </w:tcPr>
                <w:p>
                  <w:pPr>
                    <w:jc w:val="center"/>
                    <w:rPr>
                      <w:b/>
                      <w:bCs/>
                      <w:szCs w:val="21"/>
                    </w:rPr>
                  </w:pPr>
                  <w:r>
                    <w:rPr>
                      <w:b/>
                      <w:bCs/>
                      <w:szCs w:val="21"/>
                    </w:rPr>
                    <w:drawing>
                      <wp:inline distT="0" distB="0" distL="114300" distR="114300">
                        <wp:extent cx="419100" cy="352425"/>
                        <wp:effectExtent l="0" t="0" r="0" b="952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1"/>
                                <a:stretch>
                                  <a:fillRect/>
                                </a:stretch>
                              </pic:blipFill>
                              <pic:spPr>
                                <a:xfrm>
                                  <a:off x="0" y="0"/>
                                  <a:ext cx="419100" cy="3524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6" w:type="pct"/>
                  <w:vAlign w:val="center"/>
                </w:tcPr>
                <w:p>
                  <w:pPr>
                    <w:jc w:val="center"/>
                    <w:rPr>
                      <w:szCs w:val="21"/>
                    </w:rPr>
                  </w:pPr>
                  <w:r>
                    <w:rPr>
                      <w:szCs w:val="21"/>
                    </w:rPr>
                    <w:t>1</w:t>
                  </w:r>
                </w:p>
              </w:tc>
              <w:tc>
                <w:tcPr>
                  <w:tcW w:w="1139" w:type="pct"/>
                  <w:vAlign w:val="center"/>
                </w:tcPr>
                <w:p>
                  <w:pPr>
                    <w:jc w:val="center"/>
                    <w:rPr>
                      <w:szCs w:val="21"/>
                    </w:rPr>
                  </w:pPr>
                  <w:r>
                    <w:rPr>
                      <w:szCs w:val="21"/>
                    </w:rPr>
                    <w:t>天然气（甲烷）</w:t>
                  </w:r>
                </w:p>
              </w:tc>
              <w:tc>
                <w:tcPr>
                  <w:tcW w:w="1684" w:type="pct"/>
                  <w:vAlign w:val="center"/>
                </w:tcPr>
                <w:p>
                  <w:pPr>
                    <w:pStyle w:val="24"/>
                    <w:adjustRightInd w:val="0"/>
                    <w:spacing w:after="0" w:line="240" w:lineRule="auto"/>
                    <w:ind w:firstLine="0" w:firstLineChars="0"/>
                    <w:jc w:val="center"/>
                    <w:rPr>
                      <w:sz w:val="21"/>
                      <w:szCs w:val="21"/>
                    </w:rPr>
                  </w:pPr>
                  <w:r>
                    <w:rPr>
                      <w:sz w:val="21"/>
                      <w:szCs w:val="21"/>
                    </w:rPr>
                    <w:t>0.002</w:t>
                  </w:r>
                </w:p>
              </w:tc>
              <w:tc>
                <w:tcPr>
                  <w:tcW w:w="675" w:type="pct"/>
                  <w:vAlign w:val="center"/>
                </w:tcPr>
                <w:p>
                  <w:pPr>
                    <w:jc w:val="center"/>
                    <w:rPr>
                      <w:szCs w:val="21"/>
                    </w:rPr>
                  </w:pPr>
                  <w:r>
                    <w:rPr>
                      <w:szCs w:val="21"/>
                    </w:rPr>
                    <w:t>10</w:t>
                  </w:r>
                </w:p>
              </w:tc>
              <w:tc>
                <w:tcPr>
                  <w:tcW w:w="834" w:type="pct"/>
                  <w:vAlign w:val="center"/>
                </w:tcPr>
                <w:p>
                  <w:pPr>
                    <w:jc w:val="center"/>
                    <w:rPr>
                      <w:szCs w:val="21"/>
                    </w:rPr>
                  </w:pPr>
                  <w:r>
                    <w:rPr>
                      <w:szCs w:val="21"/>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6" w:type="pct"/>
                  <w:vAlign w:val="center"/>
                </w:tcPr>
                <w:p>
                  <w:pPr>
                    <w:jc w:val="center"/>
                    <w:rPr>
                      <w:szCs w:val="21"/>
                    </w:rPr>
                  </w:pPr>
                  <w:r>
                    <w:rPr>
                      <w:szCs w:val="21"/>
                    </w:rPr>
                    <w:t>2</w:t>
                  </w:r>
                </w:p>
              </w:tc>
              <w:tc>
                <w:tcPr>
                  <w:tcW w:w="1139" w:type="pct"/>
                  <w:vAlign w:val="center"/>
                </w:tcPr>
                <w:p>
                  <w:pPr>
                    <w:jc w:val="center"/>
                    <w:rPr>
                      <w:szCs w:val="21"/>
                    </w:rPr>
                  </w:pPr>
                  <w:r>
                    <w:rPr>
                      <w:szCs w:val="21"/>
                    </w:rPr>
                    <w:t>硝酸</w:t>
                  </w:r>
                </w:p>
              </w:tc>
              <w:tc>
                <w:tcPr>
                  <w:tcW w:w="1684" w:type="pct"/>
                  <w:vAlign w:val="center"/>
                </w:tcPr>
                <w:p>
                  <w:pPr>
                    <w:pStyle w:val="24"/>
                    <w:adjustRightInd w:val="0"/>
                    <w:spacing w:after="0" w:line="240" w:lineRule="auto"/>
                    <w:ind w:firstLine="0" w:firstLineChars="0"/>
                    <w:jc w:val="center"/>
                    <w:rPr>
                      <w:sz w:val="21"/>
                      <w:szCs w:val="21"/>
                    </w:rPr>
                  </w:pPr>
                  <w:r>
                    <w:rPr>
                      <w:sz w:val="21"/>
                      <w:szCs w:val="21"/>
                    </w:rPr>
                    <w:t>0.1</w:t>
                  </w:r>
                </w:p>
              </w:tc>
              <w:tc>
                <w:tcPr>
                  <w:tcW w:w="675" w:type="pct"/>
                  <w:vAlign w:val="center"/>
                </w:tcPr>
                <w:p>
                  <w:pPr>
                    <w:jc w:val="center"/>
                    <w:rPr>
                      <w:szCs w:val="21"/>
                    </w:rPr>
                  </w:pPr>
                  <w:r>
                    <w:rPr>
                      <w:szCs w:val="21"/>
                    </w:rPr>
                    <w:t>7.5</w:t>
                  </w:r>
                </w:p>
              </w:tc>
              <w:tc>
                <w:tcPr>
                  <w:tcW w:w="834" w:type="pct"/>
                  <w:vAlign w:val="center"/>
                </w:tcPr>
                <w:p>
                  <w:pPr>
                    <w:jc w:val="center"/>
                    <w:rPr>
                      <w:szCs w:val="21"/>
                    </w:rPr>
                  </w:pPr>
                  <w:r>
                    <w:rPr>
                      <w:szCs w:val="21"/>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6" w:type="pct"/>
                  <w:vAlign w:val="center"/>
                </w:tcPr>
                <w:p>
                  <w:pPr>
                    <w:jc w:val="center"/>
                    <w:rPr>
                      <w:szCs w:val="21"/>
                    </w:rPr>
                  </w:pPr>
                  <w:r>
                    <w:rPr>
                      <w:szCs w:val="21"/>
                    </w:rPr>
                    <w:t>3</w:t>
                  </w:r>
                </w:p>
              </w:tc>
              <w:tc>
                <w:tcPr>
                  <w:tcW w:w="1815" w:type="dxa"/>
                  <w:vAlign w:val="center"/>
                </w:tcPr>
                <w:p>
                  <w:pPr>
                    <w:jc w:val="center"/>
                    <w:rPr>
                      <w:szCs w:val="21"/>
                    </w:rPr>
                  </w:pPr>
                  <w:r>
                    <w:rPr>
                      <w:szCs w:val="21"/>
                    </w:rPr>
                    <w:t>机油</w:t>
                  </w:r>
                </w:p>
              </w:tc>
              <w:tc>
                <w:tcPr>
                  <w:tcW w:w="2684" w:type="dxa"/>
                  <w:vAlign w:val="center"/>
                </w:tcPr>
                <w:p>
                  <w:pPr>
                    <w:jc w:val="center"/>
                    <w:rPr>
                      <w:szCs w:val="21"/>
                    </w:rPr>
                  </w:pPr>
                  <w:r>
                    <w:rPr>
                      <w:szCs w:val="21"/>
                    </w:rPr>
                    <w:t>0.2</w:t>
                  </w:r>
                </w:p>
              </w:tc>
              <w:tc>
                <w:tcPr>
                  <w:tcW w:w="1076" w:type="dxa"/>
                  <w:vAlign w:val="center"/>
                </w:tcPr>
                <w:p>
                  <w:pPr>
                    <w:jc w:val="center"/>
                    <w:rPr>
                      <w:szCs w:val="21"/>
                    </w:rPr>
                  </w:pPr>
                  <w:r>
                    <w:rPr>
                      <w:szCs w:val="21"/>
                    </w:rPr>
                    <w:t>2500</w:t>
                  </w:r>
                </w:p>
              </w:tc>
              <w:tc>
                <w:tcPr>
                  <w:tcW w:w="1329" w:type="dxa"/>
                  <w:vAlign w:val="center"/>
                </w:tcPr>
                <w:p>
                  <w:pPr>
                    <w:jc w:val="center"/>
                    <w:rPr>
                      <w:szCs w:val="21"/>
                    </w:rPr>
                  </w:pPr>
                  <w:r>
                    <w:rPr>
                      <w:szCs w:val="21"/>
                    </w:rPr>
                    <w:t>0.00008</w:t>
                  </w:r>
                </w:p>
              </w:tc>
            </w:tr>
          </w:tbl>
          <w:p>
            <w:pPr>
              <w:spacing w:line="360" w:lineRule="auto"/>
              <w:ind w:firstLine="480" w:firstLineChars="200"/>
              <w:rPr>
                <w:sz w:val="24"/>
              </w:rPr>
            </w:pPr>
            <w:r>
              <w:rPr>
                <w:sz w:val="24"/>
              </w:rPr>
              <w:t>根据《建设项目环境风险评价技术导则》（HJ169-2018），当Q&lt;1时，该项目环境风险潜势为Ⅰ，可开展简单分析。</w:t>
            </w:r>
          </w:p>
          <w:p>
            <w:pPr>
              <w:spacing w:line="360" w:lineRule="auto"/>
              <w:ind w:firstLine="480" w:firstLineChars="200"/>
              <w:rPr>
                <w:sz w:val="24"/>
              </w:rPr>
            </w:pPr>
            <w:r>
              <w:rPr>
                <w:sz w:val="24"/>
              </w:rPr>
              <w:t>由风险分析可知，本项目天然气（甲烷）Q=0.0002；硝酸Q=0.013；机油Q=0.00008。以上三相相加Q=0.01328＜1。因此本项目环境风险潜势为Ⅰ，仅开展简单分析。</w:t>
            </w:r>
          </w:p>
          <w:p>
            <w:pPr>
              <w:spacing w:line="360" w:lineRule="auto"/>
              <w:ind w:left="420" w:leftChars="200"/>
              <w:rPr>
                <w:sz w:val="24"/>
              </w:rPr>
            </w:pPr>
            <w:r>
              <w:rPr>
                <w:sz w:val="24"/>
              </w:rPr>
              <w:t>（3）风险评价</w:t>
            </w:r>
          </w:p>
          <w:p>
            <w:pPr>
              <w:spacing w:line="360" w:lineRule="auto"/>
              <w:ind w:firstLine="480" w:firstLineChars="200"/>
              <w:rPr>
                <w:sz w:val="24"/>
              </w:rPr>
            </w:pPr>
            <w:r>
              <w:rPr>
                <w:sz w:val="24"/>
              </w:rPr>
              <w:t>①评价依据：根据评价工作等级划分，本项目 Q＜1，环境风险势能直接判断为I等级。</w:t>
            </w:r>
          </w:p>
          <w:p>
            <w:pPr>
              <w:spacing w:line="360" w:lineRule="auto"/>
              <w:ind w:firstLine="480" w:firstLineChars="200"/>
              <w:rPr>
                <w:sz w:val="24"/>
              </w:rPr>
            </w:pPr>
            <w:r>
              <w:rPr>
                <w:sz w:val="24"/>
              </w:rPr>
              <w:t>②环境敏感目标概况：周边500m范围内无民井及地下取水口。</w:t>
            </w:r>
          </w:p>
          <w:p>
            <w:pPr>
              <w:spacing w:line="360" w:lineRule="auto"/>
              <w:ind w:firstLine="480" w:firstLineChars="200"/>
              <w:rPr>
                <w:sz w:val="24"/>
              </w:rPr>
            </w:pPr>
            <w:r>
              <w:rPr>
                <w:sz w:val="24"/>
              </w:rPr>
              <w:t>③环境风险分析：</w:t>
            </w:r>
          </w:p>
          <w:p>
            <w:pPr>
              <w:spacing w:line="360" w:lineRule="auto"/>
              <w:ind w:firstLine="480" w:firstLineChars="200"/>
              <w:rPr>
                <w:sz w:val="24"/>
              </w:rPr>
            </w:pPr>
            <w:r>
              <w:rPr>
                <w:sz w:val="24"/>
              </w:rPr>
              <w:t>风险一：甲烷</w:t>
            </w:r>
          </w:p>
          <w:p>
            <w:pPr>
              <w:spacing w:line="360" w:lineRule="auto"/>
              <w:ind w:firstLine="480" w:firstLineChars="200"/>
              <w:rPr>
                <w:sz w:val="24"/>
              </w:rPr>
            </w:pPr>
            <w:r>
              <w:rPr>
                <w:sz w:val="24"/>
              </w:rPr>
              <w:t>本项目涉及的风险物质甲烷，在使用过程中，天然气泄漏对周围空气环境的影响和发生火灾爆炸产生的次生环境影响，如天然气发生火灾爆炸时不完全燃烧产生的CO 气体在短时间浓度值增高。</w:t>
            </w:r>
          </w:p>
          <w:p>
            <w:pPr>
              <w:spacing w:line="360" w:lineRule="auto"/>
              <w:ind w:firstLine="480" w:firstLineChars="200"/>
              <w:rPr>
                <w:sz w:val="24"/>
              </w:rPr>
            </w:pPr>
            <w:r>
              <w:rPr>
                <w:sz w:val="24"/>
              </w:rPr>
              <w:t>甲烷对人基本无毒，但浓度过高时，使空气中氧含量明显降低，使人窒息。当空气中甲烷达25%～30%时，可引起头痛、头晕、乏力、注意力不集中、呼吸和心跳加速、共济失调。若不及时远离，可致窒息死亡。皮肤接触液化的甲烷，可致冻伤。</w:t>
            </w:r>
          </w:p>
          <w:p>
            <w:pPr>
              <w:spacing w:line="360" w:lineRule="auto"/>
              <w:ind w:firstLine="480" w:firstLineChars="200"/>
              <w:rPr>
                <w:sz w:val="24"/>
              </w:rPr>
            </w:pPr>
            <w:r>
              <w:rPr>
                <w:sz w:val="24"/>
              </w:rPr>
              <w:t>项目所用天然气在线量小，管线连接锅炉房处有气体泄漏报警及自动关闭装置，发生泄漏后可及时关闭天然气的输送并报警提示，发生泄漏的可能性很小，对外环境造成影响不大。</w:t>
            </w:r>
          </w:p>
          <w:p>
            <w:pPr>
              <w:pStyle w:val="13"/>
              <w:spacing w:line="360" w:lineRule="auto"/>
              <w:ind w:firstLine="480" w:firstLineChars="200"/>
              <w:rPr>
                <w:rFonts w:ascii="Times New Roman" w:hAnsi="Times New Roman"/>
                <w:sz w:val="24"/>
              </w:rPr>
            </w:pPr>
            <w:r>
              <w:rPr>
                <w:rFonts w:ascii="Times New Roman" w:hAnsi="Times New Roman"/>
                <w:sz w:val="24"/>
              </w:rPr>
              <w:t>风险二：硝酸</w:t>
            </w:r>
          </w:p>
          <w:p>
            <w:pPr>
              <w:pStyle w:val="13"/>
              <w:spacing w:line="360" w:lineRule="auto"/>
              <w:ind w:firstLine="480" w:firstLineChars="200"/>
              <w:rPr>
                <w:rFonts w:ascii="Times New Roman" w:hAnsi="Times New Roman"/>
                <w:sz w:val="24"/>
              </w:rPr>
            </w:pPr>
            <w:r>
              <w:rPr>
                <w:rFonts w:ascii="Times New Roman" w:hAnsi="Times New Roman"/>
                <w:sz w:val="24"/>
              </w:rPr>
              <w:t>本项目涉及的风险物质硝酸并不稳定，遇光或热会分解而放出二氧化氮，硝酸溶液及硝酸蒸气对皮肤和</w:t>
            </w:r>
            <w:r>
              <w:rPr>
                <w:rFonts w:hint="eastAsia" w:ascii="Times New Roman" w:hAnsi="Times New Roman"/>
                <w:sz w:val="24"/>
              </w:rPr>
              <w:t>粘膜</w:t>
            </w:r>
            <w:r>
              <w:rPr>
                <w:rFonts w:ascii="Times New Roman" w:hAnsi="Times New Roman"/>
                <w:sz w:val="24"/>
              </w:rPr>
              <w:t>有强刺激和腐蚀作用。硝酸泄漏至外环境，会影响到空气、地表水、地下水、土壤等。</w:t>
            </w:r>
          </w:p>
          <w:p>
            <w:pPr>
              <w:pStyle w:val="13"/>
              <w:spacing w:line="360" w:lineRule="auto"/>
              <w:ind w:firstLine="420" w:firstLineChars="200"/>
              <w:rPr>
                <w:rFonts w:ascii="Times New Roman" w:hAnsi="Times New Roman"/>
                <w:sz w:val="24"/>
              </w:rPr>
            </w:pPr>
            <w:r>
              <w:fldChar w:fldCharType="begin"/>
            </w:r>
            <w:r>
              <w:instrText xml:space="preserve"> HYPERLINK "https://baike.sogou.com/lemma/ShowInnerLink.htm?lemmaId=7711236&amp;ss_c=ssc.citiao.link" \t "https://baike.sogou.com/_blank" </w:instrText>
            </w:r>
            <w:r>
              <w:fldChar w:fldCharType="separate"/>
            </w:r>
            <w:r>
              <w:rPr>
                <w:rFonts w:ascii="Times New Roman" w:hAnsi="Times New Roman"/>
                <w:sz w:val="24"/>
              </w:rPr>
              <w:t>浓硝酸</w:t>
            </w:r>
            <w:r>
              <w:rPr>
                <w:rFonts w:ascii="Times New Roman" w:hAnsi="Times New Roman"/>
                <w:sz w:val="24"/>
              </w:rPr>
              <w:fldChar w:fldCharType="end"/>
            </w:r>
            <w:r>
              <w:rPr>
                <w:rFonts w:ascii="Times New Roman" w:hAnsi="Times New Roman"/>
                <w:sz w:val="24"/>
              </w:rPr>
              <w:t>烟雾可释放出</w:t>
            </w:r>
            <w:r>
              <w:fldChar w:fldCharType="begin"/>
            </w:r>
            <w:r>
              <w:instrText xml:space="preserve"> HYPERLINK "https://baike.sogou.com/lemma/ShowInnerLink.htm?lemmaId=6439226&amp;ss_c=ssc.citiao.link" \t "https://baike.sogou.com/_blank" </w:instrText>
            </w:r>
            <w:r>
              <w:fldChar w:fldCharType="separate"/>
            </w:r>
            <w:r>
              <w:rPr>
                <w:rFonts w:ascii="Times New Roman" w:hAnsi="Times New Roman"/>
                <w:sz w:val="24"/>
              </w:rPr>
              <w:t>五氧化二氮</w:t>
            </w:r>
            <w:r>
              <w:rPr>
                <w:rFonts w:ascii="Times New Roman" w:hAnsi="Times New Roman"/>
                <w:sz w:val="24"/>
              </w:rPr>
              <w:fldChar w:fldCharType="end"/>
            </w:r>
            <w:r>
              <w:rPr>
                <w:rFonts w:ascii="Times New Roman" w:hAnsi="Times New Roman"/>
                <w:sz w:val="24"/>
              </w:rPr>
              <w:t>（</w:t>
            </w:r>
            <w:r>
              <w:fldChar w:fldCharType="begin"/>
            </w:r>
            <w:r>
              <w:instrText xml:space="preserve"> HYPERLINK "https://baike.sogou.com/lemma/ShowInnerLink.htm?lemmaId=6439226&amp;ss_c=ssc.citiao.link" \t "https://baike.sogou.com/_blank" </w:instrText>
            </w:r>
            <w:r>
              <w:fldChar w:fldCharType="separate"/>
            </w:r>
            <w:r>
              <w:rPr>
                <w:rFonts w:ascii="Times New Roman" w:hAnsi="Times New Roman"/>
                <w:sz w:val="24"/>
              </w:rPr>
              <w:t>硝酐</w:t>
            </w:r>
            <w:r>
              <w:rPr>
                <w:rFonts w:ascii="Times New Roman" w:hAnsi="Times New Roman"/>
                <w:sz w:val="24"/>
              </w:rPr>
              <w:fldChar w:fldCharType="end"/>
            </w:r>
            <w:r>
              <w:rPr>
                <w:rFonts w:ascii="Times New Roman" w:hAnsi="Times New Roman"/>
                <w:sz w:val="24"/>
              </w:rPr>
              <w:t>）遇水蒸气形成酸雾，可迅速分解而形成二氧化氮，浓硝酸加热时产生硝酸蒸气，也可分解产生二氧化氮，吸入后可引起急性氮氧化物中毒。人在低于12ppm（30mg/m³）左右时未见明显的损害。吸入可引起肺炎。大鼠吸入LC50 49 ppm/4小时。国外报道3例吸入硝酸烟雾后短时间内无呼吸道症状。4－6h后进行性呼吸困难。入院后均有发绀及口、鼻流出泡沫液体。给机械通气及100%氧气吸入。在24h内死亡。经尸检，肺组织免疫组织学分析及电镜检查表明细胞损伤可能由于二氧化氮的</w:t>
            </w:r>
            <w:r>
              <w:fldChar w:fldCharType="begin"/>
            </w:r>
            <w:r>
              <w:instrText xml:space="preserve">HYPERLINK "https://baike.sogou.com/lemma/ShowInnerLink.htm?lemmaId=3282218&amp;ss_c=ssc.citiao.link" \t "https://baike.sogou.com/_blank"</w:instrText>
            </w:r>
            <w:r>
              <w:fldChar w:fldCharType="separate"/>
            </w:r>
            <w:r>
              <w:rPr>
                <w:rFonts w:ascii="Times New Roman" w:hAnsi="Times New Roman"/>
                <w:sz w:val="24"/>
              </w:rPr>
              <w:t>水合作用</w:t>
            </w:r>
            <w:r>
              <w:rPr>
                <w:rFonts w:ascii="Times New Roman" w:hAnsi="Times New Roman"/>
                <w:sz w:val="24"/>
              </w:rPr>
              <w:fldChar w:fldCharType="end"/>
            </w:r>
            <w:r>
              <w:rPr>
                <w:rFonts w:ascii="Times New Roman" w:hAnsi="Times New Roman"/>
                <w:sz w:val="24"/>
              </w:rPr>
              <w:t>产生自由基所引起的，此种时间依赖的作用可能是迟发性</w:t>
            </w:r>
            <w:r>
              <w:fldChar w:fldCharType="begin"/>
            </w:r>
            <w:r>
              <w:instrText xml:space="preserve"> HYPERLINK "https://baike.sogou.com/lemma/ShowInnerLink.htm?lemmaId=6622147&amp;ss_c=ssc.citiao.link" \t "https://baike.sogou.com/_blank" </w:instrText>
            </w:r>
            <w:r>
              <w:fldChar w:fldCharType="separate"/>
            </w:r>
            <w:r>
              <w:rPr>
                <w:rFonts w:ascii="Times New Roman" w:hAnsi="Times New Roman"/>
                <w:sz w:val="24"/>
              </w:rPr>
              <w:t>肺损伤</w:t>
            </w:r>
            <w:r>
              <w:rPr>
                <w:rFonts w:ascii="Times New Roman" w:hAnsi="Times New Roman"/>
                <w:sz w:val="24"/>
              </w:rPr>
              <w:fldChar w:fldCharType="end"/>
            </w:r>
            <w:r>
              <w:rPr>
                <w:rFonts w:ascii="Times New Roman" w:hAnsi="Times New Roman"/>
                <w:sz w:val="24"/>
              </w:rPr>
              <w:t>症状的部分原因。 吸入硝酸烟雾可引起急性中毒。口服硝酸可引起腐蚀性</w:t>
            </w:r>
            <w:r>
              <w:fldChar w:fldCharType="begin"/>
            </w:r>
            <w:r>
              <w:instrText xml:space="preserve"> HYPERLINK "https://baike.sogou.com/lemma/ShowInnerLink.htm?lemmaId=6027186&amp;ss_c=ssc.citiao.link" \t "https://baike.sogou.com/_blank" </w:instrText>
            </w:r>
            <w:r>
              <w:fldChar w:fldCharType="separate"/>
            </w:r>
            <w:r>
              <w:rPr>
                <w:rFonts w:ascii="Times New Roman" w:hAnsi="Times New Roman"/>
                <w:sz w:val="24"/>
              </w:rPr>
              <w:t>口腔炎</w:t>
            </w:r>
            <w:r>
              <w:rPr>
                <w:rFonts w:ascii="Times New Roman" w:hAnsi="Times New Roman"/>
                <w:sz w:val="24"/>
              </w:rPr>
              <w:fldChar w:fldCharType="end"/>
            </w:r>
            <w:r>
              <w:rPr>
                <w:rFonts w:ascii="Times New Roman" w:hAnsi="Times New Roman"/>
                <w:sz w:val="24"/>
              </w:rPr>
              <w:t>和</w:t>
            </w:r>
            <w:r>
              <w:fldChar w:fldCharType="begin"/>
            </w:r>
            <w:r>
              <w:instrText xml:space="preserve"> HYPERLINK "https://baike.sogou.com/lemma/ShowInnerLink.htm?lemmaId=5770723&amp;ss_c=ssc.citiao.link" \t "https://baike.sogou.com/_blank" </w:instrText>
            </w:r>
            <w:r>
              <w:fldChar w:fldCharType="separate"/>
            </w:r>
            <w:r>
              <w:rPr>
                <w:rFonts w:ascii="Times New Roman" w:hAnsi="Times New Roman"/>
                <w:sz w:val="24"/>
              </w:rPr>
              <w:t>胃肠炎</w:t>
            </w:r>
            <w:r>
              <w:rPr>
                <w:rFonts w:ascii="Times New Roman" w:hAnsi="Times New Roman"/>
                <w:sz w:val="24"/>
              </w:rPr>
              <w:fldChar w:fldCharType="end"/>
            </w:r>
            <w:r>
              <w:rPr>
                <w:rFonts w:ascii="Times New Roman" w:hAnsi="Times New Roman"/>
                <w:sz w:val="24"/>
              </w:rPr>
              <w:t>，可出现休克或</w:t>
            </w:r>
            <w:r>
              <w:fldChar w:fldCharType="begin"/>
            </w:r>
            <w:r>
              <w:instrText xml:space="preserve"> HYPERLINK "https://baike.sogou.com/lemma/ShowInnerLink.htm?lemmaId=472842&amp;ss_c=ssc.citiao.link" \t "https://baike.sogou.com/_blank" </w:instrText>
            </w:r>
            <w:r>
              <w:fldChar w:fldCharType="separate"/>
            </w:r>
            <w:r>
              <w:rPr>
                <w:rFonts w:ascii="Times New Roman" w:hAnsi="Times New Roman"/>
                <w:sz w:val="24"/>
              </w:rPr>
              <w:t>肾功能衰竭</w:t>
            </w:r>
            <w:r>
              <w:rPr>
                <w:rFonts w:ascii="Times New Roman" w:hAnsi="Times New Roman"/>
                <w:sz w:val="24"/>
              </w:rPr>
              <w:fldChar w:fldCharType="end"/>
            </w:r>
            <w:r>
              <w:rPr>
                <w:rFonts w:ascii="Times New Roman" w:hAnsi="Times New Roman"/>
                <w:sz w:val="24"/>
              </w:rPr>
              <w:t>等。</w:t>
            </w:r>
          </w:p>
          <w:p>
            <w:pPr>
              <w:pStyle w:val="13"/>
              <w:spacing w:line="360" w:lineRule="auto"/>
              <w:ind w:firstLine="480" w:firstLineChars="200"/>
              <w:rPr>
                <w:rFonts w:ascii="Times New Roman" w:hAnsi="Times New Roman"/>
                <w:sz w:val="24"/>
              </w:rPr>
            </w:pPr>
            <w:r>
              <w:rPr>
                <w:rFonts w:ascii="Times New Roman" w:hAnsi="Times New Roman"/>
                <w:sz w:val="24"/>
              </w:rPr>
              <w:t>项目所使用、贮存的硝酸量小，使用棕色瓶收容并放置在铺设有防渗透、防腐蚀地胶的地面上。配备有完善的取用管理制度及泄漏处理方式，硝酸泄漏对环境造成的影响不大。</w:t>
            </w:r>
          </w:p>
          <w:p>
            <w:pPr>
              <w:spacing w:line="360" w:lineRule="auto"/>
              <w:ind w:firstLine="480" w:firstLineChars="200"/>
              <w:rPr>
                <w:sz w:val="24"/>
              </w:rPr>
            </w:pPr>
            <w:r>
              <w:rPr>
                <w:sz w:val="24"/>
              </w:rPr>
              <w:t>风险三：机油</w:t>
            </w:r>
          </w:p>
          <w:p>
            <w:pPr>
              <w:pStyle w:val="14"/>
              <w:spacing w:line="360" w:lineRule="auto"/>
              <w:ind w:firstLine="480" w:firstLineChars="200"/>
              <w:rPr>
                <w:rFonts w:ascii="Times New Roman"/>
                <w:color w:val="auto"/>
              </w:rPr>
            </w:pPr>
            <w:r>
              <w:rPr>
                <w:rFonts w:ascii="Times New Roman"/>
                <w:color w:val="auto"/>
              </w:rPr>
              <w:t>若仓库及</w:t>
            </w:r>
            <w:r>
              <w:rPr>
                <w:rFonts w:hint="eastAsia"/>
                <w:color w:val="auto"/>
              </w:rPr>
              <w:t>危险废物贮存库</w:t>
            </w:r>
            <w:r>
              <w:rPr>
                <w:rFonts w:ascii="Times New Roman"/>
                <w:color w:val="auto"/>
              </w:rPr>
              <w:t>中暂存的油品泄漏进入雨水管网，会对周围水体造成一定的影响。另外，车间内电路破碎存在触电的危险，短路造成的火灾、爆炸等危险；机械设备还可能导致机械伤害、触电等事故。泄漏至外环境，会影响到地表水、土壤等。</w:t>
            </w:r>
          </w:p>
          <w:p>
            <w:pPr>
              <w:spacing w:line="360" w:lineRule="auto"/>
              <w:ind w:firstLine="480" w:firstLineChars="200"/>
              <w:rPr>
                <w:sz w:val="24"/>
              </w:rPr>
            </w:pPr>
            <w:r>
              <w:rPr>
                <w:sz w:val="24"/>
              </w:rPr>
              <w:t>④环境风险防范措施及应急要求：</w:t>
            </w:r>
          </w:p>
          <w:p>
            <w:pPr>
              <w:spacing w:line="360" w:lineRule="auto"/>
              <w:ind w:firstLine="480" w:firstLineChars="200"/>
              <w:rPr>
                <w:sz w:val="24"/>
              </w:rPr>
            </w:pPr>
            <w:r>
              <w:rPr>
                <w:sz w:val="24"/>
              </w:rPr>
              <w:t>锅炉房：</w:t>
            </w:r>
          </w:p>
          <w:p>
            <w:pPr>
              <w:spacing w:line="360" w:lineRule="auto"/>
              <w:ind w:firstLine="480" w:firstLineChars="200"/>
              <w:rPr>
                <w:sz w:val="24"/>
              </w:rPr>
            </w:pPr>
            <w:r>
              <w:rPr>
                <w:sz w:val="24"/>
              </w:rPr>
              <w:t>（1）建立完善的安全生产管理制度，加强安全生产的宣传和教育，确保安全生产落实到生产中的每一个环节。建立完善的环境风险管理制度，安排专职或兼职人员负责原辅料和成品的储存管理。安排具有专业技术专职或兼职人员负责废气治理措施的日常运营管理，制定废气运营操作规范，检修维护时间和流程项目，建立运行台账管理制度。</w:t>
            </w:r>
          </w:p>
          <w:p>
            <w:pPr>
              <w:spacing w:line="360" w:lineRule="auto"/>
              <w:ind w:firstLine="480" w:firstLineChars="200"/>
              <w:rPr>
                <w:sz w:val="24"/>
              </w:rPr>
            </w:pPr>
            <w:r>
              <w:rPr>
                <w:sz w:val="24"/>
              </w:rPr>
              <w:t>（2）锅炉房参照《建筑设计防火规范》(GB50016-2006</w:t>
            </w:r>
            <w:r>
              <w:rPr>
                <w:rFonts w:hint="eastAsia"/>
                <w:sz w:val="24"/>
              </w:rPr>
              <w:t>）</w:t>
            </w:r>
            <w:r>
              <w:rPr>
                <w:sz w:val="24"/>
              </w:rPr>
              <w:t>和《锅炉房设计规范》(GB50041-2008</w:t>
            </w:r>
            <w:r>
              <w:rPr>
                <w:rFonts w:hint="eastAsia"/>
                <w:sz w:val="24"/>
              </w:rPr>
              <w:t>）</w:t>
            </w:r>
            <w:r>
              <w:rPr>
                <w:sz w:val="24"/>
              </w:rPr>
              <w:t>设计施工，耐火等级二级以上，锅炉房内应配备一定数量的干粉/泡沫灭火器。</w:t>
            </w:r>
          </w:p>
          <w:p>
            <w:pPr>
              <w:spacing w:line="360" w:lineRule="auto"/>
              <w:ind w:firstLine="480" w:firstLineChars="200"/>
              <w:rPr>
                <w:sz w:val="24"/>
              </w:rPr>
            </w:pPr>
            <w:r>
              <w:rPr>
                <w:sz w:val="24"/>
              </w:rPr>
              <w:t>（3）锅炉房远离火种、热源、工作场所严禁吸烟及明火作业，锅炉操作工必须岗前培训合格后上岗，并记录锅炉运转情况。</w:t>
            </w:r>
          </w:p>
          <w:p>
            <w:pPr>
              <w:spacing w:line="360" w:lineRule="auto"/>
              <w:ind w:firstLine="480" w:firstLineChars="200"/>
              <w:rPr>
                <w:sz w:val="24"/>
              </w:rPr>
            </w:pPr>
            <w:r>
              <w:rPr>
                <w:sz w:val="24"/>
              </w:rPr>
              <w:t>（4）在生产过程中，</w:t>
            </w:r>
            <w:r>
              <w:rPr>
                <w:rFonts w:hint="eastAsia"/>
                <w:sz w:val="24"/>
              </w:rPr>
              <w:t>必须</w:t>
            </w:r>
            <w:r>
              <w:rPr>
                <w:sz w:val="24"/>
              </w:rPr>
              <w:t>有专人值班，掌握安全防范措施，尽可能将风险降低到最低限度。</w:t>
            </w:r>
          </w:p>
          <w:p>
            <w:pPr>
              <w:spacing w:line="360" w:lineRule="auto"/>
              <w:ind w:firstLine="480" w:firstLineChars="200"/>
              <w:rPr>
                <w:sz w:val="24"/>
              </w:rPr>
            </w:pPr>
            <w:r>
              <w:rPr>
                <w:sz w:val="24"/>
              </w:rPr>
              <w:t>（5）生产现场设置各种安全标志。按照规范对凡需要迅速发现并引起注意以防发生事故的场所、部位均按要求涂安全色。</w:t>
            </w:r>
          </w:p>
          <w:p>
            <w:pPr>
              <w:spacing w:line="360" w:lineRule="auto"/>
              <w:ind w:firstLine="480" w:firstLineChars="200"/>
              <w:rPr>
                <w:sz w:val="24"/>
              </w:rPr>
            </w:pPr>
            <w:r>
              <w:rPr>
                <w:sz w:val="24"/>
              </w:rPr>
              <w:t>（6）天然气管道、管件等采用可靠的密封技术并设置自控报警系统，一旦出现天然气泄漏现象及时报警。</w:t>
            </w:r>
          </w:p>
          <w:p>
            <w:pPr>
              <w:spacing w:line="360" w:lineRule="auto"/>
              <w:ind w:firstLine="480" w:firstLineChars="200"/>
              <w:rPr>
                <w:sz w:val="24"/>
              </w:rPr>
            </w:pPr>
            <w:r>
              <w:rPr>
                <w:sz w:val="24"/>
              </w:rPr>
              <w:t>（7）锅炉每年进行一次定期检验，未经定期检验的锅炉不得使用，加强锅炉房的用电设施设备管理，延吉用电设备超负荷长期运行，定期检查维修电路，防止线路老化导致短路引起火灾事故。</w:t>
            </w:r>
          </w:p>
          <w:p>
            <w:pPr>
              <w:spacing w:line="360" w:lineRule="auto"/>
              <w:ind w:firstLine="480" w:firstLineChars="200"/>
              <w:rPr>
                <w:sz w:val="24"/>
              </w:rPr>
            </w:pPr>
            <w:r>
              <w:rPr>
                <w:sz w:val="24"/>
              </w:rPr>
              <w:t>危险化学品（硝酸）：</w:t>
            </w:r>
          </w:p>
          <w:p>
            <w:pPr>
              <w:spacing w:line="360" w:lineRule="auto"/>
              <w:ind w:firstLine="480" w:firstLineChars="200"/>
              <w:rPr>
                <w:sz w:val="24"/>
              </w:rPr>
            </w:pPr>
            <w:r>
              <w:rPr>
                <w:sz w:val="24"/>
              </w:rPr>
              <w:t>（1）硝酸储存于阴凉、通风的库房。远离火种、热源。库温不超过30℃，相对湿度不超过80%。保持容器密封。应与还原剂、碱类、醇类、碱金属等分开存放，切忌混储。储区应备有泄漏应急处理设备和合适的收容材料。并备有农用石灰</w:t>
            </w:r>
            <w:r>
              <w:rPr>
                <w:rFonts w:hint="eastAsia"/>
                <w:sz w:val="24"/>
              </w:rPr>
              <w:t>（</w:t>
            </w:r>
            <w:r>
              <w:rPr>
                <w:sz w:val="24"/>
              </w:rPr>
              <w:t>CaO</w:t>
            </w:r>
            <w:r>
              <w:rPr>
                <w:rFonts w:hint="eastAsia"/>
                <w:sz w:val="24"/>
              </w:rPr>
              <w:t>）</w:t>
            </w:r>
            <w:r>
              <w:rPr>
                <w:sz w:val="24"/>
              </w:rPr>
              <w:t>、碎石灰石</w:t>
            </w:r>
            <w:r>
              <w:rPr>
                <w:rFonts w:hint="eastAsia"/>
                <w:sz w:val="24"/>
              </w:rPr>
              <w:t>（</w:t>
            </w:r>
            <w:r>
              <w:fldChar w:fldCharType="begin"/>
            </w:r>
            <w:r>
              <w:instrText xml:space="preserve"> HYPERLINK "https://baike.sogou.com/lemma/ShowInnerLink.htm?lemmaId=293024&amp;ss_c=ssc.citiao.link" \t "https://baike.sogou.com/_blank" </w:instrText>
            </w:r>
            <w:r>
              <w:fldChar w:fldCharType="separate"/>
            </w:r>
            <w:r>
              <w:rPr>
                <w:sz w:val="24"/>
              </w:rPr>
              <w:t>CaCO3</w:t>
            </w:r>
            <w:r>
              <w:rPr>
                <w:sz w:val="24"/>
              </w:rPr>
              <w:fldChar w:fldCharType="end"/>
            </w:r>
            <w:r>
              <w:rPr>
                <w:rFonts w:hint="eastAsia"/>
                <w:sz w:val="24"/>
              </w:rPr>
              <w:t>）</w:t>
            </w:r>
            <w:r>
              <w:rPr>
                <w:sz w:val="24"/>
              </w:rPr>
              <w:t>或碳酸氢钠</w:t>
            </w:r>
            <w:r>
              <w:rPr>
                <w:rFonts w:hint="eastAsia"/>
                <w:sz w:val="24"/>
              </w:rPr>
              <w:t>（</w:t>
            </w:r>
            <w:r>
              <w:fldChar w:fldCharType="begin"/>
            </w:r>
            <w:r>
              <w:instrText xml:space="preserve"> HYPERLINK "https://baike.sogou.com/lemma/ShowInnerLink.htm?lemmaId=115541&amp;ss_c=ssc.citiao.link" \t "https://baike.sogou.com/_blank" </w:instrText>
            </w:r>
            <w:r>
              <w:fldChar w:fldCharType="separate"/>
            </w:r>
            <w:r>
              <w:rPr>
                <w:sz w:val="24"/>
              </w:rPr>
              <w:t>NaHCO3</w:t>
            </w:r>
            <w:r>
              <w:rPr>
                <w:sz w:val="24"/>
              </w:rPr>
              <w:fldChar w:fldCharType="end"/>
            </w:r>
            <w:r>
              <w:rPr>
                <w:rFonts w:hint="eastAsia"/>
                <w:sz w:val="24"/>
              </w:rPr>
              <w:t>）</w:t>
            </w:r>
            <w:r>
              <w:rPr>
                <w:sz w:val="24"/>
              </w:rPr>
              <w:t>等用以中和。</w:t>
            </w:r>
          </w:p>
          <w:p>
            <w:pPr>
              <w:spacing w:line="360" w:lineRule="auto"/>
              <w:ind w:firstLine="480" w:firstLineChars="200"/>
              <w:rPr>
                <w:sz w:val="24"/>
              </w:rPr>
            </w:pPr>
            <w:r>
              <w:rPr>
                <w:sz w:val="24"/>
              </w:rPr>
              <w:t>（2）使用硝酸时密闭操作，注意通风。操作尽可能机械化、自动化。操作人员必须经过专门培训，严格遵守操作规程。建议操作人员佩戴自吸</w:t>
            </w:r>
            <w:r>
              <w:fldChar w:fldCharType="begin"/>
            </w:r>
            <w:r>
              <w:instrText xml:space="preserve"> HYPERLINK "https://baike.sogou.com/lemma/ShowInnerLink.htm?lemmaId=7820911&amp;ss_c=ssc.citiao.link" \t "https://baike.sogou.com/_blank" </w:instrText>
            </w:r>
            <w:r>
              <w:fldChar w:fldCharType="separate"/>
            </w:r>
            <w:r>
              <w:rPr>
                <w:sz w:val="24"/>
              </w:rPr>
              <w:t>过滤式防毒面具</w:t>
            </w:r>
            <w:r>
              <w:rPr>
                <w:sz w:val="24"/>
              </w:rPr>
              <w:fldChar w:fldCharType="end"/>
            </w:r>
            <w:r>
              <w:rPr>
                <w:sz w:val="24"/>
              </w:rPr>
              <w:t>（</w:t>
            </w:r>
            <w:r>
              <w:fldChar w:fldCharType="begin"/>
            </w:r>
            <w:r>
              <w:instrText xml:space="preserve"> HYPERLINK "https://baike.sogou.com/lemma/ShowInnerLink.htm?lemmaId=67701842&amp;ss_c=ssc.citiao.link" \t "https://baike.sogou.com/_blank" </w:instrText>
            </w:r>
            <w:r>
              <w:fldChar w:fldCharType="separate"/>
            </w:r>
            <w:r>
              <w:rPr>
                <w:sz w:val="24"/>
              </w:rPr>
              <w:t>全面罩</w:t>
            </w:r>
            <w:r>
              <w:rPr>
                <w:sz w:val="24"/>
              </w:rPr>
              <w:fldChar w:fldCharType="end"/>
            </w:r>
            <w:r>
              <w:rPr>
                <w:sz w:val="24"/>
              </w:rPr>
              <w:t>），穿橡胶耐酸碱服，戴橡胶</w:t>
            </w:r>
            <w:r>
              <w:fldChar w:fldCharType="begin"/>
            </w:r>
            <w:r>
              <w:instrText xml:space="preserve"> HYPERLINK "https://baike.sogou.com/lemma/ShowInnerLink.htm?lemmaId=66714254&amp;ss_c=ssc.citiao.link" \t "https://baike.sogou.com/_blank" </w:instrText>
            </w:r>
            <w:r>
              <w:fldChar w:fldCharType="separate"/>
            </w:r>
            <w:r>
              <w:rPr>
                <w:sz w:val="24"/>
              </w:rPr>
              <w:t>耐酸碱手套</w:t>
            </w:r>
            <w:r>
              <w:rPr>
                <w:sz w:val="24"/>
              </w:rPr>
              <w:fldChar w:fldCharType="end"/>
            </w:r>
            <w:r>
              <w:rPr>
                <w:sz w:val="24"/>
              </w:rPr>
              <w:t>。远离火种、热源，工作场所严禁吸烟。防止蒸气泄漏到工作场所空气中。避免与</w:t>
            </w:r>
            <w:r>
              <w:fldChar w:fldCharType="begin"/>
            </w:r>
            <w:r>
              <w:instrText xml:space="preserve"> HYPERLINK "https://baike.sogou.com/lemma/ShowInnerLink.htm?lemmaId=397364&amp;ss_c=ssc.citiao.link" \t "https://baike.sogou.com/_blank" </w:instrText>
            </w:r>
            <w:r>
              <w:fldChar w:fldCharType="separate"/>
            </w:r>
            <w:r>
              <w:rPr>
                <w:sz w:val="24"/>
              </w:rPr>
              <w:t>还原剂</w:t>
            </w:r>
            <w:r>
              <w:rPr>
                <w:sz w:val="24"/>
              </w:rPr>
              <w:fldChar w:fldCharType="end"/>
            </w:r>
            <w:r>
              <w:rPr>
                <w:sz w:val="24"/>
              </w:rPr>
              <w:t>、碱类、醇类、</w:t>
            </w:r>
            <w:r>
              <w:fldChar w:fldCharType="begin"/>
            </w:r>
            <w:r>
              <w:instrText xml:space="preserve"> HYPERLINK "https://baike.sogou.com/lemma/ShowInnerLink.htm?lemmaId=170639&amp;ss_c=ssc.citiao.link" \t "https://baike.sogou.com/_blank" </w:instrText>
            </w:r>
            <w:r>
              <w:fldChar w:fldCharType="separate"/>
            </w:r>
            <w:r>
              <w:rPr>
                <w:sz w:val="24"/>
              </w:rPr>
              <w:t>碱金属</w:t>
            </w:r>
            <w:r>
              <w:rPr>
                <w:sz w:val="24"/>
              </w:rPr>
              <w:fldChar w:fldCharType="end"/>
            </w:r>
            <w:r>
              <w:rPr>
                <w:sz w:val="24"/>
              </w:rPr>
              <w:t>接触。搬运时要轻装轻卸，防止包装及容器损坏。配备相应品种和数量的消防器材及</w:t>
            </w:r>
            <w:r>
              <w:fldChar w:fldCharType="begin"/>
            </w:r>
            <w:r>
              <w:instrText xml:space="preserve"> HYPERLINK "https://baike.sogou.com/lemma/ShowInnerLink.htm?lemmaId=73845393&amp;ss_c=ssc.citiao.link" \t "https://baike.sogou.com/_blank" </w:instrText>
            </w:r>
            <w:r>
              <w:fldChar w:fldCharType="separate"/>
            </w:r>
            <w:r>
              <w:rPr>
                <w:sz w:val="24"/>
              </w:rPr>
              <w:t>泄漏应急处理</w:t>
            </w:r>
            <w:r>
              <w:rPr>
                <w:sz w:val="24"/>
              </w:rPr>
              <w:fldChar w:fldCharType="end"/>
            </w:r>
            <w:r>
              <w:rPr>
                <w:sz w:val="24"/>
              </w:rPr>
              <w:t>设备。倒空的容器可能残留有害物。稀释或制备溶液时，应把酸加入水中，避免沸腾和飞溅。</w:t>
            </w:r>
          </w:p>
          <w:p>
            <w:pPr>
              <w:spacing w:line="360" w:lineRule="auto"/>
              <w:ind w:firstLine="480" w:firstLineChars="200"/>
              <w:rPr>
                <w:sz w:val="24"/>
              </w:rPr>
            </w:pPr>
            <w:r>
              <w:rPr>
                <w:rFonts w:hint="eastAsia"/>
                <w:sz w:val="24"/>
              </w:rPr>
              <w:t>危险废物贮存库</w:t>
            </w:r>
            <w:r>
              <w:rPr>
                <w:sz w:val="24"/>
              </w:rPr>
              <w:t>：</w:t>
            </w:r>
          </w:p>
          <w:p>
            <w:pPr>
              <w:spacing w:line="360" w:lineRule="auto"/>
              <w:ind w:firstLine="480" w:firstLineChars="200"/>
              <w:rPr>
                <w:sz w:val="24"/>
              </w:rPr>
            </w:pPr>
            <w:r>
              <w:rPr>
                <w:sz w:val="24"/>
              </w:rPr>
              <w:t>（1）未将不相容的废物混合或者合并存放；</w:t>
            </w:r>
          </w:p>
          <w:p>
            <w:pPr>
              <w:spacing w:line="360" w:lineRule="auto"/>
              <w:ind w:firstLine="480" w:firstLineChars="200"/>
              <w:rPr>
                <w:sz w:val="24"/>
              </w:rPr>
            </w:pPr>
            <w:r>
              <w:rPr>
                <w:sz w:val="24"/>
              </w:rPr>
              <w:t>（2）贮存间地面、围堰、浸出液导流渠及浸出液收集池均采取防渗处理。基础采取防渗，防渗层为2mm厚高密度聚乙烯（HDPE），渗透系数可满足≤10</w:t>
            </w:r>
            <w:r>
              <w:rPr>
                <w:rFonts w:hint="eastAsia"/>
                <w:sz w:val="24"/>
              </w:rPr>
              <w:t>—</w:t>
            </w:r>
            <w:r>
              <w:rPr>
                <w:sz w:val="24"/>
              </w:rPr>
              <w:t xml:space="preserve">10cm/s；      </w:t>
            </w:r>
          </w:p>
          <w:p>
            <w:pPr>
              <w:spacing w:line="360" w:lineRule="auto"/>
              <w:ind w:firstLine="480" w:firstLineChars="200"/>
              <w:rPr>
                <w:sz w:val="24"/>
              </w:rPr>
            </w:pPr>
            <w:r>
              <w:rPr>
                <w:sz w:val="24"/>
              </w:rPr>
              <w:t>（3）贮存间地面、围堰、浸出液导流渠及浸出液收集池均采取防腐处理。现有耐腐蚀的硬化地面，采用环氧树脂防腐漆，且表面无裂痕；</w:t>
            </w:r>
          </w:p>
          <w:p>
            <w:pPr>
              <w:spacing w:line="360" w:lineRule="auto"/>
              <w:ind w:left="420" w:leftChars="200"/>
              <w:rPr>
                <w:sz w:val="24"/>
              </w:rPr>
            </w:pPr>
            <w:r>
              <w:rPr>
                <w:sz w:val="24"/>
              </w:rPr>
              <w:t>（4）贮存间贮存设施运行环境管理要求符合《危险废物贮存污染控</w:t>
            </w:r>
          </w:p>
          <w:p>
            <w:pPr>
              <w:spacing w:line="360" w:lineRule="auto"/>
              <w:rPr>
                <w:sz w:val="24"/>
              </w:rPr>
            </w:pPr>
            <w:r>
              <w:rPr>
                <w:sz w:val="24"/>
              </w:rPr>
              <w:t>制标准GB18597-2023》；</w:t>
            </w:r>
          </w:p>
          <w:p>
            <w:pPr>
              <w:spacing w:line="360" w:lineRule="auto"/>
              <w:ind w:left="420" w:leftChars="200"/>
              <w:rPr>
                <w:sz w:val="24"/>
              </w:rPr>
            </w:pPr>
            <w:r>
              <w:rPr>
                <w:sz w:val="24"/>
              </w:rPr>
              <w:t>（5）危险废物暂存点内有安全照明设施和观察窗口；</w:t>
            </w:r>
          </w:p>
          <w:p>
            <w:pPr>
              <w:spacing w:line="360" w:lineRule="auto"/>
              <w:ind w:left="420" w:leftChars="200"/>
              <w:rPr>
                <w:sz w:val="24"/>
              </w:rPr>
            </w:pPr>
            <w:r>
              <w:rPr>
                <w:sz w:val="24"/>
              </w:rPr>
              <w:t>（6）防止雨水对贮存场所进行冲刷，在危险废物暂存点须设置比较</w:t>
            </w:r>
          </w:p>
          <w:p>
            <w:pPr>
              <w:spacing w:line="360" w:lineRule="auto"/>
              <w:rPr>
                <w:sz w:val="24"/>
              </w:rPr>
            </w:pPr>
            <w:r>
              <w:rPr>
                <w:sz w:val="24"/>
              </w:rPr>
              <w:t>高的门槛，发生事件时，尽量将泄漏出来的物品导入调节池，将污染物控制在最小面积范围内，减少环境影响；</w:t>
            </w:r>
          </w:p>
          <w:p>
            <w:pPr>
              <w:spacing w:line="360" w:lineRule="auto"/>
              <w:ind w:firstLine="480" w:firstLineChars="200"/>
              <w:rPr>
                <w:sz w:val="24"/>
              </w:rPr>
            </w:pPr>
            <w:r>
              <w:rPr>
                <w:sz w:val="24"/>
              </w:rPr>
              <w:t>（7）将危险废物的贮存</w:t>
            </w:r>
            <w:r>
              <w:rPr>
                <w:rFonts w:hint="eastAsia"/>
                <w:sz w:val="24"/>
              </w:rPr>
              <w:t>纳入</w:t>
            </w:r>
            <w:r>
              <w:rPr>
                <w:sz w:val="24"/>
              </w:rPr>
              <w:t>日常的安全管理中，定期或不定期的实施环境安全检查，对危险废物的包装容器是否存在腐蚀穿孔、密封不良、老化等进行重点检查；</w:t>
            </w:r>
          </w:p>
          <w:p>
            <w:pPr>
              <w:spacing w:line="360" w:lineRule="auto"/>
              <w:ind w:firstLine="480" w:firstLineChars="200"/>
              <w:rPr>
                <w:sz w:val="24"/>
              </w:rPr>
            </w:pPr>
            <w:r>
              <w:rPr>
                <w:sz w:val="24"/>
              </w:rPr>
              <w:t>（8）培训员工按制度进行操作，如：杜绝员工野蛮操作、装卸撞击、摩擦导致包装破损等现象发生；</w:t>
            </w:r>
          </w:p>
          <w:p>
            <w:pPr>
              <w:spacing w:line="360" w:lineRule="auto"/>
              <w:ind w:firstLine="480" w:firstLineChars="200"/>
              <w:rPr>
                <w:sz w:val="24"/>
              </w:rPr>
            </w:pPr>
            <w:r>
              <w:rPr>
                <w:sz w:val="24"/>
              </w:rPr>
              <w:t>（9）公司应针对危险废物的环境风险特征，预先准备充足相应的应急物资，如防泄漏设施、防毒面具、消防器材等，以便实施应急处置；</w:t>
            </w:r>
          </w:p>
          <w:p>
            <w:pPr>
              <w:spacing w:line="360" w:lineRule="auto"/>
              <w:ind w:firstLine="240" w:firstLineChars="100"/>
              <w:rPr>
                <w:sz w:val="24"/>
              </w:rPr>
            </w:pPr>
            <w:r>
              <w:rPr>
                <w:sz w:val="24"/>
              </w:rPr>
              <w:t>（10）在雷雨天气时，应加大频次对危险废物贮存场所进行检查，防止雨水对贮存场所进行冲刷造成环境事件的发生；</w:t>
            </w:r>
          </w:p>
          <w:p>
            <w:pPr>
              <w:spacing w:line="360" w:lineRule="auto"/>
              <w:ind w:firstLine="240" w:firstLineChars="100"/>
              <w:rPr>
                <w:sz w:val="24"/>
              </w:rPr>
            </w:pPr>
            <w:r>
              <w:rPr>
                <w:sz w:val="24"/>
              </w:rPr>
              <w:t>（11）公司各部门发现有危险废物泄漏等异常迹象时，应果断采取转移、堵漏等措施，实施紧急处置。当危险废物意外泄漏进入市政管网或雨水管网时，抢险抢修组对泄漏物进行拦截、收集、转运，避免引起污染。</w:t>
            </w:r>
          </w:p>
          <w:p>
            <w:pPr>
              <w:spacing w:line="360" w:lineRule="auto"/>
              <w:ind w:firstLine="480" w:firstLineChars="200"/>
              <w:rPr>
                <w:sz w:val="24"/>
              </w:rPr>
            </w:pPr>
            <w:r>
              <w:rPr>
                <w:sz w:val="24"/>
              </w:rPr>
              <w:t>（12）严格按照《企业事业单位突发环境事件应急预案备案管理办法（试行）》要求，编制《突发环境事件应急预案》，组织专家及周边相关单位评审并上报当地环保部门备案。</w:t>
            </w:r>
          </w:p>
          <w:p>
            <w:pPr>
              <w:spacing w:line="360" w:lineRule="auto"/>
              <w:ind w:firstLine="480" w:firstLineChars="200"/>
              <w:rPr>
                <w:sz w:val="24"/>
              </w:rPr>
            </w:pPr>
            <w:r>
              <w:rPr>
                <w:sz w:val="24"/>
              </w:rPr>
              <w:t>（13）定期进行环境突发事故应急演练，通过演练使锅炉房工作人员熟悉逃生路线和疏散方式，掌握天然气泄漏处置方式和方法，锻炼和提高相关人员在突发事故情况下的快速救援有效降低事故危害，减少事故损失。定期进行演练还可以使应急人员更清晰的明确各自的职责和工作程序，提高协同作战的能力，保证应急救援工作能够有效、迅速的开展。</w:t>
            </w:r>
          </w:p>
          <w:p>
            <w:pPr>
              <w:spacing w:line="360" w:lineRule="auto"/>
              <w:ind w:firstLine="480" w:firstLineChars="200"/>
              <w:rPr>
                <w:sz w:val="24"/>
              </w:rPr>
            </w:pPr>
            <w:r>
              <w:rPr>
                <w:sz w:val="24"/>
              </w:rPr>
              <w:t>2、应急预案</w:t>
            </w:r>
          </w:p>
          <w:p>
            <w:pPr>
              <w:spacing w:line="360" w:lineRule="auto"/>
              <w:ind w:firstLine="480" w:firstLineChars="200"/>
              <w:rPr>
                <w:sz w:val="24"/>
              </w:rPr>
            </w:pPr>
            <w:r>
              <w:rPr>
                <w:sz w:val="24"/>
              </w:rPr>
              <w:t>本项目需要制定具有可操作性的突发环 境事件应急预案，应急预案具体要求见表4-18。</w:t>
            </w:r>
          </w:p>
          <w:p>
            <w:pPr>
              <w:spacing w:before="156" w:beforeLines="50" w:line="360" w:lineRule="auto"/>
              <w:jc w:val="center"/>
              <w:rPr>
                <w:b/>
                <w:bCs/>
                <w:sz w:val="24"/>
              </w:rPr>
            </w:pPr>
            <w:r>
              <w:rPr>
                <w:b/>
                <w:bCs/>
                <w:sz w:val="24"/>
              </w:rPr>
              <w:t>表4-18  突发环境事件应急预案要求</w:t>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7"/>
              <w:gridCol w:w="2686"/>
              <w:gridCol w:w="5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375" w:type="pct"/>
                  <w:vAlign w:val="center"/>
                </w:tcPr>
                <w:p>
                  <w:pPr>
                    <w:jc w:val="center"/>
                    <w:rPr>
                      <w:b/>
                      <w:bCs/>
                      <w:szCs w:val="21"/>
                    </w:rPr>
                  </w:pPr>
                  <w:r>
                    <w:rPr>
                      <w:b/>
                      <w:bCs/>
                      <w:szCs w:val="21"/>
                    </w:rPr>
                    <w:t>序号</w:t>
                  </w:r>
                </w:p>
              </w:tc>
              <w:tc>
                <w:tcPr>
                  <w:tcW w:w="1556" w:type="pct"/>
                </w:tcPr>
                <w:p>
                  <w:pPr>
                    <w:jc w:val="center"/>
                    <w:rPr>
                      <w:b/>
                      <w:bCs/>
                      <w:szCs w:val="21"/>
                    </w:rPr>
                  </w:pPr>
                  <w:r>
                    <w:rPr>
                      <w:b/>
                      <w:bCs/>
                      <w:szCs w:val="21"/>
                    </w:rPr>
                    <w:t>项目</w:t>
                  </w:r>
                </w:p>
              </w:tc>
              <w:tc>
                <w:tcPr>
                  <w:tcW w:w="3067" w:type="pct"/>
                  <w:vAlign w:val="center"/>
                </w:tcPr>
                <w:p>
                  <w:pPr>
                    <w:jc w:val="center"/>
                    <w:rPr>
                      <w:b/>
                      <w:bCs/>
                      <w:szCs w:val="21"/>
                    </w:rPr>
                  </w:pPr>
                  <w:r>
                    <w:rPr>
                      <w:b/>
                      <w:bCs/>
                      <w:szCs w:val="21"/>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375" w:type="pct"/>
                  <w:vAlign w:val="center"/>
                </w:tcPr>
                <w:p>
                  <w:pPr>
                    <w:jc w:val="center"/>
                    <w:rPr>
                      <w:szCs w:val="21"/>
                    </w:rPr>
                  </w:pPr>
                  <w:r>
                    <w:rPr>
                      <w:szCs w:val="21"/>
                    </w:rPr>
                    <w:t>1</w:t>
                  </w:r>
                </w:p>
              </w:tc>
              <w:tc>
                <w:tcPr>
                  <w:tcW w:w="1556" w:type="pct"/>
                  <w:vAlign w:val="center"/>
                </w:tcPr>
                <w:p>
                  <w:pPr>
                    <w:jc w:val="center"/>
                    <w:rPr>
                      <w:szCs w:val="21"/>
                    </w:rPr>
                  </w:pPr>
                  <w:r>
                    <w:rPr>
                      <w:szCs w:val="21"/>
                    </w:rPr>
                    <w:t>预案适用范围</w:t>
                  </w:r>
                </w:p>
              </w:tc>
              <w:tc>
                <w:tcPr>
                  <w:tcW w:w="3067" w:type="pct"/>
                  <w:vAlign w:val="center"/>
                </w:tcPr>
                <w:p>
                  <w:pPr>
                    <w:rPr>
                      <w:szCs w:val="21"/>
                    </w:rPr>
                  </w:pPr>
                  <w:r>
                    <w:rPr>
                      <w:szCs w:val="21"/>
                    </w:rPr>
                    <w:t>项目运营过程中发生的突发环境事件或可能发生的突发环境事件的预警、报告、处置救援和应急终止等。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375" w:type="pct"/>
                  <w:vAlign w:val="center"/>
                </w:tcPr>
                <w:p>
                  <w:pPr>
                    <w:jc w:val="center"/>
                    <w:rPr>
                      <w:szCs w:val="21"/>
                    </w:rPr>
                  </w:pPr>
                  <w:r>
                    <w:rPr>
                      <w:szCs w:val="21"/>
                    </w:rPr>
                    <w:t>2</w:t>
                  </w:r>
                </w:p>
              </w:tc>
              <w:tc>
                <w:tcPr>
                  <w:tcW w:w="1556" w:type="pct"/>
                  <w:vAlign w:val="center"/>
                </w:tcPr>
                <w:p>
                  <w:pPr>
                    <w:jc w:val="center"/>
                    <w:rPr>
                      <w:szCs w:val="21"/>
                    </w:rPr>
                  </w:pPr>
                  <w:r>
                    <w:rPr>
                      <w:szCs w:val="21"/>
                    </w:rPr>
                    <w:t>环境事件分类与分级</w:t>
                  </w:r>
                </w:p>
              </w:tc>
              <w:tc>
                <w:tcPr>
                  <w:tcW w:w="3067" w:type="pct"/>
                  <w:vAlign w:val="center"/>
                </w:tcPr>
                <w:p>
                  <w:pPr>
                    <w:rPr>
                      <w:szCs w:val="21"/>
                    </w:rPr>
                  </w:pPr>
                  <w:r>
                    <w:rPr>
                      <w:szCs w:val="21"/>
                    </w:rPr>
                    <w:t>明确项目可能发生的突发环境事件的类别及级别。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375" w:type="pct"/>
                  <w:vAlign w:val="center"/>
                </w:tcPr>
                <w:p>
                  <w:pPr>
                    <w:jc w:val="center"/>
                    <w:rPr>
                      <w:szCs w:val="21"/>
                    </w:rPr>
                  </w:pPr>
                  <w:r>
                    <w:rPr>
                      <w:szCs w:val="21"/>
                    </w:rPr>
                    <w:t>3</w:t>
                  </w:r>
                </w:p>
              </w:tc>
              <w:tc>
                <w:tcPr>
                  <w:tcW w:w="1556" w:type="pct"/>
                  <w:vAlign w:val="center"/>
                </w:tcPr>
                <w:p>
                  <w:pPr>
                    <w:jc w:val="center"/>
                    <w:rPr>
                      <w:szCs w:val="21"/>
                    </w:rPr>
                  </w:pPr>
                  <w:r>
                    <w:rPr>
                      <w:szCs w:val="21"/>
                    </w:rPr>
                    <w:t>组织机构与职责</w:t>
                  </w:r>
                </w:p>
              </w:tc>
              <w:tc>
                <w:tcPr>
                  <w:tcW w:w="3067" w:type="pct"/>
                  <w:vAlign w:val="center"/>
                </w:tcPr>
                <w:p>
                  <w:pPr>
                    <w:rPr>
                      <w:szCs w:val="21"/>
                    </w:rPr>
                  </w:pPr>
                  <w:r>
                    <w:rPr>
                      <w:szCs w:val="21"/>
                    </w:rPr>
                    <w:t>规定应急组织机构组成及各机构职责。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375" w:type="pct"/>
                  <w:vAlign w:val="center"/>
                </w:tcPr>
                <w:p>
                  <w:pPr>
                    <w:jc w:val="center"/>
                    <w:rPr>
                      <w:szCs w:val="21"/>
                    </w:rPr>
                  </w:pPr>
                  <w:r>
                    <w:rPr>
                      <w:szCs w:val="21"/>
                    </w:rPr>
                    <w:t>4</w:t>
                  </w:r>
                </w:p>
              </w:tc>
              <w:tc>
                <w:tcPr>
                  <w:tcW w:w="1556" w:type="pct"/>
                  <w:vAlign w:val="center"/>
                </w:tcPr>
                <w:p>
                  <w:pPr>
                    <w:jc w:val="center"/>
                    <w:rPr>
                      <w:szCs w:val="21"/>
                    </w:rPr>
                  </w:pPr>
                  <w:r>
                    <w:rPr>
                      <w:szCs w:val="21"/>
                    </w:rPr>
                    <w:t>监控和预警</w:t>
                  </w:r>
                </w:p>
              </w:tc>
              <w:tc>
                <w:tcPr>
                  <w:tcW w:w="3067" w:type="pct"/>
                  <w:vAlign w:val="center"/>
                </w:tcPr>
                <w:p>
                  <w:pPr>
                    <w:rPr>
                      <w:szCs w:val="21"/>
                    </w:rPr>
                  </w:pPr>
                  <w:r>
                    <w:rPr>
                      <w:szCs w:val="21"/>
                    </w:rPr>
                    <w:t>提出环境风险源监控措施及预警行动报警、通讯、联络方式。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75" w:type="pct"/>
                  <w:vAlign w:val="center"/>
                </w:tcPr>
                <w:p>
                  <w:pPr>
                    <w:jc w:val="center"/>
                    <w:rPr>
                      <w:szCs w:val="21"/>
                    </w:rPr>
                  </w:pPr>
                  <w:r>
                    <w:rPr>
                      <w:szCs w:val="21"/>
                    </w:rPr>
                    <w:t>5</w:t>
                  </w:r>
                </w:p>
              </w:tc>
              <w:tc>
                <w:tcPr>
                  <w:tcW w:w="1556" w:type="pct"/>
                  <w:vAlign w:val="center"/>
                </w:tcPr>
                <w:p>
                  <w:pPr>
                    <w:jc w:val="center"/>
                    <w:rPr>
                      <w:szCs w:val="21"/>
                    </w:rPr>
                  </w:pPr>
                  <w:r>
                    <w:rPr>
                      <w:szCs w:val="21"/>
                    </w:rPr>
                    <w:t>应急响应</w:t>
                  </w:r>
                </w:p>
              </w:tc>
              <w:tc>
                <w:tcPr>
                  <w:tcW w:w="3067" w:type="pct"/>
                  <w:vAlign w:val="center"/>
                </w:tcPr>
                <w:p>
                  <w:pPr>
                    <w:rPr>
                      <w:szCs w:val="21"/>
                    </w:rPr>
                  </w:pPr>
                  <w:r>
                    <w:rPr>
                      <w:szCs w:val="21"/>
                    </w:rPr>
                    <w:t>规定应急响应级别及应急响应程序。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75" w:type="pct"/>
                  <w:vAlign w:val="center"/>
                </w:tcPr>
                <w:p>
                  <w:pPr>
                    <w:jc w:val="center"/>
                    <w:rPr>
                      <w:szCs w:val="21"/>
                    </w:rPr>
                  </w:pPr>
                  <w:r>
                    <w:rPr>
                      <w:szCs w:val="21"/>
                    </w:rPr>
                    <w:t>6</w:t>
                  </w:r>
                </w:p>
              </w:tc>
              <w:tc>
                <w:tcPr>
                  <w:tcW w:w="1556" w:type="pct"/>
                  <w:vAlign w:val="center"/>
                </w:tcPr>
                <w:p>
                  <w:pPr>
                    <w:jc w:val="center"/>
                    <w:rPr>
                      <w:szCs w:val="21"/>
                    </w:rPr>
                  </w:pPr>
                  <w:r>
                    <w:rPr>
                      <w:szCs w:val="21"/>
                    </w:rPr>
                    <w:t>应急保障</w:t>
                  </w:r>
                </w:p>
              </w:tc>
              <w:tc>
                <w:tcPr>
                  <w:tcW w:w="3067" w:type="pct"/>
                  <w:vAlign w:val="center"/>
                </w:tcPr>
                <w:p>
                  <w:pPr>
                    <w:rPr>
                      <w:szCs w:val="21"/>
                    </w:rPr>
                  </w:pPr>
                  <w:r>
                    <w:rPr>
                      <w:szCs w:val="21"/>
                    </w:rPr>
                    <w:t>应急设施，设备与器材等。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375" w:type="pct"/>
                  <w:vAlign w:val="center"/>
                </w:tcPr>
                <w:p>
                  <w:pPr>
                    <w:jc w:val="center"/>
                    <w:rPr>
                      <w:szCs w:val="21"/>
                    </w:rPr>
                  </w:pPr>
                  <w:r>
                    <w:rPr>
                      <w:szCs w:val="21"/>
                    </w:rPr>
                    <w:t>7</w:t>
                  </w:r>
                </w:p>
              </w:tc>
              <w:tc>
                <w:tcPr>
                  <w:tcW w:w="1556" w:type="pct"/>
                  <w:vAlign w:val="center"/>
                </w:tcPr>
                <w:p>
                  <w:pPr>
                    <w:jc w:val="center"/>
                    <w:rPr>
                      <w:szCs w:val="21"/>
                    </w:rPr>
                  </w:pPr>
                  <w:r>
                    <w:rPr>
                      <w:szCs w:val="21"/>
                    </w:rPr>
                    <w:t>善后处置</w:t>
                  </w:r>
                </w:p>
              </w:tc>
              <w:tc>
                <w:tcPr>
                  <w:tcW w:w="3067" w:type="pct"/>
                  <w:vAlign w:val="center"/>
                </w:tcPr>
                <w:p>
                  <w:pPr>
                    <w:pStyle w:val="37"/>
                  </w:pPr>
                  <w:r>
                    <w:t>污染物收集、清理与处理等，正常秩序的恢复，事故后果的影响消除等。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375" w:type="pct"/>
                  <w:vAlign w:val="center"/>
                </w:tcPr>
                <w:p>
                  <w:pPr>
                    <w:jc w:val="center"/>
                    <w:rPr>
                      <w:szCs w:val="21"/>
                    </w:rPr>
                  </w:pPr>
                  <w:r>
                    <w:rPr>
                      <w:szCs w:val="21"/>
                    </w:rPr>
                    <w:t>8</w:t>
                  </w:r>
                </w:p>
              </w:tc>
              <w:tc>
                <w:tcPr>
                  <w:tcW w:w="1556" w:type="pct"/>
                  <w:vAlign w:val="center"/>
                </w:tcPr>
                <w:p>
                  <w:pPr>
                    <w:jc w:val="center"/>
                    <w:rPr>
                      <w:szCs w:val="21"/>
                    </w:rPr>
                  </w:pPr>
                  <w:r>
                    <w:rPr>
                      <w:szCs w:val="21"/>
                    </w:rPr>
                    <w:t>预案管理与演练</w:t>
                  </w:r>
                </w:p>
              </w:tc>
              <w:tc>
                <w:tcPr>
                  <w:tcW w:w="3067" w:type="pct"/>
                  <w:vAlign w:val="center"/>
                </w:tcPr>
                <w:p>
                  <w:pPr>
                    <w:rPr>
                      <w:szCs w:val="21"/>
                    </w:rPr>
                  </w:pPr>
                  <w:r>
                    <w:rPr>
                      <w:szCs w:val="21"/>
                    </w:rPr>
                    <w:t>应急计划制定后，安排专人负责，平时安排人员培训与演练。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375" w:type="pct"/>
                  <w:vAlign w:val="center"/>
                </w:tcPr>
                <w:p>
                  <w:pPr>
                    <w:jc w:val="center"/>
                    <w:rPr>
                      <w:szCs w:val="21"/>
                    </w:rPr>
                  </w:pPr>
                  <w:r>
                    <w:rPr>
                      <w:szCs w:val="21"/>
                    </w:rPr>
                    <w:t>9</w:t>
                  </w:r>
                </w:p>
              </w:tc>
              <w:tc>
                <w:tcPr>
                  <w:tcW w:w="1556" w:type="pct"/>
                  <w:vAlign w:val="center"/>
                </w:tcPr>
                <w:p>
                  <w:pPr>
                    <w:jc w:val="center"/>
                    <w:rPr>
                      <w:szCs w:val="21"/>
                    </w:rPr>
                  </w:pPr>
                  <w:r>
                    <w:rPr>
                      <w:szCs w:val="21"/>
                    </w:rPr>
                    <w:t>应急环境监测、抢险、救援及控制措施</w:t>
                  </w:r>
                </w:p>
              </w:tc>
              <w:tc>
                <w:tcPr>
                  <w:tcW w:w="3067" w:type="pct"/>
                  <w:vAlign w:val="center"/>
                </w:tcPr>
                <w:p>
                  <w:pPr>
                    <w:rPr>
                      <w:szCs w:val="21"/>
                    </w:rPr>
                  </w:pPr>
                  <w:r>
                    <w:rPr>
                      <w:szCs w:val="21"/>
                    </w:rPr>
                    <w:t>由专业队伍负责对事故现场进行侦察监测，对事故性质、参数与后果进行评估，为指挥部门提供决策依据。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375" w:type="pct"/>
                  <w:vAlign w:val="center"/>
                </w:tcPr>
                <w:p>
                  <w:pPr>
                    <w:jc w:val="center"/>
                    <w:rPr>
                      <w:szCs w:val="21"/>
                    </w:rPr>
                  </w:pPr>
                  <w:r>
                    <w:rPr>
                      <w:szCs w:val="21"/>
                    </w:rPr>
                    <w:t>10</w:t>
                  </w:r>
                </w:p>
              </w:tc>
              <w:tc>
                <w:tcPr>
                  <w:tcW w:w="1556" w:type="pct"/>
                  <w:vAlign w:val="center"/>
                </w:tcPr>
                <w:p>
                  <w:pPr>
                    <w:jc w:val="center"/>
                    <w:rPr>
                      <w:szCs w:val="21"/>
                    </w:rPr>
                  </w:pPr>
                  <w:r>
                    <w:rPr>
                      <w:szCs w:val="21"/>
                    </w:rPr>
                    <w:t>事故应急救援终止程序及恢复计划</w:t>
                  </w:r>
                </w:p>
              </w:tc>
              <w:tc>
                <w:tcPr>
                  <w:tcW w:w="3067" w:type="pct"/>
                  <w:vAlign w:val="center"/>
                </w:tcPr>
                <w:p>
                  <w:pPr>
                    <w:rPr>
                      <w:szCs w:val="21"/>
                    </w:rPr>
                  </w:pPr>
                  <w:r>
                    <w:rPr>
                      <w:szCs w:val="21"/>
                    </w:rPr>
                    <w:t>规定应急状态终止程序。</w:t>
                  </w:r>
                </w:p>
                <w:p>
                  <w:pPr>
                    <w:rPr>
                      <w:szCs w:val="21"/>
                    </w:rPr>
                  </w:pPr>
                  <w:r>
                    <w:rPr>
                      <w:szCs w:val="21"/>
                    </w:rPr>
                    <w:t>事故现场善后处理，恢复措施。</w:t>
                  </w:r>
                </w:p>
                <w:p>
                  <w:pPr>
                    <w:rPr>
                      <w:szCs w:val="21"/>
                    </w:rPr>
                  </w:pPr>
                  <w:r>
                    <w:rPr>
                      <w:szCs w:val="21"/>
                    </w:rPr>
                    <w:t>邻近区域解除事故警戒及善后恢复措施。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375" w:type="pct"/>
                  <w:vAlign w:val="center"/>
                </w:tcPr>
                <w:p>
                  <w:pPr>
                    <w:jc w:val="center"/>
                    <w:rPr>
                      <w:szCs w:val="21"/>
                    </w:rPr>
                  </w:pPr>
                  <w:r>
                    <w:rPr>
                      <w:szCs w:val="21"/>
                    </w:rPr>
                    <w:t>11</w:t>
                  </w:r>
                </w:p>
              </w:tc>
              <w:tc>
                <w:tcPr>
                  <w:tcW w:w="1556" w:type="pct"/>
                  <w:vAlign w:val="center"/>
                </w:tcPr>
                <w:p>
                  <w:pPr>
                    <w:jc w:val="center"/>
                    <w:rPr>
                      <w:szCs w:val="21"/>
                    </w:rPr>
                  </w:pPr>
                  <w:r>
                    <w:rPr>
                      <w:szCs w:val="21"/>
                    </w:rPr>
                    <w:t>公众教育和信息</w:t>
                  </w:r>
                </w:p>
              </w:tc>
              <w:tc>
                <w:tcPr>
                  <w:tcW w:w="3067" w:type="pct"/>
                  <w:vAlign w:val="center"/>
                </w:tcPr>
                <w:p>
                  <w:pPr>
                    <w:rPr>
                      <w:szCs w:val="21"/>
                    </w:rPr>
                  </w:pPr>
                  <w:r>
                    <w:rPr>
                      <w:szCs w:val="21"/>
                    </w:rPr>
                    <w:t>对项目邻近地区开展公众教育、培训和发布有关信息。</w:t>
                  </w:r>
                </w:p>
              </w:tc>
            </w:tr>
          </w:tbl>
          <w:p>
            <w:pPr>
              <w:spacing w:line="360" w:lineRule="auto"/>
              <w:ind w:firstLine="480" w:firstLineChars="200"/>
              <w:rPr>
                <w:sz w:val="24"/>
              </w:rPr>
            </w:pPr>
            <w:r>
              <w:rPr>
                <w:sz w:val="24"/>
              </w:rPr>
              <w:t>3、环境风险评价结论</w:t>
            </w:r>
          </w:p>
          <w:p>
            <w:pPr>
              <w:spacing w:line="360" w:lineRule="auto"/>
              <w:ind w:firstLine="480" w:firstLineChars="200"/>
              <w:rPr>
                <w:sz w:val="24"/>
              </w:rPr>
            </w:pPr>
            <w:r>
              <w:rPr>
                <w:sz w:val="24"/>
              </w:rPr>
              <w:t>本环评提出的风险防范措施有：项目区域内地面硬化，建立</w:t>
            </w:r>
            <w:r>
              <w:rPr>
                <w:rFonts w:hint="eastAsia"/>
                <w:sz w:val="24"/>
              </w:rPr>
              <w:t>危险废物贮存库</w:t>
            </w:r>
            <w:r>
              <w:rPr>
                <w:sz w:val="24"/>
              </w:rPr>
              <w:t>，规范管理，加强职工培训，建立相应的管理及检查制度；按照相关规范和消防部门的要求，配备相应的消防器材，采取规范化的产生危险废物暂存措施；按照《企业事业单位突发环境事件应急预案备案管理办法</w:t>
            </w:r>
            <w:bookmarkStart w:id="262" w:name="_GoBack"/>
            <w:r>
              <w:rPr>
                <w:sz w:val="24"/>
              </w:rPr>
              <w:t>（试行）</w:t>
            </w:r>
            <w:bookmarkEnd w:id="262"/>
            <w:r>
              <w:rPr>
                <w:sz w:val="24"/>
              </w:rPr>
              <w:t>》要求，编制《突发环境事件应急预案》。各防范措施符合相关规范要求，防范措施有效。</w:t>
            </w:r>
          </w:p>
          <w:p>
            <w:pPr>
              <w:spacing w:line="360" w:lineRule="auto"/>
              <w:rPr>
                <w:sz w:val="24"/>
              </w:rPr>
            </w:pPr>
            <w:r>
              <w:rPr>
                <w:sz w:val="24"/>
              </w:rPr>
              <w:t>四、环境监理及监测</w:t>
            </w:r>
          </w:p>
          <w:p>
            <w:pPr>
              <w:spacing w:line="360" w:lineRule="auto"/>
              <w:ind w:firstLine="480" w:firstLineChars="200"/>
              <w:rPr>
                <w:sz w:val="24"/>
              </w:rPr>
            </w:pPr>
            <w:r>
              <w:rPr>
                <w:sz w:val="24"/>
              </w:rPr>
              <w:t>（1）监测机构设置</w:t>
            </w:r>
          </w:p>
          <w:p>
            <w:pPr>
              <w:spacing w:line="360" w:lineRule="auto"/>
              <w:ind w:firstLine="480" w:firstLineChars="200"/>
              <w:rPr>
                <w:sz w:val="24"/>
              </w:rPr>
            </w:pPr>
            <w:r>
              <w:rPr>
                <w:sz w:val="24"/>
              </w:rPr>
              <w:t>本项目运营期的环境监督性监测、竣工验收监测可委托有资质的环境监测单位承担；项目内简单的日常监测任务可由本项目建立的环境监测机构承担。</w:t>
            </w:r>
          </w:p>
          <w:p>
            <w:pPr>
              <w:spacing w:line="360" w:lineRule="auto"/>
              <w:ind w:firstLine="480" w:firstLineChars="200"/>
              <w:rPr>
                <w:sz w:val="24"/>
              </w:rPr>
            </w:pPr>
            <w:r>
              <w:rPr>
                <w:sz w:val="24"/>
              </w:rPr>
              <w:t>（2）环境监测计划</w:t>
            </w:r>
          </w:p>
          <w:p>
            <w:pPr>
              <w:spacing w:before="156" w:beforeLines="50" w:line="360" w:lineRule="auto"/>
              <w:jc w:val="center"/>
              <w:rPr>
                <w:b/>
                <w:bCs/>
                <w:sz w:val="24"/>
              </w:rPr>
            </w:pPr>
            <w:r>
              <w:rPr>
                <w:b/>
                <w:bCs/>
                <w:sz w:val="24"/>
              </w:rPr>
              <w:t>表4-19  营运期环境监测计划表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820"/>
              <w:gridCol w:w="1224"/>
              <w:gridCol w:w="1496"/>
              <w:gridCol w:w="1769"/>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0" w:type="pct"/>
                  <w:vAlign w:val="center"/>
                </w:tcPr>
                <w:p>
                  <w:pPr>
                    <w:jc w:val="center"/>
                    <w:rPr>
                      <w:b/>
                      <w:bCs/>
                      <w:szCs w:val="21"/>
                    </w:rPr>
                  </w:pPr>
                  <w:r>
                    <w:rPr>
                      <w:b/>
                      <w:bCs/>
                      <w:szCs w:val="21"/>
                    </w:rPr>
                    <w:t>监测类别</w:t>
                  </w:r>
                </w:p>
              </w:tc>
              <w:tc>
                <w:tcPr>
                  <w:tcW w:w="475" w:type="pct"/>
                  <w:vAlign w:val="center"/>
                </w:tcPr>
                <w:p>
                  <w:pPr>
                    <w:jc w:val="center"/>
                    <w:rPr>
                      <w:b/>
                      <w:bCs/>
                      <w:szCs w:val="21"/>
                    </w:rPr>
                  </w:pPr>
                  <w:r>
                    <w:rPr>
                      <w:b/>
                      <w:bCs/>
                      <w:szCs w:val="21"/>
                    </w:rPr>
                    <w:t>排放口编号</w:t>
                  </w:r>
                </w:p>
              </w:tc>
              <w:tc>
                <w:tcPr>
                  <w:tcW w:w="709" w:type="pct"/>
                  <w:vAlign w:val="center"/>
                </w:tcPr>
                <w:p>
                  <w:pPr>
                    <w:jc w:val="center"/>
                    <w:rPr>
                      <w:b/>
                      <w:bCs/>
                      <w:szCs w:val="21"/>
                    </w:rPr>
                  </w:pPr>
                  <w:r>
                    <w:rPr>
                      <w:b/>
                      <w:bCs/>
                      <w:szCs w:val="21"/>
                    </w:rPr>
                    <w:t>监测地点</w:t>
                  </w:r>
                </w:p>
              </w:tc>
              <w:tc>
                <w:tcPr>
                  <w:tcW w:w="867" w:type="pct"/>
                  <w:vAlign w:val="center"/>
                </w:tcPr>
                <w:p>
                  <w:pPr>
                    <w:jc w:val="center"/>
                    <w:rPr>
                      <w:b/>
                      <w:bCs/>
                      <w:szCs w:val="21"/>
                    </w:rPr>
                  </w:pPr>
                  <w:r>
                    <w:rPr>
                      <w:b/>
                      <w:bCs/>
                      <w:szCs w:val="21"/>
                    </w:rPr>
                    <w:t>监测项目</w:t>
                  </w:r>
                </w:p>
              </w:tc>
              <w:tc>
                <w:tcPr>
                  <w:tcW w:w="1025" w:type="pct"/>
                  <w:vAlign w:val="center"/>
                </w:tcPr>
                <w:p>
                  <w:pPr>
                    <w:jc w:val="center"/>
                    <w:rPr>
                      <w:b/>
                      <w:bCs/>
                      <w:szCs w:val="21"/>
                    </w:rPr>
                  </w:pPr>
                  <w:r>
                    <w:rPr>
                      <w:b/>
                      <w:bCs/>
                      <w:szCs w:val="21"/>
                    </w:rPr>
                    <w:t>监测频率</w:t>
                  </w:r>
                </w:p>
              </w:tc>
              <w:tc>
                <w:tcPr>
                  <w:tcW w:w="1505" w:type="pct"/>
                  <w:vAlign w:val="center"/>
                </w:tcPr>
                <w:p>
                  <w:pPr>
                    <w:ind w:right="-107" w:rightChars="-51"/>
                    <w:jc w:val="center"/>
                    <w:rPr>
                      <w:b/>
                      <w:bCs/>
                      <w:szCs w:val="21"/>
                    </w:rPr>
                  </w:pPr>
                  <w:r>
                    <w:rPr>
                      <w:b/>
                      <w:bCs/>
                      <w:szCs w:val="21"/>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szCs w:val="21"/>
                    </w:rPr>
                  </w:pPr>
                  <w:r>
                    <w:rPr>
                      <w:szCs w:val="21"/>
                    </w:rPr>
                    <w:t>废气</w:t>
                  </w:r>
                </w:p>
              </w:tc>
              <w:tc>
                <w:tcPr>
                  <w:tcW w:w="475" w:type="pct"/>
                  <w:vAlign w:val="center"/>
                </w:tcPr>
                <w:p>
                  <w:pPr>
                    <w:jc w:val="center"/>
                    <w:rPr>
                      <w:szCs w:val="21"/>
                    </w:rPr>
                  </w:pPr>
                  <w:r>
                    <w:rPr>
                      <w:szCs w:val="21"/>
                    </w:rPr>
                    <w:t>/</w:t>
                  </w:r>
                </w:p>
              </w:tc>
              <w:tc>
                <w:tcPr>
                  <w:tcW w:w="709" w:type="pct"/>
                  <w:vAlign w:val="center"/>
                </w:tcPr>
                <w:p>
                  <w:pPr>
                    <w:jc w:val="center"/>
                    <w:rPr>
                      <w:szCs w:val="21"/>
                    </w:rPr>
                  </w:pPr>
                  <w:r>
                    <w:rPr>
                      <w:szCs w:val="21"/>
                    </w:rPr>
                    <w:t>天然气锅炉排气筒</w:t>
                  </w:r>
                </w:p>
              </w:tc>
              <w:tc>
                <w:tcPr>
                  <w:tcW w:w="867" w:type="pct"/>
                  <w:vMerge w:val="restart"/>
                  <w:vAlign w:val="center"/>
                </w:tcPr>
                <w:p>
                  <w:pPr>
                    <w:pStyle w:val="7"/>
                    <w:jc w:val="center"/>
                    <w:rPr>
                      <w:sz w:val="21"/>
                      <w:szCs w:val="21"/>
                    </w:rPr>
                  </w:pPr>
                  <w:r>
                    <w:rPr>
                      <w:sz w:val="21"/>
                      <w:szCs w:val="21"/>
                    </w:rPr>
                    <w:t>NOx、SO</w:t>
                  </w:r>
                  <w:r>
                    <w:rPr>
                      <w:sz w:val="21"/>
                      <w:szCs w:val="21"/>
                      <w:vertAlign w:val="subscript"/>
                    </w:rPr>
                    <w:t>2</w:t>
                  </w:r>
                  <w:r>
                    <w:rPr>
                      <w:sz w:val="21"/>
                      <w:szCs w:val="21"/>
                    </w:rPr>
                    <w:t>、颗粒物、烟气黑度</w:t>
                  </w:r>
                </w:p>
              </w:tc>
              <w:tc>
                <w:tcPr>
                  <w:tcW w:w="1025" w:type="pct"/>
                  <w:vAlign w:val="center"/>
                </w:tcPr>
                <w:p>
                  <w:pPr>
                    <w:jc w:val="center"/>
                    <w:rPr>
                      <w:szCs w:val="21"/>
                    </w:rPr>
                  </w:pPr>
                  <w:r>
                    <w:rPr>
                      <w:rFonts w:hint="eastAsia"/>
                      <w:szCs w:val="21"/>
                    </w:rPr>
                    <w:t>每季度监测1次</w:t>
                  </w:r>
                </w:p>
              </w:tc>
              <w:tc>
                <w:tcPr>
                  <w:tcW w:w="1505" w:type="pct"/>
                  <w:vMerge w:val="restart"/>
                  <w:vAlign w:val="center"/>
                </w:tcPr>
                <w:p>
                  <w:pPr>
                    <w:jc w:val="center"/>
                    <w:rPr>
                      <w:szCs w:val="21"/>
                    </w:rPr>
                  </w:pPr>
                  <w:r>
                    <w:rPr>
                      <w:szCs w:val="21"/>
                    </w:rPr>
                    <w:t>《</w:t>
                  </w:r>
                  <w:r>
                    <w:fldChar w:fldCharType="begin"/>
                  </w:r>
                  <w:r>
                    <w:instrText xml:space="preserve"> HYPERLINK "https://www.mee.gov.cn/ywgz/fgbz/bz/bzwb/shjbh/xgbzh/201705/W020170511330877890199.pdf" </w:instrText>
                  </w:r>
                  <w:r>
                    <w:fldChar w:fldCharType="separate"/>
                  </w:r>
                  <w:r>
                    <w:rPr>
                      <w:szCs w:val="21"/>
                    </w:rPr>
                    <w:t>排污单位自行监测技术指南 火力发电及锅炉</w:t>
                  </w:r>
                  <w:r>
                    <w:rPr>
                      <w:szCs w:val="21"/>
                    </w:rPr>
                    <w:fldChar w:fldCharType="end"/>
                  </w:r>
                  <w:r>
                    <w:rPr>
                      <w:szCs w:val="21"/>
                    </w:rPr>
                    <w:t>》(HJ 820-2017)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szCs w:val="21"/>
                    </w:rPr>
                  </w:pPr>
                  <w:r>
                    <w:rPr>
                      <w:szCs w:val="21"/>
                    </w:rPr>
                    <w:t>废气</w:t>
                  </w:r>
                </w:p>
              </w:tc>
              <w:tc>
                <w:tcPr>
                  <w:tcW w:w="475" w:type="pct"/>
                  <w:vAlign w:val="center"/>
                </w:tcPr>
                <w:p>
                  <w:pPr>
                    <w:jc w:val="center"/>
                    <w:rPr>
                      <w:szCs w:val="21"/>
                    </w:rPr>
                  </w:pPr>
                  <w:r>
                    <w:rPr>
                      <w:szCs w:val="21"/>
                    </w:rPr>
                    <w:t>/</w:t>
                  </w:r>
                </w:p>
              </w:tc>
              <w:tc>
                <w:tcPr>
                  <w:tcW w:w="709" w:type="pct"/>
                  <w:vAlign w:val="center"/>
                </w:tcPr>
                <w:p>
                  <w:pPr>
                    <w:jc w:val="center"/>
                    <w:rPr>
                      <w:szCs w:val="21"/>
                    </w:rPr>
                  </w:pPr>
                  <w:r>
                    <w:rPr>
                      <w:szCs w:val="21"/>
                    </w:rPr>
                    <w:t>生物质锅炉排气筒</w:t>
                  </w:r>
                </w:p>
              </w:tc>
              <w:tc>
                <w:tcPr>
                  <w:tcW w:w="867" w:type="pct"/>
                  <w:vMerge w:val="continue"/>
                  <w:vAlign w:val="center"/>
                </w:tcPr>
                <w:p>
                  <w:pPr>
                    <w:jc w:val="center"/>
                    <w:rPr>
                      <w:szCs w:val="21"/>
                    </w:rPr>
                  </w:pPr>
                </w:p>
              </w:tc>
              <w:tc>
                <w:tcPr>
                  <w:tcW w:w="1025" w:type="pct"/>
                  <w:vAlign w:val="center"/>
                </w:tcPr>
                <w:p>
                  <w:pPr>
                    <w:jc w:val="center"/>
                    <w:rPr>
                      <w:szCs w:val="21"/>
                    </w:rPr>
                  </w:pPr>
                  <w:r>
                    <w:rPr>
                      <w:rFonts w:hint="eastAsia"/>
                      <w:szCs w:val="21"/>
                    </w:rPr>
                    <w:t>每月监测1次</w:t>
                  </w:r>
                </w:p>
              </w:tc>
              <w:tc>
                <w:tcPr>
                  <w:tcW w:w="1505"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restart"/>
                  <w:vAlign w:val="center"/>
                </w:tcPr>
                <w:p>
                  <w:pPr>
                    <w:jc w:val="center"/>
                    <w:rPr>
                      <w:szCs w:val="21"/>
                    </w:rPr>
                  </w:pPr>
                  <w:r>
                    <w:rPr>
                      <w:szCs w:val="21"/>
                    </w:rPr>
                    <w:t>废水</w:t>
                  </w:r>
                </w:p>
              </w:tc>
              <w:tc>
                <w:tcPr>
                  <w:tcW w:w="475" w:type="pct"/>
                  <w:vMerge w:val="restart"/>
                  <w:vAlign w:val="center"/>
                </w:tcPr>
                <w:p>
                  <w:pPr>
                    <w:jc w:val="center"/>
                    <w:rPr>
                      <w:szCs w:val="21"/>
                    </w:rPr>
                  </w:pPr>
                  <w:r>
                    <w:rPr>
                      <w:szCs w:val="21"/>
                    </w:rPr>
                    <w:t>/</w:t>
                  </w:r>
                </w:p>
              </w:tc>
              <w:tc>
                <w:tcPr>
                  <w:tcW w:w="709" w:type="pct"/>
                  <w:vAlign w:val="center"/>
                </w:tcPr>
                <w:p>
                  <w:pPr>
                    <w:jc w:val="center"/>
                    <w:rPr>
                      <w:szCs w:val="21"/>
                    </w:rPr>
                  </w:pPr>
                  <w:r>
                    <w:rPr>
                      <w:szCs w:val="21"/>
                    </w:rPr>
                    <w:t>污水处理设施</w:t>
                  </w:r>
                </w:p>
              </w:tc>
              <w:tc>
                <w:tcPr>
                  <w:tcW w:w="867" w:type="pct"/>
                  <w:vMerge w:val="restart"/>
                  <w:vAlign w:val="center"/>
                </w:tcPr>
                <w:p>
                  <w:pPr>
                    <w:jc w:val="center"/>
                    <w:rPr>
                      <w:szCs w:val="21"/>
                    </w:rPr>
                  </w:pPr>
                  <w:r>
                    <w:rPr>
                      <w:szCs w:val="21"/>
                    </w:rPr>
                    <w:t>氨氮、BOD5、SS、pH、动植物油、COD、总磷</w:t>
                  </w:r>
                </w:p>
              </w:tc>
              <w:tc>
                <w:tcPr>
                  <w:tcW w:w="1025" w:type="pct"/>
                  <w:vMerge w:val="restart"/>
                  <w:vAlign w:val="center"/>
                </w:tcPr>
                <w:p>
                  <w:pPr>
                    <w:jc w:val="center"/>
                    <w:rPr>
                      <w:szCs w:val="21"/>
                    </w:rPr>
                  </w:pPr>
                  <w:r>
                    <w:rPr>
                      <w:szCs w:val="21"/>
                    </w:rPr>
                    <w:t>每</w:t>
                  </w:r>
                  <w:r>
                    <w:rPr>
                      <w:rFonts w:hint="eastAsia"/>
                      <w:szCs w:val="21"/>
                    </w:rPr>
                    <w:t>季度</w:t>
                  </w:r>
                  <w:r>
                    <w:rPr>
                      <w:szCs w:val="21"/>
                    </w:rPr>
                    <w:t>监测1次</w:t>
                  </w:r>
                </w:p>
              </w:tc>
              <w:tc>
                <w:tcPr>
                  <w:tcW w:w="1505" w:type="pct"/>
                  <w:vMerge w:val="restart"/>
                  <w:vAlign w:val="center"/>
                </w:tcPr>
                <w:p>
                  <w:pPr>
                    <w:jc w:val="center"/>
                    <w:rPr>
                      <w:szCs w:val="21"/>
                    </w:rPr>
                  </w:pPr>
                  <w:r>
                    <w:rPr>
                      <w:szCs w:val="21"/>
                    </w:rPr>
                    <w:t>《</w:t>
                  </w:r>
                  <w:r>
                    <w:fldChar w:fldCharType="begin"/>
                  </w:r>
                  <w:r>
                    <w:instrText xml:space="preserve"> HYPERLINK "https://www.mee.gov.cn/ywgz/fgbz/bz/bzwb/shjbh/xgbzh/201705/W020170511330877890199.pdf" </w:instrText>
                  </w:r>
                  <w:r>
                    <w:fldChar w:fldCharType="separate"/>
                  </w:r>
                  <w:r>
                    <w:rPr>
                      <w:szCs w:val="21"/>
                    </w:rPr>
                    <w:t>排污单位自行监测技术指南 火力发电及锅炉</w:t>
                  </w:r>
                  <w:r>
                    <w:rPr>
                      <w:szCs w:val="21"/>
                    </w:rPr>
                    <w:fldChar w:fldCharType="end"/>
                  </w:r>
                  <w:r>
                    <w:rPr>
                      <w:szCs w:val="21"/>
                    </w:rPr>
                    <w:t>》(HJ 820-2017)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vAlign w:val="center"/>
                </w:tcPr>
                <w:p>
                  <w:pPr>
                    <w:jc w:val="center"/>
                  </w:pPr>
                </w:p>
              </w:tc>
              <w:tc>
                <w:tcPr>
                  <w:tcW w:w="475" w:type="pct"/>
                  <w:vMerge w:val="continue"/>
                  <w:vAlign w:val="center"/>
                </w:tcPr>
                <w:p>
                  <w:pPr>
                    <w:jc w:val="center"/>
                  </w:pPr>
                </w:p>
              </w:tc>
              <w:tc>
                <w:tcPr>
                  <w:tcW w:w="709" w:type="pct"/>
                  <w:vAlign w:val="center"/>
                </w:tcPr>
                <w:p>
                  <w:pPr>
                    <w:jc w:val="center"/>
                    <w:rPr>
                      <w:szCs w:val="21"/>
                    </w:rPr>
                  </w:pPr>
                  <w:r>
                    <w:rPr>
                      <w:szCs w:val="21"/>
                    </w:rPr>
                    <w:t>/</w:t>
                  </w:r>
                </w:p>
              </w:tc>
              <w:tc>
                <w:tcPr>
                  <w:tcW w:w="867" w:type="pct"/>
                  <w:vMerge w:val="continue"/>
                  <w:vAlign w:val="center"/>
                </w:tcPr>
                <w:p>
                  <w:pPr>
                    <w:jc w:val="center"/>
                    <w:rPr>
                      <w:szCs w:val="21"/>
                    </w:rPr>
                  </w:pPr>
                </w:p>
              </w:tc>
              <w:tc>
                <w:tcPr>
                  <w:tcW w:w="1025" w:type="pct"/>
                  <w:vMerge w:val="continue"/>
                  <w:vAlign w:val="center"/>
                </w:tcPr>
                <w:p>
                  <w:pPr>
                    <w:jc w:val="center"/>
                    <w:rPr>
                      <w:szCs w:val="21"/>
                    </w:rPr>
                  </w:pPr>
                </w:p>
              </w:tc>
              <w:tc>
                <w:tcPr>
                  <w:tcW w:w="1505"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szCs w:val="21"/>
                    </w:rPr>
                  </w:pPr>
                  <w:r>
                    <w:rPr>
                      <w:szCs w:val="21"/>
                    </w:rPr>
                    <w:t>噪声</w:t>
                  </w:r>
                </w:p>
              </w:tc>
              <w:tc>
                <w:tcPr>
                  <w:tcW w:w="475" w:type="pct"/>
                  <w:vAlign w:val="center"/>
                </w:tcPr>
                <w:p>
                  <w:pPr>
                    <w:jc w:val="center"/>
                    <w:rPr>
                      <w:szCs w:val="21"/>
                    </w:rPr>
                  </w:pPr>
                  <w:r>
                    <w:rPr>
                      <w:szCs w:val="21"/>
                    </w:rPr>
                    <w:t>/</w:t>
                  </w:r>
                </w:p>
              </w:tc>
              <w:tc>
                <w:tcPr>
                  <w:tcW w:w="709" w:type="pct"/>
                  <w:vAlign w:val="center"/>
                </w:tcPr>
                <w:p>
                  <w:pPr>
                    <w:jc w:val="center"/>
                    <w:rPr>
                      <w:szCs w:val="21"/>
                    </w:rPr>
                  </w:pPr>
                  <w:r>
                    <w:rPr>
                      <w:szCs w:val="21"/>
                    </w:rPr>
                    <w:t>项目厂界</w:t>
                  </w:r>
                </w:p>
              </w:tc>
              <w:tc>
                <w:tcPr>
                  <w:tcW w:w="867" w:type="pct"/>
                  <w:vAlign w:val="center"/>
                </w:tcPr>
                <w:p>
                  <w:pPr>
                    <w:jc w:val="center"/>
                    <w:rPr>
                      <w:szCs w:val="21"/>
                    </w:rPr>
                  </w:pPr>
                  <w:r>
                    <w:rPr>
                      <w:szCs w:val="21"/>
                    </w:rPr>
                    <w:t>等效连续A声级</w:t>
                  </w:r>
                </w:p>
              </w:tc>
              <w:tc>
                <w:tcPr>
                  <w:tcW w:w="1025" w:type="pct"/>
                  <w:vAlign w:val="center"/>
                </w:tcPr>
                <w:p>
                  <w:pPr>
                    <w:jc w:val="center"/>
                    <w:rPr>
                      <w:szCs w:val="21"/>
                    </w:rPr>
                  </w:pPr>
                  <w:r>
                    <w:rPr>
                      <w:szCs w:val="21"/>
                    </w:rPr>
                    <w:t>厂界环境噪声每季度监测1次</w:t>
                  </w:r>
                </w:p>
              </w:tc>
              <w:tc>
                <w:tcPr>
                  <w:tcW w:w="1505" w:type="pct"/>
                  <w:vAlign w:val="center"/>
                </w:tcPr>
                <w:p>
                  <w:pPr>
                    <w:jc w:val="center"/>
                    <w:rPr>
                      <w:szCs w:val="21"/>
                    </w:rPr>
                  </w:pPr>
                  <w:r>
                    <w:rPr>
                      <w:szCs w:val="21"/>
                    </w:rPr>
                    <w:t>《</w:t>
                  </w:r>
                  <w:r>
                    <w:fldChar w:fldCharType="begin"/>
                  </w:r>
                  <w:r>
                    <w:instrText xml:space="preserve"> HYPERLINK "https://www.mee.gov.cn/ywgz/fgbz/bz/bzwb/shjbh/xgbzh/201705/W020170511330877890199.pdf" </w:instrText>
                  </w:r>
                  <w:r>
                    <w:fldChar w:fldCharType="separate"/>
                  </w:r>
                  <w:r>
                    <w:rPr>
                      <w:szCs w:val="21"/>
                    </w:rPr>
                    <w:t>排污单位自行监测技术指南 火力发电及锅炉</w:t>
                  </w:r>
                  <w:r>
                    <w:rPr>
                      <w:szCs w:val="21"/>
                    </w:rPr>
                    <w:fldChar w:fldCharType="end"/>
                  </w:r>
                  <w:r>
                    <w:rPr>
                      <w:szCs w:val="21"/>
                    </w:rPr>
                    <w:t>》(HJ 820-2017)</w:t>
                  </w:r>
                </w:p>
              </w:tc>
            </w:tr>
          </w:tbl>
          <w:p>
            <w:pPr>
              <w:pStyle w:val="14"/>
              <w:rPr>
                <w:color w:val="auto"/>
              </w:rPr>
            </w:pPr>
          </w:p>
        </w:tc>
      </w:tr>
    </w:tbl>
    <w:p>
      <w:pPr>
        <w:spacing w:line="360" w:lineRule="auto"/>
        <w:rPr>
          <w:snapToGrid w:val="0"/>
          <w:sz w:val="24"/>
        </w:rPr>
        <w:sectPr>
          <w:pgSz w:w="11906" w:h="16838"/>
          <w:pgMar w:top="1247" w:right="1247" w:bottom="1247" w:left="1247" w:header="851" w:footer="992" w:gutter="0"/>
          <w:cols w:space="425" w:num="1"/>
          <w:docGrid w:type="linesAndChars" w:linePitch="312" w:charSpace="0"/>
        </w:sectPr>
      </w:pPr>
    </w:p>
    <w:p>
      <w:pPr>
        <w:pStyle w:val="23"/>
        <w:spacing w:line="360" w:lineRule="auto"/>
        <w:jc w:val="center"/>
        <w:outlineLvl w:val="0"/>
        <w:rPr>
          <w:rFonts w:ascii="Times New Roman" w:hAnsi="Times New Roman"/>
          <w:b/>
          <w:bCs/>
          <w:snapToGrid w:val="0"/>
          <w:sz w:val="30"/>
          <w:szCs w:val="30"/>
        </w:rPr>
      </w:pPr>
      <w:bookmarkStart w:id="244" w:name="_Toc144148031"/>
      <w:bookmarkStart w:id="245" w:name="_Toc25649"/>
      <w:bookmarkStart w:id="246" w:name="_Toc25891"/>
      <w:r>
        <w:rPr>
          <w:rFonts w:ascii="Times New Roman" w:hAnsi="Times New Roman"/>
          <w:b/>
          <w:bCs/>
          <w:snapToGrid w:val="0"/>
          <w:sz w:val="30"/>
          <w:szCs w:val="30"/>
        </w:rPr>
        <w:t>五、</w:t>
      </w:r>
      <w:bookmarkStart w:id="247" w:name="_Hlk54167917"/>
      <w:r>
        <w:rPr>
          <w:rFonts w:ascii="Times New Roman" w:hAnsi="Times New Roman"/>
          <w:b/>
          <w:bCs/>
          <w:snapToGrid w:val="0"/>
          <w:sz w:val="30"/>
          <w:szCs w:val="30"/>
        </w:rPr>
        <w:t>环境保护措施监督检查清单</w:t>
      </w:r>
      <w:bookmarkEnd w:id="244"/>
      <w:bookmarkEnd w:id="245"/>
      <w:bookmarkEnd w:id="246"/>
      <w:bookmarkEnd w:id="247"/>
    </w:p>
    <w:tbl>
      <w:tblPr>
        <w:tblStyle w:val="26"/>
        <w:tblpPr w:leftFromText="180" w:rightFromText="180" w:vertAnchor="text" w:horzAnchor="page" w:tblpX="1348" w:tblpY="233"/>
        <w:tblOverlap w:val="never"/>
        <w:tblW w:w="92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575"/>
        <w:gridCol w:w="1350"/>
        <w:gridCol w:w="2412"/>
        <w:gridCol w:w="24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28" w:type="dxa"/>
            <w:tcBorders>
              <w:tl2br w:val="single" w:color="auto" w:sz="4" w:space="0"/>
            </w:tcBorders>
            <w:vAlign w:val="center"/>
          </w:tcPr>
          <w:p>
            <w:pPr>
              <w:snapToGrid w:val="0"/>
              <w:ind w:firstLine="630" w:firstLineChars="300"/>
              <w:rPr>
                <w:b/>
                <w:bCs/>
                <w:szCs w:val="21"/>
              </w:rPr>
            </w:pPr>
            <w:r>
              <w:rPr>
                <w:b/>
                <w:bCs/>
                <w:szCs w:val="21"/>
              </w:rPr>
              <w:t>内容</w:t>
            </w:r>
          </w:p>
          <w:p>
            <w:pPr>
              <w:snapToGrid w:val="0"/>
              <w:jc w:val="center"/>
              <w:rPr>
                <w:b/>
                <w:bCs/>
                <w:szCs w:val="21"/>
              </w:rPr>
            </w:pPr>
          </w:p>
          <w:p>
            <w:pPr>
              <w:snapToGrid w:val="0"/>
              <w:rPr>
                <w:b/>
                <w:bCs/>
                <w:szCs w:val="21"/>
              </w:rPr>
            </w:pPr>
            <w:r>
              <w:rPr>
                <w:b/>
                <w:bCs/>
                <w:szCs w:val="21"/>
              </w:rPr>
              <w:t>要素</w:t>
            </w:r>
          </w:p>
        </w:tc>
        <w:tc>
          <w:tcPr>
            <w:tcW w:w="1575" w:type="dxa"/>
            <w:vAlign w:val="center"/>
          </w:tcPr>
          <w:p>
            <w:pPr>
              <w:snapToGrid w:val="0"/>
              <w:jc w:val="center"/>
              <w:rPr>
                <w:b/>
                <w:bCs/>
                <w:szCs w:val="21"/>
              </w:rPr>
            </w:pPr>
            <w:r>
              <w:rPr>
                <w:b/>
                <w:bCs/>
                <w:szCs w:val="21"/>
              </w:rPr>
              <w:t>排放口</w:t>
            </w:r>
            <w:r>
              <w:rPr>
                <w:rFonts w:hint="eastAsia"/>
                <w:b/>
                <w:bCs/>
                <w:szCs w:val="21"/>
              </w:rPr>
              <w:t>（</w:t>
            </w:r>
            <w:r>
              <w:rPr>
                <w:b/>
                <w:bCs/>
                <w:szCs w:val="21"/>
              </w:rPr>
              <w:t>编号、</w:t>
            </w:r>
          </w:p>
          <w:p>
            <w:pPr>
              <w:snapToGrid w:val="0"/>
              <w:jc w:val="center"/>
              <w:rPr>
                <w:b/>
                <w:bCs/>
                <w:szCs w:val="21"/>
              </w:rPr>
            </w:pPr>
            <w:r>
              <w:rPr>
                <w:b/>
                <w:bCs/>
                <w:szCs w:val="21"/>
              </w:rPr>
              <w:t>名称</w:t>
            </w:r>
            <w:r>
              <w:rPr>
                <w:rFonts w:hint="eastAsia"/>
                <w:b/>
                <w:bCs/>
                <w:szCs w:val="21"/>
              </w:rPr>
              <w:t>）</w:t>
            </w:r>
            <w:r>
              <w:rPr>
                <w:b/>
                <w:bCs/>
                <w:szCs w:val="21"/>
              </w:rPr>
              <w:t>/污染源</w:t>
            </w:r>
          </w:p>
        </w:tc>
        <w:tc>
          <w:tcPr>
            <w:tcW w:w="1350" w:type="dxa"/>
            <w:vAlign w:val="center"/>
          </w:tcPr>
          <w:p>
            <w:pPr>
              <w:snapToGrid w:val="0"/>
              <w:jc w:val="center"/>
              <w:rPr>
                <w:b/>
                <w:bCs/>
                <w:szCs w:val="21"/>
              </w:rPr>
            </w:pPr>
            <w:r>
              <w:rPr>
                <w:b/>
                <w:bCs/>
                <w:szCs w:val="21"/>
              </w:rPr>
              <w:t>污染物项目</w:t>
            </w:r>
          </w:p>
        </w:tc>
        <w:tc>
          <w:tcPr>
            <w:tcW w:w="2412" w:type="dxa"/>
            <w:vAlign w:val="center"/>
          </w:tcPr>
          <w:p>
            <w:pPr>
              <w:snapToGrid w:val="0"/>
              <w:jc w:val="center"/>
              <w:rPr>
                <w:b/>
                <w:bCs/>
                <w:szCs w:val="21"/>
              </w:rPr>
            </w:pPr>
            <w:r>
              <w:rPr>
                <w:b/>
                <w:bCs/>
                <w:szCs w:val="21"/>
              </w:rPr>
              <w:t>环境保护措施</w:t>
            </w:r>
          </w:p>
        </w:tc>
        <w:tc>
          <w:tcPr>
            <w:tcW w:w="2441" w:type="dxa"/>
            <w:vAlign w:val="center"/>
          </w:tcPr>
          <w:p>
            <w:pPr>
              <w:snapToGrid w:val="0"/>
              <w:jc w:val="center"/>
              <w:rPr>
                <w:b/>
                <w:bCs/>
                <w:szCs w:val="21"/>
              </w:rPr>
            </w:pPr>
            <w:r>
              <w:rPr>
                <w:b/>
                <w:bCs/>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428" w:type="dxa"/>
            <w:vMerge w:val="restart"/>
            <w:vAlign w:val="center"/>
          </w:tcPr>
          <w:p>
            <w:pPr>
              <w:snapToGrid w:val="0"/>
              <w:jc w:val="center"/>
              <w:rPr>
                <w:szCs w:val="21"/>
              </w:rPr>
            </w:pPr>
            <w:r>
              <w:rPr>
                <w:szCs w:val="21"/>
              </w:rPr>
              <w:t>大气环境</w:t>
            </w:r>
          </w:p>
        </w:tc>
        <w:tc>
          <w:tcPr>
            <w:tcW w:w="1575" w:type="dxa"/>
            <w:vAlign w:val="center"/>
          </w:tcPr>
          <w:p>
            <w:pPr>
              <w:snapToGrid w:val="0"/>
              <w:jc w:val="center"/>
              <w:rPr>
                <w:szCs w:val="21"/>
              </w:rPr>
            </w:pPr>
            <w:r>
              <w:rPr>
                <w:szCs w:val="21"/>
              </w:rPr>
              <w:t>天然气锅炉</w:t>
            </w:r>
          </w:p>
        </w:tc>
        <w:tc>
          <w:tcPr>
            <w:tcW w:w="1350" w:type="dxa"/>
            <w:vMerge w:val="restart"/>
            <w:vAlign w:val="center"/>
          </w:tcPr>
          <w:p>
            <w:pPr>
              <w:snapToGrid w:val="0"/>
              <w:jc w:val="center"/>
              <w:rPr>
                <w:szCs w:val="21"/>
              </w:rPr>
            </w:pPr>
            <w:r>
              <w:rPr>
                <w:szCs w:val="21"/>
              </w:rPr>
              <w:t>烟尘、二氧</w:t>
            </w:r>
          </w:p>
          <w:p>
            <w:pPr>
              <w:snapToGrid w:val="0"/>
              <w:jc w:val="center"/>
              <w:rPr>
                <w:szCs w:val="21"/>
              </w:rPr>
            </w:pPr>
            <w:r>
              <w:rPr>
                <w:szCs w:val="21"/>
              </w:rPr>
              <w:t>化硫、氮氧</w:t>
            </w:r>
          </w:p>
          <w:p>
            <w:pPr>
              <w:snapToGrid w:val="0"/>
              <w:jc w:val="center"/>
              <w:rPr>
                <w:szCs w:val="21"/>
              </w:rPr>
            </w:pPr>
            <w:r>
              <w:rPr>
                <w:szCs w:val="21"/>
              </w:rPr>
              <w:t>化物</w:t>
            </w:r>
            <w:r>
              <w:rPr>
                <w:rFonts w:hint="eastAsia"/>
                <w:szCs w:val="21"/>
              </w:rPr>
              <w:t>、烟气黑度</w:t>
            </w:r>
          </w:p>
        </w:tc>
        <w:tc>
          <w:tcPr>
            <w:tcW w:w="2412" w:type="dxa"/>
            <w:vAlign w:val="center"/>
          </w:tcPr>
          <w:p>
            <w:pPr>
              <w:snapToGrid w:val="0"/>
              <w:jc w:val="center"/>
              <w:rPr>
                <w:szCs w:val="21"/>
              </w:rPr>
            </w:pPr>
            <w:r>
              <w:rPr>
                <w:szCs w:val="21"/>
              </w:rPr>
              <w:t>15</w:t>
            </w:r>
            <w:r>
              <w:rPr>
                <w:rFonts w:hint="eastAsia"/>
                <w:szCs w:val="21"/>
              </w:rPr>
              <w:t>m排气筒</w:t>
            </w:r>
          </w:p>
        </w:tc>
        <w:tc>
          <w:tcPr>
            <w:tcW w:w="2441" w:type="dxa"/>
            <w:vAlign w:val="center"/>
          </w:tcPr>
          <w:p>
            <w:pPr>
              <w:snapToGrid w:val="0"/>
              <w:jc w:val="center"/>
              <w:rPr>
                <w:szCs w:val="21"/>
              </w:rPr>
            </w:pPr>
            <w:r>
              <w:rPr>
                <w:szCs w:val="21"/>
              </w:rPr>
              <w:t>《锅炉大气污染物排放标准》（GB13271-2014），SO</w:t>
            </w:r>
            <w:r>
              <w:rPr>
                <w:szCs w:val="21"/>
                <w:vertAlign w:val="subscript"/>
              </w:rPr>
              <w:t>2</w:t>
            </w:r>
            <w:r>
              <w:rPr>
                <w:szCs w:val="21"/>
              </w:rPr>
              <w:t>≤50mg/m</w:t>
            </w:r>
            <w:r>
              <w:rPr>
                <w:szCs w:val="21"/>
                <w:vertAlign w:val="superscript"/>
              </w:rPr>
              <w:t>3</w:t>
            </w:r>
            <w:r>
              <w:rPr>
                <w:szCs w:val="21"/>
              </w:rPr>
              <w:t>、氮氧化物≤200mg/m</w:t>
            </w:r>
            <w:r>
              <w:rPr>
                <w:szCs w:val="21"/>
                <w:vertAlign w:val="superscript"/>
              </w:rPr>
              <w:t>3</w:t>
            </w:r>
            <w:r>
              <w:rPr>
                <w:szCs w:val="21"/>
              </w:rPr>
              <w:t>、颗粒物≤20 mg/m</w:t>
            </w:r>
            <w:r>
              <w:rPr>
                <w:szCs w:val="21"/>
                <w:vertAlign w:val="superscript"/>
              </w:rPr>
              <w:t>3</w:t>
            </w:r>
            <w:r>
              <w:rPr>
                <w:szCs w:val="21"/>
              </w:rPr>
              <w:t>、烟气黑度≤1。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428" w:type="dxa"/>
            <w:vMerge w:val="continue"/>
            <w:vAlign w:val="center"/>
          </w:tcPr>
          <w:p>
            <w:pPr>
              <w:snapToGrid w:val="0"/>
              <w:jc w:val="center"/>
              <w:rPr>
                <w:szCs w:val="21"/>
              </w:rPr>
            </w:pPr>
          </w:p>
        </w:tc>
        <w:tc>
          <w:tcPr>
            <w:tcW w:w="1575" w:type="dxa"/>
            <w:vAlign w:val="center"/>
          </w:tcPr>
          <w:p>
            <w:pPr>
              <w:snapToGrid w:val="0"/>
              <w:jc w:val="center"/>
              <w:rPr>
                <w:szCs w:val="21"/>
              </w:rPr>
            </w:pPr>
            <w:r>
              <w:rPr>
                <w:szCs w:val="21"/>
              </w:rPr>
              <w:t>生物质锅炉</w:t>
            </w:r>
          </w:p>
        </w:tc>
        <w:tc>
          <w:tcPr>
            <w:tcW w:w="1350" w:type="dxa"/>
            <w:vMerge w:val="continue"/>
            <w:vAlign w:val="center"/>
          </w:tcPr>
          <w:p>
            <w:pPr>
              <w:snapToGrid w:val="0"/>
              <w:jc w:val="center"/>
              <w:rPr>
                <w:szCs w:val="21"/>
              </w:rPr>
            </w:pPr>
          </w:p>
        </w:tc>
        <w:tc>
          <w:tcPr>
            <w:tcW w:w="2412" w:type="dxa"/>
            <w:vAlign w:val="center"/>
          </w:tcPr>
          <w:p>
            <w:pPr>
              <w:snapToGrid w:val="0"/>
              <w:jc w:val="center"/>
              <w:rPr>
                <w:szCs w:val="21"/>
              </w:rPr>
            </w:pPr>
            <w:r>
              <w:rPr>
                <w:szCs w:val="21"/>
              </w:rPr>
              <w:t>经</w:t>
            </w:r>
            <w:r>
              <w:rPr>
                <w:rFonts w:hint="eastAsia"/>
                <w:szCs w:val="21"/>
              </w:rPr>
              <w:t>湿式脱硫+布袋除尘</w:t>
            </w:r>
            <w:r>
              <w:rPr>
                <w:szCs w:val="21"/>
              </w:rPr>
              <w:t>处理后，通过30m排气筒排放</w:t>
            </w:r>
          </w:p>
        </w:tc>
        <w:tc>
          <w:tcPr>
            <w:tcW w:w="2441" w:type="dxa"/>
            <w:vAlign w:val="center"/>
          </w:tcPr>
          <w:p>
            <w:pPr>
              <w:snapToGrid w:val="0"/>
              <w:jc w:val="center"/>
              <w:rPr>
                <w:szCs w:val="21"/>
              </w:rPr>
            </w:pPr>
            <w:r>
              <w:rPr>
                <w:szCs w:val="21"/>
              </w:rPr>
              <w:t>《锅炉大气污染物排放标准》（GB13271-2014），SO</w:t>
            </w:r>
            <w:r>
              <w:rPr>
                <w:szCs w:val="21"/>
                <w:vertAlign w:val="subscript"/>
              </w:rPr>
              <w:t>2</w:t>
            </w:r>
            <w:r>
              <w:rPr>
                <w:szCs w:val="21"/>
              </w:rPr>
              <w:t>≤300mg/m</w:t>
            </w:r>
            <w:r>
              <w:rPr>
                <w:szCs w:val="21"/>
                <w:vertAlign w:val="superscript"/>
              </w:rPr>
              <w:t>3</w:t>
            </w:r>
            <w:r>
              <w:rPr>
                <w:szCs w:val="21"/>
              </w:rPr>
              <w:t>、氮氧化物≤300mg/m</w:t>
            </w:r>
            <w:r>
              <w:rPr>
                <w:szCs w:val="21"/>
                <w:vertAlign w:val="superscript"/>
              </w:rPr>
              <w:t>3</w:t>
            </w:r>
            <w:r>
              <w:rPr>
                <w:szCs w:val="21"/>
              </w:rPr>
              <w:t>、颗粒物≤50mg/m</w:t>
            </w:r>
            <w:r>
              <w:rPr>
                <w:szCs w:val="21"/>
                <w:vertAlign w:val="superscript"/>
              </w:rPr>
              <w:t>3</w:t>
            </w:r>
            <w:r>
              <w:rPr>
                <w:szCs w:val="21"/>
              </w:rPr>
              <w:t>、烟气黑度≤1。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28" w:type="dxa"/>
            <w:vMerge w:val="continue"/>
            <w:vAlign w:val="center"/>
          </w:tcPr>
          <w:p>
            <w:pPr>
              <w:snapToGrid w:val="0"/>
              <w:jc w:val="center"/>
              <w:rPr>
                <w:szCs w:val="21"/>
              </w:rPr>
            </w:pPr>
          </w:p>
        </w:tc>
        <w:tc>
          <w:tcPr>
            <w:tcW w:w="1575" w:type="dxa"/>
            <w:vAlign w:val="center"/>
          </w:tcPr>
          <w:p>
            <w:pPr>
              <w:snapToGrid w:val="0"/>
              <w:jc w:val="center"/>
              <w:rPr>
                <w:szCs w:val="21"/>
              </w:rPr>
            </w:pPr>
            <w:r>
              <w:rPr>
                <w:szCs w:val="21"/>
              </w:rPr>
              <w:t>食堂</w:t>
            </w:r>
          </w:p>
        </w:tc>
        <w:tc>
          <w:tcPr>
            <w:tcW w:w="1350" w:type="dxa"/>
            <w:vAlign w:val="center"/>
          </w:tcPr>
          <w:p>
            <w:pPr>
              <w:snapToGrid w:val="0"/>
              <w:jc w:val="center"/>
              <w:rPr>
                <w:szCs w:val="21"/>
              </w:rPr>
            </w:pPr>
            <w:r>
              <w:rPr>
                <w:szCs w:val="21"/>
              </w:rPr>
              <w:t>油烟</w:t>
            </w:r>
          </w:p>
        </w:tc>
        <w:tc>
          <w:tcPr>
            <w:tcW w:w="2412" w:type="dxa"/>
            <w:vAlign w:val="center"/>
          </w:tcPr>
          <w:p>
            <w:pPr>
              <w:snapToGrid w:val="0"/>
              <w:jc w:val="center"/>
              <w:rPr>
                <w:szCs w:val="21"/>
              </w:rPr>
            </w:pPr>
            <w:r>
              <w:rPr>
                <w:szCs w:val="21"/>
              </w:rPr>
              <w:t>油烟净化装置</w:t>
            </w:r>
          </w:p>
        </w:tc>
        <w:tc>
          <w:tcPr>
            <w:tcW w:w="2441" w:type="dxa"/>
            <w:vAlign w:val="center"/>
          </w:tcPr>
          <w:p>
            <w:pPr>
              <w:snapToGrid w:val="0"/>
              <w:jc w:val="center"/>
              <w:rPr>
                <w:szCs w:val="21"/>
              </w:rPr>
            </w:pPr>
            <w:r>
              <w:rPr>
                <w:szCs w:val="21"/>
              </w:rPr>
              <w:t>参照GB18483-2001《饮食业油烟排放标准》小型规模标准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28" w:type="dxa"/>
            <w:vMerge w:val="continue"/>
            <w:vAlign w:val="center"/>
          </w:tcPr>
          <w:p>
            <w:pPr>
              <w:snapToGrid w:val="0"/>
              <w:jc w:val="center"/>
              <w:rPr>
                <w:szCs w:val="21"/>
              </w:rPr>
            </w:pPr>
          </w:p>
        </w:tc>
        <w:tc>
          <w:tcPr>
            <w:tcW w:w="1575" w:type="dxa"/>
            <w:vAlign w:val="center"/>
          </w:tcPr>
          <w:p>
            <w:pPr>
              <w:snapToGrid w:val="0"/>
              <w:jc w:val="center"/>
              <w:rPr>
                <w:szCs w:val="21"/>
              </w:rPr>
            </w:pPr>
            <w:r>
              <w:rPr>
                <w:szCs w:val="21"/>
              </w:rPr>
              <w:t>农药废气</w:t>
            </w:r>
          </w:p>
        </w:tc>
        <w:tc>
          <w:tcPr>
            <w:tcW w:w="1350" w:type="dxa"/>
            <w:vAlign w:val="center"/>
          </w:tcPr>
          <w:p>
            <w:pPr>
              <w:snapToGrid w:val="0"/>
              <w:jc w:val="center"/>
              <w:rPr>
                <w:szCs w:val="21"/>
              </w:rPr>
            </w:pPr>
            <w:r>
              <w:rPr>
                <w:szCs w:val="21"/>
              </w:rPr>
              <w:t>/</w:t>
            </w:r>
          </w:p>
        </w:tc>
        <w:tc>
          <w:tcPr>
            <w:tcW w:w="2412" w:type="dxa"/>
            <w:vAlign w:val="center"/>
          </w:tcPr>
          <w:p>
            <w:pPr>
              <w:snapToGrid w:val="0"/>
              <w:jc w:val="center"/>
              <w:rPr>
                <w:szCs w:val="21"/>
              </w:rPr>
            </w:pPr>
            <w:r>
              <w:rPr>
                <w:szCs w:val="21"/>
              </w:rPr>
              <w:t>使用低毒高效农药，厂房全密闭形式</w:t>
            </w:r>
          </w:p>
        </w:tc>
        <w:tc>
          <w:tcPr>
            <w:tcW w:w="2441" w:type="dxa"/>
            <w:vAlign w:val="center"/>
          </w:tcPr>
          <w:p>
            <w:pPr>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28" w:type="dxa"/>
            <w:vMerge w:val="continue"/>
            <w:vAlign w:val="center"/>
          </w:tcPr>
          <w:p>
            <w:pPr>
              <w:snapToGrid w:val="0"/>
              <w:jc w:val="center"/>
              <w:rPr>
                <w:szCs w:val="21"/>
              </w:rPr>
            </w:pPr>
          </w:p>
        </w:tc>
        <w:tc>
          <w:tcPr>
            <w:tcW w:w="1575" w:type="dxa"/>
            <w:vAlign w:val="center"/>
          </w:tcPr>
          <w:p>
            <w:pPr>
              <w:snapToGrid w:val="0"/>
              <w:jc w:val="center"/>
              <w:rPr>
                <w:szCs w:val="21"/>
              </w:rPr>
            </w:pPr>
            <w:r>
              <w:rPr>
                <w:szCs w:val="21"/>
              </w:rPr>
              <w:t>制冷剂</w:t>
            </w:r>
          </w:p>
        </w:tc>
        <w:tc>
          <w:tcPr>
            <w:tcW w:w="1350" w:type="dxa"/>
            <w:vAlign w:val="center"/>
          </w:tcPr>
          <w:p>
            <w:pPr>
              <w:snapToGrid w:val="0"/>
              <w:jc w:val="center"/>
              <w:rPr>
                <w:szCs w:val="21"/>
              </w:rPr>
            </w:pPr>
            <w:r>
              <w:rPr>
                <w:szCs w:val="21"/>
              </w:rPr>
              <w:t>/</w:t>
            </w:r>
          </w:p>
        </w:tc>
        <w:tc>
          <w:tcPr>
            <w:tcW w:w="2412" w:type="dxa"/>
            <w:vAlign w:val="center"/>
          </w:tcPr>
          <w:p>
            <w:pPr>
              <w:snapToGrid w:val="0"/>
              <w:jc w:val="center"/>
              <w:rPr>
                <w:szCs w:val="21"/>
              </w:rPr>
            </w:pPr>
            <w:r>
              <w:rPr>
                <w:szCs w:val="21"/>
              </w:rPr>
              <w:t>使用环保制冷剂、提高制冷剂管道气密性</w:t>
            </w:r>
          </w:p>
        </w:tc>
        <w:tc>
          <w:tcPr>
            <w:tcW w:w="2441" w:type="dxa"/>
            <w:vAlign w:val="center"/>
          </w:tcPr>
          <w:p>
            <w:pPr>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9" w:hRule="atLeast"/>
        </w:trPr>
        <w:tc>
          <w:tcPr>
            <w:tcW w:w="1428" w:type="dxa"/>
            <w:vMerge w:val="restart"/>
            <w:vAlign w:val="center"/>
          </w:tcPr>
          <w:p>
            <w:pPr>
              <w:snapToGrid w:val="0"/>
              <w:jc w:val="center"/>
              <w:rPr>
                <w:szCs w:val="21"/>
              </w:rPr>
            </w:pPr>
            <w:r>
              <w:rPr>
                <w:szCs w:val="21"/>
              </w:rPr>
              <w:t>地表水环境</w:t>
            </w:r>
          </w:p>
        </w:tc>
        <w:tc>
          <w:tcPr>
            <w:tcW w:w="1575" w:type="dxa"/>
            <w:vAlign w:val="center"/>
          </w:tcPr>
          <w:p>
            <w:pPr>
              <w:snapToGrid w:val="0"/>
              <w:jc w:val="center"/>
              <w:rPr>
                <w:szCs w:val="21"/>
              </w:rPr>
            </w:pPr>
            <w:r>
              <w:rPr>
                <w:szCs w:val="21"/>
              </w:rPr>
              <w:t>生活污水</w:t>
            </w:r>
          </w:p>
        </w:tc>
        <w:tc>
          <w:tcPr>
            <w:tcW w:w="1350" w:type="dxa"/>
            <w:vAlign w:val="center"/>
          </w:tcPr>
          <w:p>
            <w:pPr>
              <w:snapToGrid w:val="0"/>
              <w:jc w:val="center"/>
              <w:rPr>
                <w:szCs w:val="21"/>
              </w:rPr>
            </w:pPr>
            <w:r>
              <w:rPr>
                <w:szCs w:val="21"/>
              </w:rPr>
              <w:t>COD、BOD</w:t>
            </w:r>
            <w:r>
              <w:rPr>
                <w:szCs w:val="21"/>
                <w:vertAlign w:val="subscript"/>
              </w:rPr>
              <w:t>5</w:t>
            </w:r>
            <w:r>
              <w:rPr>
                <w:szCs w:val="21"/>
              </w:rPr>
              <w:t>、SS、氨氮、总磷</w:t>
            </w:r>
          </w:p>
        </w:tc>
        <w:tc>
          <w:tcPr>
            <w:tcW w:w="2412" w:type="dxa"/>
            <w:vAlign w:val="center"/>
          </w:tcPr>
          <w:p>
            <w:pPr>
              <w:snapToGrid w:val="0"/>
              <w:jc w:val="center"/>
              <w:rPr>
                <w:szCs w:val="21"/>
              </w:rPr>
            </w:pPr>
            <w:r>
              <w:rPr>
                <w:szCs w:val="21"/>
              </w:rPr>
              <w:t>在未接入污水管网时，生活污水经化粪池处理后进入自建污水处理站处理后回</w:t>
            </w:r>
          </w:p>
          <w:p>
            <w:pPr>
              <w:snapToGrid w:val="0"/>
              <w:jc w:val="center"/>
              <w:rPr>
                <w:szCs w:val="21"/>
              </w:rPr>
            </w:pPr>
            <w:r>
              <w:rPr>
                <w:szCs w:val="21"/>
              </w:rPr>
              <w:t>用；接入污水管网后生活污水经化粪池处理后达到《污水排入城镇下水道水质标准》（GB/T31962-2015）A等级标准要求排入污水管网，进入姚安县第二污水处理厂进行处理。</w:t>
            </w:r>
          </w:p>
        </w:tc>
        <w:tc>
          <w:tcPr>
            <w:tcW w:w="2441" w:type="dxa"/>
            <w:vAlign w:val="center"/>
          </w:tcPr>
          <w:p>
            <w:pPr>
              <w:pStyle w:val="2"/>
              <w:widowControl/>
              <w:shd w:val="clear" w:color="auto" w:fill="FFFFFF"/>
              <w:spacing w:beforeAutospacing="0" w:after="210" w:afterAutospacing="0"/>
              <w:rPr>
                <w:rFonts w:hint="default" w:ascii="Times New Roman" w:hAnsi="Times New Roman"/>
                <w:b w:val="0"/>
                <w:bCs w:val="0"/>
                <w:kern w:val="2"/>
                <w:sz w:val="21"/>
                <w:szCs w:val="21"/>
              </w:rPr>
            </w:pPr>
            <w:bookmarkStart w:id="248" w:name="_Toc21025"/>
            <w:bookmarkStart w:id="249" w:name="_Toc144148032"/>
            <w:r>
              <w:rPr>
                <w:rFonts w:hint="default" w:ascii="Times New Roman" w:hAnsi="Times New Roman"/>
                <w:b w:val="0"/>
                <w:bCs w:val="0"/>
                <w:kern w:val="2"/>
                <w:sz w:val="21"/>
                <w:szCs w:val="21"/>
              </w:rPr>
              <w:t>接通污水管网前：《城市污水再生利用-</w:t>
            </w:r>
            <w:r>
              <w:rPr>
                <w:rFonts w:ascii="Times New Roman" w:hAnsi="Times New Roman"/>
                <w:b w:val="0"/>
                <w:bCs w:val="0"/>
                <w:kern w:val="2"/>
                <w:sz w:val="21"/>
                <w:szCs w:val="21"/>
              </w:rPr>
              <w:t>农田灌溉用水水质</w:t>
            </w:r>
            <w:r>
              <w:rPr>
                <w:rFonts w:hint="default" w:ascii="Times New Roman" w:hAnsi="Times New Roman"/>
                <w:b w:val="0"/>
                <w:bCs w:val="0"/>
                <w:kern w:val="2"/>
                <w:sz w:val="21"/>
                <w:szCs w:val="21"/>
              </w:rPr>
              <w:t>》（GB/T</w:t>
            </w:r>
            <w:r>
              <w:rPr>
                <w:rFonts w:ascii="Times New Roman" w:hAnsi="Times New Roman"/>
                <w:b w:val="0"/>
                <w:bCs w:val="0"/>
                <w:kern w:val="2"/>
                <w:sz w:val="21"/>
                <w:szCs w:val="21"/>
              </w:rPr>
              <w:t>20922</w:t>
            </w:r>
            <w:r>
              <w:rPr>
                <w:rFonts w:hint="default" w:ascii="Times New Roman" w:hAnsi="Times New Roman"/>
                <w:b w:val="0"/>
                <w:bCs w:val="0"/>
                <w:kern w:val="2"/>
                <w:sz w:val="21"/>
                <w:szCs w:val="21"/>
              </w:rPr>
              <w:t>-20</w:t>
            </w:r>
            <w:r>
              <w:rPr>
                <w:rFonts w:ascii="Times New Roman" w:hAnsi="Times New Roman"/>
                <w:b w:val="0"/>
                <w:bCs w:val="0"/>
                <w:kern w:val="2"/>
                <w:sz w:val="21"/>
                <w:szCs w:val="21"/>
              </w:rPr>
              <w:t>07</w:t>
            </w:r>
            <w:r>
              <w:rPr>
                <w:rFonts w:hint="default" w:ascii="Times New Roman" w:hAnsi="Times New Roman"/>
                <w:b w:val="0"/>
                <w:bCs w:val="0"/>
                <w:kern w:val="2"/>
                <w:sz w:val="21"/>
                <w:szCs w:val="21"/>
              </w:rPr>
              <w:t>）</w:t>
            </w:r>
            <w:bookmarkEnd w:id="248"/>
            <w:bookmarkEnd w:id="249"/>
          </w:p>
          <w:p>
            <w:pPr>
              <w:pStyle w:val="2"/>
              <w:widowControl/>
              <w:shd w:val="clear" w:color="auto" w:fill="FFFFFF"/>
              <w:spacing w:beforeAutospacing="0" w:after="210" w:afterAutospacing="0"/>
              <w:rPr>
                <w:rFonts w:hint="default" w:ascii="Times New Roman" w:hAnsi="Times New Roman"/>
                <w:sz w:val="21"/>
                <w:szCs w:val="21"/>
              </w:rPr>
            </w:pPr>
            <w:bookmarkStart w:id="250" w:name="_Toc22690"/>
            <w:bookmarkStart w:id="251" w:name="_Toc144148033"/>
            <w:r>
              <w:rPr>
                <w:rFonts w:hint="default" w:ascii="Times New Roman" w:hAnsi="Times New Roman"/>
                <w:b w:val="0"/>
                <w:bCs w:val="0"/>
                <w:kern w:val="2"/>
                <w:sz w:val="21"/>
                <w:szCs w:val="21"/>
              </w:rPr>
              <w:t>接通污水管网后：《污水排入城镇下水道水质标准》（GB/T31962-2015）A等级标准</w:t>
            </w:r>
            <w:bookmarkEnd w:id="250"/>
            <w:bookmarkEnd w:id="25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9" w:hRule="atLeast"/>
        </w:trPr>
        <w:tc>
          <w:tcPr>
            <w:tcW w:w="1428" w:type="dxa"/>
            <w:vMerge w:val="continue"/>
            <w:vAlign w:val="center"/>
          </w:tcPr>
          <w:p>
            <w:pPr>
              <w:snapToGrid w:val="0"/>
              <w:jc w:val="center"/>
              <w:rPr>
                <w:szCs w:val="21"/>
              </w:rPr>
            </w:pPr>
          </w:p>
        </w:tc>
        <w:tc>
          <w:tcPr>
            <w:tcW w:w="1575" w:type="dxa"/>
            <w:vAlign w:val="center"/>
          </w:tcPr>
          <w:p>
            <w:pPr>
              <w:snapToGrid w:val="0"/>
              <w:jc w:val="center"/>
              <w:rPr>
                <w:szCs w:val="21"/>
              </w:rPr>
            </w:pPr>
            <w:r>
              <w:rPr>
                <w:szCs w:val="21"/>
              </w:rPr>
              <w:t>食堂废水</w:t>
            </w:r>
          </w:p>
        </w:tc>
        <w:tc>
          <w:tcPr>
            <w:tcW w:w="1350" w:type="dxa"/>
            <w:vAlign w:val="center"/>
          </w:tcPr>
          <w:p>
            <w:pPr>
              <w:snapToGrid w:val="0"/>
              <w:jc w:val="center"/>
              <w:rPr>
                <w:szCs w:val="21"/>
              </w:rPr>
            </w:pPr>
            <w:r>
              <w:rPr>
                <w:rFonts w:hint="eastAsia"/>
                <w:szCs w:val="21"/>
              </w:rPr>
              <w:t>pH、</w:t>
            </w:r>
            <w:r>
              <w:rPr>
                <w:szCs w:val="21"/>
              </w:rPr>
              <w:t>COD、BOD</w:t>
            </w:r>
            <w:r>
              <w:rPr>
                <w:szCs w:val="21"/>
                <w:vertAlign w:val="subscript"/>
              </w:rPr>
              <w:t>5</w:t>
            </w:r>
            <w:r>
              <w:rPr>
                <w:szCs w:val="21"/>
              </w:rPr>
              <w:t>、SS、氨氮、总磷、动植物油</w:t>
            </w:r>
          </w:p>
        </w:tc>
        <w:tc>
          <w:tcPr>
            <w:tcW w:w="2412" w:type="dxa"/>
            <w:vAlign w:val="center"/>
          </w:tcPr>
          <w:p>
            <w:pPr>
              <w:snapToGrid w:val="0"/>
              <w:jc w:val="center"/>
              <w:rPr>
                <w:szCs w:val="21"/>
              </w:rPr>
            </w:pPr>
            <w:r>
              <w:rPr>
                <w:szCs w:val="21"/>
              </w:rPr>
              <w:t>在未接入污水管网时，食堂污水经隔油池处理后进入自建污水处理站处理后回</w:t>
            </w:r>
          </w:p>
          <w:p>
            <w:pPr>
              <w:snapToGrid w:val="0"/>
              <w:jc w:val="center"/>
              <w:rPr>
                <w:szCs w:val="21"/>
              </w:rPr>
            </w:pPr>
            <w:r>
              <w:rPr>
                <w:szCs w:val="21"/>
              </w:rPr>
              <w:t>用；接入污水管网后食堂污水经隔油池处理后进入化粪池后达到《污水排入城镇下水道水质标准》（GB/T31962-2015）A等级标准要求排入污水管网，进入姚安县第二污水处理厂进行处理。</w:t>
            </w:r>
          </w:p>
        </w:tc>
        <w:tc>
          <w:tcPr>
            <w:tcW w:w="2441" w:type="dxa"/>
            <w:vAlign w:val="center"/>
          </w:tcPr>
          <w:p>
            <w:pPr>
              <w:pStyle w:val="2"/>
              <w:widowControl/>
              <w:shd w:val="clear" w:color="auto" w:fill="FFFFFF"/>
              <w:spacing w:beforeAutospacing="0" w:after="210" w:afterAutospacing="0"/>
              <w:rPr>
                <w:rFonts w:hint="default" w:ascii="Times New Roman" w:hAnsi="Times New Roman"/>
                <w:b w:val="0"/>
                <w:bCs w:val="0"/>
                <w:kern w:val="2"/>
                <w:sz w:val="21"/>
                <w:szCs w:val="21"/>
              </w:rPr>
            </w:pPr>
            <w:bookmarkStart w:id="252" w:name="_Toc7586"/>
            <w:bookmarkStart w:id="253" w:name="_Toc144148034"/>
            <w:r>
              <w:rPr>
                <w:rFonts w:hint="default" w:ascii="Times New Roman" w:hAnsi="Times New Roman"/>
                <w:b w:val="0"/>
                <w:bCs w:val="0"/>
                <w:kern w:val="2"/>
                <w:sz w:val="21"/>
                <w:szCs w:val="21"/>
              </w:rPr>
              <w:t>接通污水管网前：《城市污水再生利用-</w:t>
            </w:r>
            <w:r>
              <w:rPr>
                <w:rFonts w:ascii="Times New Roman" w:hAnsi="Times New Roman"/>
                <w:b w:val="0"/>
                <w:bCs w:val="0"/>
                <w:kern w:val="2"/>
                <w:sz w:val="21"/>
                <w:szCs w:val="21"/>
              </w:rPr>
              <w:t>农田灌溉用水水质</w:t>
            </w:r>
            <w:r>
              <w:rPr>
                <w:rFonts w:hint="default" w:ascii="Times New Roman" w:hAnsi="Times New Roman"/>
                <w:b w:val="0"/>
                <w:bCs w:val="0"/>
                <w:kern w:val="2"/>
                <w:sz w:val="21"/>
                <w:szCs w:val="21"/>
              </w:rPr>
              <w:t>》（GB/T</w:t>
            </w:r>
            <w:r>
              <w:rPr>
                <w:rFonts w:ascii="Times New Roman" w:hAnsi="Times New Roman"/>
                <w:b w:val="0"/>
                <w:bCs w:val="0"/>
                <w:kern w:val="2"/>
                <w:sz w:val="21"/>
                <w:szCs w:val="21"/>
              </w:rPr>
              <w:t>20922</w:t>
            </w:r>
            <w:r>
              <w:rPr>
                <w:rFonts w:hint="default" w:ascii="Times New Roman" w:hAnsi="Times New Roman"/>
                <w:b w:val="0"/>
                <w:bCs w:val="0"/>
                <w:kern w:val="2"/>
                <w:sz w:val="21"/>
                <w:szCs w:val="21"/>
              </w:rPr>
              <w:t>-20</w:t>
            </w:r>
            <w:r>
              <w:rPr>
                <w:rFonts w:ascii="Times New Roman" w:hAnsi="Times New Roman"/>
                <w:b w:val="0"/>
                <w:bCs w:val="0"/>
                <w:kern w:val="2"/>
                <w:sz w:val="21"/>
                <w:szCs w:val="21"/>
              </w:rPr>
              <w:t>07</w:t>
            </w:r>
            <w:r>
              <w:rPr>
                <w:rFonts w:hint="default" w:ascii="Times New Roman" w:hAnsi="Times New Roman"/>
                <w:b w:val="0"/>
                <w:bCs w:val="0"/>
                <w:kern w:val="2"/>
                <w:sz w:val="21"/>
                <w:szCs w:val="21"/>
              </w:rPr>
              <w:t>）</w:t>
            </w:r>
            <w:bookmarkEnd w:id="252"/>
            <w:bookmarkEnd w:id="253"/>
          </w:p>
          <w:p>
            <w:pPr>
              <w:snapToGrid w:val="0"/>
              <w:jc w:val="center"/>
              <w:rPr>
                <w:szCs w:val="21"/>
              </w:rPr>
            </w:pPr>
            <w:r>
              <w:rPr>
                <w:szCs w:val="21"/>
              </w:rPr>
              <w:t>接通污水管网后：《污水排入城镇下水道水质标准》（GB/T31962-2015）A等级标准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8" w:type="dxa"/>
            <w:vMerge w:val="continue"/>
            <w:vAlign w:val="center"/>
          </w:tcPr>
          <w:p>
            <w:pPr>
              <w:snapToGrid w:val="0"/>
              <w:jc w:val="center"/>
              <w:rPr>
                <w:szCs w:val="21"/>
              </w:rPr>
            </w:pPr>
          </w:p>
        </w:tc>
        <w:tc>
          <w:tcPr>
            <w:tcW w:w="1575" w:type="dxa"/>
            <w:vAlign w:val="center"/>
          </w:tcPr>
          <w:p>
            <w:pPr>
              <w:snapToGrid w:val="0"/>
              <w:jc w:val="center"/>
              <w:rPr>
                <w:szCs w:val="21"/>
              </w:rPr>
            </w:pPr>
            <w:r>
              <w:rPr>
                <w:szCs w:val="21"/>
              </w:rPr>
              <w:t>锅炉废水</w:t>
            </w:r>
          </w:p>
        </w:tc>
        <w:tc>
          <w:tcPr>
            <w:tcW w:w="1350" w:type="dxa"/>
            <w:vAlign w:val="center"/>
          </w:tcPr>
          <w:p>
            <w:pPr>
              <w:snapToGrid w:val="0"/>
              <w:jc w:val="center"/>
              <w:rPr>
                <w:szCs w:val="21"/>
              </w:rPr>
            </w:pPr>
            <w:r>
              <w:rPr>
                <w:szCs w:val="21"/>
              </w:rPr>
              <w:t>pH、CODcr</w:t>
            </w:r>
          </w:p>
        </w:tc>
        <w:tc>
          <w:tcPr>
            <w:tcW w:w="2412" w:type="dxa"/>
            <w:vMerge w:val="restart"/>
            <w:vAlign w:val="center"/>
          </w:tcPr>
          <w:p>
            <w:pPr>
              <w:snapToGrid w:val="0"/>
              <w:jc w:val="center"/>
              <w:rPr>
                <w:szCs w:val="21"/>
              </w:rPr>
            </w:pPr>
            <w:r>
              <w:rPr>
                <w:szCs w:val="21"/>
              </w:rPr>
              <w:t>收集回用于项目种植区配肥灌溉</w:t>
            </w:r>
          </w:p>
        </w:tc>
        <w:tc>
          <w:tcPr>
            <w:tcW w:w="2441" w:type="dxa"/>
            <w:vMerge w:val="restart"/>
            <w:vAlign w:val="center"/>
          </w:tcPr>
          <w:p>
            <w:pPr>
              <w:snapToGrid w:val="0"/>
              <w:jc w:val="center"/>
              <w:rPr>
                <w:szCs w:val="21"/>
              </w:rPr>
            </w:pPr>
            <w:r>
              <w:rPr>
                <w:szCs w:val="21"/>
                <w:lang w:bidi="ar"/>
              </w:rPr>
              <w:t>《城市污水再生利用-</w:t>
            </w:r>
            <w:r>
              <w:rPr>
                <w:rFonts w:hint="eastAsia"/>
                <w:szCs w:val="21"/>
                <w:lang w:bidi="ar"/>
              </w:rPr>
              <w:t>农田灌溉用水水质</w:t>
            </w:r>
            <w:r>
              <w:rPr>
                <w:szCs w:val="21"/>
                <w:lang w:bidi="ar"/>
              </w:rPr>
              <w:t>》（GB/T</w:t>
            </w:r>
            <w:r>
              <w:rPr>
                <w:rFonts w:hint="eastAsia"/>
                <w:szCs w:val="21"/>
                <w:lang w:bidi="ar"/>
              </w:rPr>
              <w:t>20922</w:t>
            </w:r>
            <w:r>
              <w:rPr>
                <w:szCs w:val="21"/>
                <w:lang w:bidi="ar"/>
              </w:rPr>
              <w:t>-20</w:t>
            </w:r>
            <w:r>
              <w:rPr>
                <w:rFonts w:hint="eastAsia"/>
                <w:szCs w:val="21"/>
                <w:lang w:bidi="ar"/>
              </w:rPr>
              <w:t>07</w:t>
            </w:r>
            <w:r>
              <w:rPr>
                <w:szCs w:val="21"/>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8" w:type="dxa"/>
            <w:vMerge w:val="continue"/>
            <w:vAlign w:val="center"/>
          </w:tcPr>
          <w:p>
            <w:pPr>
              <w:snapToGrid w:val="0"/>
              <w:jc w:val="center"/>
              <w:rPr>
                <w:szCs w:val="21"/>
              </w:rPr>
            </w:pPr>
          </w:p>
        </w:tc>
        <w:tc>
          <w:tcPr>
            <w:tcW w:w="1575" w:type="dxa"/>
            <w:vAlign w:val="center"/>
          </w:tcPr>
          <w:p>
            <w:pPr>
              <w:snapToGrid w:val="0"/>
              <w:jc w:val="center"/>
              <w:rPr>
                <w:szCs w:val="21"/>
              </w:rPr>
            </w:pPr>
            <w:r>
              <w:rPr>
                <w:szCs w:val="21"/>
              </w:rPr>
              <w:t>软水制备产生浓水</w:t>
            </w:r>
          </w:p>
        </w:tc>
        <w:tc>
          <w:tcPr>
            <w:tcW w:w="1350" w:type="dxa"/>
            <w:vAlign w:val="center"/>
          </w:tcPr>
          <w:p>
            <w:pPr>
              <w:snapToGrid w:val="0"/>
              <w:jc w:val="center"/>
              <w:rPr>
                <w:szCs w:val="21"/>
              </w:rPr>
            </w:pPr>
            <w:r>
              <w:rPr>
                <w:rFonts w:hint="eastAsia"/>
                <w:szCs w:val="21"/>
              </w:rPr>
              <w:t>全盐量</w:t>
            </w:r>
          </w:p>
        </w:tc>
        <w:tc>
          <w:tcPr>
            <w:tcW w:w="2412" w:type="dxa"/>
            <w:vMerge w:val="continue"/>
            <w:vAlign w:val="center"/>
          </w:tcPr>
          <w:p>
            <w:pPr>
              <w:snapToGrid w:val="0"/>
              <w:jc w:val="center"/>
              <w:rPr>
                <w:szCs w:val="21"/>
              </w:rPr>
            </w:pPr>
          </w:p>
        </w:tc>
        <w:tc>
          <w:tcPr>
            <w:tcW w:w="2441" w:type="dxa"/>
            <w:vMerge w:val="continue"/>
            <w:vAlign w:val="center"/>
          </w:tcPr>
          <w:p>
            <w:pPr>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8" w:type="dxa"/>
            <w:vMerge w:val="continue"/>
            <w:vAlign w:val="center"/>
          </w:tcPr>
          <w:p>
            <w:pPr>
              <w:snapToGrid w:val="0"/>
              <w:jc w:val="center"/>
              <w:rPr>
                <w:szCs w:val="21"/>
              </w:rPr>
            </w:pPr>
          </w:p>
        </w:tc>
        <w:tc>
          <w:tcPr>
            <w:tcW w:w="1575" w:type="dxa"/>
            <w:vAlign w:val="center"/>
          </w:tcPr>
          <w:p>
            <w:pPr>
              <w:snapToGrid w:val="0"/>
              <w:jc w:val="center"/>
              <w:rPr>
                <w:szCs w:val="21"/>
              </w:rPr>
            </w:pPr>
            <w:r>
              <w:rPr>
                <w:szCs w:val="21"/>
              </w:rPr>
              <w:t>包花预清洗废水</w:t>
            </w:r>
          </w:p>
        </w:tc>
        <w:tc>
          <w:tcPr>
            <w:tcW w:w="1350" w:type="dxa"/>
            <w:vAlign w:val="center"/>
          </w:tcPr>
          <w:p>
            <w:pPr>
              <w:snapToGrid w:val="0"/>
              <w:jc w:val="center"/>
              <w:rPr>
                <w:szCs w:val="21"/>
              </w:rPr>
            </w:pPr>
            <w:r>
              <w:rPr>
                <w:szCs w:val="21"/>
              </w:rPr>
              <w:t>SS</w:t>
            </w:r>
          </w:p>
        </w:tc>
        <w:tc>
          <w:tcPr>
            <w:tcW w:w="2412" w:type="dxa"/>
            <w:vMerge w:val="continue"/>
            <w:vAlign w:val="center"/>
          </w:tcPr>
          <w:p>
            <w:pPr>
              <w:snapToGrid w:val="0"/>
              <w:jc w:val="center"/>
              <w:rPr>
                <w:szCs w:val="21"/>
              </w:rPr>
            </w:pPr>
          </w:p>
        </w:tc>
        <w:tc>
          <w:tcPr>
            <w:tcW w:w="2441" w:type="dxa"/>
            <w:vMerge w:val="continue"/>
            <w:vAlign w:val="center"/>
          </w:tcPr>
          <w:p>
            <w:pPr>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28" w:type="dxa"/>
            <w:vMerge w:val="continue"/>
            <w:vAlign w:val="center"/>
          </w:tcPr>
          <w:p>
            <w:pPr>
              <w:snapToGrid w:val="0"/>
              <w:jc w:val="center"/>
              <w:rPr>
                <w:szCs w:val="21"/>
              </w:rPr>
            </w:pPr>
          </w:p>
        </w:tc>
        <w:tc>
          <w:tcPr>
            <w:tcW w:w="1575" w:type="dxa"/>
            <w:vAlign w:val="center"/>
          </w:tcPr>
          <w:p>
            <w:pPr>
              <w:snapToGrid w:val="0"/>
              <w:jc w:val="center"/>
              <w:rPr>
                <w:szCs w:val="21"/>
              </w:rPr>
            </w:pPr>
            <w:r>
              <w:rPr>
                <w:szCs w:val="21"/>
              </w:rPr>
              <w:t>种植浇灌渗出水</w:t>
            </w:r>
          </w:p>
        </w:tc>
        <w:tc>
          <w:tcPr>
            <w:tcW w:w="1350" w:type="dxa"/>
            <w:vAlign w:val="center"/>
          </w:tcPr>
          <w:p>
            <w:pPr>
              <w:snapToGrid w:val="0"/>
              <w:jc w:val="center"/>
              <w:rPr>
                <w:szCs w:val="21"/>
              </w:rPr>
            </w:pPr>
            <w:r>
              <w:rPr>
                <w:szCs w:val="21"/>
              </w:rPr>
              <w:t>pH、CODcr、BOD</w:t>
            </w:r>
            <w:r>
              <w:rPr>
                <w:szCs w:val="21"/>
                <w:vertAlign w:val="subscript"/>
              </w:rPr>
              <w:t>5</w:t>
            </w:r>
            <w:r>
              <w:rPr>
                <w:szCs w:val="21"/>
              </w:rPr>
              <w:t>、SS、NH</w:t>
            </w:r>
            <w:r>
              <w:rPr>
                <w:szCs w:val="21"/>
                <w:vertAlign w:val="subscript"/>
              </w:rPr>
              <w:t>3</w:t>
            </w:r>
            <w:r>
              <w:rPr>
                <w:szCs w:val="21"/>
              </w:rPr>
              <w:t>-N、总磷</w:t>
            </w:r>
          </w:p>
        </w:tc>
        <w:tc>
          <w:tcPr>
            <w:tcW w:w="2412" w:type="dxa"/>
            <w:vAlign w:val="center"/>
          </w:tcPr>
          <w:p>
            <w:pPr>
              <w:snapToGrid w:val="0"/>
              <w:jc w:val="center"/>
              <w:rPr>
                <w:szCs w:val="21"/>
              </w:rPr>
            </w:pPr>
            <w:r>
              <w:rPr>
                <w:szCs w:val="21"/>
              </w:rPr>
              <w:t>回用于水肥系统</w:t>
            </w:r>
          </w:p>
        </w:tc>
        <w:tc>
          <w:tcPr>
            <w:tcW w:w="2441" w:type="dxa"/>
            <w:vAlign w:val="center"/>
          </w:tcPr>
          <w:p>
            <w:pPr>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28" w:type="dxa"/>
            <w:vMerge w:val="continue"/>
            <w:vAlign w:val="center"/>
          </w:tcPr>
          <w:p>
            <w:pPr>
              <w:snapToGrid w:val="0"/>
              <w:jc w:val="center"/>
              <w:rPr>
                <w:szCs w:val="21"/>
              </w:rPr>
            </w:pPr>
          </w:p>
        </w:tc>
        <w:tc>
          <w:tcPr>
            <w:tcW w:w="1575" w:type="dxa"/>
            <w:vAlign w:val="center"/>
          </w:tcPr>
          <w:p>
            <w:pPr>
              <w:snapToGrid w:val="0"/>
              <w:jc w:val="center"/>
              <w:rPr>
                <w:szCs w:val="21"/>
              </w:rPr>
            </w:pPr>
            <w:r>
              <w:rPr>
                <w:szCs w:val="21"/>
              </w:rPr>
              <w:t>初期雨水</w:t>
            </w:r>
          </w:p>
        </w:tc>
        <w:tc>
          <w:tcPr>
            <w:tcW w:w="1350" w:type="dxa"/>
            <w:vAlign w:val="center"/>
          </w:tcPr>
          <w:p>
            <w:pPr>
              <w:snapToGrid w:val="0"/>
              <w:jc w:val="center"/>
              <w:rPr>
                <w:szCs w:val="21"/>
              </w:rPr>
            </w:pPr>
            <w:r>
              <w:rPr>
                <w:szCs w:val="21"/>
              </w:rPr>
              <w:t>SS</w:t>
            </w:r>
          </w:p>
        </w:tc>
        <w:tc>
          <w:tcPr>
            <w:tcW w:w="2412" w:type="dxa"/>
            <w:vAlign w:val="center"/>
          </w:tcPr>
          <w:p>
            <w:pPr>
              <w:snapToGrid w:val="0"/>
              <w:jc w:val="center"/>
              <w:rPr>
                <w:szCs w:val="21"/>
              </w:rPr>
            </w:pPr>
            <w:r>
              <w:rPr>
                <w:szCs w:val="21"/>
              </w:rPr>
              <w:t>沉淀处理后回用于种植基地浇灌、配肥等</w:t>
            </w:r>
          </w:p>
        </w:tc>
        <w:tc>
          <w:tcPr>
            <w:tcW w:w="2441" w:type="dxa"/>
            <w:vAlign w:val="center"/>
          </w:tcPr>
          <w:p>
            <w:pPr>
              <w:snapToGrid w:val="0"/>
              <w:jc w:val="center"/>
              <w:rPr>
                <w:szCs w:val="21"/>
              </w:rPr>
            </w:pPr>
            <w:r>
              <w:rPr>
                <w:szCs w:val="21"/>
                <w:lang w:bidi="ar"/>
              </w:rPr>
              <w:t>《城市污水再生利用-</w:t>
            </w:r>
            <w:r>
              <w:rPr>
                <w:rFonts w:hint="eastAsia"/>
                <w:szCs w:val="21"/>
                <w:lang w:bidi="ar"/>
              </w:rPr>
              <w:t>农田灌溉用水水质</w:t>
            </w:r>
            <w:r>
              <w:rPr>
                <w:szCs w:val="21"/>
                <w:lang w:bidi="ar"/>
              </w:rPr>
              <w:t>》（GB/T</w:t>
            </w:r>
            <w:r>
              <w:rPr>
                <w:rFonts w:hint="eastAsia"/>
                <w:szCs w:val="21"/>
                <w:lang w:bidi="ar"/>
              </w:rPr>
              <w:t>20922</w:t>
            </w:r>
            <w:r>
              <w:rPr>
                <w:szCs w:val="21"/>
                <w:lang w:bidi="ar"/>
              </w:rPr>
              <w:t>-20</w:t>
            </w:r>
            <w:r>
              <w:rPr>
                <w:rFonts w:hint="eastAsia"/>
                <w:szCs w:val="21"/>
                <w:lang w:bidi="ar"/>
              </w:rPr>
              <w:t>07</w:t>
            </w:r>
            <w:r>
              <w:rPr>
                <w:szCs w:val="21"/>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1428" w:type="dxa"/>
            <w:vAlign w:val="center"/>
          </w:tcPr>
          <w:p>
            <w:pPr>
              <w:snapToGrid w:val="0"/>
              <w:jc w:val="center"/>
              <w:rPr>
                <w:szCs w:val="21"/>
              </w:rPr>
            </w:pPr>
            <w:r>
              <w:rPr>
                <w:szCs w:val="21"/>
              </w:rPr>
              <w:t>声环境</w:t>
            </w:r>
          </w:p>
        </w:tc>
        <w:tc>
          <w:tcPr>
            <w:tcW w:w="1575" w:type="dxa"/>
            <w:vAlign w:val="center"/>
          </w:tcPr>
          <w:p>
            <w:pPr>
              <w:snapToGrid w:val="0"/>
              <w:jc w:val="center"/>
              <w:rPr>
                <w:szCs w:val="21"/>
              </w:rPr>
            </w:pPr>
            <w:r>
              <w:rPr>
                <w:szCs w:val="21"/>
              </w:rPr>
              <w:t>设备</w:t>
            </w:r>
          </w:p>
        </w:tc>
        <w:tc>
          <w:tcPr>
            <w:tcW w:w="1350" w:type="dxa"/>
            <w:vAlign w:val="center"/>
          </w:tcPr>
          <w:p>
            <w:pPr>
              <w:snapToGrid w:val="0"/>
              <w:jc w:val="center"/>
              <w:rPr>
                <w:szCs w:val="21"/>
              </w:rPr>
            </w:pPr>
            <w:r>
              <w:rPr>
                <w:szCs w:val="21"/>
              </w:rPr>
              <w:t>噪声</w:t>
            </w:r>
          </w:p>
        </w:tc>
        <w:tc>
          <w:tcPr>
            <w:tcW w:w="2412" w:type="dxa"/>
            <w:vAlign w:val="center"/>
          </w:tcPr>
          <w:p>
            <w:pPr>
              <w:snapToGrid w:val="0"/>
              <w:jc w:val="center"/>
              <w:rPr>
                <w:szCs w:val="21"/>
              </w:rPr>
            </w:pPr>
            <w:r>
              <w:rPr>
                <w:szCs w:val="21"/>
              </w:rPr>
              <w:t>安装减震垫，正常维护、强噪声源设置于建筑物中。</w:t>
            </w:r>
          </w:p>
        </w:tc>
        <w:tc>
          <w:tcPr>
            <w:tcW w:w="2441" w:type="dxa"/>
            <w:vAlign w:val="center"/>
          </w:tcPr>
          <w:p>
            <w:pPr>
              <w:snapToGrid w:val="0"/>
              <w:jc w:val="center"/>
              <w:rPr>
                <w:szCs w:val="21"/>
              </w:rPr>
            </w:pPr>
            <w:r>
              <w:rPr>
                <w:szCs w:val="21"/>
              </w:rPr>
              <w:t>厂界达《工业企业厂界环境噪声排放标准》（GB12348-2008）中2类标准限值，昼间≤</w:t>
            </w:r>
            <w:r>
              <w:rPr>
                <w:rFonts w:hint="eastAsia"/>
                <w:szCs w:val="21"/>
              </w:rPr>
              <w:t>60</w:t>
            </w:r>
            <w:r>
              <w:rPr>
                <w:szCs w:val="21"/>
              </w:rPr>
              <w:t>dB(A)，夜间≤5</w:t>
            </w:r>
            <w:r>
              <w:rPr>
                <w:rFonts w:hint="eastAsia"/>
                <w:szCs w:val="21"/>
              </w:rPr>
              <w:t>0</w:t>
            </w:r>
            <w:r>
              <w:rPr>
                <w:szCs w:val="21"/>
              </w:rPr>
              <w:t>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28" w:type="dxa"/>
            <w:vAlign w:val="center"/>
          </w:tcPr>
          <w:p>
            <w:pPr>
              <w:snapToGrid w:val="0"/>
              <w:jc w:val="center"/>
              <w:rPr>
                <w:szCs w:val="21"/>
              </w:rPr>
            </w:pPr>
            <w:r>
              <w:rPr>
                <w:szCs w:val="21"/>
              </w:rPr>
              <w:t>电磁辐射</w:t>
            </w:r>
          </w:p>
        </w:tc>
        <w:tc>
          <w:tcPr>
            <w:tcW w:w="1575" w:type="dxa"/>
            <w:vAlign w:val="center"/>
          </w:tcPr>
          <w:p>
            <w:pPr>
              <w:snapToGrid w:val="0"/>
              <w:jc w:val="center"/>
              <w:rPr>
                <w:szCs w:val="21"/>
              </w:rPr>
            </w:pPr>
            <w:r>
              <w:rPr>
                <w:szCs w:val="21"/>
              </w:rPr>
              <w:t>/</w:t>
            </w:r>
          </w:p>
        </w:tc>
        <w:tc>
          <w:tcPr>
            <w:tcW w:w="1350" w:type="dxa"/>
            <w:vAlign w:val="center"/>
          </w:tcPr>
          <w:p>
            <w:pPr>
              <w:snapToGrid w:val="0"/>
              <w:jc w:val="center"/>
              <w:rPr>
                <w:szCs w:val="21"/>
              </w:rPr>
            </w:pPr>
            <w:r>
              <w:rPr>
                <w:szCs w:val="21"/>
              </w:rPr>
              <w:t>/</w:t>
            </w:r>
          </w:p>
        </w:tc>
        <w:tc>
          <w:tcPr>
            <w:tcW w:w="2412" w:type="dxa"/>
            <w:vAlign w:val="center"/>
          </w:tcPr>
          <w:p>
            <w:pPr>
              <w:snapToGrid w:val="0"/>
              <w:jc w:val="center"/>
              <w:rPr>
                <w:szCs w:val="21"/>
              </w:rPr>
            </w:pPr>
            <w:r>
              <w:rPr>
                <w:szCs w:val="21"/>
              </w:rPr>
              <w:t>/</w:t>
            </w:r>
          </w:p>
        </w:tc>
        <w:tc>
          <w:tcPr>
            <w:tcW w:w="2441" w:type="dxa"/>
            <w:vAlign w:val="center"/>
          </w:tcPr>
          <w:p>
            <w:pPr>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428" w:type="dxa"/>
            <w:vAlign w:val="center"/>
          </w:tcPr>
          <w:p>
            <w:pPr>
              <w:snapToGrid w:val="0"/>
              <w:jc w:val="center"/>
              <w:rPr>
                <w:szCs w:val="21"/>
              </w:rPr>
            </w:pPr>
            <w:r>
              <w:rPr>
                <w:szCs w:val="21"/>
              </w:rPr>
              <w:t>固体废物</w:t>
            </w:r>
          </w:p>
        </w:tc>
        <w:tc>
          <w:tcPr>
            <w:tcW w:w="7778" w:type="dxa"/>
            <w:gridSpan w:val="4"/>
            <w:vAlign w:val="center"/>
          </w:tcPr>
          <w:p>
            <w:pPr>
              <w:snapToGrid w:val="0"/>
              <w:ind w:firstLine="420" w:firstLineChars="200"/>
              <w:jc w:val="left"/>
              <w:rPr>
                <w:szCs w:val="21"/>
              </w:rPr>
            </w:pPr>
            <w:r>
              <w:rPr>
                <w:szCs w:val="21"/>
              </w:rPr>
              <w:t>（1）生活固废由环卫部门定期清运。种植固废部分售卖</w:t>
            </w:r>
            <w:r>
              <w:rPr>
                <w:rFonts w:hint="eastAsia"/>
                <w:szCs w:val="21"/>
              </w:rPr>
              <w:t>农户</w:t>
            </w:r>
            <w:r>
              <w:rPr>
                <w:szCs w:val="21"/>
              </w:rPr>
              <w:t>，部分粉碎回田</w:t>
            </w:r>
            <w:r>
              <w:rPr>
                <w:rFonts w:hint="eastAsia"/>
                <w:szCs w:val="21"/>
              </w:rPr>
              <w:t>（不发酵）</w:t>
            </w:r>
            <w:r>
              <w:rPr>
                <w:szCs w:val="21"/>
              </w:rPr>
              <w:t>。</w:t>
            </w:r>
          </w:p>
          <w:p>
            <w:pPr>
              <w:snapToGrid w:val="0"/>
              <w:ind w:firstLine="420" w:firstLineChars="200"/>
              <w:rPr>
                <w:szCs w:val="21"/>
              </w:rPr>
            </w:pPr>
            <w:r>
              <w:rPr>
                <w:szCs w:val="21"/>
              </w:rPr>
              <w:t>（2）评价要求设1座</w:t>
            </w:r>
            <w:r>
              <w:rPr>
                <w:rFonts w:hint="eastAsia"/>
                <w:szCs w:val="21"/>
              </w:rPr>
              <w:t>危险废物贮存库</w:t>
            </w:r>
            <w:r>
              <w:rPr>
                <w:szCs w:val="21"/>
              </w:rPr>
              <w:t>，危废间执行《危险废物贮存污染控制标准》（GB18597-2023）的相关规定，应建立健全企业危险废物责任制度，完善和制定管理台账和管理计划，落实危险废物规范化管理措施。</w:t>
            </w:r>
          </w:p>
          <w:p>
            <w:pPr>
              <w:snapToGrid w:val="0"/>
              <w:ind w:firstLine="420" w:firstLineChars="200"/>
              <w:rPr>
                <w:szCs w:val="21"/>
              </w:rPr>
            </w:pPr>
            <w:r>
              <w:rPr>
                <w:szCs w:val="21"/>
              </w:rPr>
              <w:t>项目各项固废均得到有效处置，处置率达100%。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428" w:type="dxa"/>
            <w:vAlign w:val="center"/>
          </w:tcPr>
          <w:p>
            <w:pPr>
              <w:snapToGrid w:val="0"/>
              <w:jc w:val="center"/>
              <w:rPr>
                <w:szCs w:val="21"/>
              </w:rPr>
            </w:pPr>
            <w:r>
              <w:rPr>
                <w:szCs w:val="21"/>
              </w:rPr>
              <w:t>土壤及地下水</w:t>
            </w:r>
          </w:p>
          <w:p>
            <w:pPr>
              <w:snapToGrid w:val="0"/>
              <w:jc w:val="center"/>
              <w:rPr>
                <w:szCs w:val="21"/>
              </w:rPr>
            </w:pPr>
            <w:r>
              <w:rPr>
                <w:szCs w:val="21"/>
              </w:rPr>
              <w:t>污染防治措施</w:t>
            </w:r>
          </w:p>
        </w:tc>
        <w:tc>
          <w:tcPr>
            <w:tcW w:w="7778" w:type="dxa"/>
            <w:gridSpan w:val="4"/>
            <w:vAlign w:val="center"/>
          </w:tcPr>
          <w:p>
            <w:pPr>
              <w:snapToGrid w:val="0"/>
              <w:ind w:firstLine="420" w:firstLineChars="200"/>
              <w:jc w:val="left"/>
              <w:rPr>
                <w:szCs w:val="21"/>
              </w:rPr>
            </w:pPr>
            <w:r>
              <w:rPr>
                <w:szCs w:val="21"/>
              </w:rPr>
              <w:t>源头上控制对土壤及地下水的污染。企业应从设计、管理中防止和减少污染物料的跑，冒，滴，漏而采取的各种措施，主要措施包括工艺、管道，设备、土建、给排水、总图布置等防止污染物泄露的措施。在处理或贮存化学品的所有区域设置防渗漏的地耳并设置围堰，以确保任何物质的冒溢均能被回收，从而防止土壤和地下水环境污染。</w:t>
            </w:r>
          </w:p>
          <w:p>
            <w:pPr>
              <w:snapToGrid w:val="0"/>
              <w:ind w:firstLine="420" w:firstLineChars="200"/>
              <w:jc w:val="left"/>
              <w:rPr>
                <w:szCs w:val="21"/>
              </w:rPr>
            </w:pPr>
            <w:r>
              <w:rPr>
                <w:szCs w:val="21"/>
              </w:rPr>
              <w:t>设计强酸或强碱操作的区域的地基、地面、围墙、排水沟均通过耐酸碱混凝土或耐酸碱胶泥或花岗岩处理；其他操作区域的地基、地</w:t>
            </w:r>
            <w:r>
              <w:rPr>
                <w:rFonts w:hint="eastAsia"/>
                <w:szCs w:val="21"/>
              </w:rPr>
              <w:t>面</w:t>
            </w:r>
            <w:r>
              <w:rPr>
                <w:szCs w:val="21"/>
              </w:rPr>
              <w:t>均铺设防渗漏地基。严格按照化工环境保护设计规范设计施工，设计化学物质的输送管线均设置在地面上，不设地下贮罐。地下集水池经过酸性防腐和防渗漏处理。</w:t>
            </w:r>
          </w:p>
          <w:p>
            <w:pPr>
              <w:snapToGrid w:val="0"/>
              <w:ind w:firstLine="420" w:firstLineChars="200"/>
              <w:jc w:val="left"/>
              <w:rPr>
                <w:szCs w:val="21"/>
              </w:rPr>
            </w:pPr>
            <w:r>
              <w:rPr>
                <w:szCs w:val="21"/>
              </w:rPr>
              <w:t>企业危险废物临时堆场设冒应符合《危险废物贮存污染控制标准》（GB18597-2023）要求，</w:t>
            </w:r>
            <w:r>
              <w:rPr>
                <w:rFonts w:hint="eastAsia"/>
                <w:szCs w:val="21"/>
              </w:rPr>
              <w:t>废物</w:t>
            </w:r>
            <w:r>
              <w:rPr>
                <w:szCs w:val="21"/>
              </w:rPr>
              <w:t>临时堆场应采取防雨淋、防扬散、防渗漏、防流失等措施，以免对地下水和土壤造成污染。本项目</w:t>
            </w:r>
            <w:r>
              <w:rPr>
                <w:rFonts w:hint="eastAsia"/>
                <w:szCs w:val="21"/>
              </w:rPr>
              <w:t>危险废物贮存库</w:t>
            </w:r>
            <w:r>
              <w:rPr>
                <w:szCs w:val="21"/>
              </w:rPr>
              <w:t>和危险化学品暂存间为重点防渗区，建设防渗、防腐措施，等效黏土防渗层Mb≥1.5m，K≤1×10</w:t>
            </w:r>
            <w:r>
              <w:rPr>
                <w:rFonts w:hint="eastAsia"/>
                <w:szCs w:val="21"/>
              </w:rPr>
              <w:t>—</w:t>
            </w:r>
            <w:r>
              <w:rPr>
                <w:szCs w:val="21"/>
                <w:vertAlign w:val="superscript"/>
              </w:rPr>
              <w:t>7</w:t>
            </w:r>
            <w:r>
              <w:rPr>
                <w:szCs w:val="21"/>
              </w:rPr>
              <w:t>cm/s;或参照GB16889执行。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428" w:type="dxa"/>
            <w:vAlign w:val="center"/>
          </w:tcPr>
          <w:p>
            <w:pPr>
              <w:snapToGrid w:val="0"/>
              <w:jc w:val="center"/>
              <w:rPr>
                <w:szCs w:val="21"/>
              </w:rPr>
            </w:pPr>
            <w:r>
              <w:rPr>
                <w:szCs w:val="21"/>
              </w:rPr>
              <w:t>生态保护措施</w:t>
            </w:r>
          </w:p>
        </w:tc>
        <w:tc>
          <w:tcPr>
            <w:tcW w:w="7778" w:type="dxa"/>
            <w:gridSpan w:val="4"/>
            <w:vAlign w:val="center"/>
          </w:tcPr>
          <w:p>
            <w:pPr>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428" w:type="dxa"/>
            <w:vAlign w:val="center"/>
          </w:tcPr>
          <w:p>
            <w:pPr>
              <w:snapToGrid w:val="0"/>
              <w:jc w:val="center"/>
              <w:rPr>
                <w:szCs w:val="21"/>
              </w:rPr>
            </w:pPr>
            <w:r>
              <w:rPr>
                <w:szCs w:val="21"/>
              </w:rPr>
              <w:t>环境风险</w:t>
            </w:r>
          </w:p>
          <w:p>
            <w:pPr>
              <w:snapToGrid w:val="0"/>
              <w:jc w:val="center"/>
              <w:rPr>
                <w:szCs w:val="21"/>
              </w:rPr>
            </w:pPr>
            <w:r>
              <w:rPr>
                <w:szCs w:val="21"/>
              </w:rPr>
              <w:t>防范措施</w:t>
            </w:r>
          </w:p>
        </w:tc>
        <w:tc>
          <w:tcPr>
            <w:tcW w:w="7778" w:type="dxa"/>
            <w:gridSpan w:val="4"/>
            <w:vAlign w:val="center"/>
          </w:tcPr>
          <w:p>
            <w:pPr>
              <w:snapToGrid w:val="0"/>
              <w:ind w:firstLine="420" w:firstLineChars="200"/>
              <w:rPr>
                <w:szCs w:val="21"/>
              </w:rPr>
            </w:pPr>
            <w:r>
              <w:rPr>
                <w:szCs w:val="21"/>
              </w:rPr>
              <w:t>地面进行硬化；定期对仓库进行检查，防止润滑油桶破损泄漏；对工作人员进行安全卫生和环保教育，提高操作工作人员的技术水平和责任心，加强生产管理，严格规章制度，降低误操作引发事故的环境风险；对各类贮存容器、机电装置、安全设施、消防器材等，进行各种日常的、定期的、专业的防火安全检查，并将发现的问题落实到人、限期落实整改；建立值班巡查制度、火险报告制度、安全奖惩制度等；开展各种形式的安全教育和宣传，增强全员安全意识。加强职工培训，增强职工的安全意识和相关知识；坚持定时安全检查，对查出的事故隐患及时整改；严格按照《企业事业单位突发环境事件应急预案备案管理办法（试行）》要求，编制《突发环境事件应急预案》，组织专家及周边相关单位评审并上报当地环保部门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428" w:type="dxa"/>
            <w:vAlign w:val="center"/>
          </w:tcPr>
          <w:p>
            <w:pPr>
              <w:snapToGrid w:val="0"/>
              <w:jc w:val="center"/>
              <w:rPr>
                <w:szCs w:val="21"/>
              </w:rPr>
            </w:pPr>
            <w:r>
              <w:rPr>
                <w:szCs w:val="21"/>
              </w:rPr>
              <w:t>其他环境</w:t>
            </w:r>
          </w:p>
          <w:p>
            <w:pPr>
              <w:snapToGrid w:val="0"/>
              <w:jc w:val="center"/>
              <w:rPr>
                <w:szCs w:val="21"/>
              </w:rPr>
            </w:pPr>
            <w:r>
              <w:rPr>
                <w:szCs w:val="21"/>
              </w:rPr>
              <w:t>管理要求</w:t>
            </w:r>
          </w:p>
        </w:tc>
        <w:tc>
          <w:tcPr>
            <w:tcW w:w="7778" w:type="dxa"/>
            <w:gridSpan w:val="4"/>
            <w:vAlign w:val="center"/>
          </w:tcPr>
          <w:p>
            <w:pPr>
              <w:snapToGrid w:val="0"/>
              <w:ind w:firstLine="420" w:firstLineChars="200"/>
              <w:jc w:val="left"/>
              <w:rPr>
                <w:szCs w:val="21"/>
              </w:rPr>
            </w:pPr>
            <w:r>
              <w:rPr>
                <w:szCs w:val="21"/>
              </w:rPr>
              <w:t>①加强日常管理，配备专门的环保管理人员；</w:t>
            </w:r>
          </w:p>
          <w:p>
            <w:pPr>
              <w:snapToGrid w:val="0"/>
              <w:ind w:firstLine="420" w:firstLineChars="200"/>
              <w:jc w:val="left"/>
              <w:rPr>
                <w:szCs w:val="21"/>
              </w:rPr>
            </w:pPr>
            <w:r>
              <w:rPr>
                <w:szCs w:val="21"/>
              </w:rPr>
              <w:t>②排污口规范化设置；</w:t>
            </w:r>
          </w:p>
          <w:p>
            <w:pPr>
              <w:snapToGrid w:val="0"/>
              <w:ind w:firstLine="420" w:firstLineChars="200"/>
              <w:jc w:val="left"/>
              <w:rPr>
                <w:szCs w:val="21"/>
              </w:rPr>
            </w:pPr>
            <w:r>
              <w:rPr>
                <w:szCs w:val="21"/>
              </w:rPr>
              <w:t>③建立环境监测计划；</w:t>
            </w:r>
          </w:p>
          <w:p>
            <w:pPr>
              <w:snapToGrid w:val="0"/>
              <w:ind w:firstLine="420" w:firstLineChars="200"/>
              <w:jc w:val="left"/>
              <w:rPr>
                <w:szCs w:val="21"/>
              </w:rPr>
            </w:pPr>
            <w:r>
              <w:rPr>
                <w:szCs w:val="21"/>
              </w:rPr>
              <w:t>④执行国家环境保护“三同时”制度，投入运行后，及时按照国环规环评[2017]4 号《建设项目竣工环境保护验收暂行办法》中的相关规定要求开展自主竣工环境保护验收；</w:t>
            </w:r>
          </w:p>
          <w:p>
            <w:pPr>
              <w:snapToGrid w:val="0"/>
              <w:ind w:firstLine="420" w:firstLineChars="200"/>
              <w:jc w:val="left"/>
              <w:rPr>
                <w:szCs w:val="21"/>
              </w:rPr>
            </w:pPr>
            <w:r>
              <w:rPr>
                <w:szCs w:val="21"/>
              </w:rPr>
              <w:t>⑤强化排污许可的申报以及证后管理。</w:t>
            </w:r>
          </w:p>
          <w:p>
            <w:pPr>
              <w:snapToGrid w:val="0"/>
              <w:jc w:val="center"/>
              <w:rPr>
                <w:szCs w:val="21"/>
              </w:rPr>
            </w:pPr>
          </w:p>
        </w:tc>
      </w:tr>
    </w:tbl>
    <w:p>
      <w:pPr>
        <w:snapToGrid w:val="0"/>
        <w:jc w:val="center"/>
        <w:rPr>
          <w:sz w:val="24"/>
        </w:rPr>
      </w:pPr>
    </w:p>
    <w:p>
      <w:pPr>
        <w:spacing w:line="360" w:lineRule="auto"/>
        <w:rPr>
          <w:sz w:val="24"/>
        </w:rPr>
        <w:sectPr>
          <w:pgSz w:w="11906" w:h="16838"/>
          <w:pgMar w:top="1247" w:right="1247" w:bottom="1247" w:left="1247" w:header="851" w:footer="992" w:gutter="0"/>
          <w:cols w:space="425" w:num="1"/>
          <w:docGrid w:type="linesAndChars" w:linePitch="312" w:charSpace="0"/>
        </w:sectPr>
      </w:pPr>
    </w:p>
    <w:p>
      <w:pPr>
        <w:pStyle w:val="23"/>
        <w:spacing w:line="360" w:lineRule="auto"/>
        <w:jc w:val="center"/>
        <w:outlineLvl w:val="0"/>
        <w:rPr>
          <w:rFonts w:ascii="Times New Roman" w:hAnsi="Times New Roman"/>
          <w:b/>
          <w:bCs/>
          <w:snapToGrid w:val="0"/>
          <w:sz w:val="30"/>
          <w:szCs w:val="30"/>
        </w:rPr>
      </w:pPr>
      <w:bookmarkStart w:id="254" w:name="_Toc144148035"/>
      <w:r>
        <w:rPr>
          <w:rFonts w:ascii="Times New Roman" w:hAnsi="Times New Roman"/>
          <w:b/>
          <w:bCs/>
          <w:snapToGrid w:val="0"/>
          <w:sz w:val="30"/>
          <w:szCs w:val="30"/>
        </w:rPr>
        <w:t>六、结论</w:t>
      </w:r>
      <w:bookmarkEnd w:id="254"/>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adjustRightInd w:val="0"/>
              <w:snapToGrid w:val="0"/>
              <w:spacing w:line="360" w:lineRule="auto"/>
              <w:ind w:firstLine="480" w:firstLineChars="200"/>
              <w:jc w:val="left"/>
              <w:rPr>
                <w:sz w:val="24"/>
              </w:rPr>
            </w:pPr>
            <w:r>
              <w:rPr>
                <w:sz w:val="24"/>
              </w:rPr>
              <w:t>云南花当</w:t>
            </w:r>
            <w:r>
              <w:rPr>
                <w:rFonts w:hint="eastAsia"/>
                <w:sz w:val="24"/>
              </w:rPr>
              <w:t>家</w:t>
            </w:r>
            <w:r>
              <w:rPr>
                <w:sz w:val="24"/>
              </w:rPr>
              <w:t>锅炉及生物质锅炉建设项目符合国家政策，符合相关规划，符合达标排放、总量控制的原则。项目产生的环境影响包括废水、废气、噪声、固废。在采取环评提出的防治措施后，可以得到有效控制，不会对周围环境产生显著的影响。项目符合清洁生产原则，与周围环境相容。因此，在严格执行“三同时”制度，加强企业环境管理，采纳本报告提出的对策措施的前提下，本项目从环境保护角度来说是可行的。</w:t>
            </w: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p>
            <w:pPr>
              <w:pStyle w:val="13"/>
              <w:spacing w:line="360" w:lineRule="auto"/>
              <w:rPr>
                <w:rFonts w:ascii="Times New Roman" w:hAnsi="Times New Roman"/>
                <w:sz w:val="24"/>
              </w:rPr>
            </w:pPr>
          </w:p>
        </w:tc>
      </w:tr>
    </w:tbl>
    <w:p>
      <w:pPr>
        <w:spacing w:line="360" w:lineRule="auto"/>
        <w:jc w:val="center"/>
        <w:rPr>
          <w:snapToGrid w:val="0"/>
          <w:sz w:val="24"/>
        </w:rPr>
        <w:sectPr>
          <w:pgSz w:w="11906" w:h="16838"/>
          <w:pgMar w:top="1247" w:right="1247" w:bottom="1247" w:left="1247" w:header="851" w:footer="992" w:gutter="0"/>
          <w:cols w:space="425" w:num="1"/>
          <w:docGrid w:type="linesAndChars" w:linePitch="312" w:charSpace="0"/>
        </w:sectPr>
      </w:pPr>
    </w:p>
    <w:p>
      <w:pPr>
        <w:pStyle w:val="23"/>
        <w:adjustRightInd w:val="0"/>
        <w:snapToGrid w:val="0"/>
        <w:spacing w:before="0" w:beforeAutospacing="0" w:after="0" w:afterAutospacing="0" w:line="360" w:lineRule="auto"/>
        <w:outlineLvl w:val="0"/>
        <w:rPr>
          <w:rFonts w:ascii="Times New Roman" w:hAnsi="Times New Roman"/>
          <w:b/>
          <w:bCs/>
          <w:snapToGrid w:val="0"/>
          <w:szCs w:val="24"/>
        </w:rPr>
      </w:pPr>
      <w:bookmarkStart w:id="255" w:name="_Toc144148036"/>
      <w:bookmarkStart w:id="256" w:name="_Toc5606"/>
      <w:bookmarkStart w:id="257" w:name="_Toc30772"/>
      <w:r>
        <w:rPr>
          <w:rFonts w:ascii="Times New Roman" w:hAnsi="Times New Roman"/>
          <w:b/>
          <w:bCs/>
          <w:snapToGrid w:val="0"/>
          <w:szCs w:val="24"/>
        </w:rPr>
        <w:t>附表</w:t>
      </w:r>
      <w:bookmarkEnd w:id="255"/>
      <w:bookmarkEnd w:id="256"/>
      <w:bookmarkEnd w:id="257"/>
    </w:p>
    <w:p>
      <w:pPr>
        <w:pStyle w:val="23"/>
        <w:adjustRightInd w:val="0"/>
        <w:snapToGrid w:val="0"/>
        <w:spacing w:before="0" w:beforeAutospacing="0" w:after="0" w:afterAutospacing="0" w:line="360" w:lineRule="auto"/>
        <w:jc w:val="center"/>
        <w:outlineLvl w:val="0"/>
        <w:rPr>
          <w:rFonts w:ascii="Times New Roman" w:hAnsi="Times New Roman"/>
          <w:snapToGrid w:val="0"/>
          <w:szCs w:val="24"/>
        </w:rPr>
      </w:pPr>
      <w:bookmarkStart w:id="258" w:name="_Toc27505"/>
      <w:bookmarkStart w:id="259" w:name="_Toc8741"/>
      <w:bookmarkStart w:id="260" w:name="_Toc30639"/>
      <w:bookmarkStart w:id="261" w:name="_Toc144148037"/>
      <w:r>
        <w:rPr>
          <w:rFonts w:ascii="Times New Roman" w:hAnsi="Times New Roman"/>
          <w:b/>
          <w:bCs/>
          <w:snapToGrid w:val="0"/>
          <w:szCs w:val="24"/>
        </w:rPr>
        <w:t>建设项目污染物排放量汇总表</w:t>
      </w:r>
      <w:bookmarkEnd w:id="258"/>
      <w:bookmarkEnd w:id="259"/>
      <w:bookmarkEnd w:id="260"/>
      <w:bookmarkEnd w:id="261"/>
    </w:p>
    <w:tbl>
      <w:tblPr>
        <w:tblStyle w:val="26"/>
        <w:tblW w:w="1411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1"/>
        <w:gridCol w:w="802"/>
        <w:gridCol w:w="1430"/>
        <w:gridCol w:w="1717"/>
        <w:gridCol w:w="1288"/>
        <w:gridCol w:w="1514"/>
        <w:gridCol w:w="1582"/>
        <w:gridCol w:w="1786"/>
        <w:gridCol w:w="1896"/>
        <w:gridCol w:w="1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603" w:type="dxa"/>
            <w:gridSpan w:val="2"/>
            <w:tcBorders>
              <w:tl2br w:val="single" w:color="auto" w:sz="4" w:space="0"/>
            </w:tcBorders>
            <w:tcMar>
              <w:left w:w="28" w:type="dxa"/>
              <w:right w:w="28" w:type="dxa"/>
            </w:tcMar>
            <w:vAlign w:val="center"/>
          </w:tcPr>
          <w:p>
            <w:pPr>
              <w:pStyle w:val="38"/>
              <w:spacing w:beforeLines="0" w:afterLines="0" w:line="240" w:lineRule="auto"/>
              <w:jc w:val="right"/>
              <w:rPr>
                <w:rFonts w:ascii="Times New Roman"/>
                <w:b/>
                <w:bCs/>
                <w:snapToGrid w:val="0"/>
                <w:spacing w:val="-6"/>
                <w:kern w:val="21"/>
                <w:szCs w:val="21"/>
              </w:rPr>
            </w:pPr>
            <w:r>
              <w:rPr>
                <w:rFonts w:ascii="Times New Roman"/>
                <w:b/>
                <w:bCs/>
                <w:snapToGrid w:val="0"/>
                <w:spacing w:val="-6"/>
                <w:kern w:val="21"/>
                <w:szCs w:val="21"/>
              </w:rPr>
              <w:t>项目</w:t>
            </w:r>
          </w:p>
          <w:p>
            <w:pPr>
              <w:pStyle w:val="38"/>
              <w:spacing w:beforeLines="0" w:afterLines="0" w:line="240" w:lineRule="auto"/>
              <w:jc w:val="left"/>
              <w:rPr>
                <w:rFonts w:ascii="Times New Roman"/>
                <w:b/>
                <w:bCs/>
                <w:snapToGrid w:val="0"/>
                <w:spacing w:val="-6"/>
                <w:kern w:val="21"/>
                <w:szCs w:val="21"/>
              </w:rPr>
            </w:pPr>
            <w:r>
              <w:rPr>
                <w:rFonts w:ascii="Times New Roman"/>
                <w:b/>
                <w:bCs/>
                <w:snapToGrid w:val="0"/>
                <w:spacing w:val="-6"/>
                <w:kern w:val="21"/>
                <w:szCs w:val="21"/>
              </w:rPr>
              <w:t>分类</w:t>
            </w:r>
          </w:p>
        </w:tc>
        <w:tc>
          <w:tcPr>
            <w:tcW w:w="1430" w:type="dxa"/>
            <w:tcMar>
              <w:left w:w="28" w:type="dxa"/>
              <w:right w:w="28" w:type="dxa"/>
            </w:tcMar>
            <w:vAlign w:val="center"/>
          </w:tcPr>
          <w:p>
            <w:pPr>
              <w:pStyle w:val="38"/>
              <w:spacing w:beforeLines="0" w:afterLines="0" w:line="240" w:lineRule="auto"/>
              <w:rPr>
                <w:rFonts w:ascii="Times New Roman"/>
                <w:b/>
                <w:bCs/>
                <w:snapToGrid w:val="0"/>
                <w:spacing w:val="-6"/>
                <w:kern w:val="21"/>
                <w:szCs w:val="21"/>
              </w:rPr>
            </w:pPr>
            <w:r>
              <w:rPr>
                <w:rFonts w:ascii="Times New Roman"/>
                <w:b/>
                <w:bCs/>
                <w:snapToGrid w:val="0"/>
                <w:spacing w:val="-6"/>
                <w:kern w:val="21"/>
                <w:szCs w:val="21"/>
              </w:rPr>
              <w:t>污染物名称</w:t>
            </w:r>
          </w:p>
        </w:tc>
        <w:tc>
          <w:tcPr>
            <w:tcW w:w="1717" w:type="dxa"/>
            <w:tcMar>
              <w:left w:w="28" w:type="dxa"/>
              <w:right w:w="28" w:type="dxa"/>
            </w:tcMar>
            <w:vAlign w:val="center"/>
          </w:tcPr>
          <w:p>
            <w:pPr>
              <w:pStyle w:val="38"/>
              <w:spacing w:beforeLines="0" w:afterLines="0" w:line="240" w:lineRule="auto"/>
              <w:rPr>
                <w:rFonts w:ascii="Times New Roman"/>
                <w:b/>
                <w:bCs/>
                <w:snapToGrid w:val="0"/>
                <w:spacing w:val="-6"/>
                <w:kern w:val="21"/>
                <w:szCs w:val="21"/>
              </w:rPr>
            </w:pPr>
            <w:r>
              <w:rPr>
                <w:rFonts w:ascii="Times New Roman"/>
                <w:b/>
                <w:bCs/>
                <w:snapToGrid w:val="0"/>
                <w:spacing w:val="-6"/>
                <w:kern w:val="21"/>
                <w:szCs w:val="21"/>
              </w:rPr>
              <w:t>现有工程</w:t>
            </w:r>
          </w:p>
          <w:p>
            <w:pPr>
              <w:pStyle w:val="38"/>
              <w:spacing w:beforeLines="0" w:afterLines="0" w:line="240" w:lineRule="auto"/>
              <w:rPr>
                <w:rFonts w:ascii="Times New Roman"/>
                <w:b/>
                <w:bCs/>
                <w:snapToGrid w:val="0"/>
                <w:spacing w:val="-6"/>
                <w:kern w:val="21"/>
                <w:szCs w:val="21"/>
              </w:rPr>
            </w:pPr>
            <w:r>
              <w:rPr>
                <w:rFonts w:ascii="Times New Roman"/>
                <w:b/>
                <w:bCs/>
                <w:snapToGrid w:val="0"/>
                <w:spacing w:val="-6"/>
                <w:kern w:val="21"/>
                <w:szCs w:val="21"/>
              </w:rPr>
              <w:t>排放量（固体废物产生量）</w:t>
            </w:r>
            <w:r>
              <w:rPr>
                <w:rFonts w:ascii="Times New Roman"/>
                <w:b/>
                <w:bCs/>
                <w:snapToGrid w:val="0"/>
                <w:spacing w:val="-6"/>
                <w:kern w:val="21"/>
                <w:szCs w:val="21"/>
              </w:rPr>
              <w:fldChar w:fldCharType="begin"/>
            </w:r>
            <w:r>
              <w:rPr>
                <w:rFonts w:ascii="Times New Roman"/>
                <w:b/>
                <w:bCs/>
                <w:snapToGrid w:val="0"/>
                <w:spacing w:val="-6"/>
                <w:kern w:val="21"/>
                <w:szCs w:val="21"/>
              </w:rPr>
              <w:instrText xml:space="preserve"> = 1 \* GB3 \* MERGEFORMAT </w:instrText>
            </w:r>
            <w:r>
              <w:rPr>
                <w:rFonts w:ascii="Times New Roman"/>
                <w:b/>
                <w:bCs/>
                <w:snapToGrid w:val="0"/>
                <w:spacing w:val="-6"/>
                <w:kern w:val="21"/>
                <w:szCs w:val="21"/>
              </w:rPr>
              <w:fldChar w:fldCharType="separate"/>
            </w:r>
            <w:r>
              <w:rPr>
                <w:rFonts w:ascii="Times New Roman"/>
                <w:b/>
                <w:bCs/>
                <w:kern w:val="2"/>
                <w:szCs w:val="21"/>
              </w:rPr>
              <w:t>①</w:t>
            </w:r>
            <w:r>
              <w:rPr>
                <w:rFonts w:ascii="Times New Roman"/>
                <w:b/>
                <w:bCs/>
                <w:snapToGrid w:val="0"/>
                <w:spacing w:val="-6"/>
                <w:kern w:val="21"/>
                <w:szCs w:val="21"/>
              </w:rPr>
              <w:fldChar w:fldCharType="end"/>
            </w:r>
          </w:p>
        </w:tc>
        <w:tc>
          <w:tcPr>
            <w:tcW w:w="1288" w:type="dxa"/>
            <w:tcMar>
              <w:left w:w="28" w:type="dxa"/>
              <w:right w:w="28" w:type="dxa"/>
            </w:tcMar>
            <w:vAlign w:val="center"/>
          </w:tcPr>
          <w:p>
            <w:pPr>
              <w:pStyle w:val="38"/>
              <w:spacing w:beforeLines="0" w:afterLines="0" w:line="240" w:lineRule="auto"/>
              <w:rPr>
                <w:rFonts w:ascii="Times New Roman"/>
                <w:b/>
                <w:bCs/>
                <w:snapToGrid w:val="0"/>
                <w:spacing w:val="-6"/>
                <w:kern w:val="21"/>
                <w:szCs w:val="21"/>
              </w:rPr>
            </w:pPr>
            <w:r>
              <w:rPr>
                <w:rFonts w:ascii="Times New Roman"/>
                <w:b/>
                <w:bCs/>
                <w:snapToGrid w:val="0"/>
                <w:spacing w:val="-6"/>
                <w:kern w:val="21"/>
                <w:szCs w:val="21"/>
              </w:rPr>
              <w:t>现有工程</w:t>
            </w:r>
          </w:p>
          <w:p>
            <w:pPr>
              <w:pStyle w:val="38"/>
              <w:spacing w:beforeLines="0" w:afterLines="0" w:line="240" w:lineRule="auto"/>
              <w:rPr>
                <w:rFonts w:ascii="Times New Roman"/>
                <w:b/>
                <w:bCs/>
                <w:snapToGrid w:val="0"/>
                <w:spacing w:val="-6"/>
                <w:kern w:val="21"/>
                <w:szCs w:val="21"/>
              </w:rPr>
            </w:pPr>
            <w:r>
              <w:rPr>
                <w:rFonts w:ascii="Times New Roman"/>
                <w:b/>
                <w:bCs/>
                <w:snapToGrid w:val="0"/>
                <w:spacing w:val="-6"/>
                <w:kern w:val="21"/>
                <w:szCs w:val="21"/>
              </w:rPr>
              <w:t>许可排放量</w:t>
            </w:r>
          </w:p>
          <w:p>
            <w:pPr>
              <w:pStyle w:val="38"/>
              <w:spacing w:beforeLines="0" w:afterLines="0" w:line="240" w:lineRule="auto"/>
              <w:rPr>
                <w:rFonts w:ascii="Times New Roman"/>
                <w:b/>
                <w:bCs/>
                <w:snapToGrid w:val="0"/>
                <w:spacing w:val="-6"/>
                <w:kern w:val="21"/>
                <w:szCs w:val="21"/>
              </w:rPr>
            </w:pPr>
            <w:r>
              <w:rPr>
                <w:rFonts w:ascii="Times New Roman"/>
                <w:b/>
                <w:bCs/>
                <w:snapToGrid w:val="0"/>
                <w:spacing w:val="-6"/>
                <w:kern w:val="21"/>
                <w:szCs w:val="21"/>
              </w:rPr>
              <w:fldChar w:fldCharType="begin"/>
            </w:r>
            <w:r>
              <w:rPr>
                <w:rFonts w:ascii="Times New Roman"/>
                <w:b/>
                <w:bCs/>
                <w:snapToGrid w:val="0"/>
                <w:spacing w:val="-6"/>
                <w:kern w:val="21"/>
                <w:szCs w:val="21"/>
              </w:rPr>
              <w:instrText xml:space="preserve"> = 2 \* GB3 \* MERGEFORMAT </w:instrText>
            </w:r>
            <w:r>
              <w:rPr>
                <w:rFonts w:ascii="Times New Roman"/>
                <w:b/>
                <w:bCs/>
                <w:snapToGrid w:val="0"/>
                <w:spacing w:val="-6"/>
                <w:kern w:val="21"/>
                <w:szCs w:val="21"/>
              </w:rPr>
              <w:fldChar w:fldCharType="separate"/>
            </w:r>
            <w:r>
              <w:rPr>
                <w:rFonts w:ascii="Times New Roman"/>
                <w:b/>
                <w:bCs/>
                <w:snapToGrid w:val="0"/>
                <w:spacing w:val="-6"/>
                <w:kern w:val="21"/>
                <w:szCs w:val="21"/>
              </w:rPr>
              <w:t>②</w:t>
            </w:r>
            <w:r>
              <w:rPr>
                <w:rFonts w:ascii="Times New Roman"/>
                <w:b/>
                <w:bCs/>
                <w:snapToGrid w:val="0"/>
                <w:spacing w:val="-6"/>
                <w:kern w:val="21"/>
                <w:szCs w:val="21"/>
              </w:rPr>
              <w:fldChar w:fldCharType="end"/>
            </w:r>
          </w:p>
        </w:tc>
        <w:tc>
          <w:tcPr>
            <w:tcW w:w="1514" w:type="dxa"/>
            <w:tcMar>
              <w:left w:w="28" w:type="dxa"/>
              <w:right w:w="28" w:type="dxa"/>
            </w:tcMar>
            <w:vAlign w:val="center"/>
          </w:tcPr>
          <w:p>
            <w:pPr>
              <w:pStyle w:val="38"/>
              <w:spacing w:beforeLines="0" w:afterLines="0" w:line="240" w:lineRule="auto"/>
              <w:rPr>
                <w:rFonts w:ascii="Times New Roman"/>
                <w:b/>
                <w:bCs/>
                <w:snapToGrid w:val="0"/>
                <w:spacing w:val="-6"/>
                <w:kern w:val="21"/>
                <w:szCs w:val="21"/>
              </w:rPr>
            </w:pPr>
            <w:r>
              <w:rPr>
                <w:rFonts w:ascii="Times New Roman"/>
                <w:b/>
                <w:bCs/>
                <w:snapToGrid w:val="0"/>
                <w:spacing w:val="-6"/>
                <w:kern w:val="21"/>
                <w:szCs w:val="21"/>
              </w:rPr>
              <w:t>在建工程</w:t>
            </w:r>
          </w:p>
          <w:p>
            <w:pPr>
              <w:pStyle w:val="38"/>
              <w:spacing w:beforeLines="0" w:afterLines="0" w:line="240" w:lineRule="auto"/>
              <w:rPr>
                <w:rFonts w:ascii="Times New Roman"/>
                <w:b/>
                <w:bCs/>
                <w:snapToGrid w:val="0"/>
                <w:spacing w:val="-6"/>
                <w:kern w:val="21"/>
                <w:szCs w:val="21"/>
              </w:rPr>
            </w:pPr>
            <w:r>
              <w:rPr>
                <w:rFonts w:ascii="Times New Roman"/>
                <w:b/>
                <w:bCs/>
                <w:snapToGrid w:val="0"/>
                <w:spacing w:val="-6"/>
                <w:kern w:val="21"/>
                <w:szCs w:val="21"/>
              </w:rPr>
              <w:t>排放量（固体废物产生量）</w:t>
            </w:r>
            <w:r>
              <w:rPr>
                <w:rFonts w:ascii="Times New Roman"/>
                <w:b/>
                <w:bCs/>
                <w:snapToGrid w:val="0"/>
                <w:spacing w:val="-6"/>
                <w:kern w:val="21"/>
                <w:szCs w:val="21"/>
              </w:rPr>
              <w:fldChar w:fldCharType="begin"/>
            </w:r>
            <w:r>
              <w:rPr>
                <w:rFonts w:ascii="Times New Roman"/>
                <w:b/>
                <w:bCs/>
                <w:snapToGrid w:val="0"/>
                <w:spacing w:val="-6"/>
                <w:kern w:val="21"/>
                <w:szCs w:val="21"/>
              </w:rPr>
              <w:instrText xml:space="preserve"> = 3 \* GB3 \* MERGEFORMAT </w:instrText>
            </w:r>
            <w:r>
              <w:rPr>
                <w:rFonts w:ascii="Times New Roman"/>
                <w:b/>
                <w:bCs/>
                <w:snapToGrid w:val="0"/>
                <w:spacing w:val="-6"/>
                <w:kern w:val="21"/>
                <w:szCs w:val="21"/>
              </w:rPr>
              <w:fldChar w:fldCharType="separate"/>
            </w:r>
            <w:r>
              <w:rPr>
                <w:rFonts w:ascii="Times New Roman"/>
                <w:b/>
                <w:bCs/>
                <w:kern w:val="2"/>
                <w:szCs w:val="21"/>
              </w:rPr>
              <w:t>③</w:t>
            </w:r>
            <w:r>
              <w:rPr>
                <w:rFonts w:ascii="Times New Roman"/>
                <w:b/>
                <w:bCs/>
                <w:snapToGrid w:val="0"/>
                <w:spacing w:val="-6"/>
                <w:kern w:val="21"/>
                <w:szCs w:val="21"/>
              </w:rPr>
              <w:fldChar w:fldCharType="end"/>
            </w:r>
          </w:p>
        </w:tc>
        <w:tc>
          <w:tcPr>
            <w:tcW w:w="1582" w:type="dxa"/>
            <w:tcMar>
              <w:left w:w="28" w:type="dxa"/>
              <w:right w:w="28" w:type="dxa"/>
            </w:tcMar>
            <w:vAlign w:val="center"/>
          </w:tcPr>
          <w:p>
            <w:pPr>
              <w:pStyle w:val="38"/>
              <w:spacing w:beforeLines="0" w:afterLines="0" w:line="240" w:lineRule="auto"/>
              <w:rPr>
                <w:rFonts w:ascii="Times New Roman"/>
                <w:b/>
                <w:bCs/>
                <w:snapToGrid w:val="0"/>
                <w:spacing w:val="-6"/>
                <w:kern w:val="21"/>
                <w:szCs w:val="21"/>
              </w:rPr>
            </w:pPr>
            <w:r>
              <w:rPr>
                <w:rFonts w:ascii="Times New Roman"/>
                <w:b/>
                <w:bCs/>
                <w:snapToGrid w:val="0"/>
                <w:spacing w:val="-6"/>
                <w:kern w:val="21"/>
                <w:szCs w:val="21"/>
              </w:rPr>
              <w:t>本项目</w:t>
            </w:r>
          </w:p>
          <w:p>
            <w:pPr>
              <w:pStyle w:val="38"/>
              <w:spacing w:beforeLines="0" w:afterLines="0" w:line="240" w:lineRule="auto"/>
              <w:rPr>
                <w:rFonts w:ascii="Times New Roman"/>
                <w:b/>
                <w:bCs/>
                <w:snapToGrid w:val="0"/>
                <w:spacing w:val="-6"/>
                <w:kern w:val="21"/>
                <w:szCs w:val="21"/>
              </w:rPr>
            </w:pPr>
            <w:r>
              <w:rPr>
                <w:rFonts w:ascii="Times New Roman"/>
                <w:b/>
                <w:bCs/>
                <w:snapToGrid w:val="0"/>
                <w:spacing w:val="-6"/>
                <w:kern w:val="21"/>
                <w:szCs w:val="21"/>
              </w:rPr>
              <w:t>排放量（固体废物产生量）</w:t>
            </w:r>
            <w:r>
              <w:rPr>
                <w:rFonts w:ascii="Times New Roman"/>
                <w:b/>
                <w:bCs/>
                <w:snapToGrid w:val="0"/>
                <w:spacing w:val="-6"/>
                <w:kern w:val="21"/>
                <w:szCs w:val="21"/>
              </w:rPr>
              <w:fldChar w:fldCharType="begin"/>
            </w:r>
            <w:r>
              <w:rPr>
                <w:rFonts w:ascii="Times New Roman"/>
                <w:b/>
                <w:bCs/>
                <w:snapToGrid w:val="0"/>
                <w:spacing w:val="-6"/>
                <w:kern w:val="21"/>
                <w:szCs w:val="21"/>
              </w:rPr>
              <w:instrText xml:space="preserve"> = 4 \* GB3 \* MERGEFORMAT </w:instrText>
            </w:r>
            <w:r>
              <w:rPr>
                <w:rFonts w:ascii="Times New Roman"/>
                <w:b/>
                <w:bCs/>
                <w:snapToGrid w:val="0"/>
                <w:spacing w:val="-6"/>
                <w:kern w:val="21"/>
                <w:szCs w:val="21"/>
              </w:rPr>
              <w:fldChar w:fldCharType="separate"/>
            </w:r>
            <w:r>
              <w:rPr>
                <w:rFonts w:ascii="Times New Roman"/>
                <w:b/>
                <w:bCs/>
                <w:kern w:val="2"/>
                <w:szCs w:val="21"/>
              </w:rPr>
              <w:t>④</w:t>
            </w:r>
            <w:r>
              <w:rPr>
                <w:rFonts w:ascii="Times New Roman"/>
                <w:b/>
                <w:bCs/>
                <w:snapToGrid w:val="0"/>
                <w:spacing w:val="-6"/>
                <w:kern w:val="21"/>
                <w:szCs w:val="21"/>
              </w:rPr>
              <w:fldChar w:fldCharType="end"/>
            </w:r>
          </w:p>
        </w:tc>
        <w:tc>
          <w:tcPr>
            <w:tcW w:w="1786" w:type="dxa"/>
            <w:tcMar>
              <w:left w:w="28" w:type="dxa"/>
              <w:right w:w="28" w:type="dxa"/>
            </w:tcMar>
            <w:vAlign w:val="center"/>
          </w:tcPr>
          <w:p>
            <w:pPr>
              <w:pStyle w:val="38"/>
              <w:spacing w:beforeLines="0" w:afterLines="0" w:line="240" w:lineRule="auto"/>
              <w:rPr>
                <w:rFonts w:ascii="Times New Roman"/>
                <w:b/>
                <w:bCs/>
                <w:snapToGrid w:val="0"/>
                <w:spacing w:val="-16"/>
                <w:kern w:val="21"/>
                <w:szCs w:val="21"/>
              </w:rPr>
            </w:pPr>
            <w:r>
              <w:rPr>
                <w:rFonts w:ascii="Times New Roman"/>
                <w:b/>
                <w:bCs/>
                <w:snapToGrid w:val="0"/>
                <w:spacing w:val="-16"/>
                <w:kern w:val="21"/>
                <w:szCs w:val="21"/>
              </w:rPr>
              <w:t>以新带老削减量</w:t>
            </w:r>
          </w:p>
          <w:p>
            <w:pPr>
              <w:pStyle w:val="38"/>
              <w:spacing w:beforeLines="0" w:afterLines="0" w:line="240" w:lineRule="auto"/>
              <w:rPr>
                <w:rFonts w:ascii="Times New Roman"/>
                <w:b/>
                <w:bCs/>
                <w:snapToGrid w:val="0"/>
                <w:spacing w:val="-16"/>
                <w:kern w:val="21"/>
                <w:szCs w:val="21"/>
              </w:rPr>
            </w:pPr>
            <w:r>
              <w:rPr>
                <w:rFonts w:ascii="Times New Roman"/>
                <w:b/>
                <w:bCs/>
                <w:snapToGrid w:val="0"/>
                <w:spacing w:val="-16"/>
                <w:kern w:val="21"/>
                <w:szCs w:val="21"/>
              </w:rPr>
              <w:t>（新建项目不填）</w:t>
            </w:r>
            <w:r>
              <w:rPr>
                <w:rFonts w:ascii="Times New Roman"/>
                <w:b/>
                <w:bCs/>
                <w:snapToGrid w:val="0"/>
                <w:spacing w:val="-16"/>
                <w:kern w:val="21"/>
                <w:szCs w:val="21"/>
              </w:rPr>
              <w:fldChar w:fldCharType="begin"/>
            </w:r>
            <w:r>
              <w:rPr>
                <w:rFonts w:ascii="Times New Roman"/>
                <w:b/>
                <w:bCs/>
                <w:snapToGrid w:val="0"/>
                <w:spacing w:val="-16"/>
                <w:kern w:val="21"/>
                <w:szCs w:val="21"/>
              </w:rPr>
              <w:instrText xml:space="preserve"> = 5 \* GB3 \* MERGEFORMAT </w:instrText>
            </w:r>
            <w:r>
              <w:rPr>
                <w:rFonts w:ascii="Times New Roman"/>
                <w:b/>
                <w:bCs/>
                <w:snapToGrid w:val="0"/>
                <w:spacing w:val="-16"/>
                <w:kern w:val="21"/>
                <w:szCs w:val="21"/>
              </w:rPr>
              <w:fldChar w:fldCharType="separate"/>
            </w:r>
            <w:r>
              <w:rPr>
                <w:rFonts w:ascii="Times New Roman"/>
                <w:b/>
                <w:bCs/>
                <w:kern w:val="2"/>
                <w:szCs w:val="21"/>
              </w:rPr>
              <w:t>⑤</w:t>
            </w:r>
            <w:r>
              <w:rPr>
                <w:rFonts w:ascii="Times New Roman"/>
                <w:b/>
                <w:bCs/>
                <w:snapToGrid w:val="0"/>
                <w:spacing w:val="-16"/>
                <w:kern w:val="21"/>
                <w:szCs w:val="21"/>
              </w:rPr>
              <w:fldChar w:fldCharType="end"/>
            </w:r>
          </w:p>
        </w:tc>
        <w:tc>
          <w:tcPr>
            <w:tcW w:w="1896" w:type="dxa"/>
            <w:tcMar>
              <w:left w:w="28" w:type="dxa"/>
              <w:right w:w="28" w:type="dxa"/>
            </w:tcMar>
            <w:vAlign w:val="center"/>
          </w:tcPr>
          <w:p>
            <w:pPr>
              <w:pStyle w:val="38"/>
              <w:spacing w:beforeLines="0" w:afterLines="0" w:line="240" w:lineRule="auto"/>
              <w:rPr>
                <w:rFonts w:ascii="Times New Roman"/>
                <w:b/>
                <w:bCs/>
                <w:snapToGrid w:val="0"/>
                <w:spacing w:val="-16"/>
                <w:kern w:val="21"/>
                <w:szCs w:val="21"/>
              </w:rPr>
            </w:pPr>
            <w:r>
              <w:rPr>
                <w:rFonts w:ascii="Times New Roman"/>
                <w:b/>
                <w:bCs/>
                <w:snapToGrid w:val="0"/>
                <w:spacing w:val="-16"/>
                <w:kern w:val="21"/>
                <w:szCs w:val="21"/>
              </w:rPr>
              <w:t>本项目建成后</w:t>
            </w:r>
          </w:p>
          <w:p>
            <w:pPr>
              <w:pStyle w:val="38"/>
              <w:spacing w:beforeLines="0" w:afterLines="0" w:line="240" w:lineRule="auto"/>
              <w:rPr>
                <w:rFonts w:ascii="Times New Roman"/>
                <w:b/>
                <w:bCs/>
                <w:snapToGrid w:val="0"/>
                <w:spacing w:val="-16"/>
                <w:kern w:val="21"/>
                <w:szCs w:val="21"/>
              </w:rPr>
            </w:pPr>
            <w:r>
              <w:rPr>
                <w:rFonts w:ascii="Times New Roman"/>
                <w:b/>
                <w:bCs/>
                <w:snapToGrid w:val="0"/>
                <w:spacing w:val="-16"/>
                <w:kern w:val="21"/>
                <w:szCs w:val="21"/>
              </w:rPr>
              <w:t>全厂排放量（固体废物产生量）</w:t>
            </w:r>
            <w:r>
              <w:rPr>
                <w:rFonts w:ascii="Times New Roman"/>
                <w:b/>
                <w:bCs/>
                <w:snapToGrid w:val="0"/>
                <w:spacing w:val="-16"/>
                <w:kern w:val="21"/>
                <w:szCs w:val="21"/>
              </w:rPr>
              <w:fldChar w:fldCharType="begin"/>
            </w:r>
            <w:r>
              <w:rPr>
                <w:rFonts w:ascii="Times New Roman"/>
                <w:b/>
                <w:bCs/>
                <w:snapToGrid w:val="0"/>
                <w:spacing w:val="-16"/>
                <w:kern w:val="21"/>
                <w:szCs w:val="21"/>
              </w:rPr>
              <w:instrText xml:space="preserve"> = 6 \* GB3 \* MERGEFORMAT </w:instrText>
            </w:r>
            <w:r>
              <w:rPr>
                <w:rFonts w:ascii="Times New Roman"/>
                <w:b/>
                <w:bCs/>
                <w:snapToGrid w:val="0"/>
                <w:spacing w:val="-16"/>
                <w:kern w:val="21"/>
                <w:szCs w:val="21"/>
              </w:rPr>
              <w:fldChar w:fldCharType="separate"/>
            </w:r>
            <w:r>
              <w:rPr>
                <w:rFonts w:ascii="Times New Roman"/>
                <w:b/>
                <w:bCs/>
                <w:kern w:val="2"/>
                <w:szCs w:val="21"/>
              </w:rPr>
              <w:t>⑥</w:t>
            </w:r>
            <w:r>
              <w:rPr>
                <w:rFonts w:ascii="Times New Roman"/>
                <w:b/>
                <w:bCs/>
                <w:snapToGrid w:val="0"/>
                <w:spacing w:val="-16"/>
                <w:kern w:val="21"/>
                <w:szCs w:val="21"/>
              </w:rPr>
              <w:fldChar w:fldCharType="end"/>
            </w:r>
          </w:p>
        </w:tc>
        <w:tc>
          <w:tcPr>
            <w:tcW w:w="1295" w:type="dxa"/>
            <w:tcMar>
              <w:left w:w="28" w:type="dxa"/>
              <w:right w:w="28" w:type="dxa"/>
            </w:tcMar>
            <w:vAlign w:val="center"/>
          </w:tcPr>
          <w:p>
            <w:pPr>
              <w:pStyle w:val="38"/>
              <w:spacing w:beforeLines="0" w:afterLines="0" w:line="240" w:lineRule="auto"/>
              <w:rPr>
                <w:rFonts w:ascii="Times New Roman"/>
                <w:b/>
                <w:bCs/>
                <w:snapToGrid w:val="0"/>
                <w:spacing w:val="-6"/>
                <w:kern w:val="21"/>
                <w:szCs w:val="21"/>
              </w:rPr>
            </w:pPr>
            <w:r>
              <w:rPr>
                <w:rFonts w:ascii="Times New Roman"/>
                <w:b/>
                <w:bCs/>
                <w:snapToGrid w:val="0"/>
                <w:spacing w:val="-6"/>
                <w:kern w:val="21"/>
                <w:szCs w:val="21"/>
              </w:rPr>
              <w:t>变化量</w:t>
            </w:r>
          </w:p>
          <w:p>
            <w:pPr>
              <w:pStyle w:val="38"/>
              <w:spacing w:beforeLines="0" w:afterLines="0" w:line="240" w:lineRule="auto"/>
              <w:rPr>
                <w:rFonts w:ascii="Times New Roman"/>
                <w:b/>
                <w:bCs/>
                <w:snapToGrid w:val="0"/>
                <w:spacing w:val="-6"/>
                <w:kern w:val="21"/>
                <w:szCs w:val="21"/>
              </w:rPr>
            </w:pPr>
            <w:r>
              <w:rPr>
                <w:rFonts w:ascii="Times New Roman"/>
                <w:b/>
                <w:bCs/>
                <w:snapToGrid w:val="0"/>
                <w:spacing w:val="-6"/>
                <w:kern w:val="21"/>
                <w:szCs w:val="21"/>
              </w:rPr>
              <w:fldChar w:fldCharType="begin"/>
            </w:r>
            <w:r>
              <w:rPr>
                <w:rFonts w:ascii="Times New Roman"/>
                <w:b/>
                <w:bCs/>
                <w:snapToGrid w:val="0"/>
                <w:spacing w:val="-6"/>
                <w:kern w:val="21"/>
                <w:szCs w:val="21"/>
              </w:rPr>
              <w:instrText xml:space="preserve"> = 7 \* GB3 \* MERGEFORMAT </w:instrText>
            </w:r>
            <w:r>
              <w:rPr>
                <w:rFonts w:ascii="Times New Roman"/>
                <w:b/>
                <w:bCs/>
                <w:snapToGrid w:val="0"/>
                <w:spacing w:val="-6"/>
                <w:kern w:val="21"/>
                <w:szCs w:val="21"/>
              </w:rPr>
              <w:fldChar w:fldCharType="separate"/>
            </w:r>
            <w:r>
              <w:rPr>
                <w:rFonts w:ascii="Times New Roman"/>
                <w:b/>
                <w:bCs/>
                <w:kern w:val="2"/>
                <w:szCs w:val="21"/>
              </w:rPr>
              <w:t>⑦</w:t>
            </w:r>
            <w:r>
              <w:rPr>
                <w:rFonts w:ascii="Times New Roman"/>
                <w:b/>
                <w:bCs/>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01" w:type="dxa"/>
            <w:vMerge w:val="restart"/>
            <w:vAlign w:val="center"/>
          </w:tcPr>
          <w:p>
            <w:pPr>
              <w:pStyle w:val="38"/>
              <w:spacing w:beforeLines="0" w:afterLines="0" w:line="240" w:lineRule="auto"/>
              <w:rPr>
                <w:rFonts w:ascii="Times New Roman"/>
                <w:snapToGrid w:val="0"/>
                <w:kern w:val="21"/>
                <w:szCs w:val="21"/>
              </w:rPr>
            </w:pPr>
            <w:r>
              <w:rPr>
                <w:rFonts w:ascii="Times New Roman"/>
                <w:snapToGrid w:val="0"/>
                <w:kern w:val="21"/>
                <w:szCs w:val="21"/>
              </w:rPr>
              <w:t>废气</w:t>
            </w:r>
          </w:p>
        </w:tc>
        <w:tc>
          <w:tcPr>
            <w:tcW w:w="802" w:type="dxa"/>
            <w:vMerge w:val="restart"/>
            <w:vAlign w:val="center"/>
          </w:tcPr>
          <w:p>
            <w:pPr>
              <w:pStyle w:val="38"/>
              <w:spacing w:beforeLines="0" w:afterLines="0" w:line="240" w:lineRule="auto"/>
              <w:rPr>
                <w:rFonts w:ascii="Times New Roman"/>
                <w:snapToGrid w:val="0"/>
                <w:kern w:val="21"/>
                <w:szCs w:val="21"/>
              </w:rPr>
            </w:pPr>
            <w:r>
              <w:rPr>
                <w:rFonts w:ascii="Times New Roman"/>
                <w:snapToGrid w:val="0"/>
                <w:kern w:val="21"/>
                <w:szCs w:val="21"/>
              </w:rPr>
              <w:t>天然气锅炉</w:t>
            </w:r>
          </w:p>
        </w:tc>
        <w:tc>
          <w:tcPr>
            <w:tcW w:w="1430" w:type="dxa"/>
            <w:vAlign w:val="center"/>
          </w:tcPr>
          <w:p>
            <w:pPr>
              <w:jc w:val="center"/>
              <w:rPr>
                <w:szCs w:val="21"/>
              </w:rPr>
            </w:pPr>
            <w:r>
              <w:rPr>
                <w:szCs w:val="21"/>
              </w:rPr>
              <w:t>颗粒物</w:t>
            </w:r>
          </w:p>
        </w:tc>
        <w:tc>
          <w:tcPr>
            <w:tcW w:w="1717" w:type="dxa"/>
            <w:vAlign w:val="center"/>
          </w:tcPr>
          <w:p>
            <w:pPr>
              <w:jc w:val="center"/>
              <w:rPr>
                <w:snapToGrid w:val="0"/>
                <w:kern w:val="21"/>
                <w:szCs w:val="21"/>
              </w:rPr>
            </w:pPr>
            <w:r>
              <w:rPr>
                <w:snapToGrid w:val="0"/>
                <w:kern w:val="21"/>
                <w:szCs w:val="21"/>
              </w:rPr>
              <w:t>0</w:t>
            </w:r>
          </w:p>
        </w:tc>
        <w:tc>
          <w:tcPr>
            <w:tcW w:w="1288" w:type="dxa"/>
            <w:vAlign w:val="center"/>
          </w:tcPr>
          <w:p>
            <w:pPr>
              <w:jc w:val="center"/>
              <w:rPr>
                <w:snapToGrid w:val="0"/>
                <w:kern w:val="21"/>
                <w:szCs w:val="21"/>
              </w:rPr>
            </w:pPr>
            <w:r>
              <w:rPr>
                <w:snapToGrid w:val="0"/>
                <w:kern w:val="21"/>
                <w:szCs w:val="21"/>
              </w:rPr>
              <w:t>0</w:t>
            </w:r>
          </w:p>
        </w:tc>
        <w:tc>
          <w:tcPr>
            <w:tcW w:w="1514" w:type="dxa"/>
            <w:vAlign w:val="center"/>
          </w:tcPr>
          <w:p>
            <w:pPr>
              <w:jc w:val="center"/>
              <w:rPr>
                <w:snapToGrid w:val="0"/>
                <w:kern w:val="21"/>
                <w:szCs w:val="21"/>
              </w:rPr>
            </w:pPr>
            <w:r>
              <w:rPr>
                <w:snapToGrid w:val="0"/>
                <w:kern w:val="21"/>
                <w:szCs w:val="21"/>
              </w:rPr>
              <w:t>0</w:t>
            </w:r>
          </w:p>
        </w:tc>
        <w:tc>
          <w:tcPr>
            <w:tcW w:w="1582" w:type="dxa"/>
            <w:vAlign w:val="center"/>
          </w:tcPr>
          <w:p>
            <w:pPr>
              <w:jc w:val="center"/>
              <w:rPr>
                <w:szCs w:val="21"/>
              </w:rPr>
            </w:pPr>
            <w:r>
              <w:rPr>
                <w:szCs w:val="21"/>
              </w:rPr>
              <w:t>0.14</w:t>
            </w:r>
          </w:p>
        </w:tc>
        <w:tc>
          <w:tcPr>
            <w:tcW w:w="1786" w:type="dxa"/>
            <w:vAlign w:val="center"/>
          </w:tcPr>
          <w:p>
            <w:pPr>
              <w:jc w:val="center"/>
              <w:rPr>
                <w:snapToGrid w:val="0"/>
                <w:kern w:val="21"/>
                <w:szCs w:val="21"/>
              </w:rPr>
            </w:pPr>
            <w:r>
              <w:rPr>
                <w:snapToGrid w:val="0"/>
                <w:kern w:val="21"/>
                <w:szCs w:val="21"/>
              </w:rPr>
              <w:t>0</w:t>
            </w:r>
          </w:p>
        </w:tc>
        <w:tc>
          <w:tcPr>
            <w:tcW w:w="1896" w:type="dxa"/>
            <w:vAlign w:val="center"/>
          </w:tcPr>
          <w:p>
            <w:pPr>
              <w:jc w:val="center"/>
              <w:rPr>
                <w:szCs w:val="21"/>
              </w:rPr>
            </w:pPr>
            <w:r>
              <w:rPr>
                <w:szCs w:val="21"/>
              </w:rPr>
              <w:t>0.14</w:t>
            </w:r>
          </w:p>
        </w:tc>
        <w:tc>
          <w:tcPr>
            <w:tcW w:w="1295" w:type="dxa"/>
            <w:vAlign w:val="center"/>
          </w:tcPr>
          <w:p>
            <w:pPr>
              <w:jc w:val="center"/>
              <w:rPr>
                <w:szCs w:val="21"/>
              </w:rPr>
            </w:pPr>
            <w:r>
              <w:rPr>
                <w:szCs w:val="21"/>
              </w:rPr>
              <w:t>0.14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pPr>
              <w:pStyle w:val="38"/>
              <w:spacing w:beforeLines="0" w:afterLines="0" w:line="240" w:lineRule="auto"/>
              <w:rPr>
                <w:rFonts w:ascii="Times New Roman"/>
                <w:snapToGrid w:val="0"/>
                <w:kern w:val="21"/>
                <w:szCs w:val="21"/>
              </w:rPr>
            </w:pPr>
          </w:p>
        </w:tc>
        <w:tc>
          <w:tcPr>
            <w:tcW w:w="802" w:type="dxa"/>
            <w:vMerge w:val="continue"/>
            <w:vAlign w:val="center"/>
          </w:tcPr>
          <w:p>
            <w:pPr>
              <w:pStyle w:val="38"/>
              <w:spacing w:beforeLines="0" w:afterLines="0" w:line="240" w:lineRule="auto"/>
              <w:rPr>
                <w:rFonts w:ascii="Times New Roman"/>
                <w:snapToGrid w:val="0"/>
                <w:kern w:val="21"/>
                <w:szCs w:val="21"/>
              </w:rPr>
            </w:pPr>
          </w:p>
        </w:tc>
        <w:tc>
          <w:tcPr>
            <w:tcW w:w="1430" w:type="dxa"/>
            <w:vAlign w:val="center"/>
          </w:tcPr>
          <w:p>
            <w:pPr>
              <w:pStyle w:val="35"/>
              <w:jc w:val="center"/>
              <w:rPr>
                <w:sz w:val="21"/>
                <w:szCs w:val="21"/>
              </w:rPr>
            </w:pPr>
            <w:r>
              <w:rPr>
                <w:sz w:val="21"/>
                <w:szCs w:val="21"/>
              </w:rPr>
              <w:t>SO</w:t>
            </w:r>
            <w:r>
              <w:rPr>
                <w:sz w:val="21"/>
                <w:szCs w:val="21"/>
                <w:vertAlign w:val="subscript"/>
              </w:rPr>
              <w:t>2</w:t>
            </w:r>
          </w:p>
        </w:tc>
        <w:tc>
          <w:tcPr>
            <w:tcW w:w="1717" w:type="dxa"/>
            <w:vAlign w:val="center"/>
          </w:tcPr>
          <w:p>
            <w:pPr>
              <w:jc w:val="center"/>
              <w:rPr>
                <w:snapToGrid w:val="0"/>
                <w:kern w:val="21"/>
                <w:szCs w:val="21"/>
              </w:rPr>
            </w:pPr>
            <w:r>
              <w:rPr>
                <w:snapToGrid w:val="0"/>
                <w:kern w:val="21"/>
                <w:szCs w:val="21"/>
              </w:rPr>
              <w:t>0</w:t>
            </w:r>
          </w:p>
        </w:tc>
        <w:tc>
          <w:tcPr>
            <w:tcW w:w="1288" w:type="dxa"/>
            <w:vAlign w:val="center"/>
          </w:tcPr>
          <w:p>
            <w:pPr>
              <w:jc w:val="center"/>
              <w:rPr>
                <w:snapToGrid w:val="0"/>
                <w:kern w:val="21"/>
                <w:szCs w:val="21"/>
              </w:rPr>
            </w:pPr>
            <w:r>
              <w:rPr>
                <w:snapToGrid w:val="0"/>
                <w:kern w:val="21"/>
                <w:szCs w:val="21"/>
              </w:rPr>
              <w:t>0</w:t>
            </w:r>
          </w:p>
        </w:tc>
        <w:tc>
          <w:tcPr>
            <w:tcW w:w="1514" w:type="dxa"/>
            <w:vAlign w:val="center"/>
          </w:tcPr>
          <w:p>
            <w:pPr>
              <w:jc w:val="center"/>
              <w:rPr>
                <w:snapToGrid w:val="0"/>
                <w:kern w:val="21"/>
                <w:szCs w:val="21"/>
              </w:rPr>
            </w:pPr>
            <w:r>
              <w:rPr>
                <w:snapToGrid w:val="0"/>
                <w:kern w:val="21"/>
                <w:szCs w:val="21"/>
              </w:rPr>
              <w:t>0</w:t>
            </w:r>
          </w:p>
        </w:tc>
        <w:tc>
          <w:tcPr>
            <w:tcW w:w="1582" w:type="dxa"/>
            <w:vAlign w:val="center"/>
          </w:tcPr>
          <w:p>
            <w:pPr>
              <w:jc w:val="center"/>
              <w:rPr>
                <w:szCs w:val="21"/>
              </w:rPr>
            </w:pPr>
            <w:r>
              <w:rPr>
                <w:szCs w:val="21"/>
              </w:rPr>
              <w:t>0.027</w:t>
            </w:r>
          </w:p>
        </w:tc>
        <w:tc>
          <w:tcPr>
            <w:tcW w:w="1786" w:type="dxa"/>
            <w:vAlign w:val="center"/>
          </w:tcPr>
          <w:p>
            <w:pPr>
              <w:jc w:val="center"/>
              <w:rPr>
                <w:snapToGrid w:val="0"/>
                <w:kern w:val="21"/>
                <w:szCs w:val="21"/>
              </w:rPr>
            </w:pPr>
            <w:r>
              <w:rPr>
                <w:snapToGrid w:val="0"/>
                <w:kern w:val="21"/>
                <w:szCs w:val="21"/>
              </w:rPr>
              <w:t>0</w:t>
            </w:r>
          </w:p>
        </w:tc>
        <w:tc>
          <w:tcPr>
            <w:tcW w:w="1896" w:type="dxa"/>
            <w:vAlign w:val="center"/>
          </w:tcPr>
          <w:p>
            <w:pPr>
              <w:jc w:val="center"/>
              <w:rPr>
                <w:szCs w:val="21"/>
              </w:rPr>
            </w:pPr>
            <w:r>
              <w:rPr>
                <w:szCs w:val="21"/>
              </w:rPr>
              <w:t>0.027</w:t>
            </w:r>
          </w:p>
        </w:tc>
        <w:tc>
          <w:tcPr>
            <w:tcW w:w="1295" w:type="dxa"/>
            <w:vAlign w:val="center"/>
          </w:tcPr>
          <w:p>
            <w:pPr>
              <w:jc w:val="center"/>
              <w:rPr>
                <w:szCs w:val="21"/>
              </w:rPr>
            </w:pPr>
            <w:r>
              <w:rPr>
                <w:szCs w:val="21"/>
              </w:rPr>
              <w:t>0.027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pPr>
              <w:pStyle w:val="38"/>
              <w:spacing w:beforeLines="0" w:afterLines="0" w:line="240" w:lineRule="auto"/>
              <w:rPr>
                <w:rFonts w:ascii="Times New Roman"/>
                <w:snapToGrid w:val="0"/>
                <w:kern w:val="21"/>
                <w:szCs w:val="21"/>
              </w:rPr>
            </w:pPr>
          </w:p>
        </w:tc>
        <w:tc>
          <w:tcPr>
            <w:tcW w:w="802" w:type="dxa"/>
            <w:vMerge w:val="continue"/>
            <w:vAlign w:val="center"/>
          </w:tcPr>
          <w:p>
            <w:pPr>
              <w:pStyle w:val="38"/>
              <w:spacing w:beforeLines="0" w:afterLines="0" w:line="240" w:lineRule="auto"/>
              <w:rPr>
                <w:rFonts w:ascii="Times New Roman"/>
                <w:snapToGrid w:val="0"/>
                <w:kern w:val="21"/>
                <w:szCs w:val="21"/>
              </w:rPr>
            </w:pPr>
          </w:p>
        </w:tc>
        <w:tc>
          <w:tcPr>
            <w:tcW w:w="1430" w:type="dxa"/>
            <w:vAlign w:val="center"/>
          </w:tcPr>
          <w:p>
            <w:pPr>
              <w:pStyle w:val="35"/>
              <w:jc w:val="center"/>
              <w:rPr>
                <w:sz w:val="21"/>
                <w:szCs w:val="21"/>
              </w:rPr>
            </w:pPr>
            <w:r>
              <w:rPr>
                <w:sz w:val="21"/>
                <w:szCs w:val="21"/>
              </w:rPr>
              <w:t>NOx</w:t>
            </w:r>
          </w:p>
        </w:tc>
        <w:tc>
          <w:tcPr>
            <w:tcW w:w="1717" w:type="dxa"/>
            <w:vAlign w:val="center"/>
          </w:tcPr>
          <w:p>
            <w:pPr>
              <w:jc w:val="center"/>
              <w:rPr>
                <w:snapToGrid w:val="0"/>
                <w:kern w:val="21"/>
                <w:szCs w:val="21"/>
              </w:rPr>
            </w:pPr>
            <w:r>
              <w:rPr>
                <w:snapToGrid w:val="0"/>
                <w:kern w:val="21"/>
                <w:szCs w:val="21"/>
              </w:rPr>
              <w:t>0</w:t>
            </w:r>
          </w:p>
        </w:tc>
        <w:tc>
          <w:tcPr>
            <w:tcW w:w="1288" w:type="dxa"/>
            <w:vAlign w:val="center"/>
          </w:tcPr>
          <w:p>
            <w:pPr>
              <w:jc w:val="center"/>
              <w:rPr>
                <w:snapToGrid w:val="0"/>
                <w:kern w:val="21"/>
                <w:szCs w:val="21"/>
              </w:rPr>
            </w:pPr>
            <w:r>
              <w:rPr>
                <w:snapToGrid w:val="0"/>
                <w:kern w:val="21"/>
                <w:szCs w:val="21"/>
              </w:rPr>
              <w:t>0</w:t>
            </w:r>
          </w:p>
        </w:tc>
        <w:tc>
          <w:tcPr>
            <w:tcW w:w="1514" w:type="dxa"/>
            <w:vAlign w:val="center"/>
          </w:tcPr>
          <w:p>
            <w:pPr>
              <w:jc w:val="center"/>
              <w:rPr>
                <w:snapToGrid w:val="0"/>
                <w:kern w:val="21"/>
                <w:szCs w:val="21"/>
              </w:rPr>
            </w:pPr>
            <w:r>
              <w:rPr>
                <w:snapToGrid w:val="0"/>
                <w:kern w:val="21"/>
                <w:szCs w:val="21"/>
              </w:rPr>
              <w:t>0</w:t>
            </w:r>
          </w:p>
        </w:tc>
        <w:tc>
          <w:tcPr>
            <w:tcW w:w="1582" w:type="dxa"/>
            <w:vAlign w:val="center"/>
          </w:tcPr>
          <w:p>
            <w:pPr>
              <w:jc w:val="center"/>
              <w:rPr>
                <w:szCs w:val="21"/>
              </w:rPr>
            </w:pPr>
            <w:r>
              <w:rPr>
                <w:szCs w:val="21"/>
              </w:rPr>
              <w:t>2.2</w:t>
            </w:r>
          </w:p>
        </w:tc>
        <w:tc>
          <w:tcPr>
            <w:tcW w:w="1786" w:type="dxa"/>
            <w:vAlign w:val="center"/>
          </w:tcPr>
          <w:p>
            <w:pPr>
              <w:jc w:val="center"/>
              <w:rPr>
                <w:snapToGrid w:val="0"/>
                <w:kern w:val="21"/>
                <w:szCs w:val="21"/>
              </w:rPr>
            </w:pPr>
            <w:r>
              <w:rPr>
                <w:snapToGrid w:val="0"/>
                <w:kern w:val="21"/>
                <w:szCs w:val="21"/>
              </w:rPr>
              <w:t>0</w:t>
            </w:r>
          </w:p>
        </w:tc>
        <w:tc>
          <w:tcPr>
            <w:tcW w:w="1896" w:type="dxa"/>
            <w:vAlign w:val="center"/>
          </w:tcPr>
          <w:p>
            <w:pPr>
              <w:jc w:val="center"/>
              <w:rPr>
                <w:szCs w:val="21"/>
              </w:rPr>
            </w:pPr>
            <w:r>
              <w:rPr>
                <w:szCs w:val="21"/>
              </w:rPr>
              <w:t>2.2</w:t>
            </w:r>
          </w:p>
        </w:tc>
        <w:tc>
          <w:tcPr>
            <w:tcW w:w="1295" w:type="dxa"/>
            <w:vAlign w:val="center"/>
          </w:tcPr>
          <w:p>
            <w:pPr>
              <w:jc w:val="center"/>
              <w:rPr>
                <w:szCs w:val="21"/>
              </w:rPr>
            </w:pPr>
            <w:r>
              <w:rPr>
                <w:szCs w:val="21"/>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pPr>
              <w:pStyle w:val="38"/>
              <w:spacing w:beforeLines="0" w:afterLines="0" w:line="240" w:lineRule="auto"/>
              <w:rPr>
                <w:rFonts w:ascii="Times New Roman"/>
                <w:snapToGrid w:val="0"/>
                <w:kern w:val="21"/>
                <w:szCs w:val="21"/>
              </w:rPr>
            </w:pPr>
          </w:p>
        </w:tc>
        <w:tc>
          <w:tcPr>
            <w:tcW w:w="802" w:type="dxa"/>
            <w:vMerge w:val="restart"/>
            <w:vAlign w:val="center"/>
          </w:tcPr>
          <w:p>
            <w:pPr>
              <w:pStyle w:val="38"/>
              <w:spacing w:beforeLines="0" w:afterLines="0" w:line="240" w:lineRule="auto"/>
              <w:rPr>
                <w:rFonts w:ascii="Times New Roman"/>
                <w:snapToGrid w:val="0"/>
                <w:kern w:val="21"/>
                <w:szCs w:val="21"/>
              </w:rPr>
            </w:pPr>
            <w:r>
              <w:rPr>
                <w:rFonts w:ascii="Times New Roman"/>
                <w:snapToGrid w:val="0"/>
                <w:kern w:val="21"/>
                <w:szCs w:val="21"/>
              </w:rPr>
              <w:t>生物质锅炉</w:t>
            </w:r>
          </w:p>
        </w:tc>
        <w:tc>
          <w:tcPr>
            <w:tcW w:w="1430" w:type="dxa"/>
            <w:vAlign w:val="center"/>
          </w:tcPr>
          <w:p>
            <w:pPr>
              <w:jc w:val="center"/>
              <w:rPr>
                <w:szCs w:val="21"/>
              </w:rPr>
            </w:pPr>
            <w:r>
              <w:rPr>
                <w:szCs w:val="21"/>
              </w:rPr>
              <w:t>颗粒物</w:t>
            </w:r>
          </w:p>
        </w:tc>
        <w:tc>
          <w:tcPr>
            <w:tcW w:w="1717" w:type="dxa"/>
            <w:vAlign w:val="center"/>
          </w:tcPr>
          <w:p>
            <w:pPr>
              <w:jc w:val="center"/>
              <w:rPr>
                <w:snapToGrid w:val="0"/>
                <w:kern w:val="21"/>
                <w:szCs w:val="21"/>
              </w:rPr>
            </w:pPr>
            <w:r>
              <w:rPr>
                <w:snapToGrid w:val="0"/>
                <w:kern w:val="21"/>
                <w:szCs w:val="21"/>
              </w:rPr>
              <w:t>0</w:t>
            </w:r>
          </w:p>
        </w:tc>
        <w:tc>
          <w:tcPr>
            <w:tcW w:w="1288" w:type="dxa"/>
            <w:vAlign w:val="center"/>
          </w:tcPr>
          <w:p>
            <w:pPr>
              <w:jc w:val="center"/>
              <w:rPr>
                <w:snapToGrid w:val="0"/>
                <w:kern w:val="21"/>
                <w:szCs w:val="21"/>
              </w:rPr>
            </w:pPr>
            <w:r>
              <w:rPr>
                <w:snapToGrid w:val="0"/>
                <w:kern w:val="21"/>
                <w:szCs w:val="21"/>
              </w:rPr>
              <w:t>0</w:t>
            </w:r>
          </w:p>
        </w:tc>
        <w:tc>
          <w:tcPr>
            <w:tcW w:w="1514" w:type="dxa"/>
            <w:vAlign w:val="center"/>
          </w:tcPr>
          <w:p>
            <w:pPr>
              <w:jc w:val="center"/>
              <w:rPr>
                <w:snapToGrid w:val="0"/>
                <w:kern w:val="21"/>
                <w:szCs w:val="21"/>
              </w:rPr>
            </w:pPr>
            <w:r>
              <w:rPr>
                <w:snapToGrid w:val="0"/>
                <w:kern w:val="21"/>
                <w:szCs w:val="21"/>
              </w:rPr>
              <w:t>0</w:t>
            </w:r>
          </w:p>
        </w:tc>
        <w:tc>
          <w:tcPr>
            <w:tcW w:w="1582" w:type="dxa"/>
            <w:vAlign w:val="center"/>
          </w:tcPr>
          <w:p>
            <w:pPr>
              <w:jc w:val="center"/>
              <w:rPr>
                <w:szCs w:val="21"/>
              </w:rPr>
            </w:pPr>
            <w:r>
              <w:rPr>
                <w:rFonts w:hint="eastAsia"/>
                <w:szCs w:val="21"/>
              </w:rPr>
              <w:t>0.001</w:t>
            </w:r>
          </w:p>
        </w:tc>
        <w:tc>
          <w:tcPr>
            <w:tcW w:w="1786" w:type="dxa"/>
            <w:vAlign w:val="center"/>
          </w:tcPr>
          <w:p>
            <w:pPr>
              <w:jc w:val="center"/>
              <w:rPr>
                <w:snapToGrid w:val="0"/>
                <w:kern w:val="21"/>
                <w:szCs w:val="21"/>
              </w:rPr>
            </w:pPr>
            <w:r>
              <w:rPr>
                <w:snapToGrid w:val="0"/>
                <w:kern w:val="21"/>
                <w:szCs w:val="21"/>
              </w:rPr>
              <w:t>0</w:t>
            </w:r>
          </w:p>
        </w:tc>
        <w:tc>
          <w:tcPr>
            <w:tcW w:w="1896" w:type="dxa"/>
            <w:vAlign w:val="center"/>
          </w:tcPr>
          <w:p>
            <w:pPr>
              <w:jc w:val="center"/>
              <w:rPr>
                <w:szCs w:val="21"/>
              </w:rPr>
            </w:pPr>
            <w:r>
              <w:rPr>
                <w:rFonts w:hint="eastAsia"/>
                <w:szCs w:val="21"/>
              </w:rPr>
              <w:t>0.001</w:t>
            </w:r>
          </w:p>
        </w:tc>
        <w:tc>
          <w:tcPr>
            <w:tcW w:w="1295" w:type="dxa"/>
            <w:vAlign w:val="center"/>
          </w:tcPr>
          <w:p>
            <w:pPr>
              <w:jc w:val="center"/>
              <w:rPr>
                <w:szCs w:val="21"/>
              </w:rPr>
            </w:pPr>
            <w:r>
              <w:rPr>
                <w:rFonts w:hint="eastAsia"/>
                <w:szCs w:val="21"/>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pPr>
              <w:pStyle w:val="38"/>
              <w:spacing w:beforeLines="0" w:afterLines="0" w:line="240" w:lineRule="auto"/>
              <w:rPr>
                <w:rFonts w:ascii="Times New Roman"/>
                <w:snapToGrid w:val="0"/>
                <w:kern w:val="21"/>
                <w:szCs w:val="21"/>
              </w:rPr>
            </w:pPr>
          </w:p>
        </w:tc>
        <w:tc>
          <w:tcPr>
            <w:tcW w:w="802" w:type="dxa"/>
            <w:vMerge w:val="continue"/>
            <w:vAlign w:val="center"/>
          </w:tcPr>
          <w:p>
            <w:pPr>
              <w:pStyle w:val="38"/>
              <w:spacing w:beforeLines="0" w:afterLines="0" w:line="240" w:lineRule="auto"/>
              <w:rPr>
                <w:rFonts w:ascii="Times New Roman"/>
                <w:snapToGrid w:val="0"/>
                <w:kern w:val="21"/>
                <w:szCs w:val="21"/>
              </w:rPr>
            </w:pPr>
          </w:p>
        </w:tc>
        <w:tc>
          <w:tcPr>
            <w:tcW w:w="1430" w:type="dxa"/>
            <w:vAlign w:val="center"/>
          </w:tcPr>
          <w:p>
            <w:pPr>
              <w:pStyle w:val="35"/>
              <w:jc w:val="center"/>
              <w:rPr>
                <w:sz w:val="21"/>
                <w:szCs w:val="21"/>
              </w:rPr>
            </w:pPr>
            <w:r>
              <w:rPr>
                <w:sz w:val="21"/>
                <w:szCs w:val="21"/>
              </w:rPr>
              <w:t>SO</w:t>
            </w:r>
            <w:r>
              <w:rPr>
                <w:sz w:val="21"/>
                <w:szCs w:val="21"/>
                <w:vertAlign w:val="subscript"/>
              </w:rPr>
              <w:t>2</w:t>
            </w:r>
          </w:p>
        </w:tc>
        <w:tc>
          <w:tcPr>
            <w:tcW w:w="1717" w:type="dxa"/>
            <w:vAlign w:val="center"/>
          </w:tcPr>
          <w:p>
            <w:pPr>
              <w:jc w:val="center"/>
              <w:rPr>
                <w:snapToGrid w:val="0"/>
                <w:kern w:val="21"/>
                <w:szCs w:val="21"/>
              </w:rPr>
            </w:pPr>
            <w:r>
              <w:rPr>
                <w:snapToGrid w:val="0"/>
                <w:kern w:val="21"/>
                <w:szCs w:val="21"/>
              </w:rPr>
              <w:t>0</w:t>
            </w:r>
          </w:p>
        </w:tc>
        <w:tc>
          <w:tcPr>
            <w:tcW w:w="1288" w:type="dxa"/>
            <w:vAlign w:val="center"/>
          </w:tcPr>
          <w:p>
            <w:pPr>
              <w:jc w:val="center"/>
              <w:rPr>
                <w:snapToGrid w:val="0"/>
                <w:kern w:val="21"/>
                <w:szCs w:val="21"/>
              </w:rPr>
            </w:pPr>
            <w:r>
              <w:rPr>
                <w:snapToGrid w:val="0"/>
                <w:kern w:val="21"/>
                <w:szCs w:val="21"/>
              </w:rPr>
              <w:t>0</w:t>
            </w:r>
          </w:p>
        </w:tc>
        <w:tc>
          <w:tcPr>
            <w:tcW w:w="1514" w:type="dxa"/>
            <w:vAlign w:val="center"/>
          </w:tcPr>
          <w:p>
            <w:pPr>
              <w:jc w:val="center"/>
              <w:rPr>
                <w:snapToGrid w:val="0"/>
                <w:kern w:val="21"/>
                <w:szCs w:val="21"/>
              </w:rPr>
            </w:pPr>
            <w:r>
              <w:rPr>
                <w:snapToGrid w:val="0"/>
                <w:kern w:val="21"/>
                <w:szCs w:val="21"/>
              </w:rPr>
              <w:t>0</w:t>
            </w:r>
          </w:p>
        </w:tc>
        <w:tc>
          <w:tcPr>
            <w:tcW w:w="1582" w:type="dxa"/>
            <w:vAlign w:val="center"/>
          </w:tcPr>
          <w:p>
            <w:pPr>
              <w:jc w:val="center"/>
              <w:rPr>
                <w:szCs w:val="21"/>
              </w:rPr>
            </w:pPr>
            <w:r>
              <w:rPr>
                <w:rFonts w:hint="eastAsia"/>
                <w:szCs w:val="21"/>
              </w:rPr>
              <w:t>0.56</w:t>
            </w:r>
          </w:p>
        </w:tc>
        <w:tc>
          <w:tcPr>
            <w:tcW w:w="1786" w:type="dxa"/>
            <w:vAlign w:val="center"/>
          </w:tcPr>
          <w:p>
            <w:pPr>
              <w:jc w:val="center"/>
              <w:rPr>
                <w:snapToGrid w:val="0"/>
                <w:kern w:val="21"/>
                <w:szCs w:val="21"/>
              </w:rPr>
            </w:pPr>
            <w:r>
              <w:rPr>
                <w:snapToGrid w:val="0"/>
                <w:kern w:val="21"/>
                <w:szCs w:val="21"/>
              </w:rPr>
              <w:t>0</w:t>
            </w:r>
          </w:p>
        </w:tc>
        <w:tc>
          <w:tcPr>
            <w:tcW w:w="1896" w:type="dxa"/>
            <w:vAlign w:val="center"/>
          </w:tcPr>
          <w:p>
            <w:pPr>
              <w:jc w:val="center"/>
              <w:rPr>
                <w:szCs w:val="21"/>
              </w:rPr>
            </w:pPr>
            <w:r>
              <w:rPr>
                <w:rFonts w:hint="eastAsia"/>
                <w:szCs w:val="21"/>
              </w:rPr>
              <w:t>0.56</w:t>
            </w:r>
          </w:p>
        </w:tc>
        <w:tc>
          <w:tcPr>
            <w:tcW w:w="1295" w:type="dxa"/>
            <w:vAlign w:val="center"/>
          </w:tcPr>
          <w:p>
            <w:pPr>
              <w:jc w:val="center"/>
              <w:rPr>
                <w:szCs w:val="21"/>
              </w:rPr>
            </w:pPr>
            <w:r>
              <w:rPr>
                <w:rFonts w:hint="eastAsia"/>
                <w:szCs w:val="21"/>
              </w:rPr>
              <w:t>0.56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01" w:type="dxa"/>
            <w:vMerge w:val="continue"/>
            <w:vAlign w:val="center"/>
          </w:tcPr>
          <w:p>
            <w:pPr>
              <w:pStyle w:val="38"/>
              <w:spacing w:beforeLines="0" w:afterLines="0" w:line="240" w:lineRule="auto"/>
              <w:rPr>
                <w:rFonts w:ascii="Times New Roman"/>
                <w:snapToGrid w:val="0"/>
                <w:kern w:val="21"/>
                <w:szCs w:val="21"/>
              </w:rPr>
            </w:pPr>
          </w:p>
        </w:tc>
        <w:tc>
          <w:tcPr>
            <w:tcW w:w="802" w:type="dxa"/>
            <w:vMerge w:val="continue"/>
            <w:vAlign w:val="center"/>
          </w:tcPr>
          <w:p>
            <w:pPr>
              <w:pStyle w:val="38"/>
              <w:spacing w:beforeLines="0" w:afterLines="0" w:line="240" w:lineRule="auto"/>
              <w:rPr>
                <w:rFonts w:ascii="Times New Roman"/>
                <w:snapToGrid w:val="0"/>
                <w:kern w:val="21"/>
                <w:szCs w:val="21"/>
              </w:rPr>
            </w:pPr>
          </w:p>
        </w:tc>
        <w:tc>
          <w:tcPr>
            <w:tcW w:w="1430" w:type="dxa"/>
            <w:vAlign w:val="center"/>
          </w:tcPr>
          <w:p>
            <w:pPr>
              <w:pStyle w:val="35"/>
              <w:jc w:val="center"/>
              <w:rPr>
                <w:sz w:val="21"/>
                <w:szCs w:val="21"/>
              </w:rPr>
            </w:pPr>
            <w:r>
              <w:rPr>
                <w:sz w:val="21"/>
                <w:szCs w:val="21"/>
              </w:rPr>
              <w:t>NOx</w:t>
            </w:r>
          </w:p>
        </w:tc>
        <w:tc>
          <w:tcPr>
            <w:tcW w:w="1717" w:type="dxa"/>
            <w:vAlign w:val="center"/>
          </w:tcPr>
          <w:p>
            <w:pPr>
              <w:jc w:val="center"/>
              <w:rPr>
                <w:snapToGrid w:val="0"/>
                <w:kern w:val="21"/>
                <w:szCs w:val="21"/>
              </w:rPr>
            </w:pPr>
            <w:r>
              <w:rPr>
                <w:snapToGrid w:val="0"/>
                <w:kern w:val="21"/>
                <w:szCs w:val="21"/>
              </w:rPr>
              <w:t>0</w:t>
            </w:r>
          </w:p>
        </w:tc>
        <w:tc>
          <w:tcPr>
            <w:tcW w:w="1288" w:type="dxa"/>
            <w:vAlign w:val="center"/>
          </w:tcPr>
          <w:p>
            <w:pPr>
              <w:jc w:val="center"/>
              <w:rPr>
                <w:snapToGrid w:val="0"/>
                <w:kern w:val="21"/>
                <w:szCs w:val="21"/>
              </w:rPr>
            </w:pPr>
            <w:r>
              <w:rPr>
                <w:snapToGrid w:val="0"/>
                <w:kern w:val="21"/>
                <w:szCs w:val="21"/>
              </w:rPr>
              <w:t>0</w:t>
            </w:r>
          </w:p>
        </w:tc>
        <w:tc>
          <w:tcPr>
            <w:tcW w:w="1514" w:type="dxa"/>
            <w:vAlign w:val="center"/>
          </w:tcPr>
          <w:p>
            <w:pPr>
              <w:jc w:val="center"/>
              <w:rPr>
                <w:snapToGrid w:val="0"/>
                <w:kern w:val="21"/>
                <w:szCs w:val="21"/>
              </w:rPr>
            </w:pPr>
            <w:r>
              <w:rPr>
                <w:snapToGrid w:val="0"/>
                <w:kern w:val="21"/>
                <w:szCs w:val="21"/>
              </w:rPr>
              <w:t>0</w:t>
            </w:r>
          </w:p>
        </w:tc>
        <w:tc>
          <w:tcPr>
            <w:tcW w:w="1582" w:type="dxa"/>
            <w:vAlign w:val="center"/>
          </w:tcPr>
          <w:p>
            <w:pPr>
              <w:jc w:val="center"/>
              <w:rPr>
                <w:szCs w:val="21"/>
              </w:rPr>
            </w:pPr>
            <w:r>
              <w:rPr>
                <w:rFonts w:hint="eastAsia"/>
                <w:szCs w:val="21"/>
              </w:rPr>
              <w:t>0.84</w:t>
            </w:r>
          </w:p>
        </w:tc>
        <w:tc>
          <w:tcPr>
            <w:tcW w:w="1786" w:type="dxa"/>
            <w:vAlign w:val="center"/>
          </w:tcPr>
          <w:p>
            <w:pPr>
              <w:jc w:val="center"/>
              <w:rPr>
                <w:snapToGrid w:val="0"/>
                <w:kern w:val="21"/>
                <w:szCs w:val="21"/>
              </w:rPr>
            </w:pPr>
            <w:r>
              <w:rPr>
                <w:snapToGrid w:val="0"/>
                <w:kern w:val="21"/>
                <w:szCs w:val="21"/>
              </w:rPr>
              <w:t>0</w:t>
            </w:r>
          </w:p>
        </w:tc>
        <w:tc>
          <w:tcPr>
            <w:tcW w:w="1896" w:type="dxa"/>
            <w:vAlign w:val="center"/>
          </w:tcPr>
          <w:p>
            <w:pPr>
              <w:jc w:val="center"/>
              <w:rPr>
                <w:szCs w:val="21"/>
              </w:rPr>
            </w:pPr>
            <w:r>
              <w:rPr>
                <w:rFonts w:hint="eastAsia"/>
                <w:szCs w:val="21"/>
              </w:rPr>
              <w:t>0.84</w:t>
            </w:r>
          </w:p>
        </w:tc>
        <w:tc>
          <w:tcPr>
            <w:tcW w:w="1295" w:type="dxa"/>
            <w:vAlign w:val="center"/>
          </w:tcPr>
          <w:p>
            <w:pPr>
              <w:jc w:val="center"/>
              <w:rPr>
                <w:szCs w:val="21"/>
              </w:rPr>
            </w:pPr>
            <w:r>
              <w:rPr>
                <w:rFonts w:hint="eastAsia"/>
                <w:szCs w:val="21"/>
              </w:rPr>
              <w:t>0.84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3" w:type="dxa"/>
            <w:gridSpan w:val="2"/>
            <w:vMerge w:val="restart"/>
            <w:vAlign w:val="center"/>
          </w:tcPr>
          <w:p>
            <w:pPr>
              <w:pStyle w:val="38"/>
              <w:spacing w:beforeLines="0" w:afterLines="0" w:line="240" w:lineRule="auto"/>
              <w:rPr>
                <w:rFonts w:ascii="Times New Roman"/>
                <w:snapToGrid w:val="0"/>
                <w:kern w:val="21"/>
                <w:szCs w:val="21"/>
              </w:rPr>
            </w:pPr>
            <w:r>
              <w:rPr>
                <w:rFonts w:ascii="Times New Roman"/>
                <w:snapToGrid w:val="0"/>
                <w:kern w:val="21"/>
                <w:szCs w:val="21"/>
              </w:rPr>
              <w:t>废水</w:t>
            </w:r>
          </w:p>
        </w:tc>
        <w:tc>
          <w:tcPr>
            <w:tcW w:w="1430" w:type="dxa"/>
            <w:vAlign w:val="center"/>
          </w:tcPr>
          <w:p>
            <w:pPr>
              <w:pStyle w:val="38"/>
              <w:spacing w:beforeLines="0" w:afterLines="0" w:line="240" w:lineRule="auto"/>
              <w:rPr>
                <w:rFonts w:ascii="Times New Roman"/>
                <w:snapToGrid w:val="0"/>
                <w:kern w:val="21"/>
                <w:szCs w:val="21"/>
              </w:rPr>
            </w:pPr>
            <w:r>
              <w:rPr>
                <w:rFonts w:ascii="Times New Roman"/>
                <w:snapToGrid w:val="0"/>
                <w:kern w:val="21"/>
                <w:szCs w:val="21"/>
              </w:rPr>
              <w:t>CODcr</w:t>
            </w:r>
          </w:p>
        </w:tc>
        <w:tc>
          <w:tcPr>
            <w:tcW w:w="1717" w:type="dxa"/>
            <w:vAlign w:val="center"/>
          </w:tcPr>
          <w:p>
            <w:pPr>
              <w:jc w:val="center"/>
              <w:rPr>
                <w:snapToGrid w:val="0"/>
                <w:kern w:val="21"/>
                <w:szCs w:val="21"/>
              </w:rPr>
            </w:pPr>
            <w:r>
              <w:rPr>
                <w:snapToGrid w:val="0"/>
                <w:kern w:val="21"/>
                <w:szCs w:val="21"/>
              </w:rPr>
              <w:t>0</w:t>
            </w:r>
          </w:p>
        </w:tc>
        <w:tc>
          <w:tcPr>
            <w:tcW w:w="1288" w:type="dxa"/>
            <w:vAlign w:val="center"/>
          </w:tcPr>
          <w:p>
            <w:pPr>
              <w:jc w:val="center"/>
              <w:rPr>
                <w:snapToGrid w:val="0"/>
                <w:kern w:val="21"/>
                <w:szCs w:val="21"/>
              </w:rPr>
            </w:pPr>
            <w:r>
              <w:rPr>
                <w:snapToGrid w:val="0"/>
                <w:kern w:val="21"/>
                <w:szCs w:val="21"/>
              </w:rPr>
              <w:t>0</w:t>
            </w:r>
          </w:p>
        </w:tc>
        <w:tc>
          <w:tcPr>
            <w:tcW w:w="1514" w:type="dxa"/>
            <w:vAlign w:val="center"/>
          </w:tcPr>
          <w:p>
            <w:pPr>
              <w:jc w:val="center"/>
              <w:rPr>
                <w:snapToGrid w:val="0"/>
                <w:kern w:val="21"/>
                <w:szCs w:val="21"/>
              </w:rPr>
            </w:pPr>
            <w:r>
              <w:rPr>
                <w:snapToGrid w:val="0"/>
                <w:kern w:val="21"/>
                <w:szCs w:val="21"/>
              </w:rPr>
              <w:t>0</w:t>
            </w:r>
          </w:p>
        </w:tc>
        <w:tc>
          <w:tcPr>
            <w:tcW w:w="1582" w:type="dxa"/>
            <w:vAlign w:val="center"/>
          </w:tcPr>
          <w:p>
            <w:pPr>
              <w:jc w:val="center"/>
              <w:rPr>
                <w:snapToGrid w:val="0"/>
                <w:kern w:val="21"/>
                <w:szCs w:val="21"/>
              </w:rPr>
            </w:pPr>
            <w:r>
              <w:rPr>
                <w:snapToGrid w:val="0"/>
                <w:kern w:val="21"/>
                <w:szCs w:val="21"/>
              </w:rPr>
              <w:t>0</w:t>
            </w:r>
          </w:p>
        </w:tc>
        <w:tc>
          <w:tcPr>
            <w:tcW w:w="1786" w:type="dxa"/>
            <w:vAlign w:val="center"/>
          </w:tcPr>
          <w:p>
            <w:pPr>
              <w:jc w:val="center"/>
              <w:rPr>
                <w:snapToGrid w:val="0"/>
                <w:kern w:val="21"/>
                <w:szCs w:val="21"/>
              </w:rPr>
            </w:pPr>
            <w:r>
              <w:rPr>
                <w:snapToGrid w:val="0"/>
                <w:kern w:val="21"/>
                <w:szCs w:val="21"/>
              </w:rPr>
              <w:t>0</w:t>
            </w:r>
          </w:p>
        </w:tc>
        <w:tc>
          <w:tcPr>
            <w:tcW w:w="1896" w:type="dxa"/>
            <w:vAlign w:val="center"/>
          </w:tcPr>
          <w:p>
            <w:pPr>
              <w:jc w:val="center"/>
              <w:rPr>
                <w:snapToGrid w:val="0"/>
                <w:kern w:val="21"/>
                <w:szCs w:val="21"/>
              </w:rPr>
            </w:pPr>
            <w:r>
              <w:rPr>
                <w:snapToGrid w:val="0"/>
                <w:kern w:val="21"/>
                <w:szCs w:val="21"/>
              </w:rPr>
              <w:t>0</w:t>
            </w:r>
          </w:p>
        </w:tc>
        <w:tc>
          <w:tcPr>
            <w:tcW w:w="1295" w:type="dxa"/>
            <w:vAlign w:val="center"/>
          </w:tcPr>
          <w:p>
            <w:pPr>
              <w:jc w:val="center"/>
              <w:rPr>
                <w:snapToGrid w:val="0"/>
                <w:kern w:val="21"/>
                <w:szCs w:val="21"/>
              </w:rPr>
            </w:pPr>
            <w:r>
              <w:rPr>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3" w:type="dxa"/>
            <w:gridSpan w:val="2"/>
            <w:vMerge w:val="continue"/>
            <w:vAlign w:val="center"/>
          </w:tcPr>
          <w:p>
            <w:pPr>
              <w:pStyle w:val="38"/>
              <w:spacing w:beforeLines="0" w:afterLines="0" w:line="240" w:lineRule="auto"/>
              <w:rPr>
                <w:rFonts w:ascii="Times New Roman"/>
                <w:snapToGrid w:val="0"/>
                <w:kern w:val="21"/>
                <w:szCs w:val="21"/>
              </w:rPr>
            </w:pPr>
          </w:p>
        </w:tc>
        <w:tc>
          <w:tcPr>
            <w:tcW w:w="1430" w:type="dxa"/>
            <w:vAlign w:val="center"/>
          </w:tcPr>
          <w:p>
            <w:pPr>
              <w:pStyle w:val="38"/>
              <w:spacing w:beforeLines="0" w:afterLines="0" w:line="240" w:lineRule="auto"/>
              <w:rPr>
                <w:rFonts w:ascii="Times New Roman"/>
                <w:snapToGrid w:val="0"/>
                <w:kern w:val="21"/>
                <w:szCs w:val="21"/>
              </w:rPr>
            </w:pPr>
            <w:r>
              <w:rPr>
                <w:rFonts w:ascii="Times New Roman"/>
                <w:snapToGrid w:val="0"/>
                <w:kern w:val="21"/>
                <w:szCs w:val="21"/>
              </w:rPr>
              <w:t>氨氮</w:t>
            </w:r>
          </w:p>
        </w:tc>
        <w:tc>
          <w:tcPr>
            <w:tcW w:w="1717" w:type="dxa"/>
            <w:vAlign w:val="center"/>
          </w:tcPr>
          <w:p>
            <w:pPr>
              <w:jc w:val="center"/>
              <w:rPr>
                <w:snapToGrid w:val="0"/>
                <w:kern w:val="21"/>
                <w:szCs w:val="21"/>
              </w:rPr>
            </w:pPr>
            <w:r>
              <w:rPr>
                <w:snapToGrid w:val="0"/>
                <w:kern w:val="21"/>
                <w:szCs w:val="21"/>
              </w:rPr>
              <w:t>0</w:t>
            </w:r>
          </w:p>
        </w:tc>
        <w:tc>
          <w:tcPr>
            <w:tcW w:w="1288" w:type="dxa"/>
            <w:vAlign w:val="center"/>
          </w:tcPr>
          <w:p>
            <w:pPr>
              <w:jc w:val="center"/>
              <w:rPr>
                <w:snapToGrid w:val="0"/>
                <w:kern w:val="21"/>
                <w:szCs w:val="21"/>
              </w:rPr>
            </w:pPr>
            <w:r>
              <w:rPr>
                <w:snapToGrid w:val="0"/>
                <w:kern w:val="21"/>
                <w:szCs w:val="21"/>
              </w:rPr>
              <w:t>0</w:t>
            </w:r>
          </w:p>
        </w:tc>
        <w:tc>
          <w:tcPr>
            <w:tcW w:w="1514" w:type="dxa"/>
            <w:vAlign w:val="center"/>
          </w:tcPr>
          <w:p>
            <w:pPr>
              <w:jc w:val="center"/>
              <w:rPr>
                <w:snapToGrid w:val="0"/>
                <w:kern w:val="21"/>
                <w:szCs w:val="21"/>
              </w:rPr>
            </w:pPr>
            <w:r>
              <w:rPr>
                <w:snapToGrid w:val="0"/>
                <w:kern w:val="21"/>
                <w:szCs w:val="21"/>
              </w:rPr>
              <w:t>0</w:t>
            </w:r>
          </w:p>
        </w:tc>
        <w:tc>
          <w:tcPr>
            <w:tcW w:w="1582" w:type="dxa"/>
            <w:vAlign w:val="center"/>
          </w:tcPr>
          <w:p>
            <w:pPr>
              <w:jc w:val="center"/>
              <w:rPr>
                <w:snapToGrid w:val="0"/>
                <w:kern w:val="21"/>
                <w:szCs w:val="21"/>
              </w:rPr>
            </w:pPr>
            <w:r>
              <w:rPr>
                <w:snapToGrid w:val="0"/>
                <w:kern w:val="21"/>
                <w:szCs w:val="21"/>
              </w:rPr>
              <w:t>0</w:t>
            </w:r>
          </w:p>
        </w:tc>
        <w:tc>
          <w:tcPr>
            <w:tcW w:w="1786" w:type="dxa"/>
            <w:vAlign w:val="center"/>
          </w:tcPr>
          <w:p>
            <w:pPr>
              <w:jc w:val="center"/>
              <w:rPr>
                <w:snapToGrid w:val="0"/>
                <w:kern w:val="21"/>
                <w:szCs w:val="21"/>
              </w:rPr>
            </w:pPr>
            <w:r>
              <w:rPr>
                <w:snapToGrid w:val="0"/>
                <w:kern w:val="21"/>
                <w:szCs w:val="21"/>
              </w:rPr>
              <w:t>0</w:t>
            </w:r>
          </w:p>
        </w:tc>
        <w:tc>
          <w:tcPr>
            <w:tcW w:w="1896" w:type="dxa"/>
            <w:vAlign w:val="center"/>
          </w:tcPr>
          <w:p>
            <w:pPr>
              <w:jc w:val="center"/>
              <w:rPr>
                <w:snapToGrid w:val="0"/>
                <w:kern w:val="21"/>
                <w:szCs w:val="21"/>
              </w:rPr>
            </w:pPr>
            <w:r>
              <w:rPr>
                <w:snapToGrid w:val="0"/>
                <w:kern w:val="21"/>
                <w:szCs w:val="21"/>
              </w:rPr>
              <w:t>0</w:t>
            </w:r>
          </w:p>
        </w:tc>
        <w:tc>
          <w:tcPr>
            <w:tcW w:w="1295" w:type="dxa"/>
            <w:vAlign w:val="center"/>
          </w:tcPr>
          <w:p>
            <w:pPr>
              <w:jc w:val="center"/>
              <w:rPr>
                <w:snapToGrid w:val="0"/>
                <w:kern w:val="21"/>
                <w:szCs w:val="21"/>
              </w:rPr>
            </w:pPr>
            <w:r>
              <w:rPr>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3" w:type="dxa"/>
            <w:gridSpan w:val="2"/>
            <w:vMerge w:val="continue"/>
            <w:vAlign w:val="center"/>
          </w:tcPr>
          <w:p>
            <w:pPr>
              <w:pStyle w:val="38"/>
              <w:spacing w:beforeLines="0" w:afterLines="0" w:line="240" w:lineRule="auto"/>
              <w:rPr>
                <w:rFonts w:ascii="Times New Roman"/>
                <w:snapToGrid w:val="0"/>
                <w:kern w:val="21"/>
                <w:szCs w:val="21"/>
              </w:rPr>
            </w:pPr>
          </w:p>
        </w:tc>
        <w:tc>
          <w:tcPr>
            <w:tcW w:w="1430" w:type="dxa"/>
            <w:vAlign w:val="center"/>
          </w:tcPr>
          <w:p>
            <w:pPr>
              <w:pStyle w:val="38"/>
              <w:spacing w:beforeLines="0" w:afterLines="0" w:line="240" w:lineRule="auto"/>
              <w:rPr>
                <w:rFonts w:ascii="Times New Roman"/>
                <w:snapToGrid w:val="0"/>
                <w:kern w:val="21"/>
                <w:szCs w:val="21"/>
                <w:vertAlign w:val="subscript"/>
              </w:rPr>
            </w:pPr>
            <w:r>
              <w:rPr>
                <w:rFonts w:ascii="Times New Roman"/>
                <w:snapToGrid w:val="0"/>
                <w:kern w:val="21"/>
                <w:szCs w:val="21"/>
              </w:rPr>
              <w:t>BOD</w:t>
            </w:r>
            <w:r>
              <w:rPr>
                <w:rFonts w:ascii="Times New Roman"/>
                <w:snapToGrid w:val="0"/>
                <w:kern w:val="21"/>
                <w:szCs w:val="21"/>
                <w:vertAlign w:val="subscript"/>
              </w:rPr>
              <w:t>5</w:t>
            </w:r>
          </w:p>
        </w:tc>
        <w:tc>
          <w:tcPr>
            <w:tcW w:w="1717" w:type="dxa"/>
            <w:vAlign w:val="center"/>
          </w:tcPr>
          <w:p>
            <w:pPr>
              <w:jc w:val="center"/>
              <w:rPr>
                <w:snapToGrid w:val="0"/>
                <w:kern w:val="21"/>
                <w:szCs w:val="21"/>
              </w:rPr>
            </w:pPr>
            <w:r>
              <w:rPr>
                <w:snapToGrid w:val="0"/>
                <w:kern w:val="21"/>
                <w:szCs w:val="21"/>
              </w:rPr>
              <w:t>0</w:t>
            </w:r>
          </w:p>
        </w:tc>
        <w:tc>
          <w:tcPr>
            <w:tcW w:w="1288" w:type="dxa"/>
            <w:vAlign w:val="center"/>
          </w:tcPr>
          <w:p>
            <w:pPr>
              <w:jc w:val="center"/>
              <w:rPr>
                <w:snapToGrid w:val="0"/>
                <w:kern w:val="21"/>
                <w:szCs w:val="21"/>
              </w:rPr>
            </w:pPr>
            <w:r>
              <w:rPr>
                <w:snapToGrid w:val="0"/>
                <w:kern w:val="21"/>
                <w:szCs w:val="21"/>
              </w:rPr>
              <w:t>0</w:t>
            </w:r>
          </w:p>
        </w:tc>
        <w:tc>
          <w:tcPr>
            <w:tcW w:w="1514" w:type="dxa"/>
            <w:vAlign w:val="center"/>
          </w:tcPr>
          <w:p>
            <w:pPr>
              <w:jc w:val="center"/>
              <w:rPr>
                <w:snapToGrid w:val="0"/>
                <w:kern w:val="21"/>
                <w:szCs w:val="21"/>
              </w:rPr>
            </w:pPr>
            <w:r>
              <w:rPr>
                <w:snapToGrid w:val="0"/>
                <w:kern w:val="21"/>
                <w:szCs w:val="21"/>
              </w:rPr>
              <w:t>0</w:t>
            </w:r>
          </w:p>
        </w:tc>
        <w:tc>
          <w:tcPr>
            <w:tcW w:w="1582" w:type="dxa"/>
            <w:vAlign w:val="center"/>
          </w:tcPr>
          <w:p>
            <w:pPr>
              <w:jc w:val="center"/>
              <w:rPr>
                <w:snapToGrid w:val="0"/>
                <w:kern w:val="21"/>
                <w:szCs w:val="21"/>
              </w:rPr>
            </w:pPr>
            <w:r>
              <w:rPr>
                <w:snapToGrid w:val="0"/>
                <w:kern w:val="21"/>
                <w:szCs w:val="21"/>
              </w:rPr>
              <w:t>0</w:t>
            </w:r>
          </w:p>
        </w:tc>
        <w:tc>
          <w:tcPr>
            <w:tcW w:w="1786" w:type="dxa"/>
            <w:vAlign w:val="center"/>
          </w:tcPr>
          <w:p>
            <w:pPr>
              <w:jc w:val="center"/>
              <w:rPr>
                <w:snapToGrid w:val="0"/>
                <w:kern w:val="21"/>
                <w:szCs w:val="21"/>
              </w:rPr>
            </w:pPr>
            <w:r>
              <w:rPr>
                <w:snapToGrid w:val="0"/>
                <w:kern w:val="21"/>
                <w:szCs w:val="21"/>
              </w:rPr>
              <w:t>0</w:t>
            </w:r>
          </w:p>
        </w:tc>
        <w:tc>
          <w:tcPr>
            <w:tcW w:w="1896" w:type="dxa"/>
            <w:vAlign w:val="center"/>
          </w:tcPr>
          <w:p>
            <w:pPr>
              <w:jc w:val="center"/>
              <w:rPr>
                <w:snapToGrid w:val="0"/>
                <w:kern w:val="21"/>
                <w:szCs w:val="21"/>
              </w:rPr>
            </w:pPr>
            <w:r>
              <w:rPr>
                <w:snapToGrid w:val="0"/>
                <w:kern w:val="21"/>
                <w:szCs w:val="21"/>
              </w:rPr>
              <w:t>0</w:t>
            </w:r>
          </w:p>
        </w:tc>
        <w:tc>
          <w:tcPr>
            <w:tcW w:w="1295" w:type="dxa"/>
            <w:vAlign w:val="center"/>
          </w:tcPr>
          <w:p>
            <w:pPr>
              <w:jc w:val="center"/>
              <w:rPr>
                <w:snapToGrid w:val="0"/>
                <w:kern w:val="21"/>
                <w:szCs w:val="21"/>
              </w:rPr>
            </w:pPr>
            <w:r>
              <w:rPr>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3" w:type="dxa"/>
            <w:gridSpan w:val="2"/>
            <w:vMerge w:val="continue"/>
            <w:vAlign w:val="center"/>
          </w:tcPr>
          <w:p>
            <w:pPr>
              <w:pStyle w:val="38"/>
              <w:spacing w:beforeLines="0" w:afterLines="0" w:line="240" w:lineRule="auto"/>
              <w:rPr>
                <w:rFonts w:ascii="Times New Roman"/>
                <w:snapToGrid w:val="0"/>
                <w:kern w:val="21"/>
                <w:szCs w:val="21"/>
              </w:rPr>
            </w:pPr>
          </w:p>
        </w:tc>
        <w:tc>
          <w:tcPr>
            <w:tcW w:w="1430" w:type="dxa"/>
            <w:vAlign w:val="center"/>
          </w:tcPr>
          <w:p>
            <w:pPr>
              <w:pStyle w:val="38"/>
              <w:spacing w:beforeLines="0" w:afterLines="0" w:line="240" w:lineRule="auto"/>
              <w:rPr>
                <w:rFonts w:ascii="Times New Roman"/>
                <w:snapToGrid w:val="0"/>
                <w:kern w:val="21"/>
                <w:szCs w:val="21"/>
              </w:rPr>
            </w:pPr>
            <w:r>
              <w:rPr>
                <w:rFonts w:ascii="Times New Roman"/>
                <w:snapToGrid w:val="0"/>
                <w:kern w:val="21"/>
                <w:szCs w:val="21"/>
              </w:rPr>
              <w:t>SS</w:t>
            </w:r>
          </w:p>
        </w:tc>
        <w:tc>
          <w:tcPr>
            <w:tcW w:w="1717" w:type="dxa"/>
            <w:vAlign w:val="center"/>
          </w:tcPr>
          <w:p>
            <w:pPr>
              <w:jc w:val="center"/>
              <w:rPr>
                <w:snapToGrid w:val="0"/>
                <w:kern w:val="21"/>
                <w:szCs w:val="21"/>
              </w:rPr>
            </w:pPr>
            <w:r>
              <w:rPr>
                <w:snapToGrid w:val="0"/>
                <w:kern w:val="21"/>
                <w:szCs w:val="21"/>
              </w:rPr>
              <w:t>0</w:t>
            </w:r>
          </w:p>
        </w:tc>
        <w:tc>
          <w:tcPr>
            <w:tcW w:w="1288" w:type="dxa"/>
            <w:vAlign w:val="center"/>
          </w:tcPr>
          <w:p>
            <w:pPr>
              <w:jc w:val="center"/>
              <w:rPr>
                <w:snapToGrid w:val="0"/>
                <w:kern w:val="21"/>
                <w:szCs w:val="21"/>
              </w:rPr>
            </w:pPr>
            <w:r>
              <w:rPr>
                <w:snapToGrid w:val="0"/>
                <w:kern w:val="21"/>
                <w:szCs w:val="21"/>
              </w:rPr>
              <w:t>0</w:t>
            </w:r>
          </w:p>
        </w:tc>
        <w:tc>
          <w:tcPr>
            <w:tcW w:w="1514" w:type="dxa"/>
            <w:vAlign w:val="center"/>
          </w:tcPr>
          <w:p>
            <w:pPr>
              <w:jc w:val="center"/>
              <w:rPr>
                <w:snapToGrid w:val="0"/>
                <w:kern w:val="21"/>
                <w:szCs w:val="21"/>
              </w:rPr>
            </w:pPr>
            <w:r>
              <w:rPr>
                <w:snapToGrid w:val="0"/>
                <w:kern w:val="21"/>
                <w:szCs w:val="21"/>
              </w:rPr>
              <w:t>0</w:t>
            </w:r>
          </w:p>
        </w:tc>
        <w:tc>
          <w:tcPr>
            <w:tcW w:w="1582" w:type="dxa"/>
            <w:vAlign w:val="center"/>
          </w:tcPr>
          <w:p>
            <w:pPr>
              <w:jc w:val="center"/>
              <w:rPr>
                <w:snapToGrid w:val="0"/>
                <w:kern w:val="21"/>
                <w:szCs w:val="21"/>
              </w:rPr>
            </w:pPr>
            <w:r>
              <w:rPr>
                <w:snapToGrid w:val="0"/>
                <w:kern w:val="21"/>
                <w:szCs w:val="21"/>
              </w:rPr>
              <w:t>0</w:t>
            </w:r>
          </w:p>
        </w:tc>
        <w:tc>
          <w:tcPr>
            <w:tcW w:w="1786" w:type="dxa"/>
            <w:vAlign w:val="center"/>
          </w:tcPr>
          <w:p>
            <w:pPr>
              <w:jc w:val="center"/>
              <w:rPr>
                <w:snapToGrid w:val="0"/>
                <w:kern w:val="21"/>
                <w:szCs w:val="21"/>
              </w:rPr>
            </w:pPr>
            <w:r>
              <w:rPr>
                <w:snapToGrid w:val="0"/>
                <w:kern w:val="21"/>
                <w:szCs w:val="21"/>
              </w:rPr>
              <w:t>0</w:t>
            </w:r>
          </w:p>
        </w:tc>
        <w:tc>
          <w:tcPr>
            <w:tcW w:w="1896" w:type="dxa"/>
            <w:vAlign w:val="center"/>
          </w:tcPr>
          <w:p>
            <w:pPr>
              <w:jc w:val="center"/>
              <w:rPr>
                <w:snapToGrid w:val="0"/>
                <w:kern w:val="21"/>
                <w:szCs w:val="21"/>
              </w:rPr>
            </w:pPr>
            <w:r>
              <w:rPr>
                <w:snapToGrid w:val="0"/>
                <w:kern w:val="21"/>
                <w:szCs w:val="21"/>
              </w:rPr>
              <w:t>0</w:t>
            </w:r>
          </w:p>
        </w:tc>
        <w:tc>
          <w:tcPr>
            <w:tcW w:w="1295" w:type="dxa"/>
            <w:vAlign w:val="center"/>
          </w:tcPr>
          <w:p>
            <w:pPr>
              <w:jc w:val="center"/>
              <w:rPr>
                <w:snapToGrid w:val="0"/>
                <w:kern w:val="21"/>
                <w:szCs w:val="21"/>
              </w:rPr>
            </w:pPr>
            <w:r>
              <w:rPr>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3" w:type="dxa"/>
            <w:gridSpan w:val="2"/>
            <w:vMerge w:val="continue"/>
            <w:vAlign w:val="center"/>
          </w:tcPr>
          <w:p>
            <w:pPr>
              <w:pStyle w:val="38"/>
              <w:spacing w:beforeLines="0" w:afterLines="0" w:line="240" w:lineRule="auto"/>
              <w:rPr>
                <w:rFonts w:ascii="Times New Roman"/>
                <w:snapToGrid w:val="0"/>
                <w:kern w:val="21"/>
                <w:szCs w:val="21"/>
              </w:rPr>
            </w:pPr>
          </w:p>
        </w:tc>
        <w:tc>
          <w:tcPr>
            <w:tcW w:w="1430" w:type="dxa"/>
            <w:vAlign w:val="center"/>
          </w:tcPr>
          <w:p>
            <w:pPr>
              <w:pStyle w:val="38"/>
              <w:spacing w:beforeLines="0" w:afterLines="0" w:line="240" w:lineRule="auto"/>
              <w:rPr>
                <w:rFonts w:ascii="Times New Roman"/>
                <w:snapToGrid w:val="0"/>
                <w:kern w:val="21"/>
                <w:szCs w:val="21"/>
              </w:rPr>
            </w:pPr>
            <w:r>
              <w:rPr>
                <w:rFonts w:ascii="Times New Roman"/>
                <w:snapToGrid w:val="0"/>
                <w:kern w:val="21"/>
                <w:szCs w:val="21"/>
              </w:rPr>
              <w:t>TP</w:t>
            </w:r>
          </w:p>
        </w:tc>
        <w:tc>
          <w:tcPr>
            <w:tcW w:w="1717" w:type="dxa"/>
            <w:vAlign w:val="center"/>
          </w:tcPr>
          <w:p>
            <w:pPr>
              <w:jc w:val="center"/>
              <w:rPr>
                <w:snapToGrid w:val="0"/>
                <w:kern w:val="21"/>
                <w:szCs w:val="21"/>
              </w:rPr>
            </w:pPr>
            <w:r>
              <w:rPr>
                <w:snapToGrid w:val="0"/>
                <w:kern w:val="21"/>
                <w:szCs w:val="21"/>
              </w:rPr>
              <w:t>0</w:t>
            </w:r>
          </w:p>
        </w:tc>
        <w:tc>
          <w:tcPr>
            <w:tcW w:w="1288" w:type="dxa"/>
            <w:vAlign w:val="center"/>
          </w:tcPr>
          <w:p>
            <w:pPr>
              <w:jc w:val="center"/>
              <w:rPr>
                <w:snapToGrid w:val="0"/>
                <w:kern w:val="21"/>
                <w:szCs w:val="21"/>
              </w:rPr>
            </w:pPr>
            <w:r>
              <w:rPr>
                <w:snapToGrid w:val="0"/>
                <w:kern w:val="21"/>
                <w:szCs w:val="21"/>
              </w:rPr>
              <w:t>0</w:t>
            </w:r>
          </w:p>
        </w:tc>
        <w:tc>
          <w:tcPr>
            <w:tcW w:w="1514" w:type="dxa"/>
            <w:vAlign w:val="center"/>
          </w:tcPr>
          <w:p>
            <w:pPr>
              <w:jc w:val="center"/>
              <w:rPr>
                <w:snapToGrid w:val="0"/>
                <w:kern w:val="21"/>
                <w:szCs w:val="21"/>
              </w:rPr>
            </w:pPr>
            <w:r>
              <w:rPr>
                <w:snapToGrid w:val="0"/>
                <w:kern w:val="21"/>
                <w:szCs w:val="21"/>
              </w:rPr>
              <w:t>0</w:t>
            </w:r>
          </w:p>
        </w:tc>
        <w:tc>
          <w:tcPr>
            <w:tcW w:w="1582" w:type="dxa"/>
            <w:vAlign w:val="center"/>
          </w:tcPr>
          <w:p>
            <w:pPr>
              <w:jc w:val="center"/>
              <w:rPr>
                <w:snapToGrid w:val="0"/>
                <w:kern w:val="21"/>
                <w:szCs w:val="21"/>
              </w:rPr>
            </w:pPr>
            <w:r>
              <w:rPr>
                <w:snapToGrid w:val="0"/>
                <w:kern w:val="21"/>
                <w:szCs w:val="21"/>
              </w:rPr>
              <w:t>0</w:t>
            </w:r>
          </w:p>
        </w:tc>
        <w:tc>
          <w:tcPr>
            <w:tcW w:w="1786" w:type="dxa"/>
            <w:vAlign w:val="center"/>
          </w:tcPr>
          <w:p>
            <w:pPr>
              <w:jc w:val="center"/>
              <w:rPr>
                <w:snapToGrid w:val="0"/>
                <w:kern w:val="21"/>
                <w:szCs w:val="21"/>
              </w:rPr>
            </w:pPr>
            <w:r>
              <w:rPr>
                <w:snapToGrid w:val="0"/>
                <w:kern w:val="21"/>
                <w:szCs w:val="21"/>
              </w:rPr>
              <w:t>0</w:t>
            </w:r>
          </w:p>
        </w:tc>
        <w:tc>
          <w:tcPr>
            <w:tcW w:w="1896" w:type="dxa"/>
            <w:vAlign w:val="center"/>
          </w:tcPr>
          <w:p>
            <w:pPr>
              <w:jc w:val="center"/>
              <w:rPr>
                <w:snapToGrid w:val="0"/>
                <w:kern w:val="21"/>
                <w:szCs w:val="21"/>
              </w:rPr>
            </w:pPr>
            <w:r>
              <w:rPr>
                <w:snapToGrid w:val="0"/>
                <w:kern w:val="21"/>
                <w:szCs w:val="21"/>
              </w:rPr>
              <w:t>0</w:t>
            </w:r>
          </w:p>
        </w:tc>
        <w:tc>
          <w:tcPr>
            <w:tcW w:w="1295" w:type="dxa"/>
            <w:vAlign w:val="center"/>
          </w:tcPr>
          <w:p>
            <w:pPr>
              <w:jc w:val="center"/>
              <w:rPr>
                <w:snapToGrid w:val="0"/>
                <w:kern w:val="21"/>
                <w:szCs w:val="21"/>
              </w:rPr>
            </w:pPr>
            <w:r>
              <w:rPr>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3" w:type="dxa"/>
            <w:gridSpan w:val="2"/>
            <w:vMerge w:val="restart"/>
            <w:vAlign w:val="center"/>
          </w:tcPr>
          <w:p>
            <w:pPr>
              <w:pStyle w:val="38"/>
              <w:spacing w:beforeLines="0" w:afterLines="0" w:line="240" w:lineRule="auto"/>
              <w:rPr>
                <w:rFonts w:ascii="Times New Roman"/>
                <w:snapToGrid w:val="0"/>
                <w:kern w:val="21"/>
                <w:szCs w:val="21"/>
              </w:rPr>
            </w:pPr>
            <w:r>
              <w:rPr>
                <w:rFonts w:ascii="Times New Roman"/>
                <w:snapToGrid w:val="0"/>
                <w:kern w:val="21"/>
                <w:szCs w:val="21"/>
              </w:rPr>
              <w:t>一般工业</w:t>
            </w:r>
          </w:p>
          <w:p>
            <w:pPr>
              <w:pStyle w:val="38"/>
              <w:spacing w:beforeLines="0" w:afterLines="0" w:line="240" w:lineRule="auto"/>
              <w:rPr>
                <w:rFonts w:ascii="Times New Roman"/>
                <w:snapToGrid w:val="0"/>
                <w:kern w:val="21"/>
                <w:szCs w:val="21"/>
              </w:rPr>
            </w:pPr>
            <w:r>
              <w:rPr>
                <w:rFonts w:ascii="Times New Roman"/>
                <w:snapToGrid w:val="0"/>
                <w:kern w:val="21"/>
                <w:szCs w:val="21"/>
              </w:rPr>
              <w:t>固体废物</w:t>
            </w:r>
          </w:p>
        </w:tc>
        <w:tc>
          <w:tcPr>
            <w:tcW w:w="1430" w:type="dxa"/>
            <w:vAlign w:val="center"/>
          </w:tcPr>
          <w:p>
            <w:pPr>
              <w:jc w:val="center"/>
              <w:rPr>
                <w:snapToGrid w:val="0"/>
                <w:kern w:val="21"/>
                <w:szCs w:val="21"/>
              </w:rPr>
            </w:pPr>
            <w:r>
              <w:rPr>
                <w:szCs w:val="21"/>
              </w:rPr>
              <w:t>枯萎玫瑰花和不合格玫瑰花</w:t>
            </w:r>
          </w:p>
        </w:tc>
        <w:tc>
          <w:tcPr>
            <w:tcW w:w="1717" w:type="dxa"/>
            <w:vAlign w:val="center"/>
          </w:tcPr>
          <w:p>
            <w:pPr>
              <w:jc w:val="center"/>
              <w:rPr>
                <w:snapToGrid w:val="0"/>
                <w:kern w:val="21"/>
                <w:szCs w:val="21"/>
              </w:rPr>
            </w:pPr>
            <w:r>
              <w:rPr>
                <w:snapToGrid w:val="0"/>
                <w:kern w:val="21"/>
                <w:szCs w:val="21"/>
              </w:rPr>
              <w:t>0</w:t>
            </w:r>
          </w:p>
        </w:tc>
        <w:tc>
          <w:tcPr>
            <w:tcW w:w="1288" w:type="dxa"/>
            <w:vAlign w:val="center"/>
          </w:tcPr>
          <w:p>
            <w:pPr>
              <w:jc w:val="center"/>
              <w:rPr>
                <w:snapToGrid w:val="0"/>
                <w:kern w:val="21"/>
                <w:szCs w:val="21"/>
              </w:rPr>
            </w:pPr>
            <w:r>
              <w:rPr>
                <w:snapToGrid w:val="0"/>
                <w:kern w:val="21"/>
                <w:szCs w:val="21"/>
              </w:rPr>
              <w:t>0</w:t>
            </w:r>
          </w:p>
        </w:tc>
        <w:tc>
          <w:tcPr>
            <w:tcW w:w="1514" w:type="dxa"/>
            <w:vAlign w:val="center"/>
          </w:tcPr>
          <w:p>
            <w:pPr>
              <w:jc w:val="center"/>
              <w:rPr>
                <w:snapToGrid w:val="0"/>
                <w:kern w:val="21"/>
                <w:szCs w:val="21"/>
              </w:rPr>
            </w:pPr>
            <w:r>
              <w:rPr>
                <w:snapToGrid w:val="0"/>
                <w:kern w:val="21"/>
                <w:szCs w:val="21"/>
              </w:rPr>
              <w:t>0</w:t>
            </w:r>
          </w:p>
        </w:tc>
        <w:tc>
          <w:tcPr>
            <w:tcW w:w="1582" w:type="dxa"/>
            <w:vAlign w:val="center"/>
          </w:tcPr>
          <w:p>
            <w:pPr>
              <w:jc w:val="center"/>
              <w:rPr>
                <w:snapToGrid w:val="0"/>
                <w:kern w:val="21"/>
                <w:szCs w:val="21"/>
              </w:rPr>
            </w:pPr>
            <w:r>
              <w:rPr>
                <w:snapToGrid w:val="0"/>
                <w:kern w:val="21"/>
                <w:szCs w:val="21"/>
              </w:rPr>
              <w:t>17.892</w:t>
            </w:r>
          </w:p>
        </w:tc>
        <w:tc>
          <w:tcPr>
            <w:tcW w:w="1786" w:type="dxa"/>
            <w:vAlign w:val="center"/>
          </w:tcPr>
          <w:p>
            <w:pPr>
              <w:jc w:val="center"/>
              <w:rPr>
                <w:snapToGrid w:val="0"/>
                <w:kern w:val="21"/>
                <w:szCs w:val="21"/>
              </w:rPr>
            </w:pPr>
            <w:r>
              <w:rPr>
                <w:snapToGrid w:val="0"/>
                <w:kern w:val="21"/>
                <w:szCs w:val="21"/>
              </w:rPr>
              <w:t>0</w:t>
            </w:r>
          </w:p>
        </w:tc>
        <w:tc>
          <w:tcPr>
            <w:tcW w:w="1896" w:type="dxa"/>
            <w:vAlign w:val="center"/>
          </w:tcPr>
          <w:p>
            <w:pPr>
              <w:jc w:val="center"/>
              <w:rPr>
                <w:snapToGrid w:val="0"/>
                <w:kern w:val="21"/>
                <w:szCs w:val="21"/>
              </w:rPr>
            </w:pPr>
            <w:r>
              <w:rPr>
                <w:snapToGrid w:val="0"/>
                <w:kern w:val="21"/>
                <w:szCs w:val="21"/>
              </w:rPr>
              <w:t>17.892</w:t>
            </w:r>
          </w:p>
        </w:tc>
        <w:tc>
          <w:tcPr>
            <w:tcW w:w="1295" w:type="dxa"/>
            <w:vAlign w:val="center"/>
          </w:tcPr>
          <w:p>
            <w:pPr>
              <w:jc w:val="center"/>
              <w:rPr>
                <w:snapToGrid w:val="0"/>
                <w:kern w:val="21"/>
                <w:szCs w:val="21"/>
              </w:rPr>
            </w:pPr>
            <w:r>
              <w:rPr>
                <w:snapToGrid w:val="0"/>
                <w:kern w:val="21"/>
                <w:szCs w:val="21"/>
              </w:rPr>
              <w:t>17.892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3" w:type="dxa"/>
            <w:gridSpan w:val="2"/>
            <w:vMerge w:val="continue"/>
            <w:vAlign w:val="center"/>
          </w:tcPr>
          <w:p>
            <w:pPr>
              <w:pStyle w:val="38"/>
              <w:spacing w:beforeLines="0" w:afterLines="0" w:line="240" w:lineRule="auto"/>
              <w:rPr>
                <w:rFonts w:ascii="Times New Roman"/>
                <w:snapToGrid w:val="0"/>
                <w:kern w:val="21"/>
                <w:szCs w:val="21"/>
              </w:rPr>
            </w:pPr>
          </w:p>
        </w:tc>
        <w:tc>
          <w:tcPr>
            <w:tcW w:w="1430" w:type="dxa"/>
            <w:vAlign w:val="center"/>
          </w:tcPr>
          <w:p>
            <w:pPr>
              <w:jc w:val="center"/>
              <w:rPr>
                <w:snapToGrid w:val="0"/>
                <w:kern w:val="21"/>
                <w:szCs w:val="21"/>
              </w:rPr>
            </w:pPr>
            <w:r>
              <w:rPr>
                <w:szCs w:val="21"/>
              </w:rPr>
              <w:t>废包材</w:t>
            </w:r>
          </w:p>
        </w:tc>
        <w:tc>
          <w:tcPr>
            <w:tcW w:w="1717" w:type="dxa"/>
            <w:vAlign w:val="center"/>
          </w:tcPr>
          <w:p>
            <w:pPr>
              <w:jc w:val="center"/>
              <w:rPr>
                <w:snapToGrid w:val="0"/>
                <w:kern w:val="21"/>
                <w:szCs w:val="21"/>
              </w:rPr>
            </w:pPr>
            <w:r>
              <w:rPr>
                <w:snapToGrid w:val="0"/>
                <w:kern w:val="21"/>
                <w:szCs w:val="21"/>
              </w:rPr>
              <w:t>0</w:t>
            </w:r>
          </w:p>
        </w:tc>
        <w:tc>
          <w:tcPr>
            <w:tcW w:w="1288" w:type="dxa"/>
            <w:vAlign w:val="center"/>
          </w:tcPr>
          <w:p>
            <w:pPr>
              <w:jc w:val="center"/>
              <w:rPr>
                <w:snapToGrid w:val="0"/>
                <w:kern w:val="21"/>
                <w:szCs w:val="21"/>
              </w:rPr>
            </w:pPr>
            <w:r>
              <w:rPr>
                <w:snapToGrid w:val="0"/>
                <w:kern w:val="21"/>
                <w:szCs w:val="21"/>
              </w:rPr>
              <w:t>0</w:t>
            </w:r>
          </w:p>
        </w:tc>
        <w:tc>
          <w:tcPr>
            <w:tcW w:w="1514" w:type="dxa"/>
            <w:vAlign w:val="center"/>
          </w:tcPr>
          <w:p>
            <w:pPr>
              <w:jc w:val="center"/>
              <w:rPr>
                <w:snapToGrid w:val="0"/>
                <w:kern w:val="21"/>
                <w:szCs w:val="21"/>
              </w:rPr>
            </w:pPr>
            <w:r>
              <w:rPr>
                <w:snapToGrid w:val="0"/>
                <w:kern w:val="21"/>
                <w:szCs w:val="21"/>
              </w:rPr>
              <w:t>0</w:t>
            </w:r>
          </w:p>
        </w:tc>
        <w:tc>
          <w:tcPr>
            <w:tcW w:w="1582" w:type="dxa"/>
            <w:vAlign w:val="center"/>
          </w:tcPr>
          <w:p>
            <w:pPr>
              <w:jc w:val="center"/>
              <w:rPr>
                <w:snapToGrid w:val="0"/>
                <w:kern w:val="21"/>
                <w:szCs w:val="21"/>
              </w:rPr>
            </w:pPr>
            <w:r>
              <w:rPr>
                <w:snapToGrid w:val="0"/>
                <w:kern w:val="21"/>
                <w:szCs w:val="21"/>
              </w:rPr>
              <w:t>6</w:t>
            </w:r>
          </w:p>
        </w:tc>
        <w:tc>
          <w:tcPr>
            <w:tcW w:w="1786" w:type="dxa"/>
            <w:vAlign w:val="center"/>
          </w:tcPr>
          <w:p>
            <w:pPr>
              <w:jc w:val="center"/>
              <w:rPr>
                <w:snapToGrid w:val="0"/>
                <w:kern w:val="21"/>
                <w:szCs w:val="21"/>
              </w:rPr>
            </w:pPr>
            <w:r>
              <w:rPr>
                <w:snapToGrid w:val="0"/>
                <w:kern w:val="21"/>
                <w:szCs w:val="21"/>
              </w:rPr>
              <w:t>0</w:t>
            </w:r>
          </w:p>
        </w:tc>
        <w:tc>
          <w:tcPr>
            <w:tcW w:w="1896" w:type="dxa"/>
            <w:vAlign w:val="center"/>
          </w:tcPr>
          <w:p>
            <w:pPr>
              <w:jc w:val="center"/>
              <w:rPr>
                <w:snapToGrid w:val="0"/>
                <w:kern w:val="21"/>
                <w:szCs w:val="21"/>
              </w:rPr>
            </w:pPr>
            <w:r>
              <w:rPr>
                <w:snapToGrid w:val="0"/>
                <w:kern w:val="21"/>
                <w:szCs w:val="21"/>
              </w:rPr>
              <w:t>6</w:t>
            </w:r>
          </w:p>
        </w:tc>
        <w:tc>
          <w:tcPr>
            <w:tcW w:w="1295" w:type="dxa"/>
            <w:vAlign w:val="center"/>
          </w:tcPr>
          <w:p>
            <w:pPr>
              <w:jc w:val="center"/>
              <w:rPr>
                <w:snapToGrid w:val="0"/>
                <w:kern w:val="21"/>
                <w:szCs w:val="21"/>
              </w:rPr>
            </w:pPr>
            <w:r>
              <w:rPr>
                <w:snapToGrid w:val="0"/>
                <w:kern w:val="21"/>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3" w:type="dxa"/>
            <w:gridSpan w:val="2"/>
            <w:vMerge w:val="continue"/>
            <w:vAlign w:val="center"/>
          </w:tcPr>
          <w:p>
            <w:pPr>
              <w:pStyle w:val="38"/>
              <w:spacing w:beforeLines="0" w:afterLines="0" w:line="240" w:lineRule="auto"/>
              <w:rPr>
                <w:rFonts w:ascii="Times New Roman"/>
                <w:snapToGrid w:val="0"/>
                <w:kern w:val="21"/>
                <w:szCs w:val="21"/>
              </w:rPr>
            </w:pPr>
          </w:p>
        </w:tc>
        <w:tc>
          <w:tcPr>
            <w:tcW w:w="1430" w:type="dxa"/>
            <w:vAlign w:val="center"/>
          </w:tcPr>
          <w:p>
            <w:pPr>
              <w:jc w:val="center"/>
              <w:rPr>
                <w:snapToGrid w:val="0"/>
                <w:kern w:val="21"/>
                <w:szCs w:val="21"/>
              </w:rPr>
            </w:pPr>
            <w:r>
              <w:rPr>
                <w:szCs w:val="21"/>
              </w:rPr>
              <w:t>生物质锅炉灰渣</w:t>
            </w:r>
          </w:p>
        </w:tc>
        <w:tc>
          <w:tcPr>
            <w:tcW w:w="1717" w:type="dxa"/>
            <w:vAlign w:val="center"/>
          </w:tcPr>
          <w:p>
            <w:pPr>
              <w:jc w:val="center"/>
              <w:rPr>
                <w:snapToGrid w:val="0"/>
                <w:kern w:val="21"/>
                <w:szCs w:val="21"/>
              </w:rPr>
            </w:pPr>
            <w:r>
              <w:rPr>
                <w:snapToGrid w:val="0"/>
                <w:kern w:val="21"/>
                <w:szCs w:val="21"/>
              </w:rPr>
              <w:t>0</w:t>
            </w:r>
          </w:p>
        </w:tc>
        <w:tc>
          <w:tcPr>
            <w:tcW w:w="1288" w:type="dxa"/>
            <w:vAlign w:val="center"/>
          </w:tcPr>
          <w:p>
            <w:pPr>
              <w:jc w:val="center"/>
              <w:rPr>
                <w:snapToGrid w:val="0"/>
                <w:kern w:val="21"/>
                <w:szCs w:val="21"/>
              </w:rPr>
            </w:pPr>
            <w:r>
              <w:rPr>
                <w:snapToGrid w:val="0"/>
                <w:kern w:val="21"/>
                <w:szCs w:val="21"/>
              </w:rPr>
              <w:t>0</w:t>
            </w:r>
          </w:p>
        </w:tc>
        <w:tc>
          <w:tcPr>
            <w:tcW w:w="1514" w:type="dxa"/>
            <w:vAlign w:val="center"/>
          </w:tcPr>
          <w:p>
            <w:pPr>
              <w:jc w:val="center"/>
              <w:rPr>
                <w:snapToGrid w:val="0"/>
                <w:kern w:val="21"/>
                <w:szCs w:val="21"/>
              </w:rPr>
            </w:pPr>
            <w:r>
              <w:rPr>
                <w:snapToGrid w:val="0"/>
                <w:kern w:val="21"/>
                <w:szCs w:val="21"/>
              </w:rPr>
              <w:t>0</w:t>
            </w:r>
          </w:p>
        </w:tc>
        <w:tc>
          <w:tcPr>
            <w:tcW w:w="1582" w:type="dxa"/>
            <w:vAlign w:val="center"/>
          </w:tcPr>
          <w:p>
            <w:pPr>
              <w:jc w:val="center"/>
              <w:rPr>
                <w:snapToGrid w:val="0"/>
                <w:kern w:val="21"/>
                <w:szCs w:val="21"/>
              </w:rPr>
            </w:pPr>
            <w:r>
              <w:rPr>
                <w:rFonts w:hint="eastAsia"/>
                <w:snapToGrid w:val="0"/>
                <w:kern w:val="21"/>
                <w:szCs w:val="21"/>
              </w:rPr>
              <w:t>11.49</w:t>
            </w:r>
          </w:p>
        </w:tc>
        <w:tc>
          <w:tcPr>
            <w:tcW w:w="1786" w:type="dxa"/>
            <w:vAlign w:val="center"/>
          </w:tcPr>
          <w:p>
            <w:pPr>
              <w:jc w:val="center"/>
              <w:rPr>
                <w:snapToGrid w:val="0"/>
                <w:kern w:val="21"/>
                <w:szCs w:val="21"/>
              </w:rPr>
            </w:pPr>
            <w:r>
              <w:rPr>
                <w:snapToGrid w:val="0"/>
                <w:kern w:val="21"/>
                <w:szCs w:val="21"/>
              </w:rPr>
              <w:t>0</w:t>
            </w:r>
          </w:p>
        </w:tc>
        <w:tc>
          <w:tcPr>
            <w:tcW w:w="1896" w:type="dxa"/>
            <w:vAlign w:val="center"/>
          </w:tcPr>
          <w:p>
            <w:pPr>
              <w:jc w:val="center"/>
              <w:rPr>
                <w:snapToGrid w:val="0"/>
                <w:kern w:val="21"/>
                <w:szCs w:val="21"/>
              </w:rPr>
            </w:pPr>
            <w:r>
              <w:rPr>
                <w:rFonts w:hint="eastAsia"/>
                <w:snapToGrid w:val="0"/>
                <w:kern w:val="21"/>
                <w:szCs w:val="21"/>
              </w:rPr>
              <w:t>11.49</w:t>
            </w:r>
          </w:p>
        </w:tc>
        <w:tc>
          <w:tcPr>
            <w:tcW w:w="1295" w:type="dxa"/>
            <w:vAlign w:val="center"/>
          </w:tcPr>
          <w:p>
            <w:pPr>
              <w:jc w:val="center"/>
              <w:rPr>
                <w:snapToGrid w:val="0"/>
                <w:kern w:val="21"/>
                <w:szCs w:val="21"/>
              </w:rPr>
            </w:pPr>
            <w:r>
              <w:rPr>
                <w:rFonts w:hint="eastAsia"/>
                <w:snapToGrid w:val="0"/>
                <w:kern w:val="21"/>
                <w:szCs w:val="21"/>
              </w:rPr>
              <w:t>11.49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3" w:type="dxa"/>
            <w:gridSpan w:val="2"/>
            <w:vMerge w:val="continue"/>
            <w:vAlign w:val="center"/>
          </w:tcPr>
          <w:p>
            <w:pPr>
              <w:pStyle w:val="38"/>
              <w:spacing w:beforeLines="0" w:afterLines="0" w:line="240" w:lineRule="auto"/>
              <w:rPr>
                <w:rFonts w:ascii="Times New Roman"/>
                <w:snapToGrid w:val="0"/>
                <w:kern w:val="21"/>
                <w:szCs w:val="21"/>
              </w:rPr>
            </w:pPr>
          </w:p>
        </w:tc>
        <w:tc>
          <w:tcPr>
            <w:tcW w:w="1430" w:type="dxa"/>
            <w:vAlign w:val="center"/>
          </w:tcPr>
          <w:p>
            <w:pPr>
              <w:jc w:val="center"/>
              <w:rPr>
                <w:szCs w:val="21"/>
              </w:rPr>
            </w:pPr>
            <w:r>
              <w:rPr>
                <w:szCs w:val="21"/>
              </w:rPr>
              <w:t>生活垃圾</w:t>
            </w:r>
          </w:p>
        </w:tc>
        <w:tc>
          <w:tcPr>
            <w:tcW w:w="1717" w:type="dxa"/>
            <w:vAlign w:val="center"/>
          </w:tcPr>
          <w:p>
            <w:pPr>
              <w:jc w:val="center"/>
              <w:rPr>
                <w:snapToGrid w:val="0"/>
                <w:kern w:val="21"/>
                <w:szCs w:val="21"/>
              </w:rPr>
            </w:pPr>
            <w:r>
              <w:rPr>
                <w:snapToGrid w:val="0"/>
                <w:kern w:val="21"/>
                <w:szCs w:val="21"/>
              </w:rPr>
              <w:t>0</w:t>
            </w:r>
          </w:p>
        </w:tc>
        <w:tc>
          <w:tcPr>
            <w:tcW w:w="1288" w:type="dxa"/>
            <w:vAlign w:val="center"/>
          </w:tcPr>
          <w:p>
            <w:pPr>
              <w:jc w:val="center"/>
              <w:rPr>
                <w:snapToGrid w:val="0"/>
                <w:kern w:val="21"/>
                <w:szCs w:val="21"/>
              </w:rPr>
            </w:pPr>
            <w:r>
              <w:rPr>
                <w:snapToGrid w:val="0"/>
                <w:kern w:val="21"/>
                <w:szCs w:val="21"/>
              </w:rPr>
              <w:t>0</w:t>
            </w:r>
          </w:p>
        </w:tc>
        <w:tc>
          <w:tcPr>
            <w:tcW w:w="1514" w:type="dxa"/>
            <w:vAlign w:val="center"/>
          </w:tcPr>
          <w:p>
            <w:pPr>
              <w:jc w:val="center"/>
              <w:rPr>
                <w:snapToGrid w:val="0"/>
                <w:kern w:val="21"/>
                <w:szCs w:val="21"/>
              </w:rPr>
            </w:pPr>
            <w:r>
              <w:rPr>
                <w:snapToGrid w:val="0"/>
                <w:kern w:val="21"/>
                <w:szCs w:val="21"/>
              </w:rPr>
              <w:t>0</w:t>
            </w:r>
          </w:p>
        </w:tc>
        <w:tc>
          <w:tcPr>
            <w:tcW w:w="1582" w:type="dxa"/>
            <w:vAlign w:val="center"/>
          </w:tcPr>
          <w:p>
            <w:pPr>
              <w:jc w:val="center"/>
              <w:rPr>
                <w:snapToGrid w:val="0"/>
                <w:kern w:val="21"/>
                <w:szCs w:val="21"/>
              </w:rPr>
            </w:pPr>
            <w:r>
              <w:rPr>
                <w:szCs w:val="21"/>
              </w:rPr>
              <w:t>6.39</w:t>
            </w:r>
          </w:p>
        </w:tc>
        <w:tc>
          <w:tcPr>
            <w:tcW w:w="1786" w:type="dxa"/>
            <w:vAlign w:val="center"/>
          </w:tcPr>
          <w:p>
            <w:pPr>
              <w:jc w:val="center"/>
              <w:rPr>
                <w:snapToGrid w:val="0"/>
                <w:kern w:val="21"/>
                <w:szCs w:val="21"/>
              </w:rPr>
            </w:pPr>
            <w:r>
              <w:rPr>
                <w:snapToGrid w:val="0"/>
                <w:kern w:val="21"/>
                <w:szCs w:val="21"/>
              </w:rPr>
              <w:t>0</w:t>
            </w:r>
          </w:p>
        </w:tc>
        <w:tc>
          <w:tcPr>
            <w:tcW w:w="1896" w:type="dxa"/>
            <w:vAlign w:val="center"/>
          </w:tcPr>
          <w:p>
            <w:pPr>
              <w:jc w:val="center"/>
              <w:rPr>
                <w:snapToGrid w:val="0"/>
                <w:kern w:val="21"/>
                <w:szCs w:val="21"/>
              </w:rPr>
            </w:pPr>
            <w:r>
              <w:rPr>
                <w:szCs w:val="21"/>
              </w:rPr>
              <w:t>6.39</w:t>
            </w:r>
          </w:p>
        </w:tc>
        <w:tc>
          <w:tcPr>
            <w:tcW w:w="1295" w:type="dxa"/>
            <w:vAlign w:val="center"/>
          </w:tcPr>
          <w:p>
            <w:pPr>
              <w:jc w:val="center"/>
              <w:rPr>
                <w:snapToGrid w:val="0"/>
                <w:kern w:val="21"/>
                <w:szCs w:val="21"/>
              </w:rPr>
            </w:pPr>
            <w:r>
              <w:rPr>
                <w:szCs w:val="21"/>
              </w:rPr>
              <w:t>6.39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3" w:type="dxa"/>
            <w:gridSpan w:val="2"/>
            <w:vMerge w:val="continue"/>
            <w:vAlign w:val="center"/>
          </w:tcPr>
          <w:p>
            <w:pPr>
              <w:pStyle w:val="38"/>
              <w:spacing w:beforeLines="0" w:afterLines="0" w:line="240" w:lineRule="auto"/>
              <w:rPr>
                <w:rFonts w:ascii="Times New Roman"/>
                <w:snapToGrid w:val="0"/>
                <w:kern w:val="21"/>
                <w:szCs w:val="21"/>
              </w:rPr>
            </w:pPr>
          </w:p>
        </w:tc>
        <w:tc>
          <w:tcPr>
            <w:tcW w:w="1430" w:type="dxa"/>
            <w:vAlign w:val="center"/>
          </w:tcPr>
          <w:p>
            <w:pPr>
              <w:pStyle w:val="38"/>
              <w:spacing w:beforeLines="0" w:afterLines="0" w:line="240" w:lineRule="auto"/>
              <w:rPr>
                <w:rFonts w:ascii="Times New Roman"/>
                <w:kern w:val="2"/>
                <w:szCs w:val="21"/>
              </w:rPr>
            </w:pPr>
            <w:r>
              <w:rPr>
                <w:rFonts w:ascii="Times New Roman"/>
                <w:kern w:val="2"/>
                <w:szCs w:val="21"/>
              </w:rPr>
              <w:t>废渗透膜</w:t>
            </w:r>
          </w:p>
        </w:tc>
        <w:tc>
          <w:tcPr>
            <w:tcW w:w="1717" w:type="dxa"/>
            <w:vAlign w:val="center"/>
          </w:tcPr>
          <w:p>
            <w:pPr>
              <w:pStyle w:val="38"/>
              <w:spacing w:beforeLines="0" w:afterLines="0" w:line="240" w:lineRule="auto"/>
              <w:rPr>
                <w:rFonts w:ascii="Times New Roman"/>
                <w:kern w:val="2"/>
                <w:szCs w:val="21"/>
              </w:rPr>
            </w:pPr>
            <w:r>
              <w:rPr>
                <w:rFonts w:ascii="Times New Roman"/>
                <w:kern w:val="2"/>
                <w:szCs w:val="21"/>
              </w:rPr>
              <w:t>0</w:t>
            </w:r>
          </w:p>
        </w:tc>
        <w:tc>
          <w:tcPr>
            <w:tcW w:w="1288" w:type="dxa"/>
            <w:vAlign w:val="center"/>
          </w:tcPr>
          <w:p>
            <w:pPr>
              <w:pStyle w:val="38"/>
              <w:spacing w:beforeLines="0" w:afterLines="0" w:line="240" w:lineRule="auto"/>
              <w:rPr>
                <w:rFonts w:ascii="Times New Roman"/>
                <w:kern w:val="2"/>
                <w:szCs w:val="21"/>
              </w:rPr>
            </w:pPr>
            <w:r>
              <w:rPr>
                <w:rFonts w:ascii="Times New Roman"/>
                <w:kern w:val="2"/>
                <w:szCs w:val="21"/>
              </w:rPr>
              <w:t>0</w:t>
            </w:r>
          </w:p>
        </w:tc>
        <w:tc>
          <w:tcPr>
            <w:tcW w:w="1514" w:type="dxa"/>
            <w:vAlign w:val="center"/>
          </w:tcPr>
          <w:p>
            <w:pPr>
              <w:pStyle w:val="38"/>
              <w:spacing w:beforeLines="0" w:afterLines="0" w:line="240" w:lineRule="auto"/>
              <w:rPr>
                <w:rFonts w:ascii="Times New Roman"/>
                <w:kern w:val="2"/>
                <w:szCs w:val="21"/>
              </w:rPr>
            </w:pPr>
            <w:r>
              <w:rPr>
                <w:rFonts w:ascii="Times New Roman"/>
                <w:kern w:val="2"/>
                <w:szCs w:val="21"/>
              </w:rPr>
              <w:t>0</w:t>
            </w:r>
          </w:p>
        </w:tc>
        <w:tc>
          <w:tcPr>
            <w:tcW w:w="1582" w:type="dxa"/>
            <w:vAlign w:val="center"/>
          </w:tcPr>
          <w:p>
            <w:pPr>
              <w:pStyle w:val="38"/>
              <w:spacing w:beforeLines="0" w:afterLines="0" w:line="240" w:lineRule="auto"/>
              <w:rPr>
                <w:rFonts w:ascii="Times New Roman"/>
                <w:kern w:val="2"/>
                <w:szCs w:val="21"/>
              </w:rPr>
            </w:pPr>
            <w:r>
              <w:rPr>
                <w:rFonts w:ascii="Times New Roman"/>
                <w:kern w:val="2"/>
                <w:szCs w:val="21"/>
              </w:rPr>
              <w:t>0.3</w:t>
            </w:r>
          </w:p>
        </w:tc>
        <w:tc>
          <w:tcPr>
            <w:tcW w:w="1786" w:type="dxa"/>
            <w:vAlign w:val="center"/>
          </w:tcPr>
          <w:p>
            <w:pPr>
              <w:pStyle w:val="38"/>
              <w:spacing w:beforeLines="0" w:afterLines="0" w:line="240" w:lineRule="auto"/>
              <w:rPr>
                <w:rFonts w:ascii="Times New Roman"/>
                <w:kern w:val="2"/>
                <w:szCs w:val="21"/>
              </w:rPr>
            </w:pPr>
            <w:r>
              <w:rPr>
                <w:rFonts w:ascii="Times New Roman"/>
                <w:kern w:val="2"/>
                <w:szCs w:val="21"/>
              </w:rPr>
              <w:t>0</w:t>
            </w:r>
          </w:p>
        </w:tc>
        <w:tc>
          <w:tcPr>
            <w:tcW w:w="1896" w:type="dxa"/>
            <w:vAlign w:val="center"/>
          </w:tcPr>
          <w:p>
            <w:pPr>
              <w:pStyle w:val="38"/>
              <w:spacing w:beforeLines="0" w:afterLines="0" w:line="240" w:lineRule="auto"/>
              <w:rPr>
                <w:rFonts w:ascii="Times New Roman"/>
                <w:kern w:val="2"/>
                <w:szCs w:val="21"/>
              </w:rPr>
            </w:pPr>
            <w:r>
              <w:rPr>
                <w:rFonts w:ascii="Times New Roman"/>
                <w:kern w:val="2"/>
                <w:szCs w:val="21"/>
              </w:rPr>
              <w:t>0.3</w:t>
            </w:r>
          </w:p>
        </w:tc>
        <w:tc>
          <w:tcPr>
            <w:tcW w:w="1295" w:type="dxa"/>
            <w:vAlign w:val="center"/>
          </w:tcPr>
          <w:p>
            <w:pPr>
              <w:pStyle w:val="38"/>
              <w:spacing w:beforeLines="0" w:afterLines="0" w:line="240" w:lineRule="auto"/>
              <w:rPr>
                <w:rFonts w:ascii="Times New Roman"/>
                <w:kern w:val="2"/>
                <w:szCs w:val="21"/>
              </w:rPr>
            </w:pPr>
            <w:r>
              <w:rPr>
                <w:rFonts w:ascii="Times New Roman"/>
                <w:kern w:val="2"/>
                <w:szCs w:val="21"/>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3" w:type="dxa"/>
            <w:gridSpan w:val="2"/>
            <w:vMerge w:val="continue"/>
            <w:vAlign w:val="center"/>
          </w:tcPr>
          <w:p>
            <w:pPr>
              <w:pStyle w:val="38"/>
              <w:spacing w:beforeLines="0" w:afterLines="0" w:line="240" w:lineRule="auto"/>
              <w:rPr>
                <w:rFonts w:ascii="Times New Roman"/>
                <w:snapToGrid w:val="0"/>
                <w:kern w:val="21"/>
                <w:szCs w:val="21"/>
              </w:rPr>
            </w:pPr>
          </w:p>
        </w:tc>
        <w:tc>
          <w:tcPr>
            <w:tcW w:w="1430" w:type="dxa"/>
            <w:vAlign w:val="center"/>
          </w:tcPr>
          <w:p>
            <w:pPr>
              <w:jc w:val="center"/>
              <w:rPr>
                <w:snapToGrid w:val="0"/>
                <w:kern w:val="21"/>
                <w:szCs w:val="21"/>
              </w:rPr>
            </w:pPr>
            <w:r>
              <w:rPr>
                <w:szCs w:val="21"/>
              </w:rPr>
              <w:t>含油抹布手套（不按危废处置）</w:t>
            </w:r>
          </w:p>
        </w:tc>
        <w:tc>
          <w:tcPr>
            <w:tcW w:w="1717" w:type="dxa"/>
            <w:vAlign w:val="center"/>
          </w:tcPr>
          <w:p>
            <w:pPr>
              <w:jc w:val="center"/>
              <w:rPr>
                <w:snapToGrid w:val="0"/>
                <w:kern w:val="21"/>
                <w:szCs w:val="21"/>
              </w:rPr>
            </w:pPr>
            <w:r>
              <w:rPr>
                <w:snapToGrid w:val="0"/>
                <w:kern w:val="21"/>
                <w:szCs w:val="21"/>
              </w:rPr>
              <w:t>0</w:t>
            </w:r>
          </w:p>
        </w:tc>
        <w:tc>
          <w:tcPr>
            <w:tcW w:w="1288" w:type="dxa"/>
            <w:vAlign w:val="center"/>
          </w:tcPr>
          <w:p>
            <w:pPr>
              <w:jc w:val="center"/>
              <w:rPr>
                <w:snapToGrid w:val="0"/>
                <w:kern w:val="21"/>
                <w:szCs w:val="21"/>
              </w:rPr>
            </w:pPr>
            <w:r>
              <w:rPr>
                <w:snapToGrid w:val="0"/>
                <w:kern w:val="21"/>
                <w:szCs w:val="21"/>
              </w:rPr>
              <w:t>0</w:t>
            </w:r>
          </w:p>
        </w:tc>
        <w:tc>
          <w:tcPr>
            <w:tcW w:w="1514" w:type="dxa"/>
            <w:vAlign w:val="center"/>
          </w:tcPr>
          <w:p>
            <w:pPr>
              <w:jc w:val="center"/>
              <w:rPr>
                <w:snapToGrid w:val="0"/>
                <w:kern w:val="21"/>
                <w:szCs w:val="21"/>
              </w:rPr>
            </w:pPr>
            <w:r>
              <w:rPr>
                <w:snapToGrid w:val="0"/>
                <w:kern w:val="21"/>
                <w:szCs w:val="21"/>
              </w:rPr>
              <w:t>0</w:t>
            </w:r>
          </w:p>
        </w:tc>
        <w:tc>
          <w:tcPr>
            <w:tcW w:w="1582" w:type="dxa"/>
            <w:vAlign w:val="center"/>
          </w:tcPr>
          <w:p>
            <w:pPr>
              <w:jc w:val="center"/>
              <w:rPr>
                <w:snapToGrid w:val="0"/>
                <w:kern w:val="21"/>
                <w:szCs w:val="21"/>
              </w:rPr>
            </w:pPr>
            <w:r>
              <w:rPr>
                <w:snapToGrid w:val="0"/>
                <w:kern w:val="21"/>
                <w:szCs w:val="21"/>
              </w:rPr>
              <w:t>0.005</w:t>
            </w:r>
          </w:p>
        </w:tc>
        <w:tc>
          <w:tcPr>
            <w:tcW w:w="1786" w:type="dxa"/>
            <w:vAlign w:val="center"/>
          </w:tcPr>
          <w:p>
            <w:pPr>
              <w:jc w:val="center"/>
              <w:rPr>
                <w:snapToGrid w:val="0"/>
                <w:kern w:val="21"/>
                <w:szCs w:val="21"/>
              </w:rPr>
            </w:pPr>
            <w:r>
              <w:rPr>
                <w:snapToGrid w:val="0"/>
                <w:kern w:val="21"/>
                <w:szCs w:val="21"/>
              </w:rPr>
              <w:t>0</w:t>
            </w:r>
          </w:p>
        </w:tc>
        <w:tc>
          <w:tcPr>
            <w:tcW w:w="1896" w:type="dxa"/>
            <w:vAlign w:val="center"/>
          </w:tcPr>
          <w:p>
            <w:pPr>
              <w:jc w:val="center"/>
              <w:rPr>
                <w:snapToGrid w:val="0"/>
                <w:kern w:val="21"/>
                <w:szCs w:val="21"/>
              </w:rPr>
            </w:pPr>
            <w:r>
              <w:rPr>
                <w:snapToGrid w:val="0"/>
                <w:kern w:val="21"/>
                <w:szCs w:val="21"/>
              </w:rPr>
              <w:t>0.005</w:t>
            </w:r>
          </w:p>
        </w:tc>
        <w:tc>
          <w:tcPr>
            <w:tcW w:w="1295" w:type="dxa"/>
            <w:vAlign w:val="center"/>
          </w:tcPr>
          <w:p>
            <w:pPr>
              <w:jc w:val="center"/>
              <w:rPr>
                <w:snapToGrid w:val="0"/>
                <w:kern w:val="21"/>
                <w:szCs w:val="21"/>
              </w:rPr>
            </w:pPr>
            <w:r>
              <w:rPr>
                <w:snapToGrid w:val="0"/>
                <w:kern w:val="21"/>
                <w:szCs w:val="21"/>
              </w:rPr>
              <w:t>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3" w:type="dxa"/>
            <w:gridSpan w:val="2"/>
            <w:vMerge w:val="continue"/>
            <w:vAlign w:val="center"/>
          </w:tcPr>
          <w:p>
            <w:pPr>
              <w:pStyle w:val="38"/>
              <w:spacing w:beforeLines="0" w:afterLines="0" w:line="240" w:lineRule="auto"/>
              <w:rPr>
                <w:rFonts w:ascii="Times New Roman"/>
                <w:kern w:val="2"/>
                <w:szCs w:val="21"/>
              </w:rPr>
            </w:pPr>
          </w:p>
        </w:tc>
        <w:tc>
          <w:tcPr>
            <w:tcW w:w="1430" w:type="dxa"/>
            <w:vAlign w:val="center"/>
          </w:tcPr>
          <w:p>
            <w:pPr>
              <w:jc w:val="center"/>
              <w:rPr>
                <w:szCs w:val="21"/>
              </w:rPr>
            </w:pPr>
            <w:r>
              <w:rPr>
                <w:szCs w:val="21"/>
              </w:rPr>
              <w:t>农药、化肥包装物</w:t>
            </w:r>
          </w:p>
        </w:tc>
        <w:tc>
          <w:tcPr>
            <w:tcW w:w="1717" w:type="dxa"/>
            <w:vAlign w:val="center"/>
          </w:tcPr>
          <w:p>
            <w:pPr>
              <w:jc w:val="center"/>
              <w:rPr>
                <w:szCs w:val="21"/>
              </w:rPr>
            </w:pPr>
            <w:r>
              <w:rPr>
                <w:szCs w:val="21"/>
              </w:rPr>
              <w:t>0</w:t>
            </w:r>
          </w:p>
        </w:tc>
        <w:tc>
          <w:tcPr>
            <w:tcW w:w="1288" w:type="dxa"/>
            <w:vAlign w:val="center"/>
          </w:tcPr>
          <w:p>
            <w:pPr>
              <w:jc w:val="center"/>
              <w:rPr>
                <w:szCs w:val="21"/>
              </w:rPr>
            </w:pPr>
            <w:r>
              <w:rPr>
                <w:szCs w:val="21"/>
              </w:rPr>
              <w:t>0</w:t>
            </w:r>
          </w:p>
        </w:tc>
        <w:tc>
          <w:tcPr>
            <w:tcW w:w="1514" w:type="dxa"/>
            <w:vAlign w:val="center"/>
          </w:tcPr>
          <w:p>
            <w:pPr>
              <w:jc w:val="center"/>
              <w:rPr>
                <w:szCs w:val="21"/>
              </w:rPr>
            </w:pPr>
            <w:r>
              <w:rPr>
                <w:szCs w:val="21"/>
              </w:rPr>
              <w:t>0</w:t>
            </w:r>
          </w:p>
        </w:tc>
        <w:tc>
          <w:tcPr>
            <w:tcW w:w="1582" w:type="dxa"/>
            <w:vAlign w:val="center"/>
          </w:tcPr>
          <w:p>
            <w:pPr>
              <w:pStyle w:val="38"/>
              <w:spacing w:beforeLines="0" w:afterLines="0" w:line="240" w:lineRule="auto"/>
              <w:rPr>
                <w:rFonts w:ascii="Times New Roman"/>
                <w:kern w:val="2"/>
                <w:szCs w:val="21"/>
              </w:rPr>
            </w:pPr>
            <w:r>
              <w:rPr>
                <w:rFonts w:ascii="Times New Roman"/>
                <w:kern w:val="2"/>
                <w:szCs w:val="21"/>
              </w:rPr>
              <w:t>0.373</w:t>
            </w:r>
          </w:p>
        </w:tc>
        <w:tc>
          <w:tcPr>
            <w:tcW w:w="1786" w:type="dxa"/>
            <w:vAlign w:val="center"/>
          </w:tcPr>
          <w:p>
            <w:pPr>
              <w:jc w:val="center"/>
              <w:rPr>
                <w:szCs w:val="21"/>
              </w:rPr>
            </w:pPr>
            <w:r>
              <w:rPr>
                <w:szCs w:val="21"/>
              </w:rPr>
              <w:t>0</w:t>
            </w:r>
          </w:p>
        </w:tc>
        <w:tc>
          <w:tcPr>
            <w:tcW w:w="1896" w:type="dxa"/>
            <w:vAlign w:val="center"/>
          </w:tcPr>
          <w:p>
            <w:pPr>
              <w:pStyle w:val="38"/>
              <w:spacing w:beforeLines="0" w:afterLines="0" w:line="240" w:lineRule="auto"/>
              <w:rPr>
                <w:rFonts w:ascii="Times New Roman"/>
                <w:kern w:val="2"/>
                <w:szCs w:val="21"/>
              </w:rPr>
            </w:pPr>
            <w:r>
              <w:rPr>
                <w:rFonts w:ascii="Times New Roman"/>
                <w:kern w:val="2"/>
                <w:szCs w:val="21"/>
              </w:rPr>
              <w:t>0.373</w:t>
            </w:r>
          </w:p>
        </w:tc>
        <w:tc>
          <w:tcPr>
            <w:tcW w:w="1295" w:type="dxa"/>
            <w:vAlign w:val="center"/>
          </w:tcPr>
          <w:p>
            <w:pPr>
              <w:pStyle w:val="38"/>
              <w:spacing w:beforeLines="0" w:afterLines="0" w:line="240" w:lineRule="auto"/>
              <w:rPr>
                <w:rFonts w:ascii="Times New Roman"/>
                <w:kern w:val="2"/>
                <w:szCs w:val="21"/>
              </w:rPr>
            </w:pPr>
            <w:r>
              <w:rPr>
                <w:rFonts w:ascii="Times New Roman"/>
                <w:kern w:val="2"/>
                <w:szCs w:val="21"/>
              </w:rPr>
              <w:t>0.373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3" w:type="dxa"/>
            <w:gridSpan w:val="2"/>
            <w:vMerge w:val="restart"/>
            <w:vAlign w:val="center"/>
          </w:tcPr>
          <w:p>
            <w:pPr>
              <w:pStyle w:val="38"/>
              <w:spacing w:beforeLines="0" w:afterLines="0" w:line="240" w:lineRule="auto"/>
              <w:rPr>
                <w:rFonts w:ascii="Times New Roman"/>
                <w:kern w:val="2"/>
                <w:szCs w:val="21"/>
              </w:rPr>
            </w:pPr>
            <w:r>
              <w:rPr>
                <w:rFonts w:hint="eastAsia" w:ascii="Times New Roman"/>
                <w:kern w:val="2"/>
                <w:szCs w:val="21"/>
              </w:rPr>
              <w:t>危险固废</w:t>
            </w:r>
          </w:p>
        </w:tc>
        <w:tc>
          <w:tcPr>
            <w:tcW w:w="1430" w:type="dxa"/>
            <w:vAlign w:val="center"/>
          </w:tcPr>
          <w:p>
            <w:pPr>
              <w:pStyle w:val="38"/>
              <w:spacing w:beforeLines="0" w:afterLines="0" w:line="240" w:lineRule="auto"/>
              <w:rPr>
                <w:rFonts w:ascii="Times New Roman"/>
                <w:kern w:val="2"/>
                <w:szCs w:val="21"/>
              </w:rPr>
            </w:pPr>
            <w:r>
              <w:rPr>
                <w:rFonts w:ascii="Times New Roman"/>
                <w:kern w:val="2"/>
                <w:szCs w:val="21"/>
              </w:rPr>
              <w:t>废机油</w:t>
            </w:r>
          </w:p>
        </w:tc>
        <w:tc>
          <w:tcPr>
            <w:tcW w:w="1717" w:type="dxa"/>
            <w:vAlign w:val="center"/>
          </w:tcPr>
          <w:p>
            <w:pPr>
              <w:pStyle w:val="38"/>
              <w:spacing w:beforeLines="0" w:afterLines="0" w:line="240" w:lineRule="auto"/>
              <w:rPr>
                <w:rFonts w:ascii="Times New Roman"/>
                <w:kern w:val="2"/>
                <w:szCs w:val="21"/>
              </w:rPr>
            </w:pPr>
            <w:r>
              <w:rPr>
                <w:rFonts w:ascii="Times New Roman"/>
                <w:kern w:val="2"/>
                <w:szCs w:val="21"/>
              </w:rPr>
              <w:t>0</w:t>
            </w:r>
          </w:p>
        </w:tc>
        <w:tc>
          <w:tcPr>
            <w:tcW w:w="1288" w:type="dxa"/>
            <w:vAlign w:val="center"/>
          </w:tcPr>
          <w:p>
            <w:pPr>
              <w:pStyle w:val="38"/>
              <w:spacing w:beforeLines="0" w:afterLines="0" w:line="240" w:lineRule="auto"/>
              <w:rPr>
                <w:rFonts w:ascii="Times New Roman"/>
                <w:kern w:val="2"/>
                <w:szCs w:val="21"/>
              </w:rPr>
            </w:pPr>
            <w:r>
              <w:rPr>
                <w:rFonts w:ascii="Times New Roman"/>
                <w:kern w:val="2"/>
                <w:szCs w:val="21"/>
              </w:rPr>
              <w:t>0</w:t>
            </w:r>
          </w:p>
        </w:tc>
        <w:tc>
          <w:tcPr>
            <w:tcW w:w="1514" w:type="dxa"/>
            <w:vAlign w:val="center"/>
          </w:tcPr>
          <w:p>
            <w:pPr>
              <w:pStyle w:val="38"/>
              <w:spacing w:beforeLines="0" w:afterLines="0" w:line="240" w:lineRule="auto"/>
              <w:rPr>
                <w:rFonts w:ascii="Times New Roman"/>
                <w:kern w:val="2"/>
                <w:szCs w:val="21"/>
              </w:rPr>
            </w:pPr>
            <w:r>
              <w:rPr>
                <w:rFonts w:ascii="Times New Roman"/>
                <w:kern w:val="2"/>
                <w:szCs w:val="21"/>
              </w:rPr>
              <w:t>0</w:t>
            </w:r>
          </w:p>
        </w:tc>
        <w:tc>
          <w:tcPr>
            <w:tcW w:w="1582" w:type="dxa"/>
            <w:vAlign w:val="center"/>
          </w:tcPr>
          <w:p>
            <w:pPr>
              <w:pStyle w:val="38"/>
              <w:spacing w:beforeLines="0" w:afterLines="0" w:line="240" w:lineRule="auto"/>
              <w:rPr>
                <w:rFonts w:ascii="Times New Roman"/>
                <w:kern w:val="2"/>
                <w:szCs w:val="21"/>
              </w:rPr>
            </w:pPr>
            <w:r>
              <w:rPr>
                <w:rFonts w:ascii="Times New Roman"/>
                <w:kern w:val="2"/>
                <w:szCs w:val="21"/>
              </w:rPr>
              <w:t>0.2</w:t>
            </w:r>
          </w:p>
        </w:tc>
        <w:tc>
          <w:tcPr>
            <w:tcW w:w="1786" w:type="dxa"/>
            <w:vAlign w:val="center"/>
          </w:tcPr>
          <w:p>
            <w:pPr>
              <w:pStyle w:val="38"/>
              <w:spacing w:beforeLines="0" w:afterLines="0" w:line="240" w:lineRule="auto"/>
              <w:rPr>
                <w:rFonts w:ascii="Times New Roman"/>
                <w:kern w:val="2"/>
                <w:szCs w:val="21"/>
              </w:rPr>
            </w:pPr>
            <w:r>
              <w:rPr>
                <w:rFonts w:ascii="Times New Roman"/>
                <w:kern w:val="2"/>
                <w:szCs w:val="21"/>
              </w:rPr>
              <w:t>0</w:t>
            </w:r>
          </w:p>
        </w:tc>
        <w:tc>
          <w:tcPr>
            <w:tcW w:w="1896" w:type="dxa"/>
            <w:vAlign w:val="center"/>
          </w:tcPr>
          <w:p>
            <w:pPr>
              <w:pStyle w:val="38"/>
              <w:spacing w:beforeLines="0" w:afterLines="0" w:line="240" w:lineRule="auto"/>
              <w:rPr>
                <w:rFonts w:ascii="Times New Roman"/>
                <w:kern w:val="2"/>
                <w:szCs w:val="21"/>
              </w:rPr>
            </w:pPr>
            <w:r>
              <w:rPr>
                <w:rFonts w:ascii="Times New Roman"/>
                <w:kern w:val="2"/>
                <w:szCs w:val="21"/>
              </w:rPr>
              <w:t>0.2</w:t>
            </w:r>
          </w:p>
        </w:tc>
        <w:tc>
          <w:tcPr>
            <w:tcW w:w="1295" w:type="dxa"/>
            <w:vAlign w:val="center"/>
          </w:tcPr>
          <w:p>
            <w:pPr>
              <w:pStyle w:val="38"/>
              <w:spacing w:beforeLines="0" w:afterLines="0" w:line="240" w:lineRule="auto"/>
              <w:rPr>
                <w:rFonts w:ascii="Times New Roman"/>
                <w:kern w:val="2"/>
                <w:szCs w:val="21"/>
              </w:rPr>
            </w:pPr>
            <w:r>
              <w:rPr>
                <w:rFonts w:ascii="Times New Roman"/>
                <w:kern w:val="2"/>
                <w:szCs w:val="21"/>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3" w:type="dxa"/>
            <w:gridSpan w:val="2"/>
            <w:vMerge w:val="continue"/>
            <w:vAlign w:val="center"/>
          </w:tcPr>
          <w:p>
            <w:pPr>
              <w:pStyle w:val="38"/>
              <w:spacing w:beforeLines="0" w:afterLines="0" w:line="240" w:lineRule="auto"/>
              <w:rPr>
                <w:rFonts w:ascii="Times New Roman"/>
                <w:kern w:val="2"/>
                <w:szCs w:val="21"/>
              </w:rPr>
            </w:pPr>
          </w:p>
        </w:tc>
        <w:tc>
          <w:tcPr>
            <w:tcW w:w="1430" w:type="dxa"/>
            <w:vAlign w:val="center"/>
          </w:tcPr>
          <w:p>
            <w:pPr>
              <w:pStyle w:val="38"/>
              <w:spacing w:beforeLines="0" w:afterLines="0" w:line="240" w:lineRule="auto"/>
              <w:rPr>
                <w:rFonts w:ascii="Times New Roman"/>
                <w:kern w:val="2"/>
                <w:szCs w:val="21"/>
              </w:rPr>
            </w:pPr>
            <w:r>
              <w:rPr>
                <w:rFonts w:ascii="Times New Roman"/>
                <w:kern w:val="2"/>
                <w:szCs w:val="21"/>
              </w:rPr>
              <w:t>硝酸包装物</w:t>
            </w:r>
          </w:p>
        </w:tc>
        <w:tc>
          <w:tcPr>
            <w:tcW w:w="1717" w:type="dxa"/>
            <w:vAlign w:val="center"/>
          </w:tcPr>
          <w:p>
            <w:pPr>
              <w:pStyle w:val="38"/>
              <w:spacing w:beforeLines="0" w:afterLines="0" w:line="240" w:lineRule="auto"/>
              <w:rPr>
                <w:rFonts w:ascii="Times New Roman"/>
                <w:kern w:val="2"/>
                <w:szCs w:val="21"/>
              </w:rPr>
            </w:pPr>
            <w:r>
              <w:rPr>
                <w:rFonts w:ascii="Times New Roman"/>
                <w:kern w:val="2"/>
                <w:szCs w:val="21"/>
              </w:rPr>
              <w:t>0</w:t>
            </w:r>
          </w:p>
        </w:tc>
        <w:tc>
          <w:tcPr>
            <w:tcW w:w="1288" w:type="dxa"/>
            <w:vAlign w:val="center"/>
          </w:tcPr>
          <w:p>
            <w:pPr>
              <w:pStyle w:val="38"/>
              <w:spacing w:beforeLines="0" w:afterLines="0" w:line="240" w:lineRule="auto"/>
              <w:rPr>
                <w:rFonts w:ascii="Times New Roman"/>
                <w:kern w:val="2"/>
                <w:szCs w:val="21"/>
              </w:rPr>
            </w:pPr>
            <w:r>
              <w:rPr>
                <w:rFonts w:ascii="Times New Roman"/>
                <w:kern w:val="2"/>
                <w:szCs w:val="21"/>
              </w:rPr>
              <w:t>0</w:t>
            </w:r>
          </w:p>
        </w:tc>
        <w:tc>
          <w:tcPr>
            <w:tcW w:w="1514" w:type="dxa"/>
            <w:vAlign w:val="center"/>
          </w:tcPr>
          <w:p>
            <w:pPr>
              <w:pStyle w:val="38"/>
              <w:spacing w:beforeLines="0" w:afterLines="0" w:line="240" w:lineRule="auto"/>
              <w:rPr>
                <w:rFonts w:ascii="Times New Roman"/>
                <w:kern w:val="2"/>
                <w:szCs w:val="21"/>
              </w:rPr>
            </w:pPr>
            <w:r>
              <w:rPr>
                <w:rFonts w:ascii="Times New Roman"/>
                <w:kern w:val="2"/>
                <w:szCs w:val="21"/>
              </w:rPr>
              <w:t>0</w:t>
            </w:r>
          </w:p>
        </w:tc>
        <w:tc>
          <w:tcPr>
            <w:tcW w:w="1582" w:type="dxa"/>
            <w:vAlign w:val="center"/>
          </w:tcPr>
          <w:p>
            <w:pPr>
              <w:pStyle w:val="38"/>
              <w:spacing w:beforeLines="0" w:afterLines="0" w:line="240" w:lineRule="auto"/>
              <w:rPr>
                <w:rFonts w:ascii="Times New Roman"/>
                <w:kern w:val="2"/>
                <w:szCs w:val="21"/>
              </w:rPr>
            </w:pPr>
            <w:r>
              <w:rPr>
                <w:rFonts w:ascii="Times New Roman"/>
                <w:kern w:val="2"/>
                <w:szCs w:val="21"/>
              </w:rPr>
              <w:t>0.3</w:t>
            </w:r>
          </w:p>
        </w:tc>
        <w:tc>
          <w:tcPr>
            <w:tcW w:w="1786" w:type="dxa"/>
            <w:vAlign w:val="center"/>
          </w:tcPr>
          <w:p>
            <w:pPr>
              <w:pStyle w:val="38"/>
              <w:spacing w:beforeLines="0" w:afterLines="0" w:line="240" w:lineRule="auto"/>
              <w:rPr>
                <w:rFonts w:ascii="Times New Roman"/>
                <w:kern w:val="2"/>
                <w:szCs w:val="21"/>
              </w:rPr>
            </w:pPr>
            <w:r>
              <w:rPr>
                <w:rFonts w:ascii="Times New Roman"/>
                <w:kern w:val="2"/>
                <w:szCs w:val="21"/>
              </w:rPr>
              <w:t>0</w:t>
            </w:r>
          </w:p>
        </w:tc>
        <w:tc>
          <w:tcPr>
            <w:tcW w:w="1896" w:type="dxa"/>
            <w:vAlign w:val="center"/>
          </w:tcPr>
          <w:p>
            <w:pPr>
              <w:pStyle w:val="38"/>
              <w:spacing w:beforeLines="0" w:afterLines="0" w:line="240" w:lineRule="auto"/>
              <w:rPr>
                <w:rFonts w:ascii="Times New Roman"/>
                <w:kern w:val="2"/>
                <w:szCs w:val="21"/>
              </w:rPr>
            </w:pPr>
            <w:r>
              <w:rPr>
                <w:rFonts w:ascii="Times New Roman"/>
                <w:kern w:val="2"/>
                <w:szCs w:val="21"/>
              </w:rPr>
              <w:t>0.3</w:t>
            </w:r>
          </w:p>
        </w:tc>
        <w:tc>
          <w:tcPr>
            <w:tcW w:w="1295" w:type="dxa"/>
            <w:vAlign w:val="center"/>
          </w:tcPr>
          <w:p>
            <w:pPr>
              <w:pStyle w:val="38"/>
              <w:spacing w:beforeLines="0" w:afterLines="0" w:line="240" w:lineRule="auto"/>
              <w:rPr>
                <w:rFonts w:ascii="Times New Roman"/>
                <w:kern w:val="2"/>
                <w:szCs w:val="21"/>
              </w:rPr>
            </w:pPr>
            <w:r>
              <w:rPr>
                <w:rFonts w:ascii="Times New Roman"/>
                <w:kern w:val="2"/>
                <w:szCs w:val="21"/>
              </w:rPr>
              <w:t>0.3</w:t>
            </w:r>
          </w:p>
        </w:tc>
      </w:tr>
    </w:tbl>
    <w:p>
      <w:pPr>
        <w:pStyle w:val="38"/>
        <w:spacing w:before="249" w:beforeLines="80" w:after="31" w:line="360" w:lineRule="auto"/>
        <w:jc w:val="left"/>
        <w:rPr>
          <w:rFonts w:ascii="Times New Roman"/>
          <w:snapToGrid w:val="0"/>
          <w:spacing w:val="-6"/>
          <w:kern w:val="21"/>
          <w:sz w:val="24"/>
          <w:szCs w:val="24"/>
        </w:rPr>
      </w:pPr>
      <w:r>
        <w:rPr>
          <w:rFonts w:ascii="Times New Roman"/>
          <w:snapToGrid w:val="0"/>
          <w:kern w:val="21"/>
          <w:sz w:val="24"/>
          <w:szCs w:val="24"/>
        </w:rPr>
        <w:t>注：</w:t>
      </w:r>
      <w:r>
        <w:rPr>
          <w:rFonts w:ascii="Times New Roman"/>
          <w:snapToGrid w:val="0"/>
          <w:spacing w:val="-16"/>
          <w:kern w:val="21"/>
          <w:sz w:val="24"/>
          <w:szCs w:val="24"/>
        </w:rPr>
        <w:fldChar w:fldCharType="begin"/>
      </w:r>
      <w:r>
        <w:rPr>
          <w:rFonts w:ascii="Times New Roman"/>
          <w:snapToGrid w:val="0"/>
          <w:spacing w:val="-16"/>
          <w:kern w:val="21"/>
          <w:sz w:val="24"/>
          <w:szCs w:val="24"/>
        </w:rPr>
        <w:instrText xml:space="preserve"> = 6 \* GB3 \* MERGEFORMAT </w:instrText>
      </w:r>
      <w:r>
        <w:rPr>
          <w:rFonts w:ascii="Times New Roman"/>
          <w:snapToGrid w:val="0"/>
          <w:spacing w:val="-16"/>
          <w:kern w:val="21"/>
          <w:sz w:val="24"/>
          <w:szCs w:val="24"/>
        </w:rPr>
        <w:fldChar w:fldCharType="separate"/>
      </w:r>
      <w:r>
        <w:rPr>
          <w:rFonts w:ascii="Times New Roman"/>
          <w:sz w:val="24"/>
          <w:szCs w:val="24"/>
        </w:rPr>
        <w:t>⑥</w:t>
      </w:r>
      <w:r>
        <w:rPr>
          <w:rFonts w:ascii="Times New Roman"/>
          <w:snapToGrid w:val="0"/>
          <w:spacing w:val="-16"/>
          <w:kern w:val="21"/>
          <w:sz w:val="24"/>
          <w:szCs w:val="24"/>
        </w:rPr>
        <w:fldChar w:fldCharType="end"/>
      </w:r>
      <w:r>
        <w:rPr>
          <w:rFonts w:ascii="Times New Roman"/>
          <w:snapToGrid w:val="0"/>
          <w:spacing w:val="-16"/>
          <w:kern w:val="21"/>
          <w:sz w:val="24"/>
          <w:szCs w:val="24"/>
        </w:rPr>
        <w:t>=</w:t>
      </w:r>
      <w:r>
        <w:rPr>
          <w:rFonts w:ascii="Times New Roman"/>
          <w:snapToGrid w:val="0"/>
          <w:spacing w:val="-6"/>
          <w:kern w:val="21"/>
          <w:sz w:val="24"/>
          <w:szCs w:val="24"/>
        </w:rPr>
        <w:fldChar w:fldCharType="begin"/>
      </w:r>
      <w:r>
        <w:rPr>
          <w:rFonts w:ascii="Times New Roman"/>
          <w:snapToGrid w:val="0"/>
          <w:spacing w:val="-6"/>
          <w:kern w:val="21"/>
          <w:sz w:val="24"/>
          <w:szCs w:val="24"/>
        </w:rPr>
        <w:instrText xml:space="preserve"> = 1 \* GB3 \* MERGEFORMAT </w:instrText>
      </w:r>
      <w:r>
        <w:rPr>
          <w:rFonts w:ascii="Times New Roman"/>
          <w:snapToGrid w:val="0"/>
          <w:spacing w:val="-6"/>
          <w:kern w:val="21"/>
          <w:sz w:val="24"/>
          <w:szCs w:val="24"/>
        </w:rPr>
        <w:fldChar w:fldCharType="separate"/>
      </w:r>
      <w:r>
        <w:rPr>
          <w:rFonts w:ascii="Times New Roman"/>
          <w:sz w:val="24"/>
          <w:szCs w:val="24"/>
        </w:rPr>
        <w:t>①</w:t>
      </w:r>
      <w:r>
        <w:rPr>
          <w:rFonts w:ascii="Times New Roman"/>
          <w:snapToGrid w:val="0"/>
          <w:spacing w:val="-6"/>
          <w:kern w:val="21"/>
          <w:sz w:val="24"/>
          <w:szCs w:val="24"/>
        </w:rPr>
        <w:fldChar w:fldCharType="end"/>
      </w:r>
      <w:r>
        <w:rPr>
          <w:rFonts w:ascii="Times New Roman"/>
          <w:snapToGrid w:val="0"/>
          <w:spacing w:val="-6"/>
          <w:kern w:val="21"/>
          <w:sz w:val="24"/>
          <w:szCs w:val="24"/>
        </w:rPr>
        <w:t>+</w:t>
      </w:r>
      <w:r>
        <w:rPr>
          <w:rFonts w:ascii="Times New Roman"/>
          <w:snapToGrid w:val="0"/>
          <w:spacing w:val="-6"/>
          <w:kern w:val="21"/>
          <w:sz w:val="24"/>
          <w:szCs w:val="24"/>
        </w:rPr>
        <w:fldChar w:fldCharType="begin"/>
      </w:r>
      <w:r>
        <w:rPr>
          <w:rFonts w:ascii="Times New Roman"/>
          <w:snapToGrid w:val="0"/>
          <w:spacing w:val="-6"/>
          <w:kern w:val="21"/>
          <w:sz w:val="24"/>
          <w:szCs w:val="24"/>
        </w:rPr>
        <w:instrText xml:space="preserve"> = 3 \* GB3 \* MERGEFORMAT </w:instrText>
      </w:r>
      <w:r>
        <w:rPr>
          <w:rFonts w:ascii="Times New Roman"/>
          <w:snapToGrid w:val="0"/>
          <w:spacing w:val="-6"/>
          <w:kern w:val="21"/>
          <w:sz w:val="24"/>
          <w:szCs w:val="24"/>
        </w:rPr>
        <w:fldChar w:fldCharType="separate"/>
      </w:r>
      <w:r>
        <w:rPr>
          <w:rFonts w:ascii="Times New Roman"/>
          <w:sz w:val="24"/>
          <w:szCs w:val="24"/>
        </w:rPr>
        <w:t>③</w:t>
      </w:r>
      <w:r>
        <w:rPr>
          <w:rFonts w:ascii="Times New Roman"/>
          <w:snapToGrid w:val="0"/>
          <w:spacing w:val="-6"/>
          <w:kern w:val="21"/>
          <w:sz w:val="24"/>
          <w:szCs w:val="24"/>
        </w:rPr>
        <w:fldChar w:fldCharType="end"/>
      </w:r>
      <w:r>
        <w:rPr>
          <w:rFonts w:ascii="Times New Roman"/>
          <w:snapToGrid w:val="0"/>
          <w:spacing w:val="-6"/>
          <w:kern w:val="21"/>
          <w:sz w:val="24"/>
          <w:szCs w:val="24"/>
        </w:rPr>
        <w:t>+</w:t>
      </w:r>
      <w:r>
        <w:rPr>
          <w:rFonts w:ascii="Times New Roman"/>
          <w:snapToGrid w:val="0"/>
          <w:spacing w:val="-6"/>
          <w:kern w:val="21"/>
          <w:sz w:val="24"/>
          <w:szCs w:val="24"/>
        </w:rPr>
        <w:fldChar w:fldCharType="begin"/>
      </w:r>
      <w:r>
        <w:rPr>
          <w:rFonts w:ascii="Times New Roman"/>
          <w:snapToGrid w:val="0"/>
          <w:spacing w:val="-6"/>
          <w:kern w:val="21"/>
          <w:sz w:val="24"/>
          <w:szCs w:val="24"/>
        </w:rPr>
        <w:instrText xml:space="preserve"> = 4 \* GB3 \* MERGEFORMAT </w:instrText>
      </w:r>
      <w:r>
        <w:rPr>
          <w:rFonts w:ascii="Times New Roman"/>
          <w:snapToGrid w:val="0"/>
          <w:spacing w:val="-6"/>
          <w:kern w:val="21"/>
          <w:sz w:val="24"/>
          <w:szCs w:val="24"/>
        </w:rPr>
        <w:fldChar w:fldCharType="separate"/>
      </w:r>
      <w:r>
        <w:rPr>
          <w:rFonts w:ascii="Times New Roman"/>
          <w:sz w:val="24"/>
          <w:szCs w:val="24"/>
        </w:rPr>
        <w:t>④</w:t>
      </w:r>
      <w:r>
        <w:rPr>
          <w:rFonts w:ascii="Times New Roman"/>
          <w:snapToGrid w:val="0"/>
          <w:spacing w:val="-6"/>
          <w:kern w:val="21"/>
          <w:sz w:val="24"/>
          <w:szCs w:val="24"/>
        </w:rPr>
        <w:fldChar w:fldCharType="end"/>
      </w:r>
      <w:r>
        <w:rPr>
          <w:rFonts w:ascii="Times New Roman"/>
          <w:snapToGrid w:val="0"/>
          <w:spacing w:val="-6"/>
          <w:kern w:val="21"/>
          <w:sz w:val="24"/>
          <w:szCs w:val="24"/>
        </w:rPr>
        <w:t>-</w:t>
      </w:r>
      <w:r>
        <w:rPr>
          <w:rFonts w:ascii="Times New Roman"/>
          <w:snapToGrid w:val="0"/>
          <w:spacing w:val="-16"/>
          <w:kern w:val="21"/>
          <w:sz w:val="24"/>
          <w:szCs w:val="24"/>
        </w:rPr>
        <w:fldChar w:fldCharType="begin"/>
      </w:r>
      <w:r>
        <w:rPr>
          <w:rFonts w:ascii="Times New Roman"/>
          <w:snapToGrid w:val="0"/>
          <w:spacing w:val="-16"/>
          <w:kern w:val="21"/>
          <w:sz w:val="24"/>
          <w:szCs w:val="24"/>
        </w:rPr>
        <w:instrText xml:space="preserve"> = 5 \* GB3 \* MERGEFORMAT </w:instrText>
      </w:r>
      <w:r>
        <w:rPr>
          <w:rFonts w:ascii="Times New Roman"/>
          <w:snapToGrid w:val="0"/>
          <w:spacing w:val="-16"/>
          <w:kern w:val="21"/>
          <w:sz w:val="24"/>
          <w:szCs w:val="24"/>
        </w:rPr>
        <w:fldChar w:fldCharType="separate"/>
      </w:r>
      <w:r>
        <w:rPr>
          <w:rFonts w:ascii="Times New Roman"/>
          <w:sz w:val="24"/>
          <w:szCs w:val="24"/>
        </w:rPr>
        <w:t>⑤</w:t>
      </w:r>
      <w:r>
        <w:rPr>
          <w:rFonts w:ascii="Times New Roman"/>
          <w:snapToGrid w:val="0"/>
          <w:spacing w:val="-16"/>
          <w:kern w:val="21"/>
          <w:sz w:val="24"/>
          <w:szCs w:val="24"/>
        </w:rPr>
        <w:fldChar w:fldCharType="end"/>
      </w:r>
      <w:r>
        <w:rPr>
          <w:rFonts w:ascii="Times New Roman"/>
          <w:snapToGrid w:val="0"/>
          <w:spacing w:val="-16"/>
          <w:kern w:val="21"/>
          <w:sz w:val="24"/>
          <w:szCs w:val="24"/>
        </w:rPr>
        <w:t>；</w:t>
      </w:r>
      <w:r>
        <w:rPr>
          <w:rFonts w:ascii="Times New Roman"/>
          <w:snapToGrid w:val="0"/>
          <w:spacing w:val="-6"/>
          <w:kern w:val="21"/>
          <w:sz w:val="24"/>
          <w:szCs w:val="24"/>
        </w:rPr>
        <w:fldChar w:fldCharType="begin"/>
      </w:r>
      <w:r>
        <w:rPr>
          <w:rFonts w:ascii="Times New Roman"/>
          <w:snapToGrid w:val="0"/>
          <w:spacing w:val="-6"/>
          <w:kern w:val="21"/>
          <w:sz w:val="24"/>
          <w:szCs w:val="24"/>
        </w:rPr>
        <w:instrText xml:space="preserve"> = 7 \* GB3 \* MERGEFORMAT </w:instrText>
      </w:r>
      <w:r>
        <w:rPr>
          <w:rFonts w:ascii="Times New Roman"/>
          <w:snapToGrid w:val="0"/>
          <w:spacing w:val="-6"/>
          <w:kern w:val="21"/>
          <w:sz w:val="24"/>
          <w:szCs w:val="24"/>
        </w:rPr>
        <w:fldChar w:fldCharType="separate"/>
      </w:r>
      <w:r>
        <w:rPr>
          <w:rFonts w:ascii="Times New Roman"/>
          <w:sz w:val="24"/>
          <w:szCs w:val="24"/>
        </w:rPr>
        <w:t>⑦</w:t>
      </w:r>
      <w:r>
        <w:rPr>
          <w:rFonts w:ascii="Times New Roman"/>
          <w:snapToGrid w:val="0"/>
          <w:spacing w:val="-6"/>
          <w:kern w:val="21"/>
          <w:sz w:val="24"/>
          <w:szCs w:val="24"/>
        </w:rPr>
        <w:fldChar w:fldCharType="end"/>
      </w:r>
      <w:r>
        <w:rPr>
          <w:rFonts w:ascii="Times New Roman"/>
          <w:snapToGrid w:val="0"/>
          <w:spacing w:val="-6"/>
          <w:kern w:val="21"/>
          <w:sz w:val="24"/>
          <w:szCs w:val="24"/>
        </w:rPr>
        <w:t>=</w:t>
      </w:r>
      <w:r>
        <w:rPr>
          <w:rFonts w:ascii="Times New Roman"/>
          <w:snapToGrid w:val="0"/>
          <w:spacing w:val="-16"/>
          <w:kern w:val="21"/>
          <w:sz w:val="24"/>
          <w:szCs w:val="24"/>
        </w:rPr>
        <w:fldChar w:fldCharType="begin"/>
      </w:r>
      <w:r>
        <w:rPr>
          <w:rFonts w:ascii="Times New Roman"/>
          <w:snapToGrid w:val="0"/>
          <w:spacing w:val="-16"/>
          <w:kern w:val="21"/>
          <w:sz w:val="24"/>
          <w:szCs w:val="24"/>
        </w:rPr>
        <w:instrText xml:space="preserve"> = 6 \* GB3 \* MERGEFORMAT </w:instrText>
      </w:r>
      <w:r>
        <w:rPr>
          <w:rFonts w:ascii="Times New Roman"/>
          <w:snapToGrid w:val="0"/>
          <w:spacing w:val="-16"/>
          <w:kern w:val="21"/>
          <w:sz w:val="24"/>
          <w:szCs w:val="24"/>
        </w:rPr>
        <w:fldChar w:fldCharType="separate"/>
      </w:r>
      <w:r>
        <w:rPr>
          <w:rFonts w:ascii="Times New Roman"/>
          <w:sz w:val="24"/>
          <w:szCs w:val="24"/>
        </w:rPr>
        <w:t>⑥</w:t>
      </w:r>
      <w:r>
        <w:rPr>
          <w:rFonts w:ascii="Times New Roman"/>
          <w:snapToGrid w:val="0"/>
          <w:spacing w:val="-16"/>
          <w:kern w:val="21"/>
          <w:sz w:val="24"/>
          <w:szCs w:val="24"/>
        </w:rPr>
        <w:fldChar w:fldCharType="end"/>
      </w:r>
      <w:r>
        <w:rPr>
          <w:rFonts w:ascii="Times New Roman"/>
          <w:snapToGrid w:val="0"/>
          <w:spacing w:val="-16"/>
          <w:kern w:val="21"/>
          <w:sz w:val="24"/>
          <w:szCs w:val="24"/>
        </w:rPr>
        <w:t>-</w:t>
      </w:r>
      <w:r>
        <w:rPr>
          <w:rFonts w:ascii="Times New Roman"/>
          <w:snapToGrid w:val="0"/>
          <w:spacing w:val="-6"/>
          <w:kern w:val="21"/>
          <w:sz w:val="24"/>
          <w:szCs w:val="24"/>
        </w:rPr>
        <w:fldChar w:fldCharType="begin"/>
      </w:r>
      <w:r>
        <w:rPr>
          <w:rFonts w:ascii="Times New Roman"/>
          <w:snapToGrid w:val="0"/>
          <w:spacing w:val="-6"/>
          <w:kern w:val="21"/>
          <w:sz w:val="24"/>
          <w:szCs w:val="24"/>
        </w:rPr>
        <w:instrText xml:space="preserve"> = 1 \* GB3 \* MERGEFORMAT </w:instrText>
      </w:r>
      <w:r>
        <w:rPr>
          <w:rFonts w:ascii="Times New Roman"/>
          <w:snapToGrid w:val="0"/>
          <w:spacing w:val="-6"/>
          <w:kern w:val="21"/>
          <w:sz w:val="24"/>
          <w:szCs w:val="24"/>
        </w:rPr>
        <w:fldChar w:fldCharType="separate"/>
      </w:r>
      <w:r>
        <w:rPr>
          <w:rFonts w:ascii="Times New Roman"/>
          <w:sz w:val="24"/>
          <w:szCs w:val="24"/>
        </w:rPr>
        <w:t>①</w:t>
      </w:r>
      <w:r>
        <w:rPr>
          <w:rFonts w:ascii="Times New Roman"/>
          <w:snapToGrid w:val="0"/>
          <w:spacing w:val="-6"/>
          <w:kern w:val="21"/>
          <w:sz w:val="24"/>
          <w:szCs w:val="24"/>
        </w:rPr>
        <w:fldChar w:fldCharType="end"/>
      </w:r>
    </w:p>
    <w:p>
      <w:pPr>
        <w:spacing w:line="360" w:lineRule="auto"/>
        <w:rPr>
          <w:sz w:val="24"/>
        </w:rPr>
      </w:pPr>
    </w:p>
    <w:sectPr>
      <w:pgSz w:w="16838" w:h="11906" w:orient="landscape"/>
      <w:pgMar w:top="1247" w:right="1247" w:bottom="1247" w:left="124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376033"/>
      <w:docPartObj>
        <w:docPartGallery w:val="autotext"/>
      </w:docPartObj>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C2EFE"/>
    <w:multiLevelType w:val="singleLevel"/>
    <w:tmpl w:val="953C2EFE"/>
    <w:lvl w:ilvl="0" w:tentative="0">
      <w:start w:val="2"/>
      <w:numFmt w:val="decimal"/>
      <w:suff w:val="nothing"/>
      <w:lvlText w:val="（%1）"/>
      <w:lvlJc w:val="left"/>
      <w:pPr>
        <w:ind w:left="315" w:firstLine="0"/>
      </w:pPr>
    </w:lvl>
  </w:abstractNum>
  <w:abstractNum w:abstractNumId="1">
    <w:nsid w:val="BBF5F090"/>
    <w:multiLevelType w:val="singleLevel"/>
    <w:tmpl w:val="BBF5F090"/>
    <w:lvl w:ilvl="0" w:tentative="0">
      <w:start w:val="2"/>
      <w:numFmt w:val="chineseCounting"/>
      <w:suff w:val="nothing"/>
      <w:lvlText w:val="%1、"/>
      <w:lvlJc w:val="left"/>
      <w:rPr>
        <w:rFonts w:hint="eastAsia"/>
      </w:rPr>
    </w:lvl>
  </w:abstractNum>
  <w:abstractNum w:abstractNumId="2">
    <w:nsid w:val="C7B788C9"/>
    <w:multiLevelType w:val="singleLevel"/>
    <w:tmpl w:val="C7B788C9"/>
    <w:lvl w:ilvl="0" w:tentative="0">
      <w:start w:val="3"/>
      <w:numFmt w:val="decimal"/>
      <w:suff w:val="nothing"/>
      <w:lvlText w:val="%1、"/>
      <w:lvlJc w:val="left"/>
    </w:lvl>
  </w:abstractNum>
  <w:abstractNum w:abstractNumId="3">
    <w:nsid w:val="F14E60B8"/>
    <w:multiLevelType w:val="singleLevel"/>
    <w:tmpl w:val="F14E60B8"/>
    <w:lvl w:ilvl="0" w:tentative="0">
      <w:start w:val="5"/>
      <w:numFmt w:val="decimal"/>
      <w:suff w:val="nothing"/>
      <w:lvlText w:val="（%1）"/>
      <w:lvlJc w:val="left"/>
    </w:lvl>
  </w:abstractNum>
  <w:abstractNum w:abstractNumId="4">
    <w:nsid w:val="3035BF4F"/>
    <w:multiLevelType w:val="singleLevel"/>
    <w:tmpl w:val="3035BF4F"/>
    <w:lvl w:ilvl="0" w:tentative="0">
      <w:start w:val="1"/>
      <w:numFmt w:val="decimal"/>
      <w:suff w:val="nothing"/>
      <w:lvlText w:val="（%1）"/>
      <w:lvlJc w:val="left"/>
    </w:lvl>
  </w:abstractNum>
  <w:abstractNum w:abstractNumId="5">
    <w:nsid w:val="3B23E2DF"/>
    <w:multiLevelType w:val="singleLevel"/>
    <w:tmpl w:val="3B23E2DF"/>
    <w:lvl w:ilvl="0" w:tentative="0">
      <w:start w:val="1"/>
      <w:numFmt w:val="decimal"/>
      <w:suff w:val="nothing"/>
      <w:lvlText w:val="%1、"/>
      <w:lvlJc w:val="left"/>
    </w:lvl>
  </w:abstractNum>
  <w:abstractNum w:abstractNumId="6">
    <w:nsid w:val="67DF21F3"/>
    <w:multiLevelType w:val="singleLevel"/>
    <w:tmpl w:val="67DF21F3"/>
    <w:lvl w:ilvl="0" w:tentative="0">
      <w:start w:val="2"/>
      <w:numFmt w:val="decimal"/>
      <w:lvlText w:val="%1."/>
      <w:lvlJc w:val="left"/>
      <w:pPr>
        <w:tabs>
          <w:tab w:val="left" w:pos="312"/>
        </w:tabs>
      </w:pPr>
    </w:lvl>
  </w:abstractNum>
  <w:num w:numId="1">
    <w:abstractNumId w:val="3"/>
  </w:num>
  <w:num w:numId="2">
    <w:abstractNumId w:val="1"/>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1f365d9a-a95c-41a9-a6a1-cf549ac2658b"/>
  </w:docVars>
  <w:rsids>
    <w:rsidRoot w:val="00172A27"/>
    <w:rsid w:val="00037540"/>
    <w:rsid w:val="00052A18"/>
    <w:rsid w:val="00111BC5"/>
    <w:rsid w:val="00135135"/>
    <w:rsid w:val="001502A3"/>
    <w:rsid w:val="00172A27"/>
    <w:rsid w:val="003936BA"/>
    <w:rsid w:val="0044064C"/>
    <w:rsid w:val="00483703"/>
    <w:rsid w:val="004D24D7"/>
    <w:rsid w:val="004F0015"/>
    <w:rsid w:val="005C0989"/>
    <w:rsid w:val="005E0D75"/>
    <w:rsid w:val="00621C19"/>
    <w:rsid w:val="00637DBC"/>
    <w:rsid w:val="00651D15"/>
    <w:rsid w:val="0067430F"/>
    <w:rsid w:val="00697BE9"/>
    <w:rsid w:val="006B57AC"/>
    <w:rsid w:val="006B5A65"/>
    <w:rsid w:val="00703B94"/>
    <w:rsid w:val="00735CEC"/>
    <w:rsid w:val="00751DFB"/>
    <w:rsid w:val="0077723B"/>
    <w:rsid w:val="00787F0A"/>
    <w:rsid w:val="007F7C08"/>
    <w:rsid w:val="0080002D"/>
    <w:rsid w:val="0087167F"/>
    <w:rsid w:val="00897BCC"/>
    <w:rsid w:val="00924CD1"/>
    <w:rsid w:val="009500B0"/>
    <w:rsid w:val="0095213C"/>
    <w:rsid w:val="00995097"/>
    <w:rsid w:val="00A10993"/>
    <w:rsid w:val="00A20BC3"/>
    <w:rsid w:val="00AA2D4E"/>
    <w:rsid w:val="00AB5BD3"/>
    <w:rsid w:val="00AC1C0F"/>
    <w:rsid w:val="00AE21C3"/>
    <w:rsid w:val="00BA2971"/>
    <w:rsid w:val="00BE7797"/>
    <w:rsid w:val="00BF5176"/>
    <w:rsid w:val="00C13805"/>
    <w:rsid w:val="00D93197"/>
    <w:rsid w:val="00DC02A8"/>
    <w:rsid w:val="00E42505"/>
    <w:rsid w:val="00E70067"/>
    <w:rsid w:val="00ED1D36"/>
    <w:rsid w:val="00F104C4"/>
    <w:rsid w:val="00F829BF"/>
    <w:rsid w:val="00FC61B6"/>
    <w:rsid w:val="00FF6681"/>
    <w:rsid w:val="01284C10"/>
    <w:rsid w:val="012A33E5"/>
    <w:rsid w:val="01477C76"/>
    <w:rsid w:val="014F4893"/>
    <w:rsid w:val="01546178"/>
    <w:rsid w:val="0167047E"/>
    <w:rsid w:val="017129C4"/>
    <w:rsid w:val="017E6F26"/>
    <w:rsid w:val="01822573"/>
    <w:rsid w:val="01947EA7"/>
    <w:rsid w:val="01981D96"/>
    <w:rsid w:val="019B53E2"/>
    <w:rsid w:val="01A7022B"/>
    <w:rsid w:val="01D17056"/>
    <w:rsid w:val="01D5639B"/>
    <w:rsid w:val="01E07299"/>
    <w:rsid w:val="01FC7C2F"/>
    <w:rsid w:val="01FD5964"/>
    <w:rsid w:val="02040004"/>
    <w:rsid w:val="020846D7"/>
    <w:rsid w:val="021D673F"/>
    <w:rsid w:val="022479B9"/>
    <w:rsid w:val="0227275A"/>
    <w:rsid w:val="022A4602"/>
    <w:rsid w:val="02325753"/>
    <w:rsid w:val="02537921"/>
    <w:rsid w:val="025A704C"/>
    <w:rsid w:val="025B4546"/>
    <w:rsid w:val="026B503E"/>
    <w:rsid w:val="028C5DE9"/>
    <w:rsid w:val="02A12ECC"/>
    <w:rsid w:val="02A46D06"/>
    <w:rsid w:val="02BA601B"/>
    <w:rsid w:val="02C31095"/>
    <w:rsid w:val="02DA365D"/>
    <w:rsid w:val="02E92C7B"/>
    <w:rsid w:val="02ED2F4D"/>
    <w:rsid w:val="02EE40D2"/>
    <w:rsid w:val="030918B3"/>
    <w:rsid w:val="032338E1"/>
    <w:rsid w:val="03253AFD"/>
    <w:rsid w:val="032633D2"/>
    <w:rsid w:val="032F7D47"/>
    <w:rsid w:val="033C2774"/>
    <w:rsid w:val="03550AE6"/>
    <w:rsid w:val="03724869"/>
    <w:rsid w:val="039E565E"/>
    <w:rsid w:val="03A32C74"/>
    <w:rsid w:val="03CF3A69"/>
    <w:rsid w:val="03E47515"/>
    <w:rsid w:val="03F1578E"/>
    <w:rsid w:val="03F56B72"/>
    <w:rsid w:val="04043713"/>
    <w:rsid w:val="04117BDE"/>
    <w:rsid w:val="041871BE"/>
    <w:rsid w:val="042D3C65"/>
    <w:rsid w:val="043B10FF"/>
    <w:rsid w:val="043F474B"/>
    <w:rsid w:val="044C6E68"/>
    <w:rsid w:val="044E0E32"/>
    <w:rsid w:val="044E1A61"/>
    <w:rsid w:val="04536448"/>
    <w:rsid w:val="047B4601"/>
    <w:rsid w:val="049A3989"/>
    <w:rsid w:val="049A4077"/>
    <w:rsid w:val="04AC26AB"/>
    <w:rsid w:val="04B62043"/>
    <w:rsid w:val="04BD078C"/>
    <w:rsid w:val="04C61764"/>
    <w:rsid w:val="04C66C1A"/>
    <w:rsid w:val="04D37589"/>
    <w:rsid w:val="04E62E18"/>
    <w:rsid w:val="04F35E70"/>
    <w:rsid w:val="05121E5F"/>
    <w:rsid w:val="05235E1B"/>
    <w:rsid w:val="052D7C06"/>
    <w:rsid w:val="054A5593"/>
    <w:rsid w:val="05551D4C"/>
    <w:rsid w:val="055E32F7"/>
    <w:rsid w:val="05633A5A"/>
    <w:rsid w:val="059939ED"/>
    <w:rsid w:val="05A21435"/>
    <w:rsid w:val="05B2355C"/>
    <w:rsid w:val="05D9472B"/>
    <w:rsid w:val="05DB04A3"/>
    <w:rsid w:val="05F045C6"/>
    <w:rsid w:val="05F23A3F"/>
    <w:rsid w:val="06007F0A"/>
    <w:rsid w:val="060A4416"/>
    <w:rsid w:val="065D6314"/>
    <w:rsid w:val="06691E56"/>
    <w:rsid w:val="06744454"/>
    <w:rsid w:val="067D2836"/>
    <w:rsid w:val="06905732"/>
    <w:rsid w:val="06A64F55"/>
    <w:rsid w:val="06AD62E4"/>
    <w:rsid w:val="06B24201"/>
    <w:rsid w:val="06B62CBE"/>
    <w:rsid w:val="06B64A6C"/>
    <w:rsid w:val="06BB7249"/>
    <w:rsid w:val="06DB44D3"/>
    <w:rsid w:val="06E11AE9"/>
    <w:rsid w:val="06FD3564"/>
    <w:rsid w:val="06FF4665"/>
    <w:rsid w:val="07027CB2"/>
    <w:rsid w:val="071C58F0"/>
    <w:rsid w:val="07300CC3"/>
    <w:rsid w:val="0748715B"/>
    <w:rsid w:val="075A7C2F"/>
    <w:rsid w:val="076646E5"/>
    <w:rsid w:val="07691F75"/>
    <w:rsid w:val="07832BA1"/>
    <w:rsid w:val="07893F2F"/>
    <w:rsid w:val="078B5B53"/>
    <w:rsid w:val="07991A7E"/>
    <w:rsid w:val="07B32ED4"/>
    <w:rsid w:val="07C94DF8"/>
    <w:rsid w:val="08191757"/>
    <w:rsid w:val="08204893"/>
    <w:rsid w:val="08430582"/>
    <w:rsid w:val="084D0B65"/>
    <w:rsid w:val="08907C6B"/>
    <w:rsid w:val="08A53233"/>
    <w:rsid w:val="08C01009"/>
    <w:rsid w:val="08D01FFA"/>
    <w:rsid w:val="08E91129"/>
    <w:rsid w:val="08EE0A97"/>
    <w:rsid w:val="08F66CA7"/>
    <w:rsid w:val="09071E85"/>
    <w:rsid w:val="090D12BC"/>
    <w:rsid w:val="091F0FEF"/>
    <w:rsid w:val="09307E08"/>
    <w:rsid w:val="09371E95"/>
    <w:rsid w:val="093F343F"/>
    <w:rsid w:val="093F51ED"/>
    <w:rsid w:val="095C6015"/>
    <w:rsid w:val="096802A0"/>
    <w:rsid w:val="096C69B5"/>
    <w:rsid w:val="09877EC5"/>
    <w:rsid w:val="098F14A0"/>
    <w:rsid w:val="09975029"/>
    <w:rsid w:val="099C43EE"/>
    <w:rsid w:val="09B11687"/>
    <w:rsid w:val="09B5725D"/>
    <w:rsid w:val="09CC7469"/>
    <w:rsid w:val="09D122E9"/>
    <w:rsid w:val="09F4422A"/>
    <w:rsid w:val="09FB55B8"/>
    <w:rsid w:val="0A1C108A"/>
    <w:rsid w:val="0A2763AD"/>
    <w:rsid w:val="0A2A7C4B"/>
    <w:rsid w:val="0A3E7253"/>
    <w:rsid w:val="0A4662E3"/>
    <w:rsid w:val="0AB1211B"/>
    <w:rsid w:val="0ABD3F63"/>
    <w:rsid w:val="0AC736EC"/>
    <w:rsid w:val="0B233FDC"/>
    <w:rsid w:val="0B40098E"/>
    <w:rsid w:val="0B6A015B"/>
    <w:rsid w:val="0B6B4077"/>
    <w:rsid w:val="0B7A18CD"/>
    <w:rsid w:val="0B7F7B23"/>
    <w:rsid w:val="0B892750"/>
    <w:rsid w:val="0B8D66E4"/>
    <w:rsid w:val="0B901D30"/>
    <w:rsid w:val="0BF26547"/>
    <w:rsid w:val="0BF829A3"/>
    <w:rsid w:val="0C103F2F"/>
    <w:rsid w:val="0C252478"/>
    <w:rsid w:val="0C3306E4"/>
    <w:rsid w:val="0C463E5A"/>
    <w:rsid w:val="0C5F0ACF"/>
    <w:rsid w:val="0C8C2183"/>
    <w:rsid w:val="0C911013"/>
    <w:rsid w:val="0C923886"/>
    <w:rsid w:val="0C9E222B"/>
    <w:rsid w:val="0CAC4948"/>
    <w:rsid w:val="0CAD1E36"/>
    <w:rsid w:val="0CBF0B1F"/>
    <w:rsid w:val="0CD41A5E"/>
    <w:rsid w:val="0CDD2D53"/>
    <w:rsid w:val="0CF64618"/>
    <w:rsid w:val="0D185D04"/>
    <w:rsid w:val="0D2C3CDA"/>
    <w:rsid w:val="0D3C216F"/>
    <w:rsid w:val="0D441024"/>
    <w:rsid w:val="0D6B65B1"/>
    <w:rsid w:val="0D7B3000"/>
    <w:rsid w:val="0D7F205C"/>
    <w:rsid w:val="0D886162"/>
    <w:rsid w:val="0D95456E"/>
    <w:rsid w:val="0D9F4589"/>
    <w:rsid w:val="0DA9532B"/>
    <w:rsid w:val="0DC67C8B"/>
    <w:rsid w:val="0DD51C7C"/>
    <w:rsid w:val="0DEA1BCB"/>
    <w:rsid w:val="0DF464C0"/>
    <w:rsid w:val="0E0A401C"/>
    <w:rsid w:val="0E1A3B33"/>
    <w:rsid w:val="0E1F17C1"/>
    <w:rsid w:val="0E2C2AC6"/>
    <w:rsid w:val="0E325320"/>
    <w:rsid w:val="0E372937"/>
    <w:rsid w:val="0E4868F2"/>
    <w:rsid w:val="0E5B4877"/>
    <w:rsid w:val="0E5E6063"/>
    <w:rsid w:val="0E6574A4"/>
    <w:rsid w:val="0E7019A5"/>
    <w:rsid w:val="0E745939"/>
    <w:rsid w:val="0E7A5909"/>
    <w:rsid w:val="0E9D4F75"/>
    <w:rsid w:val="0EA16002"/>
    <w:rsid w:val="0EB16245"/>
    <w:rsid w:val="0EC06137"/>
    <w:rsid w:val="0ED065C5"/>
    <w:rsid w:val="0ED73622"/>
    <w:rsid w:val="0EF874D8"/>
    <w:rsid w:val="0F040A6B"/>
    <w:rsid w:val="0F3F5F47"/>
    <w:rsid w:val="0F4B669A"/>
    <w:rsid w:val="0F5117D6"/>
    <w:rsid w:val="0F88295E"/>
    <w:rsid w:val="0F8B1B6C"/>
    <w:rsid w:val="0F9F69E6"/>
    <w:rsid w:val="0FB7512B"/>
    <w:rsid w:val="101747CE"/>
    <w:rsid w:val="10294501"/>
    <w:rsid w:val="102A5371"/>
    <w:rsid w:val="104136FB"/>
    <w:rsid w:val="10433815"/>
    <w:rsid w:val="10611EED"/>
    <w:rsid w:val="106D4A4C"/>
    <w:rsid w:val="107C0AD5"/>
    <w:rsid w:val="10A33087"/>
    <w:rsid w:val="10A36D51"/>
    <w:rsid w:val="10AB38F8"/>
    <w:rsid w:val="10AF2C58"/>
    <w:rsid w:val="10B93AD7"/>
    <w:rsid w:val="10D46E2A"/>
    <w:rsid w:val="10DF7048"/>
    <w:rsid w:val="10E16B8A"/>
    <w:rsid w:val="10EC5C5A"/>
    <w:rsid w:val="10ED552F"/>
    <w:rsid w:val="1102722C"/>
    <w:rsid w:val="110B165A"/>
    <w:rsid w:val="111807FE"/>
    <w:rsid w:val="111F7718"/>
    <w:rsid w:val="11203B56"/>
    <w:rsid w:val="11286567"/>
    <w:rsid w:val="11323117"/>
    <w:rsid w:val="11401B02"/>
    <w:rsid w:val="11525512"/>
    <w:rsid w:val="1163127F"/>
    <w:rsid w:val="116C0B49"/>
    <w:rsid w:val="11717F0E"/>
    <w:rsid w:val="11915AE2"/>
    <w:rsid w:val="11D850E3"/>
    <w:rsid w:val="11E06E41"/>
    <w:rsid w:val="11E903EC"/>
    <w:rsid w:val="11FF19BD"/>
    <w:rsid w:val="120E39AF"/>
    <w:rsid w:val="121A67F7"/>
    <w:rsid w:val="12641821"/>
    <w:rsid w:val="126654F2"/>
    <w:rsid w:val="126B10DB"/>
    <w:rsid w:val="12940358"/>
    <w:rsid w:val="12C7072D"/>
    <w:rsid w:val="12E666D9"/>
    <w:rsid w:val="12F12896"/>
    <w:rsid w:val="131F29C0"/>
    <w:rsid w:val="133B12DB"/>
    <w:rsid w:val="133B1FFB"/>
    <w:rsid w:val="135B2C24"/>
    <w:rsid w:val="135C5325"/>
    <w:rsid w:val="13654F14"/>
    <w:rsid w:val="13675A6C"/>
    <w:rsid w:val="138B0BFB"/>
    <w:rsid w:val="139B3968"/>
    <w:rsid w:val="13BB1914"/>
    <w:rsid w:val="13C22CA3"/>
    <w:rsid w:val="13C327F4"/>
    <w:rsid w:val="13C34C94"/>
    <w:rsid w:val="14033ECF"/>
    <w:rsid w:val="14065285"/>
    <w:rsid w:val="14096B23"/>
    <w:rsid w:val="140B6710"/>
    <w:rsid w:val="140C165E"/>
    <w:rsid w:val="141A663B"/>
    <w:rsid w:val="142C626C"/>
    <w:rsid w:val="14423DE3"/>
    <w:rsid w:val="144E4536"/>
    <w:rsid w:val="145E6E6F"/>
    <w:rsid w:val="1461070D"/>
    <w:rsid w:val="14667AD2"/>
    <w:rsid w:val="146F5047"/>
    <w:rsid w:val="147100DE"/>
    <w:rsid w:val="1480017A"/>
    <w:rsid w:val="14800EAA"/>
    <w:rsid w:val="148B12E6"/>
    <w:rsid w:val="148F496F"/>
    <w:rsid w:val="14B336F3"/>
    <w:rsid w:val="14B7032D"/>
    <w:rsid w:val="14DC5FE6"/>
    <w:rsid w:val="14F47481"/>
    <w:rsid w:val="15064E11"/>
    <w:rsid w:val="155618F4"/>
    <w:rsid w:val="156C55BC"/>
    <w:rsid w:val="15787ABD"/>
    <w:rsid w:val="15842905"/>
    <w:rsid w:val="158C7EF4"/>
    <w:rsid w:val="159A3ED7"/>
    <w:rsid w:val="159B37AB"/>
    <w:rsid w:val="15B25EBC"/>
    <w:rsid w:val="15BD1974"/>
    <w:rsid w:val="15CC1BB7"/>
    <w:rsid w:val="15FD6214"/>
    <w:rsid w:val="163065E9"/>
    <w:rsid w:val="163360DA"/>
    <w:rsid w:val="16353C00"/>
    <w:rsid w:val="164125A5"/>
    <w:rsid w:val="16473933"/>
    <w:rsid w:val="164A2E55"/>
    <w:rsid w:val="16585B40"/>
    <w:rsid w:val="1659077B"/>
    <w:rsid w:val="167F131F"/>
    <w:rsid w:val="16801E3F"/>
    <w:rsid w:val="16885414"/>
    <w:rsid w:val="168F3E65"/>
    <w:rsid w:val="16913B0E"/>
    <w:rsid w:val="16A60D26"/>
    <w:rsid w:val="16B0440B"/>
    <w:rsid w:val="16D50F3F"/>
    <w:rsid w:val="16DA790D"/>
    <w:rsid w:val="16E540A1"/>
    <w:rsid w:val="16FA2753"/>
    <w:rsid w:val="16FE3FF2"/>
    <w:rsid w:val="17057AF1"/>
    <w:rsid w:val="17142FFD"/>
    <w:rsid w:val="171B2DF6"/>
    <w:rsid w:val="174B7DFE"/>
    <w:rsid w:val="175D01A2"/>
    <w:rsid w:val="17716EB9"/>
    <w:rsid w:val="17A10E21"/>
    <w:rsid w:val="17C23271"/>
    <w:rsid w:val="17E86A50"/>
    <w:rsid w:val="180E4718"/>
    <w:rsid w:val="181A45C8"/>
    <w:rsid w:val="182C7F62"/>
    <w:rsid w:val="18383533"/>
    <w:rsid w:val="183C29D1"/>
    <w:rsid w:val="18562D19"/>
    <w:rsid w:val="18583BD5"/>
    <w:rsid w:val="18586B29"/>
    <w:rsid w:val="186C09B1"/>
    <w:rsid w:val="18807ED1"/>
    <w:rsid w:val="189C7F66"/>
    <w:rsid w:val="18A46E1B"/>
    <w:rsid w:val="18A62B93"/>
    <w:rsid w:val="18A65CC7"/>
    <w:rsid w:val="18AB2C3E"/>
    <w:rsid w:val="18D62184"/>
    <w:rsid w:val="18D70F9E"/>
    <w:rsid w:val="18DA7EE0"/>
    <w:rsid w:val="190F39CF"/>
    <w:rsid w:val="19267830"/>
    <w:rsid w:val="19481E9C"/>
    <w:rsid w:val="19482D62"/>
    <w:rsid w:val="196A7426"/>
    <w:rsid w:val="196F567B"/>
    <w:rsid w:val="19801636"/>
    <w:rsid w:val="199450E1"/>
    <w:rsid w:val="19A56200"/>
    <w:rsid w:val="19B27315"/>
    <w:rsid w:val="19B4308D"/>
    <w:rsid w:val="19B517ED"/>
    <w:rsid w:val="19E934B5"/>
    <w:rsid w:val="1A085187"/>
    <w:rsid w:val="1A396A26"/>
    <w:rsid w:val="1A3E5B3E"/>
    <w:rsid w:val="1A475CB0"/>
    <w:rsid w:val="1A664028"/>
    <w:rsid w:val="1A952EBF"/>
    <w:rsid w:val="1AAE21D3"/>
    <w:rsid w:val="1AB05F4B"/>
    <w:rsid w:val="1AB377E9"/>
    <w:rsid w:val="1AC90DBB"/>
    <w:rsid w:val="1ACF3114"/>
    <w:rsid w:val="1AE45BF4"/>
    <w:rsid w:val="1B010554"/>
    <w:rsid w:val="1B0C4DA4"/>
    <w:rsid w:val="1B0D0CA7"/>
    <w:rsid w:val="1B1C2C80"/>
    <w:rsid w:val="1B2906C8"/>
    <w:rsid w:val="1B334486"/>
    <w:rsid w:val="1B3D2D57"/>
    <w:rsid w:val="1B4641B9"/>
    <w:rsid w:val="1B4A3CA9"/>
    <w:rsid w:val="1B544B28"/>
    <w:rsid w:val="1B5B5EB7"/>
    <w:rsid w:val="1B6276E2"/>
    <w:rsid w:val="1BA3709D"/>
    <w:rsid w:val="1BAF7FB0"/>
    <w:rsid w:val="1C0E117B"/>
    <w:rsid w:val="1C161DDD"/>
    <w:rsid w:val="1C1B73F4"/>
    <w:rsid w:val="1C25614E"/>
    <w:rsid w:val="1C5223AD"/>
    <w:rsid w:val="1C5C2071"/>
    <w:rsid w:val="1C5D17BA"/>
    <w:rsid w:val="1C5D7A0C"/>
    <w:rsid w:val="1C5E5533"/>
    <w:rsid w:val="1C6F468F"/>
    <w:rsid w:val="1C8036FB"/>
    <w:rsid w:val="1CA05B4B"/>
    <w:rsid w:val="1CB60333"/>
    <w:rsid w:val="1CC1571C"/>
    <w:rsid w:val="1CCE421C"/>
    <w:rsid w:val="1CE066BD"/>
    <w:rsid w:val="1CFC0FD3"/>
    <w:rsid w:val="1D1B402B"/>
    <w:rsid w:val="1D230EAB"/>
    <w:rsid w:val="1D41732E"/>
    <w:rsid w:val="1D792624"/>
    <w:rsid w:val="1D7F39B2"/>
    <w:rsid w:val="1D9E208B"/>
    <w:rsid w:val="1DAA0525"/>
    <w:rsid w:val="1DB37C0D"/>
    <w:rsid w:val="1DBD047E"/>
    <w:rsid w:val="1DD41F50"/>
    <w:rsid w:val="1DE2451B"/>
    <w:rsid w:val="1E00785D"/>
    <w:rsid w:val="1E546BED"/>
    <w:rsid w:val="1E6244F9"/>
    <w:rsid w:val="1E676920"/>
    <w:rsid w:val="1E7B6870"/>
    <w:rsid w:val="1E7B7D3B"/>
    <w:rsid w:val="1E7D2F50"/>
    <w:rsid w:val="1E8F7828"/>
    <w:rsid w:val="1EBB6326"/>
    <w:rsid w:val="1F01235A"/>
    <w:rsid w:val="1F1F71FB"/>
    <w:rsid w:val="1F254C43"/>
    <w:rsid w:val="1F2806D1"/>
    <w:rsid w:val="1F4A49B1"/>
    <w:rsid w:val="1F4C1718"/>
    <w:rsid w:val="1F666BD8"/>
    <w:rsid w:val="1F751990"/>
    <w:rsid w:val="1F882FF2"/>
    <w:rsid w:val="1F903600"/>
    <w:rsid w:val="1F9A0F77"/>
    <w:rsid w:val="1FBC1B14"/>
    <w:rsid w:val="1FBE002E"/>
    <w:rsid w:val="1FBE07C2"/>
    <w:rsid w:val="1FC61D6D"/>
    <w:rsid w:val="1FC97167"/>
    <w:rsid w:val="1FD955FC"/>
    <w:rsid w:val="1FDA1374"/>
    <w:rsid w:val="1FDA7C40"/>
    <w:rsid w:val="1FE30229"/>
    <w:rsid w:val="1FEB3F34"/>
    <w:rsid w:val="1FF97A4C"/>
    <w:rsid w:val="20002019"/>
    <w:rsid w:val="2000527E"/>
    <w:rsid w:val="201B1D17"/>
    <w:rsid w:val="201E74B3"/>
    <w:rsid w:val="202A40A9"/>
    <w:rsid w:val="20407429"/>
    <w:rsid w:val="20622042"/>
    <w:rsid w:val="206B0DA9"/>
    <w:rsid w:val="206F7D0E"/>
    <w:rsid w:val="207277FE"/>
    <w:rsid w:val="20892CAD"/>
    <w:rsid w:val="208C4E43"/>
    <w:rsid w:val="208F7643"/>
    <w:rsid w:val="20A21E92"/>
    <w:rsid w:val="20AD0837"/>
    <w:rsid w:val="20B83463"/>
    <w:rsid w:val="20C54026"/>
    <w:rsid w:val="20EB1A8B"/>
    <w:rsid w:val="20FD356C"/>
    <w:rsid w:val="21042B4C"/>
    <w:rsid w:val="211508B6"/>
    <w:rsid w:val="21224FC9"/>
    <w:rsid w:val="21254871"/>
    <w:rsid w:val="21535882"/>
    <w:rsid w:val="21560F9A"/>
    <w:rsid w:val="216E7FC6"/>
    <w:rsid w:val="218B6247"/>
    <w:rsid w:val="218C669E"/>
    <w:rsid w:val="21AE4866"/>
    <w:rsid w:val="21D4070D"/>
    <w:rsid w:val="21D6478E"/>
    <w:rsid w:val="21F26E49"/>
    <w:rsid w:val="22063C61"/>
    <w:rsid w:val="220A23E4"/>
    <w:rsid w:val="22135107"/>
    <w:rsid w:val="222039B6"/>
    <w:rsid w:val="222E3A74"/>
    <w:rsid w:val="22370D00"/>
    <w:rsid w:val="223C00C4"/>
    <w:rsid w:val="224551CB"/>
    <w:rsid w:val="226C09A9"/>
    <w:rsid w:val="227B0BEC"/>
    <w:rsid w:val="229D5007"/>
    <w:rsid w:val="22A5210D"/>
    <w:rsid w:val="22FC245E"/>
    <w:rsid w:val="23001F29"/>
    <w:rsid w:val="230B6414"/>
    <w:rsid w:val="23241284"/>
    <w:rsid w:val="233B041F"/>
    <w:rsid w:val="2355143D"/>
    <w:rsid w:val="23641680"/>
    <w:rsid w:val="23713D9D"/>
    <w:rsid w:val="237A70F6"/>
    <w:rsid w:val="23B93876"/>
    <w:rsid w:val="23EB3B50"/>
    <w:rsid w:val="23EE5C40"/>
    <w:rsid w:val="241F37F9"/>
    <w:rsid w:val="24213A15"/>
    <w:rsid w:val="24286B52"/>
    <w:rsid w:val="243C084F"/>
    <w:rsid w:val="24466FD8"/>
    <w:rsid w:val="245416F5"/>
    <w:rsid w:val="24661428"/>
    <w:rsid w:val="246833F2"/>
    <w:rsid w:val="248024EA"/>
    <w:rsid w:val="24861ACA"/>
    <w:rsid w:val="24A361D8"/>
    <w:rsid w:val="24DE5462"/>
    <w:rsid w:val="24E862E1"/>
    <w:rsid w:val="24F86524"/>
    <w:rsid w:val="25011219"/>
    <w:rsid w:val="25126928"/>
    <w:rsid w:val="25137802"/>
    <w:rsid w:val="25225075"/>
    <w:rsid w:val="252B4B4C"/>
    <w:rsid w:val="25380A3F"/>
    <w:rsid w:val="25513E86"/>
    <w:rsid w:val="255816B9"/>
    <w:rsid w:val="258204E4"/>
    <w:rsid w:val="259A0A26"/>
    <w:rsid w:val="259A3A7F"/>
    <w:rsid w:val="25A53750"/>
    <w:rsid w:val="25AD36CD"/>
    <w:rsid w:val="25CB1E8B"/>
    <w:rsid w:val="25CD3681"/>
    <w:rsid w:val="25DA20CE"/>
    <w:rsid w:val="25E3064E"/>
    <w:rsid w:val="25FC2044"/>
    <w:rsid w:val="2610789E"/>
    <w:rsid w:val="261754E9"/>
    <w:rsid w:val="26345C82"/>
    <w:rsid w:val="26395046"/>
    <w:rsid w:val="26572E58"/>
    <w:rsid w:val="26751DF6"/>
    <w:rsid w:val="267A6352"/>
    <w:rsid w:val="267E0CAB"/>
    <w:rsid w:val="268F4C66"/>
    <w:rsid w:val="26914E82"/>
    <w:rsid w:val="270513CC"/>
    <w:rsid w:val="271C3F05"/>
    <w:rsid w:val="27297C4A"/>
    <w:rsid w:val="27335F39"/>
    <w:rsid w:val="273870AC"/>
    <w:rsid w:val="27455C6D"/>
    <w:rsid w:val="275814FC"/>
    <w:rsid w:val="27710810"/>
    <w:rsid w:val="277420AE"/>
    <w:rsid w:val="27910EB2"/>
    <w:rsid w:val="279A5ACC"/>
    <w:rsid w:val="279D0626"/>
    <w:rsid w:val="27BA5D13"/>
    <w:rsid w:val="27D506FF"/>
    <w:rsid w:val="27E72880"/>
    <w:rsid w:val="27F76455"/>
    <w:rsid w:val="280148B7"/>
    <w:rsid w:val="281101F6"/>
    <w:rsid w:val="28110E97"/>
    <w:rsid w:val="283B0D6A"/>
    <w:rsid w:val="285717B4"/>
    <w:rsid w:val="285B5212"/>
    <w:rsid w:val="2865667D"/>
    <w:rsid w:val="28697739"/>
    <w:rsid w:val="286B29A9"/>
    <w:rsid w:val="287F6F5C"/>
    <w:rsid w:val="28945E8C"/>
    <w:rsid w:val="28A67F69"/>
    <w:rsid w:val="28BA720D"/>
    <w:rsid w:val="28E60D8A"/>
    <w:rsid w:val="28F33BD2"/>
    <w:rsid w:val="291458F7"/>
    <w:rsid w:val="29293CF5"/>
    <w:rsid w:val="29325D7D"/>
    <w:rsid w:val="29345F99"/>
    <w:rsid w:val="29397C3C"/>
    <w:rsid w:val="294066EC"/>
    <w:rsid w:val="295977AD"/>
    <w:rsid w:val="296D246F"/>
    <w:rsid w:val="298760C9"/>
    <w:rsid w:val="29C42E79"/>
    <w:rsid w:val="29CE3CF8"/>
    <w:rsid w:val="29F24CC5"/>
    <w:rsid w:val="2A027E45"/>
    <w:rsid w:val="2A061601"/>
    <w:rsid w:val="2A102562"/>
    <w:rsid w:val="2A351C5A"/>
    <w:rsid w:val="2A53244F"/>
    <w:rsid w:val="2A5C57A7"/>
    <w:rsid w:val="2A667A45"/>
    <w:rsid w:val="2A6E1037"/>
    <w:rsid w:val="2A7E2446"/>
    <w:rsid w:val="2A8D770F"/>
    <w:rsid w:val="2AC5334C"/>
    <w:rsid w:val="2ADC5A04"/>
    <w:rsid w:val="2AF53506"/>
    <w:rsid w:val="2B1020EE"/>
    <w:rsid w:val="2B255B99"/>
    <w:rsid w:val="2B417C12"/>
    <w:rsid w:val="2B4C1378"/>
    <w:rsid w:val="2B6C33C8"/>
    <w:rsid w:val="2B764647"/>
    <w:rsid w:val="2B801021"/>
    <w:rsid w:val="2BA274C8"/>
    <w:rsid w:val="2BA56CDA"/>
    <w:rsid w:val="2BAA0794"/>
    <w:rsid w:val="2BAD5B8F"/>
    <w:rsid w:val="2BAD7DDD"/>
    <w:rsid w:val="2BC96E6C"/>
    <w:rsid w:val="2BD15D21"/>
    <w:rsid w:val="2BD575BF"/>
    <w:rsid w:val="2BF37A45"/>
    <w:rsid w:val="2BF51A0F"/>
    <w:rsid w:val="2BFE3814"/>
    <w:rsid w:val="2C293467"/>
    <w:rsid w:val="2C2B3683"/>
    <w:rsid w:val="2C7F27FC"/>
    <w:rsid w:val="2C89195F"/>
    <w:rsid w:val="2CAD5E46"/>
    <w:rsid w:val="2CB95580"/>
    <w:rsid w:val="2CCB2770"/>
    <w:rsid w:val="2CF27CFD"/>
    <w:rsid w:val="2D2A1DEB"/>
    <w:rsid w:val="2D4F6EFD"/>
    <w:rsid w:val="2D5C5ABE"/>
    <w:rsid w:val="2D5E35E4"/>
    <w:rsid w:val="2D6329A9"/>
    <w:rsid w:val="2D72163C"/>
    <w:rsid w:val="2D7C1CBC"/>
    <w:rsid w:val="2D7D7F0E"/>
    <w:rsid w:val="2DA14EE3"/>
    <w:rsid w:val="2DCD2695"/>
    <w:rsid w:val="2DDF5D0E"/>
    <w:rsid w:val="2DE53544"/>
    <w:rsid w:val="2E073406"/>
    <w:rsid w:val="2E347394"/>
    <w:rsid w:val="2E3C6E1A"/>
    <w:rsid w:val="2E4A4135"/>
    <w:rsid w:val="2E51295C"/>
    <w:rsid w:val="2E5A0250"/>
    <w:rsid w:val="2E627104"/>
    <w:rsid w:val="2E634AF6"/>
    <w:rsid w:val="2E7B1B68"/>
    <w:rsid w:val="2E8A1071"/>
    <w:rsid w:val="2EB931C8"/>
    <w:rsid w:val="2EE1627B"/>
    <w:rsid w:val="2EE31FF3"/>
    <w:rsid w:val="2EF37D5C"/>
    <w:rsid w:val="2F031D27"/>
    <w:rsid w:val="2F2555CD"/>
    <w:rsid w:val="2F432A92"/>
    <w:rsid w:val="2F75084E"/>
    <w:rsid w:val="2F8C0856"/>
    <w:rsid w:val="2F8F0008"/>
    <w:rsid w:val="2F991880"/>
    <w:rsid w:val="2F9F39A2"/>
    <w:rsid w:val="2FBB6ACC"/>
    <w:rsid w:val="2FFD70E5"/>
    <w:rsid w:val="30071D11"/>
    <w:rsid w:val="30134B5A"/>
    <w:rsid w:val="30204B81"/>
    <w:rsid w:val="302D729E"/>
    <w:rsid w:val="302F6921"/>
    <w:rsid w:val="30422D49"/>
    <w:rsid w:val="30737369"/>
    <w:rsid w:val="307A533B"/>
    <w:rsid w:val="3080315F"/>
    <w:rsid w:val="30803872"/>
    <w:rsid w:val="30824322"/>
    <w:rsid w:val="309258C2"/>
    <w:rsid w:val="3095731D"/>
    <w:rsid w:val="30C754E2"/>
    <w:rsid w:val="30C776F3"/>
    <w:rsid w:val="30D2231F"/>
    <w:rsid w:val="30D810DC"/>
    <w:rsid w:val="30FC386D"/>
    <w:rsid w:val="312B46A9"/>
    <w:rsid w:val="312D117D"/>
    <w:rsid w:val="31646E22"/>
    <w:rsid w:val="316F1BDE"/>
    <w:rsid w:val="31723B02"/>
    <w:rsid w:val="31817CFA"/>
    <w:rsid w:val="31825E20"/>
    <w:rsid w:val="318531C5"/>
    <w:rsid w:val="3195334D"/>
    <w:rsid w:val="31975317"/>
    <w:rsid w:val="31A16812"/>
    <w:rsid w:val="31AC5B70"/>
    <w:rsid w:val="31AD68E8"/>
    <w:rsid w:val="31B5314B"/>
    <w:rsid w:val="31BE4732"/>
    <w:rsid w:val="31DC0F7C"/>
    <w:rsid w:val="321921D0"/>
    <w:rsid w:val="322C1F03"/>
    <w:rsid w:val="322D17D7"/>
    <w:rsid w:val="32427031"/>
    <w:rsid w:val="3253123E"/>
    <w:rsid w:val="326E42CA"/>
    <w:rsid w:val="326F3B9E"/>
    <w:rsid w:val="32780CA4"/>
    <w:rsid w:val="32803FFD"/>
    <w:rsid w:val="32892CAA"/>
    <w:rsid w:val="328B53D4"/>
    <w:rsid w:val="3293390D"/>
    <w:rsid w:val="32A001FB"/>
    <w:rsid w:val="32A61CB5"/>
    <w:rsid w:val="32B06690"/>
    <w:rsid w:val="32BD0DAD"/>
    <w:rsid w:val="32CC4D58"/>
    <w:rsid w:val="32CD03A0"/>
    <w:rsid w:val="32E75E2A"/>
    <w:rsid w:val="32F742BF"/>
    <w:rsid w:val="331A1D5C"/>
    <w:rsid w:val="33233306"/>
    <w:rsid w:val="333252F7"/>
    <w:rsid w:val="33354BFE"/>
    <w:rsid w:val="334C7BCC"/>
    <w:rsid w:val="334D3EDF"/>
    <w:rsid w:val="33582884"/>
    <w:rsid w:val="3365442A"/>
    <w:rsid w:val="337221A0"/>
    <w:rsid w:val="33743B62"/>
    <w:rsid w:val="33833DA5"/>
    <w:rsid w:val="33884F17"/>
    <w:rsid w:val="33920868"/>
    <w:rsid w:val="33975B12"/>
    <w:rsid w:val="339C09C3"/>
    <w:rsid w:val="339D48A3"/>
    <w:rsid w:val="33AE35DC"/>
    <w:rsid w:val="33B210F4"/>
    <w:rsid w:val="33B2468A"/>
    <w:rsid w:val="33E96283"/>
    <w:rsid w:val="33F46A50"/>
    <w:rsid w:val="343230D5"/>
    <w:rsid w:val="34390907"/>
    <w:rsid w:val="344057F2"/>
    <w:rsid w:val="347656B7"/>
    <w:rsid w:val="348E47AF"/>
    <w:rsid w:val="34904DE8"/>
    <w:rsid w:val="34AC3F6A"/>
    <w:rsid w:val="34B95463"/>
    <w:rsid w:val="34BF2BBB"/>
    <w:rsid w:val="34DE0581"/>
    <w:rsid w:val="34ED6AD1"/>
    <w:rsid w:val="34F12F90"/>
    <w:rsid w:val="34F33F81"/>
    <w:rsid w:val="350031D3"/>
    <w:rsid w:val="351C000D"/>
    <w:rsid w:val="351D4096"/>
    <w:rsid w:val="351E3DC8"/>
    <w:rsid w:val="35366BF5"/>
    <w:rsid w:val="35507CB7"/>
    <w:rsid w:val="3554104F"/>
    <w:rsid w:val="35700359"/>
    <w:rsid w:val="357339A5"/>
    <w:rsid w:val="357C0AAC"/>
    <w:rsid w:val="358160C2"/>
    <w:rsid w:val="35897F48"/>
    <w:rsid w:val="35B50461"/>
    <w:rsid w:val="35D24EAB"/>
    <w:rsid w:val="35DA3A24"/>
    <w:rsid w:val="35E0307F"/>
    <w:rsid w:val="35E46651"/>
    <w:rsid w:val="35FF348B"/>
    <w:rsid w:val="364A0BAA"/>
    <w:rsid w:val="364A1AF1"/>
    <w:rsid w:val="36AA5801"/>
    <w:rsid w:val="36BA0204"/>
    <w:rsid w:val="36D13079"/>
    <w:rsid w:val="36DE0128"/>
    <w:rsid w:val="36DE4763"/>
    <w:rsid w:val="36FF3742"/>
    <w:rsid w:val="37076A9B"/>
    <w:rsid w:val="371F5B92"/>
    <w:rsid w:val="373A0C1E"/>
    <w:rsid w:val="375D2B5F"/>
    <w:rsid w:val="378620B5"/>
    <w:rsid w:val="37893094"/>
    <w:rsid w:val="37A76F3D"/>
    <w:rsid w:val="37BA1D5F"/>
    <w:rsid w:val="37D20E57"/>
    <w:rsid w:val="37F45271"/>
    <w:rsid w:val="380C199C"/>
    <w:rsid w:val="38156F95"/>
    <w:rsid w:val="381E5A7D"/>
    <w:rsid w:val="3830505E"/>
    <w:rsid w:val="383A69FC"/>
    <w:rsid w:val="38436D18"/>
    <w:rsid w:val="38514CBB"/>
    <w:rsid w:val="38547ABE"/>
    <w:rsid w:val="385846FD"/>
    <w:rsid w:val="38872B08"/>
    <w:rsid w:val="38A24CCD"/>
    <w:rsid w:val="38BF31FC"/>
    <w:rsid w:val="38C20ECB"/>
    <w:rsid w:val="38DB01DF"/>
    <w:rsid w:val="38DD3F57"/>
    <w:rsid w:val="38F56F11"/>
    <w:rsid w:val="390E2362"/>
    <w:rsid w:val="3924754A"/>
    <w:rsid w:val="393F251C"/>
    <w:rsid w:val="39504729"/>
    <w:rsid w:val="398428FF"/>
    <w:rsid w:val="39A47ED7"/>
    <w:rsid w:val="39B0341A"/>
    <w:rsid w:val="39B27192"/>
    <w:rsid w:val="39C11183"/>
    <w:rsid w:val="39E210F9"/>
    <w:rsid w:val="39F23A32"/>
    <w:rsid w:val="3A091DAD"/>
    <w:rsid w:val="3A287454"/>
    <w:rsid w:val="3A3D53E0"/>
    <w:rsid w:val="3A5169AB"/>
    <w:rsid w:val="3A7E0E22"/>
    <w:rsid w:val="3A824DB6"/>
    <w:rsid w:val="3A833E14"/>
    <w:rsid w:val="3A87390E"/>
    <w:rsid w:val="3A886145"/>
    <w:rsid w:val="3A900A73"/>
    <w:rsid w:val="3A955F0B"/>
    <w:rsid w:val="3A976388"/>
    <w:rsid w:val="3A9C74FA"/>
    <w:rsid w:val="3A9D5440"/>
    <w:rsid w:val="3AB26D1E"/>
    <w:rsid w:val="3AB605BC"/>
    <w:rsid w:val="3AC30F2B"/>
    <w:rsid w:val="3AC436BF"/>
    <w:rsid w:val="3AD13648"/>
    <w:rsid w:val="3AD4138A"/>
    <w:rsid w:val="3AD62A0C"/>
    <w:rsid w:val="3AE8273F"/>
    <w:rsid w:val="3B077069"/>
    <w:rsid w:val="3B0B5EAC"/>
    <w:rsid w:val="3B2714BA"/>
    <w:rsid w:val="3B3125C5"/>
    <w:rsid w:val="3B3F08B6"/>
    <w:rsid w:val="3B3F2CA7"/>
    <w:rsid w:val="3B547DD5"/>
    <w:rsid w:val="3B5953EB"/>
    <w:rsid w:val="3B6E0E96"/>
    <w:rsid w:val="3B7641EF"/>
    <w:rsid w:val="3B985F13"/>
    <w:rsid w:val="3B9A1C8B"/>
    <w:rsid w:val="3B9C3C56"/>
    <w:rsid w:val="3BB95D9C"/>
    <w:rsid w:val="3BC81A95"/>
    <w:rsid w:val="3BCE5DD9"/>
    <w:rsid w:val="3BF84C04"/>
    <w:rsid w:val="3BF8726A"/>
    <w:rsid w:val="3C137C90"/>
    <w:rsid w:val="3C1E28BD"/>
    <w:rsid w:val="3C221C81"/>
    <w:rsid w:val="3C3324D5"/>
    <w:rsid w:val="3C4147FD"/>
    <w:rsid w:val="3C4F6F1A"/>
    <w:rsid w:val="3C5A766D"/>
    <w:rsid w:val="3C6978B0"/>
    <w:rsid w:val="3C78083A"/>
    <w:rsid w:val="3C893498"/>
    <w:rsid w:val="3C943045"/>
    <w:rsid w:val="3C980277"/>
    <w:rsid w:val="3C9E1C4F"/>
    <w:rsid w:val="3CA07775"/>
    <w:rsid w:val="3CA60B04"/>
    <w:rsid w:val="3CB37038"/>
    <w:rsid w:val="3CB43221"/>
    <w:rsid w:val="3CB65192"/>
    <w:rsid w:val="3CCA2A44"/>
    <w:rsid w:val="3CEB3E3A"/>
    <w:rsid w:val="3CED228F"/>
    <w:rsid w:val="3CF16BA8"/>
    <w:rsid w:val="3CF47F1B"/>
    <w:rsid w:val="3CF8135F"/>
    <w:rsid w:val="3D000214"/>
    <w:rsid w:val="3D3659E4"/>
    <w:rsid w:val="3D760447"/>
    <w:rsid w:val="3D983778"/>
    <w:rsid w:val="3DA46DF1"/>
    <w:rsid w:val="3DA54918"/>
    <w:rsid w:val="3DAF5796"/>
    <w:rsid w:val="3DB17E66"/>
    <w:rsid w:val="3DEB5975"/>
    <w:rsid w:val="3DED69EA"/>
    <w:rsid w:val="3DFE3B8F"/>
    <w:rsid w:val="3E03620E"/>
    <w:rsid w:val="3E18158D"/>
    <w:rsid w:val="3E310B90"/>
    <w:rsid w:val="3E3A59A8"/>
    <w:rsid w:val="3E4B1963"/>
    <w:rsid w:val="3E5F540E"/>
    <w:rsid w:val="3E950E30"/>
    <w:rsid w:val="3EA846BF"/>
    <w:rsid w:val="3EB76FF8"/>
    <w:rsid w:val="3EC76B54"/>
    <w:rsid w:val="3ED656D0"/>
    <w:rsid w:val="3EE33949"/>
    <w:rsid w:val="3F087854"/>
    <w:rsid w:val="3F307FEE"/>
    <w:rsid w:val="3F5465F5"/>
    <w:rsid w:val="3F6F0EAB"/>
    <w:rsid w:val="3F6F78D3"/>
    <w:rsid w:val="3F710F55"/>
    <w:rsid w:val="3F7B0026"/>
    <w:rsid w:val="3F986716"/>
    <w:rsid w:val="3FAE51DB"/>
    <w:rsid w:val="3FB90E8B"/>
    <w:rsid w:val="3FC726BC"/>
    <w:rsid w:val="3FC829EB"/>
    <w:rsid w:val="3FCB2D5B"/>
    <w:rsid w:val="3FF87280"/>
    <w:rsid w:val="400E07FB"/>
    <w:rsid w:val="40177B00"/>
    <w:rsid w:val="40587A9D"/>
    <w:rsid w:val="40651C48"/>
    <w:rsid w:val="407A652F"/>
    <w:rsid w:val="4084115C"/>
    <w:rsid w:val="408F1B22"/>
    <w:rsid w:val="40953BB0"/>
    <w:rsid w:val="409F309C"/>
    <w:rsid w:val="40AA1C38"/>
    <w:rsid w:val="40B855E5"/>
    <w:rsid w:val="40BA692C"/>
    <w:rsid w:val="410B7187"/>
    <w:rsid w:val="413C3495"/>
    <w:rsid w:val="4151103E"/>
    <w:rsid w:val="416F3BBA"/>
    <w:rsid w:val="41734075"/>
    <w:rsid w:val="418D5DEE"/>
    <w:rsid w:val="41943621"/>
    <w:rsid w:val="41BB295C"/>
    <w:rsid w:val="41BD4926"/>
    <w:rsid w:val="41CD42E5"/>
    <w:rsid w:val="41D043EB"/>
    <w:rsid w:val="41E53E7C"/>
    <w:rsid w:val="41FF0BAA"/>
    <w:rsid w:val="42010CB6"/>
    <w:rsid w:val="420B34BD"/>
    <w:rsid w:val="420F2CA7"/>
    <w:rsid w:val="42117F79"/>
    <w:rsid w:val="422624CB"/>
    <w:rsid w:val="42295EB2"/>
    <w:rsid w:val="42507548"/>
    <w:rsid w:val="425A03C6"/>
    <w:rsid w:val="4265677C"/>
    <w:rsid w:val="427A28DC"/>
    <w:rsid w:val="429851ED"/>
    <w:rsid w:val="4299572C"/>
    <w:rsid w:val="42AF443C"/>
    <w:rsid w:val="42D261AF"/>
    <w:rsid w:val="42F97BDF"/>
    <w:rsid w:val="43030A5E"/>
    <w:rsid w:val="430B16C1"/>
    <w:rsid w:val="431E31A2"/>
    <w:rsid w:val="433C7ACC"/>
    <w:rsid w:val="43667586"/>
    <w:rsid w:val="437B05F4"/>
    <w:rsid w:val="4396292B"/>
    <w:rsid w:val="439858F9"/>
    <w:rsid w:val="43A36D53"/>
    <w:rsid w:val="43A713E9"/>
    <w:rsid w:val="43FA7785"/>
    <w:rsid w:val="44095C00"/>
    <w:rsid w:val="440C3DFA"/>
    <w:rsid w:val="44194E8A"/>
    <w:rsid w:val="442C5D93"/>
    <w:rsid w:val="44333A75"/>
    <w:rsid w:val="44406369"/>
    <w:rsid w:val="44456966"/>
    <w:rsid w:val="444D10DB"/>
    <w:rsid w:val="4473751E"/>
    <w:rsid w:val="44831449"/>
    <w:rsid w:val="44894F93"/>
    <w:rsid w:val="449A217E"/>
    <w:rsid w:val="44B3232C"/>
    <w:rsid w:val="44EE2EF8"/>
    <w:rsid w:val="44F20D8A"/>
    <w:rsid w:val="45010FCD"/>
    <w:rsid w:val="45105231"/>
    <w:rsid w:val="452A22D2"/>
    <w:rsid w:val="45472279"/>
    <w:rsid w:val="455C4456"/>
    <w:rsid w:val="456F1492"/>
    <w:rsid w:val="457572C5"/>
    <w:rsid w:val="457F6A92"/>
    <w:rsid w:val="459560D9"/>
    <w:rsid w:val="45967968"/>
    <w:rsid w:val="45AB2CE7"/>
    <w:rsid w:val="45BF449D"/>
    <w:rsid w:val="45EA7CB3"/>
    <w:rsid w:val="45ED50AE"/>
    <w:rsid w:val="45F73B38"/>
    <w:rsid w:val="460074D7"/>
    <w:rsid w:val="460D74FE"/>
    <w:rsid w:val="460E040F"/>
    <w:rsid w:val="462036D5"/>
    <w:rsid w:val="46454EEA"/>
    <w:rsid w:val="46481094"/>
    <w:rsid w:val="46511AE0"/>
    <w:rsid w:val="4654512D"/>
    <w:rsid w:val="468172F0"/>
    <w:rsid w:val="46877E0A"/>
    <w:rsid w:val="4697128A"/>
    <w:rsid w:val="469D2F78"/>
    <w:rsid w:val="46AC4F69"/>
    <w:rsid w:val="46AC6D17"/>
    <w:rsid w:val="46BA2A7A"/>
    <w:rsid w:val="46C12A9F"/>
    <w:rsid w:val="46C2653A"/>
    <w:rsid w:val="46CE59EE"/>
    <w:rsid w:val="47094169"/>
    <w:rsid w:val="471F573B"/>
    <w:rsid w:val="47240FA3"/>
    <w:rsid w:val="47407B53"/>
    <w:rsid w:val="47412088"/>
    <w:rsid w:val="47486A40"/>
    <w:rsid w:val="475B1C08"/>
    <w:rsid w:val="4773627F"/>
    <w:rsid w:val="477C0DDF"/>
    <w:rsid w:val="479B1265"/>
    <w:rsid w:val="479F5147"/>
    <w:rsid w:val="47AF2F63"/>
    <w:rsid w:val="47C32F35"/>
    <w:rsid w:val="47C75559"/>
    <w:rsid w:val="47D05677"/>
    <w:rsid w:val="47DB5B06"/>
    <w:rsid w:val="47E32C0C"/>
    <w:rsid w:val="47E524E0"/>
    <w:rsid w:val="47E909C5"/>
    <w:rsid w:val="48036E0A"/>
    <w:rsid w:val="48050DD4"/>
    <w:rsid w:val="480706A9"/>
    <w:rsid w:val="480F57AF"/>
    <w:rsid w:val="48117779"/>
    <w:rsid w:val="481A7723"/>
    <w:rsid w:val="48222B86"/>
    <w:rsid w:val="483D2E82"/>
    <w:rsid w:val="483F2561"/>
    <w:rsid w:val="484336AB"/>
    <w:rsid w:val="485922F6"/>
    <w:rsid w:val="48657AC5"/>
    <w:rsid w:val="48726804"/>
    <w:rsid w:val="487D1148"/>
    <w:rsid w:val="48853CC3"/>
    <w:rsid w:val="489932CB"/>
    <w:rsid w:val="48A95C04"/>
    <w:rsid w:val="48AE4FC8"/>
    <w:rsid w:val="48B325DE"/>
    <w:rsid w:val="48C60564"/>
    <w:rsid w:val="48C93BB0"/>
    <w:rsid w:val="48F86243"/>
    <w:rsid w:val="48FB5D34"/>
    <w:rsid w:val="48FD39AE"/>
    <w:rsid w:val="490135A1"/>
    <w:rsid w:val="490177EE"/>
    <w:rsid w:val="490A71B6"/>
    <w:rsid w:val="490B241B"/>
    <w:rsid w:val="491312CF"/>
    <w:rsid w:val="491A08B0"/>
    <w:rsid w:val="491A265E"/>
    <w:rsid w:val="491F7ADF"/>
    <w:rsid w:val="4927637F"/>
    <w:rsid w:val="492E6109"/>
    <w:rsid w:val="493556E9"/>
    <w:rsid w:val="49831FB1"/>
    <w:rsid w:val="498D72D3"/>
    <w:rsid w:val="49A60395"/>
    <w:rsid w:val="49C448E8"/>
    <w:rsid w:val="49C92E0A"/>
    <w:rsid w:val="49D34CDA"/>
    <w:rsid w:val="49E8206C"/>
    <w:rsid w:val="49EA4C93"/>
    <w:rsid w:val="49F81187"/>
    <w:rsid w:val="4A2031B2"/>
    <w:rsid w:val="4A3239D7"/>
    <w:rsid w:val="4A325785"/>
    <w:rsid w:val="4A4D25BF"/>
    <w:rsid w:val="4A5751EC"/>
    <w:rsid w:val="4A600544"/>
    <w:rsid w:val="4A607E42"/>
    <w:rsid w:val="4A6D3C93"/>
    <w:rsid w:val="4A804742"/>
    <w:rsid w:val="4A8C758B"/>
    <w:rsid w:val="4A9326C8"/>
    <w:rsid w:val="4A985B20"/>
    <w:rsid w:val="4A9D70A2"/>
    <w:rsid w:val="4AA22ADD"/>
    <w:rsid w:val="4AB158B1"/>
    <w:rsid w:val="4AB97C54"/>
    <w:rsid w:val="4AC46D25"/>
    <w:rsid w:val="4AC60743"/>
    <w:rsid w:val="4AD8457E"/>
    <w:rsid w:val="4AE24DF1"/>
    <w:rsid w:val="4AF72B59"/>
    <w:rsid w:val="4B003E6D"/>
    <w:rsid w:val="4B101F6A"/>
    <w:rsid w:val="4B117725"/>
    <w:rsid w:val="4B386DCB"/>
    <w:rsid w:val="4B5A0084"/>
    <w:rsid w:val="4B736055"/>
    <w:rsid w:val="4B7C13AE"/>
    <w:rsid w:val="4B806486"/>
    <w:rsid w:val="4B9C55AC"/>
    <w:rsid w:val="4BAB1C93"/>
    <w:rsid w:val="4BB548C0"/>
    <w:rsid w:val="4BB94B5B"/>
    <w:rsid w:val="4BBC1740"/>
    <w:rsid w:val="4BC72DC0"/>
    <w:rsid w:val="4BCA6707"/>
    <w:rsid w:val="4BDE5BC4"/>
    <w:rsid w:val="4BF13AFC"/>
    <w:rsid w:val="4C03387D"/>
    <w:rsid w:val="4C0B2731"/>
    <w:rsid w:val="4C1B2975"/>
    <w:rsid w:val="4C1B7FAF"/>
    <w:rsid w:val="4C312E09"/>
    <w:rsid w:val="4C3E3B4F"/>
    <w:rsid w:val="4C4342C9"/>
    <w:rsid w:val="4C4874E2"/>
    <w:rsid w:val="4C59524B"/>
    <w:rsid w:val="4C69696A"/>
    <w:rsid w:val="4C6C7D64"/>
    <w:rsid w:val="4C8147A2"/>
    <w:rsid w:val="4C8449BE"/>
    <w:rsid w:val="4C983FC5"/>
    <w:rsid w:val="4CAA1F4A"/>
    <w:rsid w:val="4CB15649"/>
    <w:rsid w:val="4CDB2104"/>
    <w:rsid w:val="4CEE62DB"/>
    <w:rsid w:val="4CF5766A"/>
    <w:rsid w:val="4CF92338"/>
    <w:rsid w:val="4CFB09F8"/>
    <w:rsid w:val="4D086A6A"/>
    <w:rsid w:val="4D16313C"/>
    <w:rsid w:val="4D1A2C2C"/>
    <w:rsid w:val="4D3F739C"/>
    <w:rsid w:val="4D697710"/>
    <w:rsid w:val="4DD23507"/>
    <w:rsid w:val="4DFA0726"/>
    <w:rsid w:val="4E032C72"/>
    <w:rsid w:val="4E074011"/>
    <w:rsid w:val="4E191136"/>
    <w:rsid w:val="4E3C157A"/>
    <w:rsid w:val="4E3C4E24"/>
    <w:rsid w:val="4E573A0C"/>
    <w:rsid w:val="4E6B74B7"/>
    <w:rsid w:val="4E720846"/>
    <w:rsid w:val="4E920EE8"/>
    <w:rsid w:val="4EA2112B"/>
    <w:rsid w:val="4EAF3848"/>
    <w:rsid w:val="4ECF5C98"/>
    <w:rsid w:val="4EFB083B"/>
    <w:rsid w:val="4EFD2805"/>
    <w:rsid w:val="4EFE2699"/>
    <w:rsid w:val="4F170F7E"/>
    <w:rsid w:val="4F1A1ED7"/>
    <w:rsid w:val="4F2953A8"/>
    <w:rsid w:val="4F305272"/>
    <w:rsid w:val="4F382326"/>
    <w:rsid w:val="4F4641AC"/>
    <w:rsid w:val="4F5F0DCA"/>
    <w:rsid w:val="4F67404A"/>
    <w:rsid w:val="4F7505EE"/>
    <w:rsid w:val="4F7F2918"/>
    <w:rsid w:val="4F9A62A6"/>
    <w:rsid w:val="4FA30197"/>
    <w:rsid w:val="4FA42C81"/>
    <w:rsid w:val="4FAD0D89"/>
    <w:rsid w:val="4FB7772D"/>
    <w:rsid w:val="4FCF16CB"/>
    <w:rsid w:val="4FD277EE"/>
    <w:rsid w:val="4FD758EC"/>
    <w:rsid w:val="4FFE0BE5"/>
    <w:rsid w:val="50285660"/>
    <w:rsid w:val="502C1509"/>
    <w:rsid w:val="502E6752"/>
    <w:rsid w:val="504003C9"/>
    <w:rsid w:val="504306EC"/>
    <w:rsid w:val="5043693E"/>
    <w:rsid w:val="50700DB5"/>
    <w:rsid w:val="50836D3A"/>
    <w:rsid w:val="508F1B83"/>
    <w:rsid w:val="50B06AF3"/>
    <w:rsid w:val="50B138A7"/>
    <w:rsid w:val="50C3704D"/>
    <w:rsid w:val="50E35A2B"/>
    <w:rsid w:val="50E52F46"/>
    <w:rsid w:val="50E61077"/>
    <w:rsid w:val="5116195C"/>
    <w:rsid w:val="51181B78"/>
    <w:rsid w:val="512322CB"/>
    <w:rsid w:val="51306EFD"/>
    <w:rsid w:val="51387B25"/>
    <w:rsid w:val="513B7615"/>
    <w:rsid w:val="514C537E"/>
    <w:rsid w:val="51514E61"/>
    <w:rsid w:val="515F3303"/>
    <w:rsid w:val="51644DBE"/>
    <w:rsid w:val="5167040A"/>
    <w:rsid w:val="518E5997"/>
    <w:rsid w:val="51976BFB"/>
    <w:rsid w:val="51BC2D23"/>
    <w:rsid w:val="51BD282E"/>
    <w:rsid w:val="51DD4B21"/>
    <w:rsid w:val="51EB67C6"/>
    <w:rsid w:val="51F404C8"/>
    <w:rsid w:val="51FF1DCF"/>
    <w:rsid w:val="52100AA2"/>
    <w:rsid w:val="521D6D1B"/>
    <w:rsid w:val="521E31BF"/>
    <w:rsid w:val="52214A5D"/>
    <w:rsid w:val="52427315"/>
    <w:rsid w:val="524D73FC"/>
    <w:rsid w:val="525C1069"/>
    <w:rsid w:val="526037D7"/>
    <w:rsid w:val="52630BD1"/>
    <w:rsid w:val="52923265"/>
    <w:rsid w:val="529B480F"/>
    <w:rsid w:val="52A35472"/>
    <w:rsid w:val="52C61160"/>
    <w:rsid w:val="52CB6777"/>
    <w:rsid w:val="52E15F9A"/>
    <w:rsid w:val="52E55A8A"/>
    <w:rsid w:val="532A4557"/>
    <w:rsid w:val="53430A03"/>
    <w:rsid w:val="53690469"/>
    <w:rsid w:val="536E12A3"/>
    <w:rsid w:val="536F1BB5"/>
    <w:rsid w:val="536F35A6"/>
    <w:rsid w:val="537A2DD6"/>
    <w:rsid w:val="538B4884"/>
    <w:rsid w:val="53A76F4E"/>
    <w:rsid w:val="53A96AB8"/>
    <w:rsid w:val="53B611D5"/>
    <w:rsid w:val="53CB21D1"/>
    <w:rsid w:val="53CF495D"/>
    <w:rsid w:val="53D33F54"/>
    <w:rsid w:val="541C372E"/>
    <w:rsid w:val="54232D0E"/>
    <w:rsid w:val="54495167"/>
    <w:rsid w:val="54574766"/>
    <w:rsid w:val="548A4CF5"/>
    <w:rsid w:val="548D1D14"/>
    <w:rsid w:val="5496001D"/>
    <w:rsid w:val="54B03E76"/>
    <w:rsid w:val="54BA64A6"/>
    <w:rsid w:val="54C149EE"/>
    <w:rsid w:val="54E04904"/>
    <w:rsid w:val="54E34014"/>
    <w:rsid w:val="54E50E64"/>
    <w:rsid w:val="54FC0F06"/>
    <w:rsid w:val="550B5550"/>
    <w:rsid w:val="5516017D"/>
    <w:rsid w:val="552D209E"/>
    <w:rsid w:val="552F123F"/>
    <w:rsid w:val="553534A9"/>
    <w:rsid w:val="553C2F5E"/>
    <w:rsid w:val="553D0EA7"/>
    <w:rsid w:val="55456CB4"/>
    <w:rsid w:val="55774994"/>
    <w:rsid w:val="557F21C6"/>
    <w:rsid w:val="559D089E"/>
    <w:rsid w:val="55A51501"/>
    <w:rsid w:val="55C67DF5"/>
    <w:rsid w:val="55D42901"/>
    <w:rsid w:val="55D94CDD"/>
    <w:rsid w:val="55DD1FDE"/>
    <w:rsid w:val="56075D18"/>
    <w:rsid w:val="560E52F8"/>
    <w:rsid w:val="56220DA3"/>
    <w:rsid w:val="56286BBA"/>
    <w:rsid w:val="562B5D33"/>
    <w:rsid w:val="562B7C58"/>
    <w:rsid w:val="56336B0D"/>
    <w:rsid w:val="563655C7"/>
    <w:rsid w:val="56463CD1"/>
    <w:rsid w:val="565E627F"/>
    <w:rsid w:val="56614AC6"/>
    <w:rsid w:val="56614CF5"/>
    <w:rsid w:val="566B26ED"/>
    <w:rsid w:val="567A473C"/>
    <w:rsid w:val="567C6706"/>
    <w:rsid w:val="569275B4"/>
    <w:rsid w:val="56C105BC"/>
    <w:rsid w:val="56D26326"/>
    <w:rsid w:val="56D406D5"/>
    <w:rsid w:val="56EB388B"/>
    <w:rsid w:val="56ED315F"/>
    <w:rsid w:val="5702049F"/>
    <w:rsid w:val="570A3D11"/>
    <w:rsid w:val="570D1A54"/>
    <w:rsid w:val="571B7CCD"/>
    <w:rsid w:val="57315742"/>
    <w:rsid w:val="57372573"/>
    <w:rsid w:val="573D690D"/>
    <w:rsid w:val="574F4BD9"/>
    <w:rsid w:val="57604C7E"/>
    <w:rsid w:val="578D209F"/>
    <w:rsid w:val="57B7551B"/>
    <w:rsid w:val="57B8376D"/>
    <w:rsid w:val="57E4351E"/>
    <w:rsid w:val="58005114"/>
    <w:rsid w:val="580B1368"/>
    <w:rsid w:val="5814296E"/>
    <w:rsid w:val="581D5CC6"/>
    <w:rsid w:val="582726A1"/>
    <w:rsid w:val="582B03E3"/>
    <w:rsid w:val="58405240"/>
    <w:rsid w:val="587F072F"/>
    <w:rsid w:val="58825B29"/>
    <w:rsid w:val="589D0BB5"/>
    <w:rsid w:val="58A02F60"/>
    <w:rsid w:val="5903310E"/>
    <w:rsid w:val="59246BE1"/>
    <w:rsid w:val="592B4413"/>
    <w:rsid w:val="5954396A"/>
    <w:rsid w:val="59611BE3"/>
    <w:rsid w:val="59684D1F"/>
    <w:rsid w:val="597162CA"/>
    <w:rsid w:val="5975743C"/>
    <w:rsid w:val="597764BD"/>
    <w:rsid w:val="59AA17DC"/>
    <w:rsid w:val="59DE1485"/>
    <w:rsid w:val="59EE7206"/>
    <w:rsid w:val="5A220000"/>
    <w:rsid w:val="5A292701"/>
    <w:rsid w:val="5A3317D1"/>
    <w:rsid w:val="5A4A2677"/>
    <w:rsid w:val="5A4E660B"/>
    <w:rsid w:val="5A5D684E"/>
    <w:rsid w:val="5A710F00"/>
    <w:rsid w:val="5A7871E4"/>
    <w:rsid w:val="5AA4447D"/>
    <w:rsid w:val="5AA93841"/>
    <w:rsid w:val="5AA9633A"/>
    <w:rsid w:val="5AAB05EF"/>
    <w:rsid w:val="5AC32B55"/>
    <w:rsid w:val="5AD703AE"/>
    <w:rsid w:val="5AE66844"/>
    <w:rsid w:val="5AF54792"/>
    <w:rsid w:val="5AFF16B3"/>
    <w:rsid w:val="5B0A2301"/>
    <w:rsid w:val="5B0E5CF1"/>
    <w:rsid w:val="5B12588A"/>
    <w:rsid w:val="5B1F1D55"/>
    <w:rsid w:val="5B3A6B8F"/>
    <w:rsid w:val="5B445318"/>
    <w:rsid w:val="5B5639C9"/>
    <w:rsid w:val="5B793214"/>
    <w:rsid w:val="5B7A6F8C"/>
    <w:rsid w:val="5B8F6276"/>
    <w:rsid w:val="5BA26C0E"/>
    <w:rsid w:val="5BAA7871"/>
    <w:rsid w:val="5BAC4C40"/>
    <w:rsid w:val="5BB314D3"/>
    <w:rsid w:val="5BDB3835"/>
    <w:rsid w:val="5BE31ADF"/>
    <w:rsid w:val="5BE663CF"/>
    <w:rsid w:val="5BE6785B"/>
    <w:rsid w:val="5C0D2E0B"/>
    <w:rsid w:val="5C1D6295"/>
    <w:rsid w:val="5C2B334D"/>
    <w:rsid w:val="5C2E2250"/>
    <w:rsid w:val="5C3E620B"/>
    <w:rsid w:val="5C5B0B6B"/>
    <w:rsid w:val="5C5D0D87"/>
    <w:rsid w:val="5C5D2B35"/>
    <w:rsid w:val="5C6914DA"/>
    <w:rsid w:val="5C8E0EFE"/>
    <w:rsid w:val="5CA42512"/>
    <w:rsid w:val="5CAC13C7"/>
    <w:rsid w:val="5CAE3391"/>
    <w:rsid w:val="5CB00EB7"/>
    <w:rsid w:val="5CBD35D4"/>
    <w:rsid w:val="5CC21EFA"/>
    <w:rsid w:val="5CD06429"/>
    <w:rsid w:val="5CD34BA6"/>
    <w:rsid w:val="5CDD5A24"/>
    <w:rsid w:val="5CE172C2"/>
    <w:rsid w:val="5CF0081C"/>
    <w:rsid w:val="5CFB4A81"/>
    <w:rsid w:val="5D1660DF"/>
    <w:rsid w:val="5D1B3BAA"/>
    <w:rsid w:val="5D292A17"/>
    <w:rsid w:val="5D304987"/>
    <w:rsid w:val="5D3F2801"/>
    <w:rsid w:val="5D4635C9"/>
    <w:rsid w:val="5D537A94"/>
    <w:rsid w:val="5D55697E"/>
    <w:rsid w:val="5D6B3030"/>
    <w:rsid w:val="5D845EA0"/>
    <w:rsid w:val="5D8A795A"/>
    <w:rsid w:val="5DA56542"/>
    <w:rsid w:val="5DD76917"/>
    <w:rsid w:val="5DEE1247"/>
    <w:rsid w:val="5E0D40E7"/>
    <w:rsid w:val="5E196F30"/>
    <w:rsid w:val="5E2356B9"/>
    <w:rsid w:val="5E4A533B"/>
    <w:rsid w:val="5E535E3C"/>
    <w:rsid w:val="5E680CBA"/>
    <w:rsid w:val="5E8C7702"/>
    <w:rsid w:val="5E8E347A"/>
    <w:rsid w:val="5E8E5228"/>
    <w:rsid w:val="5EA44A4C"/>
    <w:rsid w:val="5EA46A5A"/>
    <w:rsid w:val="5EBB3709"/>
    <w:rsid w:val="5ED20696"/>
    <w:rsid w:val="5EF378D7"/>
    <w:rsid w:val="5EFF6126"/>
    <w:rsid w:val="5F025AC8"/>
    <w:rsid w:val="5F08322C"/>
    <w:rsid w:val="5F0B35FC"/>
    <w:rsid w:val="5F100333"/>
    <w:rsid w:val="5F1D47FE"/>
    <w:rsid w:val="5F1F0576"/>
    <w:rsid w:val="5F220258"/>
    <w:rsid w:val="5F2E2567"/>
    <w:rsid w:val="5F300538"/>
    <w:rsid w:val="5F3A53B0"/>
    <w:rsid w:val="5F427DC1"/>
    <w:rsid w:val="5F463F8B"/>
    <w:rsid w:val="5F674F9F"/>
    <w:rsid w:val="5F697437"/>
    <w:rsid w:val="5F773F0E"/>
    <w:rsid w:val="5F775CBC"/>
    <w:rsid w:val="5FBC5DC5"/>
    <w:rsid w:val="5FC133DB"/>
    <w:rsid w:val="5FDE21DF"/>
    <w:rsid w:val="5FF122E6"/>
    <w:rsid w:val="5FF76DFD"/>
    <w:rsid w:val="60121E89"/>
    <w:rsid w:val="601E2B84"/>
    <w:rsid w:val="603D6F06"/>
    <w:rsid w:val="60536729"/>
    <w:rsid w:val="606518EB"/>
    <w:rsid w:val="606D6417"/>
    <w:rsid w:val="60765F74"/>
    <w:rsid w:val="607729D4"/>
    <w:rsid w:val="60776CDB"/>
    <w:rsid w:val="607E751E"/>
    <w:rsid w:val="60844B35"/>
    <w:rsid w:val="60997EB4"/>
    <w:rsid w:val="60B8658C"/>
    <w:rsid w:val="60CA62C0"/>
    <w:rsid w:val="60CD77D2"/>
    <w:rsid w:val="60D509C3"/>
    <w:rsid w:val="611063C8"/>
    <w:rsid w:val="61225AB5"/>
    <w:rsid w:val="61291238"/>
    <w:rsid w:val="614C7896"/>
    <w:rsid w:val="615A3AE7"/>
    <w:rsid w:val="616C7377"/>
    <w:rsid w:val="617F52FC"/>
    <w:rsid w:val="61903065"/>
    <w:rsid w:val="61AB60F1"/>
    <w:rsid w:val="61AD00BB"/>
    <w:rsid w:val="61D51CB3"/>
    <w:rsid w:val="61E433B1"/>
    <w:rsid w:val="62265F59"/>
    <w:rsid w:val="622A66CA"/>
    <w:rsid w:val="622D4D58"/>
    <w:rsid w:val="62500AC7"/>
    <w:rsid w:val="62574BA5"/>
    <w:rsid w:val="62620EA5"/>
    <w:rsid w:val="6274035D"/>
    <w:rsid w:val="62917095"/>
    <w:rsid w:val="629D3C8C"/>
    <w:rsid w:val="62B9335A"/>
    <w:rsid w:val="62CF5E0F"/>
    <w:rsid w:val="62E33669"/>
    <w:rsid w:val="62F13FD7"/>
    <w:rsid w:val="62FE04A2"/>
    <w:rsid w:val="63041F5D"/>
    <w:rsid w:val="630C2BBF"/>
    <w:rsid w:val="631303F2"/>
    <w:rsid w:val="632050D7"/>
    <w:rsid w:val="635C3B47"/>
    <w:rsid w:val="636B5B38"/>
    <w:rsid w:val="63780255"/>
    <w:rsid w:val="63822E81"/>
    <w:rsid w:val="63E91153"/>
    <w:rsid w:val="63F20007"/>
    <w:rsid w:val="64216B3E"/>
    <w:rsid w:val="643E5896"/>
    <w:rsid w:val="643F0D73"/>
    <w:rsid w:val="64462101"/>
    <w:rsid w:val="64485E79"/>
    <w:rsid w:val="649B3883"/>
    <w:rsid w:val="64D01D3B"/>
    <w:rsid w:val="64D63BD5"/>
    <w:rsid w:val="64E536C8"/>
    <w:rsid w:val="64F031D4"/>
    <w:rsid w:val="650D69AC"/>
    <w:rsid w:val="650E73FA"/>
    <w:rsid w:val="651D10B4"/>
    <w:rsid w:val="65200BA4"/>
    <w:rsid w:val="65202952"/>
    <w:rsid w:val="653F54CE"/>
    <w:rsid w:val="65404DA2"/>
    <w:rsid w:val="65427225"/>
    <w:rsid w:val="656F190F"/>
    <w:rsid w:val="659B022A"/>
    <w:rsid w:val="65A610A9"/>
    <w:rsid w:val="65BE7AE3"/>
    <w:rsid w:val="65BF660F"/>
    <w:rsid w:val="65C71020"/>
    <w:rsid w:val="65C854C3"/>
    <w:rsid w:val="65EB0E58"/>
    <w:rsid w:val="65F10662"/>
    <w:rsid w:val="660C22DB"/>
    <w:rsid w:val="66140709"/>
    <w:rsid w:val="661F70AE"/>
    <w:rsid w:val="66386DC6"/>
    <w:rsid w:val="6639016F"/>
    <w:rsid w:val="663F14FE"/>
    <w:rsid w:val="66471690"/>
    <w:rsid w:val="6659611C"/>
    <w:rsid w:val="667E09AA"/>
    <w:rsid w:val="6686712D"/>
    <w:rsid w:val="66B141AA"/>
    <w:rsid w:val="66CC76B7"/>
    <w:rsid w:val="66EA1469"/>
    <w:rsid w:val="67073DC9"/>
    <w:rsid w:val="670C7632"/>
    <w:rsid w:val="672A7EB8"/>
    <w:rsid w:val="673152EA"/>
    <w:rsid w:val="67636681"/>
    <w:rsid w:val="67B232F0"/>
    <w:rsid w:val="67BB4C0B"/>
    <w:rsid w:val="67D06451"/>
    <w:rsid w:val="67DB6951"/>
    <w:rsid w:val="68187227"/>
    <w:rsid w:val="682664D1"/>
    <w:rsid w:val="682942CE"/>
    <w:rsid w:val="683F14AB"/>
    <w:rsid w:val="685B2695"/>
    <w:rsid w:val="687A681D"/>
    <w:rsid w:val="688356D2"/>
    <w:rsid w:val="68BE495C"/>
    <w:rsid w:val="68E11A3D"/>
    <w:rsid w:val="68E5638C"/>
    <w:rsid w:val="68F77E6E"/>
    <w:rsid w:val="692D3623"/>
    <w:rsid w:val="692D388F"/>
    <w:rsid w:val="693764BC"/>
    <w:rsid w:val="69422BA5"/>
    <w:rsid w:val="69763488"/>
    <w:rsid w:val="69872FA0"/>
    <w:rsid w:val="698E432E"/>
    <w:rsid w:val="69961435"/>
    <w:rsid w:val="699826F2"/>
    <w:rsid w:val="69CA7330"/>
    <w:rsid w:val="69CB2E03"/>
    <w:rsid w:val="69D34437"/>
    <w:rsid w:val="69D51C24"/>
    <w:rsid w:val="69D53205"/>
    <w:rsid w:val="69F543AD"/>
    <w:rsid w:val="6A0665BA"/>
    <w:rsid w:val="6A1D3904"/>
    <w:rsid w:val="6A325601"/>
    <w:rsid w:val="6A4964A7"/>
    <w:rsid w:val="6A4C5F97"/>
    <w:rsid w:val="6A583E04"/>
    <w:rsid w:val="6A597547"/>
    <w:rsid w:val="6A627569"/>
    <w:rsid w:val="6A683448"/>
    <w:rsid w:val="6A792DC5"/>
    <w:rsid w:val="6AB44268"/>
    <w:rsid w:val="6AB51D8E"/>
    <w:rsid w:val="6AC21996"/>
    <w:rsid w:val="6ADA17F5"/>
    <w:rsid w:val="6AF84EC6"/>
    <w:rsid w:val="6B0B7C00"/>
    <w:rsid w:val="6B19231D"/>
    <w:rsid w:val="6B532292"/>
    <w:rsid w:val="6B5B46E4"/>
    <w:rsid w:val="6B6A4927"/>
    <w:rsid w:val="6B6C4B43"/>
    <w:rsid w:val="6B7632CC"/>
    <w:rsid w:val="6B890365"/>
    <w:rsid w:val="6B8E58B4"/>
    <w:rsid w:val="6B8E60DA"/>
    <w:rsid w:val="6B9C45E9"/>
    <w:rsid w:val="6BA2218E"/>
    <w:rsid w:val="6BC951B1"/>
    <w:rsid w:val="6BD02406"/>
    <w:rsid w:val="6BDE6514"/>
    <w:rsid w:val="6BEE5558"/>
    <w:rsid w:val="6BF6440D"/>
    <w:rsid w:val="6C1F1BB5"/>
    <w:rsid w:val="6C376EFF"/>
    <w:rsid w:val="6C51279D"/>
    <w:rsid w:val="6C5A0E3F"/>
    <w:rsid w:val="6C635F46"/>
    <w:rsid w:val="6C736298"/>
    <w:rsid w:val="6C9B4ED0"/>
    <w:rsid w:val="6CAF2015"/>
    <w:rsid w:val="6CE32BE3"/>
    <w:rsid w:val="6CEF1588"/>
    <w:rsid w:val="6D1C7EA3"/>
    <w:rsid w:val="6D367938"/>
    <w:rsid w:val="6D371181"/>
    <w:rsid w:val="6D5A1EC1"/>
    <w:rsid w:val="6D793547"/>
    <w:rsid w:val="6D7C5AE2"/>
    <w:rsid w:val="6D7D3037"/>
    <w:rsid w:val="6D875C64"/>
    <w:rsid w:val="6DA91338"/>
    <w:rsid w:val="6DDD3AD6"/>
    <w:rsid w:val="6DE96307"/>
    <w:rsid w:val="6DF36E56"/>
    <w:rsid w:val="6DF40E20"/>
    <w:rsid w:val="6DF96C7C"/>
    <w:rsid w:val="6DFE57FA"/>
    <w:rsid w:val="6E1D3DE5"/>
    <w:rsid w:val="6E4C0C5C"/>
    <w:rsid w:val="6E520749"/>
    <w:rsid w:val="6E55366C"/>
    <w:rsid w:val="6E661D1D"/>
    <w:rsid w:val="6E8977BA"/>
    <w:rsid w:val="6EB365E5"/>
    <w:rsid w:val="6EFF182A"/>
    <w:rsid w:val="6F0A4961"/>
    <w:rsid w:val="6F0B01CF"/>
    <w:rsid w:val="6F0F4163"/>
    <w:rsid w:val="6F226A0C"/>
    <w:rsid w:val="6F333C95"/>
    <w:rsid w:val="6F435BBB"/>
    <w:rsid w:val="6F563B40"/>
    <w:rsid w:val="6F5A2A4C"/>
    <w:rsid w:val="6F7A1FC6"/>
    <w:rsid w:val="6F855D9B"/>
    <w:rsid w:val="6F8D7DCD"/>
    <w:rsid w:val="6F972ADE"/>
    <w:rsid w:val="6F9F2952"/>
    <w:rsid w:val="6FCA2502"/>
    <w:rsid w:val="6FD20CED"/>
    <w:rsid w:val="70057314"/>
    <w:rsid w:val="700F5F2E"/>
    <w:rsid w:val="70114E03"/>
    <w:rsid w:val="701B08E6"/>
    <w:rsid w:val="70294C03"/>
    <w:rsid w:val="702C2AF3"/>
    <w:rsid w:val="70360EB9"/>
    <w:rsid w:val="7037403B"/>
    <w:rsid w:val="70390D6C"/>
    <w:rsid w:val="70587444"/>
    <w:rsid w:val="7065518F"/>
    <w:rsid w:val="70716758"/>
    <w:rsid w:val="709541F4"/>
    <w:rsid w:val="70B14DA6"/>
    <w:rsid w:val="70C96594"/>
    <w:rsid w:val="70CA2DBA"/>
    <w:rsid w:val="70D10D46"/>
    <w:rsid w:val="70E41384"/>
    <w:rsid w:val="70E64A50"/>
    <w:rsid w:val="70F57389"/>
    <w:rsid w:val="711315BD"/>
    <w:rsid w:val="71214D20"/>
    <w:rsid w:val="71233EF6"/>
    <w:rsid w:val="712D6B22"/>
    <w:rsid w:val="7134313E"/>
    <w:rsid w:val="713E488C"/>
    <w:rsid w:val="71597917"/>
    <w:rsid w:val="718801FD"/>
    <w:rsid w:val="718A5D23"/>
    <w:rsid w:val="7191441F"/>
    <w:rsid w:val="71A566B9"/>
    <w:rsid w:val="71BA4DAE"/>
    <w:rsid w:val="71BC6494"/>
    <w:rsid w:val="71D13F1E"/>
    <w:rsid w:val="71D76A8E"/>
    <w:rsid w:val="71E9614F"/>
    <w:rsid w:val="72113D4E"/>
    <w:rsid w:val="72384D72"/>
    <w:rsid w:val="723F1E23"/>
    <w:rsid w:val="72451C4A"/>
    <w:rsid w:val="72883B9D"/>
    <w:rsid w:val="72916C3D"/>
    <w:rsid w:val="72AD15AC"/>
    <w:rsid w:val="72BB3CBA"/>
    <w:rsid w:val="72C7520C"/>
    <w:rsid w:val="72C8549B"/>
    <w:rsid w:val="72E0000C"/>
    <w:rsid w:val="72F83160"/>
    <w:rsid w:val="72FD42D3"/>
    <w:rsid w:val="73012015"/>
    <w:rsid w:val="730E585E"/>
    <w:rsid w:val="73117D7E"/>
    <w:rsid w:val="7315786E"/>
    <w:rsid w:val="733817AF"/>
    <w:rsid w:val="733A2BC6"/>
    <w:rsid w:val="73577E87"/>
    <w:rsid w:val="735F6D3B"/>
    <w:rsid w:val="73661E78"/>
    <w:rsid w:val="737E3665"/>
    <w:rsid w:val="7397374C"/>
    <w:rsid w:val="73AF42D2"/>
    <w:rsid w:val="73BE1CB4"/>
    <w:rsid w:val="73E3171A"/>
    <w:rsid w:val="73F21832"/>
    <w:rsid w:val="73FE47A6"/>
    <w:rsid w:val="740022CC"/>
    <w:rsid w:val="74123DAE"/>
    <w:rsid w:val="741B5DF6"/>
    <w:rsid w:val="742064CB"/>
    <w:rsid w:val="74373814"/>
    <w:rsid w:val="746740F9"/>
    <w:rsid w:val="746A24A2"/>
    <w:rsid w:val="74997398"/>
    <w:rsid w:val="74AC57F9"/>
    <w:rsid w:val="74BD01BD"/>
    <w:rsid w:val="74C01A5C"/>
    <w:rsid w:val="74C4779E"/>
    <w:rsid w:val="74DB1AC1"/>
    <w:rsid w:val="74F07886"/>
    <w:rsid w:val="74F3598D"/>
    <w:rsid w:val="74F5031E"/>
    <w:rsid w:val="74F87447"/>
    <w:rsid w:val="750556C0"/>
    <w:rsid w:val="75071EAF"/>
    <w:rsid w:val="75287D2D"/>
    <w:rsid w:val="752F100B"/>
    <w:rsid w:val="753D12FE"/>
    <w:rsid w:val="754F41F8"/>
    <w:rsid w:val="75546F0E"/>
    <w:rsid w:val="75574F66"/>
    <w:rsid w:val="75596138"/>
    <w:rsid w:val="75750A98"/>
    <w:rsid w:val="757C64A0"/>
    <w:rsid w:val="75AF3FAA"/>
    <w:rsid w:val="75BF4FC7"/>
    <w:rsid w:val="75C17839"/>
    <w:rsid w:val="75D05CCE"/>
    <w:rsid w:val="75D25EEA"/>
    <w:rsid w:val="75ED4AD2"/>
    <w:rsid w:val="75F0011F"/>
    <w:rsid w:val="75F1062E"/>
    <w:rsid w:val="75F45E61"/>
    <w:rsid w:val="75FA2D4B"/>
    <w:rsid w:val="7601232C"/>
    <w:rsid w:val="76200A04"/>
    <w:rsid w:val="762F0C47"/>
    <w:rsid w:val="76377AFB"/>
    <w:rsid w:val="768371E5"/>
    <w:rsid w:val="76862471"/>
    <w:rsid w:val="769D02A6"/>
    <w:rsid w:val="76B8743F"/>
    <w:rsid w:val="77004391"/>
    <w:rsid w:val="772A140E"/>
    <w:rsid w:val="773076EC"/>
    <w:rsid w:val="774249AA"/>
    <w:rsid w:val="774C6181"/>
    <w:rsid w:val="774F48CA"/>
    <w:rsid w:val="77627640"/>
    <w:rsid w:val="777042D9"/>
    <w:rsid w:val="77800336"/>
    <w:rsid w:val="77807DE5"/>
    <w:rsid w:val="77836B84"/>
    <w:rsid w:val="779D6084"/>
    <w:rsid w:val="77A94A29"/>
    <w:rsid w:val="77CF01D2"/>
    <w:rsid w:val="77DB130E"/>
    <w:rsid w:val="77DC4145"/>
    <w:rsid w:val="77E141C3"/>
    <w:rsid w:val="77E172D2"/>
    <w:rsid w:val="78047EB1"/>
    <w:rsid w:val="780E05AB"/>
    <w:rsid w:val="78395DAD"/>
    <w:rsid w:val="783E1615"/>
    <w:rsid w:val="784D1858"/>
    <w:rsid w:val="78576D6B"/>
    <w:rsid w:val="788C0EF5"/>
    <w:rsid w:val="789E0306"/>
    <w:rsid w:val="78A551F0"/>
    <w:rsid w:val="78A771BA"/>
    <w:rsid w:val="78A82F32"/>
    <w:rsid w:val="78B92B9D"/>
    <w:rsid w:val="78C76676"/>
    <w:rsid w:val="78EC72C3"/>
    <w:rsid w:val="792027AF"/>
    <w:rsid w:val="79236556"/>
    <w:rsid w:val="79251F6B"/>
    <w:rsid w:val="79556C16"/>
    <w:rsid w:val="7956473D"/>
    <w:rsid w:val="79652BD2"/>
    <w:rsid w:val="798968C0"/>
    <w:rsid w:val="79A6466D"/>
    <w:rsid w:val="79AA714E"/>
    <w:rsid w:val="79AB2A59"/>
    <w:rsid w:val="79BA693A"/>
    <w:rsid w:val="79C11E37"/>
    <w:rsid w:val="79C67B14"/>
    <w:rsid w:val="79E43E62"/>
    <w:rsid w:val="79F64583"/>
    <w:rsid w:val="7A0917AF"/>
    <w:rsid w:val="7A1A101B"/>
    <w:rsid w:val="7A233544"/>
    <w:rsid w:val="7A505EDE"/>
    <w:rsid w:val="7A541F37"/>
    <w:rsid w:val="7A5C3FD5"/>
    <w:rsid w:val="7A756E44"/>
    <w:rsid w:val="7ACA7023"/>
    <w:rsid w:val="7AD973D3"/>
    <w:rsid w:val="7AFC2E4B"/>
    <w:rsid w:val="7B0C43D1"/>
    <w:rsid w:val="7B111E11"/>
    <w:rsid w:val="7B166087"/>
    <w:rsid w:val="7B272834"/>
    <w:rsid w:val="7B3677A4"/>
    <w:rsid w:val="7B3D3E06"/>
    <w:rsid w:val="7B476EF8"/>
    <w:rsid w:val="7B5F1FCE"/>
    <w:rsid w:val="7B601315"/>
    <w:rsid w:val="7B7D016E"/>
    <w:rsid w:val="7B9B0B2D"/>
    <w:rsid w:val="7BA93249"/>
    <w:rsid w:val="7BC90FAD"/>
    <w:rsid w:val="7BD7676A"/>
    <w:rsid w:val="7BE20509"/>
    <w:rsid w:val="7BF73FB5"/>
    <w:rsid w:val="7C183FD8"/>
    <w:rsid w:val="7C224DAA"/>
    <w:rsid w:val="7C30396B"/>
    <w:rsid w:val="7C5036C5"/>
    <w:rsid w:val="7C675EC4"/>
    <w:rsid w:val="7C703D67"/>
    <w:rsid w:val="7C765821"/>
    <w:rsid w:val="7C7970C0"/>
    <w:rsid w:val="7C7F3FAA"/>
    <w:rsid w:val="7C945CA8"/>
    <w:rsid w:val="7CB4667D"/>
    <w:rsid w:val="7CDC2D0B"/>
    <w:rsid w:val="7CEC5AE4"/>
    <w:rsid w:val="7CFD1593"/>
    <w:rsid w:val="7D032E2D"/>
    <w:rsid w:val="7D0A19B6"/>
    <w:rsid w:val="7D0D7808"/>
    <w:rsid w:val="7D592A4D"/>
    <w:rsid w:val="7D596888"/>
    <w:rsid w:val="7D6531A0"/>
    <w:rsid w:val="7D6A6A08"/>
    <w:rsid w:val="7D7A4E9D"/>
    <w:rsid w:val="7D99109C"/>
    <w:rsid w:val="7D9B4E14"/>
    <w:rsid w:val="7D9E1243"/>
    <w:rsid w:val="7DA43CC8"/>
    <w:rsid w:val="7DAA32A9"/>
    <w:rsid w:val="7DC856CF"/>
    <w:rsid w:val="7DE642E1"/>
    <w:rsid w:val="7DEE7639"/>
    <w:rsid w:val="7E17093E"/>
    <w:rsid w:val="7E33504C"/>
    <w:rsid w:val="7E4B1609"/>
    <w:rsid w:val="7E553215"/>
    <w:rsid w:val="7E6671D0"/>
    <w:rsid w:val="7E7C261C"/>
    <w:rsid w:val="7E9957F7"/>
    <w:rsid w:val="7E9E696A"/>
    <w:rsid w:val="7EA47CF8"/>
    <w:rsid w:val="7EDB10FE"/>
    <w:rsid w:val="7EE03B90"/>
    <w:rsid w:val="7EED7C04"/>
    <w:rsid w:val="7EF649F8"/>
    <w:rsid w:val="7EF73CB1"/>
    <w:rsid w:val="7F2E23E3"/>
    <w:rsid w:val="7F333383"/>
    <w:rsid w:val="7F482D79"/>
    <w:rsid w:val="7F4E7B07"/>
    <w:rsid w:val="7F6F47AA"/>
    <w:rsid w:val="7F75071C"/>
    <w:rsid w:val="7F781E17"/>
    <w:rsid w:val="7F8C2C66"/>
    <w:rsid w:val="7F9B10FB"/>
    <w:rsid w:val="7FA2248A"/>
    <w:rsid w:val="7FAC3308"/>
    <w:rsid w:val="7FB4040F"/>
    <w:rsid w:val="7FC00B62"/>
    <w:rsid w:val="7FE64A6C"/>
    <w:rsid w:val="7FE7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Theme="minorHAnsi" w:hAnsiTheme="minorHAnsi" w:eastAsiaTheme="minorEastAsia" w:cstheme="minorBidi"/>
      <w:szCs w:val="22"/>
      <w14:ligatures w14:val="standardContextual"/>
    </w:rPr>
  </w:style>
  <w:style w:type="paragraph" w:styleId="5">
    <w:name w:val="Normal Indent"/>
    <w:basedOn w:val="1"/>
    <w:qFormat/>
    <w:uiPriority w:val="0"/>
    <w:pPr>
      <w:spacing w:before="120" w:line="312" w:lineRule="auto"/>
      <w:ind w:firstLine="420" w:firstLineChars="200"/>
    </w:pPr>
    <w:rPr>
      <w:kern w:val="24"/>
      <w:sz w:val="28"/>
    </w:rPr>
  </w:style>
  <w:style w:type="paragraph" w:styleId="6">
    <w:name w:val="caption"/>
    <w:basedOn w:val="1"/>
    <w:next w:val="1"/>
    <w:qFormat/>
    <w:uiPriority w:val="99"/>
    <w:rPr>
      <w:rFonts w:ascii="Cambria" w:hAnsi="Cambria" w:eastAsia="黑体"/>
    </w:rPr>
  </w:style>
  <w:style w:type="paragraph" w:styleId="7">
    <w:name w:val="annotation text"/>
    <w:basedOn w:val="1"/>
    <w:semiHidden/>
    <w:qFormat/>
    <w:uiPriority w:val="0"/>
    <w:pPr>
      <w:jc w:val="left"/>
    </w:pPr>
    <w:rPr>
      <w:kern w:val="0"/>
      <w:sz w:val="24"/>
      <w:szCs w:val="20"/>
    </w:rPr>
  </w:style>
  <w:style w:type="paragraph" w:styleId="8">
    <w:name w:val="Body Text"/>
    <w:basedOn w:val="1"/>
    <w:next w:val="1"/>
    <w:link w:val="42"/>
    <w:qFormat/>
    <w:uiPriority w:val="0"/>
    <w:pPr>
      <w:widowControl/>
      <w:snapToGrid w:val="0"/>
      <w:spacing w:before="60" w:after="160" w:line="259" w:lineRule="auto"/>
      <w:ind w:right="113"/>
    </w:pPr>
    <w:rPr>
      <w:kern w:val="0"/>
      <w:sz w:val="18"/>
      <w:szCs w:val="20"/>
    </w:rPr>
  </w:style>
  <w:style w:type="paragraph" w:styleId="9">
    <w:name w:val="Body Text Indent"/>
    <w:basedOn w:val="1"/>
    <w:next w:val="10"/>
    <w:qFormat/>
    <w:uiPriority w:val="0"/>
    <w:pPr>
      <w:spacing w:after="120"/>
      <w:ind w:left="420" w:leftChars="200"/>
    </w:pPr>
    <w:rPr>
      <w:kern w:val="0"/>
      <w:sz w:val="24"/>
      <w:szCs w:val="20"/>
    </w:rPr>
  </w:style>
  <w:style w:type="paragraph" w:styleId="10">
    <w:name w:val="Body Text Indent 3"/>
    <w:basedOn w:val="1"/>
    <w:qFormat/>
    <w:uiPriority w:val="0"/>
    <w:pPr>
      <w:spacing w:after="120"/>
      <w:ind w:left="420" w:leftChars="200"/>
    </w:pPr>
    <w:rPr>
      <w:sz w:val="16"/>
    </w:rPr>
  </w:style>
  <w:style w:type="paragraph" w:styleId="11">
    <w:name w:val="toc 5"/>
    <w:basedOn w:val="1"/>
    <w:next w:val="1"/>
    <w:unhideWhenUsed/>
    <w:qFormat/>
    <w:uiPriority w:val="39"/>
    <w:pPr>
      <w:ind w:left="1680" w:leftChars="800"/>
    </w:pPr>
    <w:rPr>
      <w:rFonts w:asciiTheme="minorHAnsi" w:hAnsiTheme="minorHAnsi" w:eastAsiaTheme="minorEastAsia" w:cstheme="minorBidi"/>
      <w:szCs w:val="22"/>
      <w14:ligatures w14:val="standardContextual"/>
    </w:rPr>
  </w:style>
  <w:style w:type="paragraph" w:styleId="12">
    <w:name w:val="toc 3"/>
    <w:basedOn w:val="1"/>
    <w:next w:val="1"/>
    <w:unhideWhenUsed/>
    <w:qFormat/>
    <w:uiPriority w:val="39"/>
    <w:pPr>
      <w:ind w:left="840" w:leftChars="400"/>
    </w:pPr>
    <w:rPr>
      <w:rFonts w:asciiTheme="minorHAnsi" w:hAnsiTheme="minorHAnsi" w:eastAsiaTheme="minorEastAsia" w:cstheme="minorBidi"/>
      <w:szCs w:val="22"/>
      <w14:ligatures w14:val="standardContextual"/>
    </w:rPr>
  </w:style>
  <w:style w:type="paragraph" w:styleId="13">
    <w:name w:val="Plain Text"/>
    <w:basedOn w:val="1"/>
    <w:next w:val="14"/>
    <w:qFormat/>
    <w:uiPriority w:val="0"/>
    <w:rPr>
      <w:rFonts w:ascii="宋体" w:hAnsi="Courier New"/>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14:ligatures w14:val="standardContextual"/>
    </w:rPr>
  </w:style>
  <w:style w:type="paragraph" w:styleId="16">
    <w:name w:val="footer"/>
    <w:basedOn w:val="1"/>
    <w:link w:val="43"/>
    <w:qFormat/>
    <w:uiPriority w:val="99"/>
    <w:pPr>
      <w:tabs>
        <w:tab w:val="center" w:pos="4153"/>
        <w:tab w:val="right" w:pos="8306"/>
      </w:tabs>
      <w:snapToGrid w:val="0"/>
      <w:jc w:val="left"/>
    </w:pPr>
    <w:rPr>
      <w:kern w:val="0"/>
      <w:sz w:val="18"/>
      <w:szCs w:val="20"/>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style>
  <w:style w:type="paragraph" w:styleId="19">
    <w:name w:val="toc 4"/>
    <w:basedOn w:val="1"/>
    <w:next w:val="1"/>
    <w:unhideWhenUsed/>
    <w:qFormat/>
    <w:uiPriority w:val="39"/>
    <w:pPr>
      <w:ind w:left="1260" w:leftChars="600"/>
    </w:pPr>
    <w:rPr>
      <w:rFonts w:asciiTheme="minorHAnsi" w:hAnsiTheme="minorHAnsi" w:eastAsiaTheme="minorEastAsia" w:cstheme="minorBidi"/>
      <w:szCs w:val="22"/>
      <w14:ligatures w14:val="standardContextual"/>
    </w:rPr>
  </w:style>
  <w:style w:type="paragraph" w:styleId="20">
    <w:name w:val="toc 6"/>
    <w:basedOn w:val="1"/>
    <w:next w:val="1"/>
    <w:unhideWhenUsed/>
    <w:qFormat/>
    <w:uiPriority w:val="39"/>
    <w:pPr>
      <w:ind w:left="2100" w:leftChars="1000"/>
    </w:pPr>
    <w:rPr>
      <w:rFonts w:asciiTheme="minorHAnsi" w:hAnsiTheme="minorHAnsi" w:eastAsiaTheme="minorEastAsia" w:cstheme="minorBidi"/>
      <w:szCs w:val="22"/>
      <w14:ligatures w14:val="standardContextual"/>
    </w:rPr>
  </w:style>
  <w:style w:type="paragraph" w:styleId="21">
    <w:name w:val="toc 2"/>
    <w:basedOn w:val="1"/>
    <w:next w:val="1"/>
    <w:unhideWhenUsed/>
    <w:qFormat/>
    <w:uiPriority w:val="39"/>
    <w:pPr>
      <w:ind w:left="420" w:leftChars="200"/>
    </w:pPr>
    <w:rPr>
      <w:rFonts w:asciiTheme="minorHAnsi" w:hAnsiTheme="minorHAnsi" w:eastAsiaTheme="minorEastAsia" w:cstheme="minorBidi"/>
      <w:szCs w:val="22"/>
      <w14:ligatures w14:val="standardContextual"/>
    </w:rPr>
  </w:style>
  <w:style w:type="paragraph" w:styleId="22">
    <w:name w:val="toc 9"/>
    <w:basedOn w:val="1"/>
    <w:next w:val="1"/>
    <w:unhideWhenUsed/>
    <w:qFormat/>
    <w:uiPriority w:val="39"/>
    <w:pPr>
      <w:ind w:left="3360" w:leftChars="1600"/>
    </w:pPr>
    <w:rPr>
      <w:rFonts w:asciiTheme="minorHAnsi" w:hAnsiTheme="minorHAnsi" w:eastAsiaTheme="minorEastAsia" w:cstheme="minorBidi"/>
      <w:szCs w:val="22"/>
      <w14:ligatures w14:val="standardContextual"/>
    </w:rPr>
  </w:style>
  <w:style w:type="paragraph" w:styleId="2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4">
    <w:name w:val="Body Text First Indent"/>
    <w:basedOn w:val="8"/>
    <w:next w:val="1"/>
    <w:qFormat/>
    <w:uiPriority w:val="0"/>
    <w:pPr>
      <w:ind w:firstLine="420" w:firstLineChars="100"/>
    </w:pPr>
  </w:style>
  <w:style w:type="paragraph" w:styleId="25">
    <w:name w:val="Body Text First Indent 2"/>
    <w:basedOn w:val="9"/>
    <w:next w:val="24"/>
    <w:unhideWhenUsed/>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qFormat/>
    <w:uiPriority w:val="0"/>
  </w:style>
  <w:style w:type="character" w:styleId="30">
    <w:name w:val="Hyperlink"/>
    <w:basedOn w:val="28"/>
    <w:qFormat/>
    <w:uiPriority w:val="99"/>
    <w:rPr>
      <w:color w:val="0000FF"/>
      <w:u w:val="single"/>
    </w:rPr>
  </w:style>
  <w:style w:type="character" w:styleId="31">
    <w:name w:val="annotation reference"/>
    <w:basedOn w:val="28"/>
    <w:semiHidden/>
    <w:qFormat/>
    <w:uiPriority w:val="0"/>
    <w:rPr>
      <w:sz w:val="21"/>
    </w:rPr>
  </w:style>
  <w:style w:type="paragraph" w:customStyle="1" w:styleId="32">
    <w:name w:val="Table Paragraph"/>
    <w:basedOn w:val="1"/>
    <w:unhideWhenUsed/>
    <w:qFormat/>
    <w:uiPriority w:val="1"/>
    <w:pPr>
      <w:spacing w:line="360" w:lineRule="auto"/>
    </w:pPr>
    <w:rPr>
      <w:sz w:val="24"/>
      <w:szCs w:val="22"/>
    </w:rPr>
  </w:style>
  <w:style w:type="paragraph" w:customStyle="1" w:styleId="33">
    <w:name w:val="表格文字"/>
    <w:basedOn w:val="1"/>
    <w:qFormat/>
    <w:uiPriority w:val="0"/>
    <w:pPr>
      <w:autoSpaceDE w:val="0"/>
      <w:autoSpaceDN w:val="0"/>
      <w:spacing w:before="60" w:after="60"/>
      <w:jc w:val="center"/>
      <w:textAlignment w:val="bottom"/>
    </w:pPr>
    <w:rPr>
      <w:rFonts w:eastAsia="仿宋_GB2312"/>
      <w:kern w:val="0"/>
      <w:sz w:val="24"/>
    </w:rPr>
  </w:style>
  <w:style w:type="paragraph" w:customStyle="1" w:styleId="34">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35">
    <w:name w:val="p0"/>
    <w:basedOn w:val="1"/>
    <w:qFormat/>
    <w:uiPriority w:val="0"/>
    <w:pPr>
      <w:widowControl/>
      <w:jc w:val="left"/>
    </w:pPr>
    <w:rPr>
      <w:kern w:val="0"/>
      <w:sz w:val="20"/>
      <w:szCs w:val="20"/>
    </w:rPr>
  </w:style>
  <w:style w:type="paragraph" w:customStyle="1" w:styleId="36">
    <w:name w:val="样式7"/>
    <w:basedOn w:val="1"/>
    <w:qFormat/>
    <w:uiPriority w:val="0"/>
    <w:pPr>
      <w:autoSpaceDE w:val="0"/>
      <w:autoSpaceDN w:val="0"/>
      <w:adjustRightInd w:val="0"/>
      <w:spacing w:line="360" w:lineRule="auto"/>
      <w:ind w:firstLine="480" w:firstLineChars="200"/>
      <w:jc w:val="left"/>
      <w:textAlignment w:val="baseline"/>
    </w:pPr>
    <w:rPr>
      <w:rFonts w:hAnsi="宋体"/>
      <w:kern w:val="0"/>
      <w:sz w:val="24"/>
    </w:rPr>
  </w:style>
  <w:style w:type="paragraph" w:customStyle="1" w:styleId="37">
    <w:name w:val="二级无标题条"/>
    <w:basedOn w:val="1"/>
    <w:qFormat/>
    <w:uiPriority w:val="0"/>
    <w:rPr>
      <w:szCs w:val="21"/>
    </w:rPr>
  </w:style>
  <w:style w:type="paragraph" w:customStyle="1" w:styleId="38">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9">
    <w:name w:val="WPSOffice手动目录 1"/>
    <w:qFormat/>
    <w:uiPriority w:val="0"/>
    <w:rPr>
      <w:rFonts w:ascii="Times New Roman" w:hAnsi="Times New Roman" w:eastAsia="宋体" w:cs="Times New Roman"/>
      <w:lang w:val="en-US" w:eastAsia="zh-CN" w:bidi="ar-SA"/>
    </w:rPr>
  </w:style>
  <w:style w:type="character" w:customStyle="1" w:styleId="40">
    <w:name w:val="font21"/>
    <w:basedOn w:val="28"/>
    <w:qFormat/>
    <w:uiPriority w:val="0"/>
    <w:rPr>
      <w:rFonts w:hint="default" w:ascii="Times New Roman" w:hAnsi="Times New Roman" w:cs="Times New Roman"/>
      <w:color w:val="000000"/>
      <w:sz w:val="24"/>
      <w:szCs w:val="24"/>
      <w:u w:val="none"/>
    </w:rPr>
  </w:style>
  <w:style w:type="character" w:customStyle="1" w:styleId="41">
    <w:name w:val="font31"/>
    <w:basedOn w:val="28"/>
    <w:qFormat/>
    <w:uiPriority w:val="0"/>
    <w:rPr>
      <w:rFonts w:hint="eastAsia" w:ascii="宋体" w:hAnsi="宋体" w:eastAsia="宋体" w:cs="宋体"/>
      <w:color w:val="000000"/>
      <w:sz w:val="24"/>
      <w:szCs w:val="24"/>
      <w:u w:val="none"/>
    </w:rPr>
  </w:style>
  <w:style w:type="character" w:customStyle="1" w:styleId="42">
    <w:name w:val="正文文本 字符"/>
    <w:link w:val="8"/>
    <w:qFormat/>
    <w:locked/>
    <w:uiPriority w:val="0"/>
    <w:rPr>
      <w:kern w:val="0"/>
      <w:sz w:val="18"/>
      <w:szCs w:val="20"/>
    </w:rPr>
  </w:style>
  <w:style w:type="character" w:customStyle="1" w:styleId="43">
    <w:name w:val="页脚 字符"/>
    <w:basedOn w:val="28"/>
    <w:link w:val="16"/>
    <w:qFormat/>
    <w:uiPriority w:val="99"/>
    <w:rPr>
      <w:sz w:val="18"/>
    </w:rPr>
  </w:style>
  <w:style w:type="character" w:customStyle="1" w:styleId="44">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emf"/><Relationship Id="rId16" Type="http://schemas.openxmlformats.org/officeDocument/2006/relationships/oleObject" Target="embeddings/oleObject6.bin"/><Relationship Id="rId15" Type="http://schemas.openxmlformats.org/officeDocument/2006/relationships/image" Target="media/image6.emf"/><Relationship Id="rId14" Type="http://schemas.openxmlformats.org/officeDocument/2006/relationships/oleObject" Target="embeddings/oleObject5.bin"/><Relationship Id="rId13" Type="http://schemas.openxmlformats.org/officeDocument/2006/relationships/image" Target="media/image5.emf"/><Relationship Id="rId12" Type="http://schemas.openxmlformats.org/officeDocument/2006/relationships/oleObject" Target="embeddings/oleObject4.bin"/><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8D649-A0B7-4E98-9641-85C12858B013}">
  <ds:schemaRefs/>
</ds:datastoreItem>
</file>

<file path=docProps/app.xml><?xml version="1.0" encoding="utf-8"?>
<Properties xmlns="http://schemas.openxmlformats.org/officeDocument/2006/extended-properties" xmlns:vt="http://schemas.openxmlformats.org/officeDocument/2006/docPropsVTypes">
  <Template>Normal.dotm</Template>
  <Pages>83</Pages>
  <Words>51578</Words>
  <Characters>59213</Characters>
  <Lines>554</Lines>
  <Paragraphs>156</Paragraphs>
  <TotalTime>0</TotalTime>
  <ScaleCrop>false</ScaleCrop>
  <LinksUpToDate>false</LinksUpToDate>
  <CharactersWithSpaces>59742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2023-02-20T01:03:00Z</dcterms:created>
  <dc:creator>ASUS</dc:creator>
  <cp:lastModifiedBy>Administrator</cp:lastModifiedBy>
  <cp:lastPrinted>2023-09-06T01:21:00Z</cp:lastPrinted>
  <dcterms:modified xsi:type="dcterms:W3CDTF">2025-02-18T07:34:19Z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08B244D1AC644D15B64C5CDB5CACDDF6_13</vt:lpwstr>
  </property>
</Properties>
</file>