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bCs/>
          <w:sz w:val="24"/>
        </w:rPr>
      </w:pPr>
    </w:p>
    <w:p>
      <w:pPr>
        <w:adjustRightInd w:val="0"/>
        <w:snapToGrid w:val="0"/>
        <w:spacing w:line="360" w:lineRule="auto"/>
        <w:jc w:val="center"/>
        <w:rPr>
          <w:bCs/>
          <w:sz w:val="24"/>
        </w:rPr>
      </w:pPr>
      <w:r>
        <w:rPr>
          <w:bCs/>
          <w:sz w:val="24"/>
        </w:rPr>
        <w:t xml:space="preserve"> </w:t>
      </w:r>
    </w:p>
    <w:p>
      <w:pPr>
        <w:adjustRightInd w:val="0"/>
        <w:snapToGrid w:val="0"/>
        <w:spacing w:line="360" w:lineRule="auto"/>
        <w:jc w:val="center"/>
        <w:rPr>
          <w:rFonts w:eastAsia="方正小标宋_GBK"/>
          <w:bCs/>
          <w:sz w:val="72"/>
          <w:szCs w:val="72"/>
        </w:rPr>
      </w:pPr>
      <w:bookmarkStart w:id="0" w:name="_Toc16529"/>
      <w:bookmarkStart w:id="1" w:name="_Toc29656"/>
      <w:bookmarkStart w:id="2" w:name="_Toc21327"/>
      <w:r>
        <w:rPr>
          <w:rFonts w:eastAsia="方正小标宋_GBK"/>
          <w:bCs/>
          <w:sz w:val="72"/>
          <w:szCs w:val="72"/>
        </w:rPr>
        <w:t xml:space="preserve"> 建设项目环境影响报告</w:t>
      </w:r>
      <w:bookmarkEnd w:id="0"/>
      <w:bookmarkEnd w:id="1"/>
      <w:bookmarkEnd w:id="2"/>
    </w:p>
    <w:p>
      <w:pPr>
        <w:adjustRightInd w:val="0"/>
        <w:snapToGrid w:val="0"/>
        <w:spacing w:before="249" w:beforeLines="80" w:line="360" w:lineRule="auto"/>
        <w:jc w:val="center"/>
        <w:rPr>
          <w:rFonts w:eastAsia="楷体_GB2312"/>
          <w:bCs/>
          <w:sz w:val="48"/>
          <w:szCs w:val="48"/>
        </w:rPr>
      </w:pPr>
      <w:r>
        <w:rPr>
          <w:rFonts w:eastAsia="楷体_GB2312"/>
          <w:bCs/>
          <w:sz w:val="48"/>
          <w:szCs w:val="48"/>
        </w:rPr>
        <w:t>（</w:t>
      </w:r>
      <w:r>
        <w:rPr>
          <w:rFonts w:eastAsia="楷体_GB2312"/>
          <w:b/>
          <w:sz w:val="48"/>
          <w:szCs w:val="48"/>
        </w:rPr>
        <w:t>污染影响类</w:t>
      </w:r>
      <w:r>
        <w:rPr>
          <w:rFonts w:eastAsia="楷体_GB2312"/>
          <w:bCs/>
          <w:sz w:val="48"/>
          <w:szCs w:val="48"/>
        </w:rPr>
        <w:t>）</w:t>
      </w:r>
    </w:p>
    <w:p>
      <w:pPr>
        <w:adjustRightInd w:val="0"/>
        <w:snapToGrid w:val="0"/>
        <w:spacing w:before="249" w:beforeLines="80" w:line="360" w:lineRule="auto"/>
        <w:jc w:val="center"/>
        <w:rPr>
          <w:rFonts w:eastAsia="楷体_GB2312"/>
          <w:bCs/>
          <w:sz w:val="48"/>
          <w:szCs w:val="48"/>
        </w:rPr>
      </w:pPr>
      <w:r>
        <w:rPr>
          <w:rFonts w:eastAsia="楷体_GB2312"/>
          <w:bCs/>
          <w:sz w:val="40"/>
          <w:szCs w:val="40"/>
        </w:rPr>
        <w:t>（</w:t>
      </w:r>
      <w:r>
        <w:rPr>
          <w:rFonts w:hint="eastAsia" w:eastAsia="楷体_GB2312"/>
          <w:bCs/>
          <w:sz w:val="40"/>
          <w:szCs w:val="40"/>
        </w:rPr>
        <w:t>公示</w:t>
      </w:r>
      <w:r>
        <w:rPr>
          <w:rFonts w:eastAsia="楷体_GB2312"/>
          <w:bCs/>
          <w:sz w:val="40"/>
          <w:szCs w:val="40"/>
        </w:rPr>
        <w:t>稿）</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adjustRightInd w:val="0"/>
        <w:snapToGrid w:val="0"/>
        <w:spacing w:line="360" w:lineRule="auto"/>
        <w:ind w:left="2884" w:leftChars="513" w:hanging="1807" w:hangingChars="500"/>
        <w:jc w:val="left"/>
        <w:rPr>
          <w:rFonts w:eastAsia="仿宋"/>
          <w:b/>
          <w:bCs/>
          <w:sz w:val="36"/>
          <w:szCs w:val="36"/>
          <w:u w:val="single"/>
        </w:rPr>
      </w:pPr>
      <w:r>
        <w:rPr>
          <w:rFonts w:eastAsia="仿宋"/>
          <w:b/>
          <w:bCs/>
          <w:sz w:val="36"/>
          <w:szCs w:val="36"/>
        </w:rPr>
        <w:t>项目名称：</w:t>
      </w:r>
      <w:r>
        <w:rPr>
          <w:rFonts w:eastAsia="仿宋"/>
          <w:b/>
          <w:bCs/>
          <w:sz w:val="36"/>
          <w:szCs w:val="36"/>
          <w:u w:val="single"/>
        </w:rPr>
        <w:t xml:space="preserve">姚安县光禄镇特色农业生产种植示范基地及配套锅炉建设项目                   </w:t>
      </w:r>
    </w:p>
    <w:p>
      <w:pPr>
        <w:adjustRightInd w:val="0"/>
        <w:snapToGrid w:val="0"/>
        <w:spacing w:line="360" w:lineRule="auto"/>
        <w:ind w:firstLine="1040"/>
        <w:rPr>
          <w:rFonts w:eastAsia="仿宋"/>
          <w:b/>
          <w:bCs/>
          <w:sz w:val="24"/>
          <w:u w:val="single"/>
        </w:rPr>
      </w:pPr>
      <w:r>
        <w:rPr>
          <w:rFonts w:eastAsia="仿宋"/>
          <w:b/>
          <w:bCs/>
          <w:sz w:val="36"/>
          <w:szCs w:val="36"/>
        </w:rPr>
        <w:t>建设单位（盖章）：</w:t>
      </w:r>
      <w:r>
        <w:rPr>
          <w:rFonts w:eastAsia="仿宋"/>
          <w:b/>
          <w:bCs/>
          <w:sz w:val="36"/>
          <w:szCs w:val="36"/>
          <w:u w:val="single"/>
        </w:rPr>
        <w:t xml:space="preserve"> 姚安宇锦花卉有限公司          </w:t>
      </w:r>
    </w:p>
    <w:p>
      <w:pPr>
        <w:adjustRightInd w:val="0"/>
        <w:snapToGrid w:val="0"/>
        <w:spacing w:line="360" w:lineRule="auto"/>
        <w:ind w:firstLine="1040"/>
        <w:rPr>
          <w:rFonts w:eastAsia="仿宋_GB2312"/>
          <w:sz w:val="36"/>
          <w:szCs w:val="36"/>
          <w:u w:val="single"/>
        </w:rPr>
      </w:pPr>
      <w:r>
        <w:rPr>
          <w:rFonts w:eastAsia="仿宋"/>
          <w:b/>
          <w:bCs/>
          <w:sz w:val="36"/>
          <w:szCs w:val="36"/>
        </w:rPr>
        <w:t>编制日期：</w:t>
      </w:r>
      <w:r>
        <w:rPr>
          <w:rFonts w:eastAsia="仿宋"/>
          <w:b/>
          <w:bCs/>
          <w:sz w:val="36"/>
          <w:szCs w:val="36"/>
          <w:u w:val="single"/>
        </w:rPr>
        <w:t xml:space="preserve">         2023年09月                </w:t>
      </w:r>
      <w:r>
        <w:rPr>
          <w:rFonts w:eastAsia="仿宋_GB2312"/>
          <w:sz w:val="36"/>
          <w:szCs w:val="36"/>
          <w:u w:val="single"/>
        </w:rPr>
        <w:t xml:space="preserve">  </w:t>
      </w:r>
    </w:p>
    <w:p>
      <w:pPr>
        <w:adjustRightInd w:val="0"/>
        <w:snapToGrid w:val="0"/>
        <w:spacing w:line="360" w:lineRule="auto"/>
        <w:ind w:firstLine="1040"/>
        <w:rPr>
          <w:sz w:val="24"/>
          <w:u w:val="single"/>
        </w:rPr>
      </w:pPr>
      <w:bookmarkStart w:id="3" w:name="_Hlk57884087"/>
    </w:p>
    <w:p>
      <w:pPr>
        <w:adjustRightInd w:val="0"/>
        <w:snapToGrid w:val="0"/>
        <w:spacing w:line="360" w:lineRule="auto"/>
        <w:ind w:firstLine="1040"/>
        <w:rPr>
          <w:sz w:val="24"/>
        </w:rPr>
      </w:pPr>
    </w:p>
    <w:p>
      <w:pPr>
        <w:adjustRightInd w:val="0"/>
        <w:snapToGrid w:val="0"/>
        <w:spacing w:line="360" w:lineRule="auto"/>
        <w:ind w:firstLine="1040"/>
        <w:rPr>
          <w:sz w:val="24"/>
        </w:rPr>
      </w:pPr>
    </w:p>
    <w:p>
      <w:pPr>
        <w:adjustRightInd w:val="0"/>
        <w:snapToGrid w:val="0"/>
        <w:spacing w:line="360" w:lineRule="auto"/>
        <w:rPr>
          <w:sz w:val="24"/>
        </w:rPr>
      </w:pPr>
    </w:p>
    <w:bookmarkEnd w:id="3"/>
    <w:p>
      <w:pPr>
        <w:adjustRightInd w:val="0"/>
        <w:snapToGrid w:val="0"/>
        <w:spacing w:line="360" w:lineRule="auto"/>
        <w:jc w:val="center"/>
        <w:rPr>
          <w:rFonts w:eastAsia="楷体_GB2312"/>
          <w:sz w:val="36"/>
          <w:szCs w:val="36"/>
        </w:rPr>
        <w:sectPr>
          <w:pgSz w:w="11906" w:h="16838"/>
          <w:pgMar w:top="1247" w:right="1247" w:bottom="1247" w:left="1247" w:header="851" w:footer="992" w:gutter="0"/>
          <w:pgNumType w:fmt="upperRoman"/>
          <w:cols w:space="425" w:num="1"/>
          <w:docGrid w:type="lines" w:linePitch="312" w:charSpace="0"/>
        </w:sectPr>
      </w:pPr>
      <w:r>
        <w:rPr>
          <w:rFonts w:eastAsia="楷体_GB2312"/>
          <w:sz w:val="36"/>
          <w:szCs w:val="36"/>
        </w:rPr>
        <w:t>中华人民共和国生态环境部制</w:t>
      </w:r>
    </w:p>
    <w:sdt>
      <w:sdtPr>
        <w:rPr>
          <w:sz w:val="24"/>
        </w:rPr>
        <w:id w:val="147474315"/>
        <w15:color w:val="DBDBDB"/>
        <w:docPartObj>
          <w:docPartGallery w:val="Table of Contents"/>
          <w:docPartUnique/>
        </w:docPartObj>
      </w:sdtPr>
      <w:sdtEndPr>
        <w:rPr>
          <w:snapToGrid w:val="0"/>
          <w:sz w:val="24"/>
        </w:rPr>
      </w:sdtEndPr>
      <w:sdtContent>
        <w:p>
          <w:pPr>
            <w:spacing w:line="360" w:lineRule="auto"/>
            <w:jc w:val="center"/>
            <w:rPr>
              <w:b/>
              <w:sz w:val="24"/>
            </w:rPr>
          </w:pPr>
          <w:r>
            <w:rPr>
              <w:b/>
              <w:sz w:val="24"/>
            </w:rPr>
            <w:t>目录</w:t>
          </w:r>
        </w:p>
        <w:p>
          <w:pPr>
            <w:pStyle w:val="18"/>
            <w:tabs>
              <w:tab w:val="right" w:leader="dot" w:pos="9402"/>
            </w:tabs>
            <w:spacing w:line="360" w:lineRule="auto"/>
            <w:rPr>
              <w:rFonts w:eastAsiaTheme="minorEastAsia"/>
              <w:szCs w:val="22"/>
              <w14:ligatures w14:val="standardContextual"/>
            </w:rPr>
          </w:pPr>
          <w:r>
            <w:rPr>
              <w:snapToGrid w:val="0"/>
              <w:kern w:val="0"/>
              <w:sz w:val="24"/>
            </w:rPr>
            <w:fldChar w:fldCharType="begin"/>
          </w:r>
          <w:r>
            <w:rPr>
              <w:snapToGrid w:val="0"/>
              <w:sz w:val="24"/>
            </w:rPr>
            <w:instrText xml:space="preserve">TOC \o "1-1" \h \u </w:instrText>
          </w:r>
          <w:r>
            <w:rPr>
              <w:snapToGrid w:val="0"/>
              <w:kern w:val="0"/>
              <w:sz w:val="24"/>
            </w:rPr>
            <w:fldChar w:fldCharType="separate"/>
          </w:r>
          <w:r>
            <w:fldChar w:fldCharType="begin"/>
          </w:r>
          <w:r>
            <w:instrText xml:space="preserve"> HYPERLINK \l "_Toc144233166" </w:instrText>
          </w:r>
          <w:r>
            <w:fldChar w:fldCharType="separate"/>
          </w:r>
          <w:r>
            <w:rPr>
              <w:rStyle w:val="31"/>
              <w:rFonts w:eastAsiaTheme="majorEastAsia"/>
              <w:snapToGrid w:val="0"/>
              <w:color w:val="auto"/>
            </w:rPr>
            <w:t>一、建设项目基本情况</w:t>
          </w:r>
          <w:r>
            <w:tab/>
          </w:r>
          <w:r>
            <w:fldChar w:fldCharType="begin"/>
          </w:r>
          <w:r>
            <w:instrText xml:space="preserve"> PAGEREF _Toc144233166 \h </w:instrText>
          </w:r>
          <w:r>
            <w:fldChar w:fldCharType="separate"/>
          </w:r>
          <w:r>
            <w:t>2</w:t>
          </w:r>
          <w:r>
            <w:fldChar w:fldCharType="end"/>
          </w:r>
          <w:r>
            <w:fldChar w:fldCharType="end"/>
          </w:r>
        </w:p>
        <w:p>
          <w:pPr>
            <w:pStyle w:val="18"/>
            <w:tabs>
              <w:tab w:val="right" w:leader="dot" w:pos="9402"/>
            </w:tabs>
            <w:spacing w:line="360" w:lineRule="auto"/>
            <w:rPr>
              <w:rFonts w:eastAsiaTheme="minorEastAsia"/>
              <w:szCs w:val="22"/>
              <w14:ligatures w14:val="standardContextual"/>
            </w:rPr>
          </w:pPr>
          <w:r>
            <w:fldChar w:fldCharType="begin"/>
          </w:r>
          <w:r>
            <w:instrText xml:space="preserve"> HYPERLINK \l "_Toc144233167" </w:instrText>
          </w:r>
          <w:r>
            <w:fldChar w:fldCharType="separate"/>
          </w:r>
          <w:r>
            <w:rPr>
              <w:rStyle w:val="31"/>
              <w:rFonts w:eastAsiaTheme="majorEastAsia"/>
              <w:snapToGrid w:val="0"/>
              <w:color w:val="auto"/>
            </w:rPr>
            <w:t>二、建设项目工程分析</w:t>
          </w:r>
          <w:r>
            <w:tab/>
          </w:r>
          <w:r>
            <w:fldChar w:fldCharType="begin"/>
          </w:r>
          <w:r>
            <w:instrText xml:space="preserve"> PAGEREF _Toc144233167 \h </w:instrText>
          </w:r>
          <w:r>
            <w:fldChar w:fldCharType="separate"/>
          </w:r>
          <w:r>
            <w:t>19</w:t>
          </w:r>
          <w:r>
            <w:fldChar w:fldCharType="end"/>
          </w:r>
          <w:r>
            <w:fldChar w:fldCharType="end"/>
          </w:r>
        </w:p>
        <w:p>
          <w:pPr>
            <w:pStyle w:val="18"/>
            <w:tabs>
              <w:tab w:val="right" w:leader="dot" w:pos="9402"/>
            </w:tabs>
            <w:spacing w:line="360" w:lineRule="auto"/>
            <w:rPr>
              <w:rFonts w:eastAsiaTheme="minorEastAsia"/>
              <w:szCs w:val="22"/>
              <w14:ligatures w14:val="standardContextual"/>
            </w:rPr>
          </w:pPr>
          <w:r>
            <w:fldChar w:fldCharType="begin"/>
          </w:r>
          <w:r>
            <w:instrText xml:space="preserve"> HYPERLINK \l "_Toc144233329" </w:instrText>
          </w:r>
          <w:r>
            <w:fldChar w:fldCharType="separate"/>
          </w:r>
          <w:r>
            <w:rPr>
              <w:rStyle w:val="31"/>
              <w:rFonts w:eastAsiaTheme="majorEastAsia"/>
              <w:snapToGrid w:val="0"/>
              <w:color w:val="auto"/>
              <w:kern w:val="0"/>
            </w:rPr>
            <w:t>三、区域环境质量现状、环境保护目标及评价标准</w:t>
          </w:r>
          <w:r>
            <w:tab/>
          </w:r>
          <w:r>
            <w:fldChar w:fldCharType="begin"/>
          </w:r>
          <w:r>
            <w:instrText xml:space="preserve"> PAGEREF _Toc144233329 \h </w:instrText>
          </w:r>
          <w:r>
            <w:fldChar w:fldCharType="separate"/>
          </w:r>
          <w:r>
            <w:t>45</w:t>
          </w:r>
          <w:r>
            <w:fldChar w:fldCharType="end"/>
          </w:r>
          <w:r>
            <w:fldChar w:fldCharType="end"/>
          </w:r>
        </w:p>
        <w:p>
          <w:pPr>
            <w:pStyle w:val="18"/>
            <w:tabs>
              <w:tab w:val="right" w:leader="dot" w:pos="9402"/>
            </w:tabs>
            <w:spacing w:line="360" w:lineRule="auto"/>
            <w:rPr>
              <w:rFonts w:eastAsiaTheme="minorEastAsia"/>
              <w:szCs w:val="22"/>
              <w14:ligatures w14:val="standardContextual"/>
            </w:rPr>
          </w:pPr>
          <w:r>
            <w:fldChar w:fldCharType="begin"/>
          </w:r>
          <w:r>
            <w:instrText xml:space="preserve"> HYPERLINK \l "_Toc144233331" </w:instrText>
          </w:r>
          <w:r>
            <w:fldChar w:fldCharType="separate"/>
          </w:r>
          <w:r>
            <w:rPr>
              <w:rStyle w:val="31"/>
              <w:rFonts w:eastAsiaTheme="majorEastAsia"/>
              <w:snapToGrid w:val="0"/>
              <w:color w:val="auto"/>
            </w:rPr>
            <w:t>四、主要环境影响和保护措施</w:t>
          </w:r>
          <w:r>
            <w:tab/>
          </w:r>
          <w:r>
            <w:fldChar w:fldCharType="begin"/>
          </w:r>
          <w:r>
            <w:instrText xml:space="preserve"> PAGEREF _Toc144233331 \h </w:instrText>
          </w:r>
          <w:r>
            <w:fldChar w:fldCharType="separate"/>
          </w:r>
          <w:r>
            <w:t>52</w:t>
          </w:r>
          <w:r>
            <w:fldChar w:fldCharType="end"/>
          </w:r>
          <w:r>
            <w:fldChar w:fldCharType="end"/>
          </w:r>
        </w:p>
        <w:p>
          <w:pPr>
            <w:pStyle w:val="18"/>
            <w:tabs>
              <w:tab w:val="right" w:leader="dot" w:pos="9402"/>
            </w:tabs>
            <w:spacing w:line="360" w:lineRule="auto"/>
            <w:rPr>
              <w:rFonts w:eastAsiaTheme="minorEastAsia"/>
              <w:szCs w:val="22"/>
              <w14:ligatures w14:val="standardContextual"/>
            </w:rPr>
          </w:pPr>
          <w:r>
            <w:fldChar w:fldCharType="begin"/>
          </w:r>
          <w:r>
            <w:instrText xml:space="preserve"> HYPERLINK \l "_Toc144233332" </w:instrText>
          </w:r>
          <w:r>
            <w:fldChar w:fldCharType="separate"/>
          </w:r>
          <w:r>
            <w:rPr>
              <w:rStyle w:val="31"/>
              <w:snapToGrid w:val="0"/>
              <w:color w:val="auto"/>
            </w:rPr>
            <w:t>五、环境保护措施监督检查清单</w:t>
          </w:r>
          <w:r>
            <w:tab/>
          </w:r>
          <w:r>
            <w:fldChar w:fldCharType="begin"/>
          </w:r>
          <w:r>
            <w:instrText xml:space="preserve"> PAGEREF _Toc144233332 \h </w:instrText>
          </w:r>
          <w:r>
            <w:fldChar w:fldCharType="separate"/>
          </w:r>
          <w:r>
            <w:t>76</w:t>
          </w:r>
          <w:r>
            <w:fldChar w:fldCharType="end"/>
          </w:r>
          <w:r>
            <w:fldChar w:fldCharType="end"/>
          </w:r>
        </w:p>
        <w:p>
          <w:pPr>
            <w:pStyle w:val="18"/>
            <w:tabs>
              <w:tab w:val="right" w:leader="dot" w:pos="9402"/>
            </w:tabs>
            <w:spacing w:line="360" w:lineRule="auto"/>
            <w:rPr>
              <w:rFonts w:eastAsiaTheme="minorEastAsia"/>
              <w:szCs w:val="22"/>
              <w14:ligatures w14:val="standardContextual"/>
            </w:rPr>
          </w:pPr>
          <w:r>
            <w:fldChar w:fldCharType="begin"/>
          </w:r>
          <w:r>
            <w:instrText xml:space="preserve"> HYPERLINK \l "_Toc144233333" </w:instrText>
          </w:r>
          <w:r>
            <w:fldChar w:fldCharType="separate"/>
          </w:r>
          <w:r>
            <w:rPr>
              <w:rStyle w:val="31"/>
              <w:snapToGrid w:val="0"/>
              <w:color w:val="auto"/>
              <w:kern w:val="0"/>
            </w:rPr>
            <w:t>六、结论</w:t>
          </w:r>
          <w:r>
            <w:tab/>
          </w:r>
          <w:r>
            <w:fldChar w:fldCharType="begin"/>
          </w:r>
          <w:r>
            <w:instrText xml:space="preserve"> PAGEREF _Toc144233333 \h </w:instrText>
          </w:r>
          <w:r>
            <w:fldChar w:fldCharType="separate"/>
          </w:r>
          <w:r>
            <w:t>78</w:t>
          </w:r>
          <w:r>
            <w:fldChar w:fldCharType="end"/>
          </w:r>
          <w:r>
            <w:fldChar w:fldCharType="end"/>
          </w:r>
        </w:p>
        <w:p>
          <w:pPr>
            <w:pStyle w:val="18"/>
            <w:tabs>
              <w:tab w:val="right" w:leader="dot" w:pos="9402"/>
            </w:tabs>
            <w:spacing w:line="360" w:lineRule="auto"/>
            <w:rPr>
              <w:rFonts w:eastAsiaTheme="minorEastAsia"/>
              <w:szCs w:val="22"/>
              <w14:ligatures w14:val="standardContextual"/>
            </w:rPr>
          </w:pPr>
          <w:r>
            <w:fldChar w:fldCharType="begin"/>
          </w:r>
          <w:r>
            <w:instrText xml:space="preserve"> HYPERLINK \l "_Toc144233334" </w:instrText>
          </w:r>
          <w:r>
            <w:fldChar w:fldCharType="separate"/>
          </w:r>
          <w:r>
            <w:rPr>
              <w:rStyle w:val="31"/>
              <w:snapToGrid w:val="0"/>
              <w:color w:val="auto"/>
            </w:rPr>
            <w:t>附表</w:t>
          </w:r>
          <w:r>
            <w:tab/>
          </w:r>
          <w:r>
            <w:fldChar w:fldCharType="begin"/>
          </w:r>
          <w:r>
            <w:instrText xml:space="preserve"> PAGEREF _Toc144233334 \h </w:instrText>
          </w:r>
          <w:r>
            <w:fldChar w:fldCharType="separate"/>
          </w:r>
          <w:r>
            <w:t>79</w:t>
          </w:r>
          <w:r>
            <w:fldChar w:fldCharType="end"/>
          </w:r>
          <w:r>
            <w:fldChar w:fldCharType="end"/>
          </w:r>
        </w:p>
        <w:p>
          <w:pPr>
            <w:spacing w:line="360" w:lineRule="auto"/>
            <w:jc w:val="center"/>
            <w:rPr>
              <w:sz w:val="24"/>
            </w:rPr>
          </w:pPr>
          <w:r>
            <w:rPr>
              <w:snapToGrid w:val="0"/>
              <w:sz w:val="24"/>
            </w:rPr>
            <w:fldChar w:fldCharType="end"/>
          </w:r>
        </w:p>
      </w:sdtContent>
    </w:sdt>
    <w:p>
      <w:pPr>
        <w:spacing w:line="360" w:lineRule="auto"/>
        <w:jc w:val="left"/>
        <w:rPr>
          <w:b/>
          <w:bCs/>
          <w:sz w:val="24"/>
        </w:rPr>
      </w:pPr>
      <w:r>
        <w:rPr>
          <w:b/>
          <w:bCs/>
          <w:sz w:val="24"/>
        </w:rPr>
        <w:t>附件：</w:t>
      </w:r>
    </w:p>
    <w:p>
      <w:pPr>
        <w:pStyle w:val="12"/>
        <w:spacing w:line="360" w:lineRule="auto"/>
        <w:rPr>
          <w:rFonts w:ascii="Times New Roman" w:hAnsi="Times New Roman"/>
          <w:sz w:val="24"/>
        </w:rPr>
      </w:pPr>
      <w:r>
        <w:rPr>
          <w:rFonts w:ascii="Times New Roman" w:hAnsi="Times New Roman"/>
          <w:sz w:val="24"/>
        </w:rPr>
        <w:t>附件1  委托书</w:t>
      </w:r>
    </w:p>
    <w:p>
      <w:pPr>
        <w:pStyle w:val="12"/>
        <w:spacing w:line="360" w:lineRule="auto"/>
        <w:rPr>
          <w:rFonts w:ascii="Times New Roman" w:hAnsi="Times New Roman"/>
          <w:sz w:val="24"/>
        </w:rPr>
      </w:pPr>
      <w:r>
        <w:rPr>
          <w:rFonts w:ascii="Times New Roman" w:hAnsi="Times New Roman"/>
          <w:sz w:val="24"/>
        </w:rPr>
        <w:t>附件2  投资备案证</w:t>
      </w:r>
    </w:p>
    <w:p>
      <w:pPr>
        <w:pStyle w:val="12"/>
        <w:spacing w:line="360" w:lineRule="auto"/>
        <w:rPr>
          <w:rFonts w:ascii="Times New Roman" w:hAnsi="Times New Roman"/>
          <w:sz w:val="24"/>
        </w:rPr>
      </w:pPr>
      <w:r>
        <w:rPr>
          <w:rFonts w:ascii="Times New Roman" w:hAnsi="Times New Roman"/>
          <w:sz w:val="24"/>
        </w:rPr>
        <w:t>附件3  土地租赁合同</w:t>
      </w:r>
    </w:p>
    <w:p>
      <w:pPr>
        <w:pStyle w:val="12"/>
        <w:spacing w:line="360" w:lineRule="auto"/>
        <w:rPr>
          <w:rFonts w:ascii="Times New Roman" w:hAnsi="Times New Roman"/>
          <w:sz w:val="24"/>
        </w:rPr>
      </w:pPr>
      <w:r>
        <w:rPr>
          <w:rFonts w:ascii="Times New Roman" w:hAnsi="Times New Roman"/>
          <w:sz w:val="24"/>
        </w:rPr>
        <w:t>附件4  营业执照</w:t>
      </w:r>
    </w:p>
    <w:p>
      <w:pPr>
        <w:pStyle w:val="12"/>
        <w:spacing w:line="360" w:lineRule="auto"/>
        <w:rPr>
          <w:rFonts w:ascii="Times New Roman" w:hAnsi="Times New Roman"/>
          <w:sz w:val="24"/>
        </w:rPr>
      </w:pPr>
      <w:r>
        <w:rPr>
          <w:rFonts w:ascii="Times New Roman" w:hAnsi="Times New Roman"/>
          <w:sz w:val="24"/>
        </w:rPr>
        <w:t>附件5  法人身份证复印件</w:t>
      </w:r>
    </w:p>
    <w:p>
      <w:pPr>
        <w:pStyle w:val="12"/>
        <w:spacing w:line="360" w:lineRule="auto"/>
        <w:rPr>
          <w:rFonts w:ascii="Times New Roman" w:hAnsi="Times New Roman"/>
          <w:sz w:val="24"/>
        </w:rPr>
      </w:pPr>
      <w:r>
        <w:rPr>
          <w:rFonts w:ascii="Times New Roman" w:hAnsi="Times New Roman"/>
          <w:sz w:val="24"/>
        </w:rPr>
        <w:t>附件6  引用的环境现状检测报告</w:t>
      </w:r>
    </w:p>
    <w:p>
      <w:pPr>
        <w:pStyle w:val="12"/>
        <w:spacing w:line="360" w:lineRule="auto"/>
        <w:rPr>
          <w:rFonts w:ascii="Times New Roman" w:hAnsi="Times New Roman"/>
          <w:sz w:val="24"/>
        </w:rPr>
      </w:pPr>
      <w:r>
        <w:rPr>
          <w:rFonts w:ascii="Times New Roman" w:hAnsi="Times New Roman"/>
          <w:sz w:val="24"/>
        </w:rPr>
        <w:t>附件7  固体生物质燃料检验检测报告</w:t>
      </w:r>
    </w:p>
    <w:p>
      <w:pPr>
        <w:pStyle w:val="12"/>
        <w:spacing w:line="360" w:lineRule="auto"/>
        <w:rPr>
          <w:rFonts w:ascii="Times New Roman" w:hAnsi="Times New Roman"/>
          <w:sz w:val="24"/>
        </w:rPr>
      </w:pPr>
      <w:r>
        <w:rPr>
          <w:rFonts w:ascii="Times New Roman" w:hAnsi="Times New Roman"/>
          <w:sz w:val="24"/>
        </w:rPr>
        <w:t>附件8  三区三线划定情况查询说明</w:t>
      </w:r>
    </w:p>
    <w:p>
      <w:pPr>
        <w:pStyle w:val="12"/>
        <w:spacing w:line="360" w:lineRule="auto"/>
        <w:rPr>
          <w:rFonts w:ascii="Times New Roman" w:hAnsi="Times New Roman"/>
          <w:sz w:val="24"/>
        </w:rPr>
      </w:pPr>
      <w:r>
        <w:rPr>
          <w:rFonts w:ascii="Times New Roman" w:hAnsi="Times New Roman"/>
          <w:sz w:val="24"/>
        </w:rPr>
        <w:t>附件9 环评报告审核单</w:t>
      </w:r>
    </w:p>
    <w:p>
      <w:pPr>
        <w:pStyle w:val="12"/>
        <w:spacing w:line="360" w:lineRule="auto"/>
        <w:rPr>
          <w:rFonts w:ascii="Times New Roman" w:hAnsi="Times New Roman"/>
        </w:rPr>
      </w:pPr>
      <w:r>
        <w:rPr>
          <w:rFonts w:ascii="Times New Roman" w:hAnsi="Times New Roman"/>
          <w:sz w:val="24"/>
        </w:rPr>
        <w:t>附件10 项目环评工作进度管理表</w:t>
      </w:r>
    </w:p>
    <w:p>
      <w:pPr>
        <w:pStyle w:val="12"/>
        <w:spacing w:line="360" w:lineRule="auto"/>
        <w:rPr>
          <w:rFonts w:ascii="Times New Roman" w:hAnsi="Times New Roman"/>
          <w:sz w:val="24"/>
        </w:rPr>
      </w:pPr>
      <w:r>
        <w:rPr>
          <w:rFonts w:ascii="Times New Roman" w:hAnsi="Times New Roman"/>
          <w:sz w:val="24"/>
        </w:rPr>
        <w:t xml:space="preserve">附件11 专家签到表 </w:t>
      </w:r>
    </w:p>
    <w:p>
      <w:pPr>
        <w:pStyle w:val="12"/>
        <w:spacing w:line="360" w:lineRule="auto"/>
        <w:rPr>
          <w:rFonts w:ascii="Times New Roman" w:hAnsi="Times New Roman"/>
          <w:sz w:val="24"/>
        </w:rPr>
      </w:pPr>
      <w:r>
        <w:rPr>
          <w:rFonts w:ascii="Times New Roman" w:hAnsi="Times New Roman"/>
          <w:sz w:val="24"/>
        </w:rPr>
        <w:t>附件12 专家意见</w:t>
      </w:r>
    </w:p>
    <w:p>
      <w:pPr>
        <w:pStyle w:val="12"/>
        <w:spacing w:line="360" w:lineRule="auto"/>
        <w:rPr>
          <w:rFonts w:ascii="Times New Roman" w:hAnsi="Times New Roman"/>
          <w:sz w:val="24"/>
        </w:rPr>
      </w:pPr>
      <w:r>
        <w:rPr>
          <w:rFonts w:ascii="Times New Roman" w:hAnsi="Times New Roman"/>
          <w:sz w:val="24"/>
        </w:rPr>
        <w:t>附件13 专家意见修改表</w:t>
      </w:r>
    </w:p>
    <w:p>
      <w:pPr>
        <w:pStyle w:val="12"/>
        <w:spacing w:line="360" w:lineRule="auto"/>
        <w:rPr>
          <w:rFonts w:ascii="Times New Roman" w:hAnsi="Times New Roman"/>
          <w:b/>
          <w:bCs/>
          <w:sz w:val="24"/>
        </w:rPr>
      </w:pPr>
      <w:r>
        <w:rPr>
          <w:rFonts w:ascii="Times New Roman" w:hAnsi="Times New Roman"/>
          <w:b/>
          <w:bCs/>
          <w:sz w:val="24"/>
        </w:rPr>
        <w:t>附图：</w:t>
      </w:r>
    </w:p>
    <w:p>
      <w:pPr>
        <w:pStyle w:val="12"/>
        <w:spacing w:line="360" w:lineRule="auto"/>
        <w:rPr>
          <w:rFonts w:ascii="Times New Roman" w:hAnsi="Times New Roman"/>
          <w:sz w:val="24"/>
        </w:rPr>
      </w:pPr>
      <w:r>
        <w:rPr>
          <w:rFonts w:ascii="Times New Roman" w:hAnsi="Times New Roman"/>
          <w:sz w:val="24"/>
        </w:rPr>
        <w:t>附图1  项目总平面布置图</w:t>
      </w:r>
    </w:p>
    <w:p>
      <w:pPr>
        <w:pStyle w:val="12"/>
        <w:spacing w:line="360" w:lineRule="auto"/>
        <w:rPr>
          <w:rFonts w:ascii="Times New Roman" w:hAnsi="Times New Roman"/>
          <w:sz w:val="24"/>
        </w:rPr>
      </w:pPr>
      <w:r>
        <w:rPr>
          <w:rFonts w:ascii="Times New Roman" w:hAnsi="Times New Roman"/>
          <w:sz w:val="24"/>
        </w:rPr>
        <w:t>附图2  项目地理位置图</w:t>
      </w:r>
    </w:p>
    <w:p>
      <w:pPr>
        <w:pStyle w:val="12"/>
        <w:spacing w:line="360" w:lineRule="auto"/>
        <w:rPr>
          <w:rFonts w:ascii="Times New Roman" w:hAnsi="Times New Roman"/>
          <w:sz w:val="24"/>
        </w:rPr>
      </w:pPr>
      <w:r>
        <w:rPr>
          <w:rFonts w:ascii="Times New Roman" w:hAnsi="Times New Roman"/>
          <w:sz w:val="24"/>
        </w:rPr>
        <w:t>附图3  系项目所在地水系图</w:t>
      </w:r>
    </w:p>
    <w:p>
      <w:pPr>
        <w:pStyle w:val="12"/>
        <w:spacing w:line="360" w:lineRule="auto"/>
        <w:rPr>
          <w:rFonts w:ascii="Times New Roman" w:hAnsi="Times New Roman"/>
          <w:sz w:val="24"/>
        </w:rPr>
      </w:pPr>
      <w:r>
        <w:rPr>
          <w:rFonts w:ascii="Times New Roman" w:hAnsi="Times New Roman"/>
          <w:sz w:val="24"/>
        </w:rPr>
        <w:t>附图4  评价范围内环境保护目标图</w:t>
      </w:r>
    </w:p>
    <w:p>
      <w:pPr>
        <w:pStyle w:val="12"/>
        <w:spacing w:line="360" w:lineRule="auto"/>
        <w:rPr>
          <w:rFonts w:ascii="Times New Roman" w:hAnsi="Times New Roman"/>
          <w:sz w:val="24"/>
        </w:rPr>
      </w:pPr>
      <w:r>
        <w:rPr>
          <w:rFonts w:ascii="Times New Roman" w:hAnsi="Times New Roman"/>
          <w:sz w:val="24"/>
        </w:rPr>
        <w:t>附图5  项目与周边关系图</w:t>
      </w:r>
    </w:p>
    <w:p>
      <w:pPr>
        <w:pStyle w:val="23"/>
        <w:spacing w:line="360" w:lineRule="auto"/>
        <w:jc w:val="center"/>
        <w:outlineLvl w:val="0"/>
        <w:rPr>
          <w:rFonts w:ascii="Times New Roman" w:hAnsi="Times New Roman" w:eastAsiaTheme="majorEastAsia"/>
          <w:b/>
          <w:bCs/>
          <w:snapToGrid w:val="0"/>
          <w:sz w:val="30"/>
          <w:szCs w:val="30"/>
        </w:rPr>
      </w:pPr>
      <w:bookmarkStart w:id="4" w:name="_Toc144233166"/>
      <w:bookmarkStart w:id="5" w:name="_Toc3831"/>
      <w:bookmarkStart w:id="6" w:name="_Toc24533"/>
      <w:r>
        <w:rPr>
          <w:rFonts w:ascii="Times New Roman" w:hAnsi="Times New Roman" w:eastAsiaTheme="majorEastAsia"/>
          <w:b/>
          <w:bCs/>
          <w:snapToGrid w:val="0"/>
          <w:sz w:val="30"/>
          <w:szCs w:val="30"/>
        </w:rPr>
        <w:t>一、建设项目基本情况</w:t>
      </w:r>
      <w:bookmarkEnd w:id="4"/>
      <w:bookmarkEnd w:id="5"/>
      <w:bookmarkEnd w:id="6"/>
    </w:p>
    <w:tbl>
      <w:tblPr>
        <w:tblStyle w:val="27"/>
        <w:tblW w:w="4971"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07"/>
        <w:gridCol w:w="2138"/>
        <w:gridCol w:w="2123"/>
        <w:gridCol w:w="33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75" w:type="pct"/>
            <w:tcMar>
              <w:top w:w="16" w:type="dxa"/>
              <w:left w:w="16" w:type="dxa"/>
              <w:right w:w="16" w:type="dxa"/>
            </w:tcMar>
            <w:vAlign w:val="center"/>
          </w:tcPr>
          <w:p>
            <w:pPr>
              <w:adjustRightInd w:val="0"/>
              <w:snapToGrid w:val="0"/>
              <w:jc w:val="center"/>
              <w:rPr>
                <w:sz w:val="24"/>
              </w:rPr>
            </w:pPr>
            <w:r>
              <w:rPr>
                <w:sz w:val="24"/>
              </w:rPr>
              <w:t>建设项目名称</w:t>
            </w:r>
          </w:p>
        </w:tc>
        <w:tc>
          <w:tcPr>
            <w:tcW w:w="4025" w:type="pct"/>
            <w:gridSpan w:val="3"/>
            <w:vAlign w:val="center"/>
          </w:tcPr>
          <w:p>
            <w:pPr>
              <w:adjustRightInd w:val="0"/>
              <w:snapToGrid w:val="0"/>
              <w:jc w:val="center"/>
              <w:rPr>
                <w:sz w:val="24"/>
              </w:rPr>
            </w:pPr>
            <w:r>
              <w:rPr>
                <w:sz w:val="24"/>
              </w:rPr>
              <w:t>姚安县光禄镇特色农业生产种植示范基地及配套锅炉建设项目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75" w:type="pct"/>
            <w:tcMar>
              <w:top w:w="16" w:type="dxa"/>
              <w:left w:w="16" w:type="dxa"/>
              <w:right w:w="16" w:type="dxa"/>
            </w:tcMar>
            <w:vAlign w:val="center"/>
          </w:tcPr>
          <w:p>
            <w:pPr>
              <w:adjustRightInd w:val="0"/>
              <w:snapToGrid w:val="0"/>
              <w:jc w:val="center"/>
              <w:rPr>
                <w:sz w:val="24"/>
              </w:rPr>
            </w:pPr>
            <w:r>
              <w:rPr>
                <w:sz w:val="24"/>
              </w:rPr>
              <w:t>项目代码</w:t>
            </w:r>
          </w:p>
        </w:tc>
        <w:tc>
          <w:tcPr>
            <w:tcW w:w="4025" w:type="pct"/>
            <w:gridSpan w:val="3"/>
            <w:vAlign w:val="center"/>
          </w:tcPr>
          <w:p>
            <w:pPr>
              <w:widowControl/>
              <w:jc w:val="center"/>
              <w:rPr>
                <w:sz w:val="24"/>
              </w:rPr>
            </w:pPr>
            <w:r>
              <w:rPr>
                <w:kern w:val="0"/>
                <w:sz w:val="24"/>
                <w:lang w:bidi="ar"/>
              </w:rPr>
              <w:t>2305-532325-04-05-322193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75" w:type="pct"/>
            <w:tcMar>
              <w:top w:w="16" w:type="dxa"/>
              <w:left w:w="16" w:type="dxa"/>
              <w:right w:w="16" w:type="dxa"/>
            </w:tcMar>
            <w:vAlign w:val="center"/>
          </w:tcPr>
          <w:p>
            <w:pPr>
              <w:adjustRightInd w:val="0"/>
              <w:snapToGrid w:val="0"/>
              <w:jc w:val="center"/>
              <w:rPr>
                <w:sz w:val="24"/>
              </w:rPr>
            </w:pPr>
            <w:r>
              <w:rPr>
                <w:sz w:val="24"/>
              </w:rPr>
              <w:t>建设单位联系人</w:t>
            </w:r>
          </w:p>
        </w:tc>
        <w:tc>
          <w:tcPr>
            <w:tcW w:w="1136" w:type="pct"/>
            <w:vAlign w:val="center"/>
          </w:tcPr>
          <w:p>
            <w:pPr>
              <w:adjustRightInd w:val="0"/>
              <w:snapToGrid w:val="0"/>
              <w:jc w:val="center"/>
              <w:rPr>
                <w:sz w:val="24"/>
              </w:rPr>
            </w:pPr>
            <w:r>
              <w:rPr>
                <w:rFonts w:hint="eastAsia"/>
                <w:sz w:val="24"/>
              </w:rPr>
              <w:t>/</w:t>
            </w:r>
          </w:p>
        </w:tc>
        <w:tc>
          <w:tcPr>
            <w:tcW w:w="1128" w:type="pct"/>
            <w:vAlign w:val="center"/>
          </w:tcPr>
          <w:p>
            <w:pPr>
              <w:adjustRightInd w:val="0"/>
              <w:snapToGrid w:val="0"/>
              <w:jc w:val="center"/>
              <w:rPr>
                <w:sz w:val="24"/>
              </w:rPr>
            </w:pPr>
            <w:r>
              <w:rPr>
                <w:sz w:val="24"/>
              </w:rPr>
              <w:t>联系方式</w:t>
            </w:r>
          </w:p>
        </w:tc>
        <w:tc>
          <w:tcPr>
            <w:tcW w:w="1761" w:type="pct"/>
            <w:vAlign w:val="center"/>
          </w:tcPr>
          <w:p>
            <w:pPr>
              <w:adjustRightInd w:val="0"/>
              <w:snapToGrid w:val="0"/>
              <w:jc w:val="center"/>
              <w:rPr>
                <w:sz w:val="24"/>
              </w:rPr>
            </w:pPr>
            <w:r>
              <w:rPr>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75" w:type="pct"/>
            <w:tcMar>
              <w:top w:w="16" w:type="dxa"/>
              <w:left w:w="16" w:type="dxa"/>
              <w:right w:w="16" w:type="dxa"/>
            </w:tcMar>
            <w:vAlign w:val="center"/>
          </w:tcPr>
          <w:p>
            <w:pPr>
              <w:adjustRightInd w:val="0"/>
              <w:snapToGrid w:val="0"/>
              <w:jc w:val="center"/>
              <w:rPr>
                <w:sz w:val="24"/>
              </w:rPr>
            </w:pPr>
            <w:r>
              <w:rPr>
                <w:sz w:val="24"/>
              </w:rPr>
              <w:t>建设地点</w:t>
            </w:r>
          </w:p>
        </w:tc>
        <w:tc>
          <w:tcPr>
            <w:tcW w:w="4025" w:type="pct"/>
            <w:gridSpan w:val="3"/>
            <w:vAlign w:val="center"/>
          </w:tcPr>
          <w:p>
            <w:pPr>
              <w:adjustRightInd w:val="0"/>
              <w:snapToGrid w:val="0"/>
              <w:jc w:val="center"/>
              <w:rPr>
                <w:sz w:val="24"/>
              </w:rPr>
            </w:pPr>
            <w:r>
              <w:rPr>
                <w:sz w:val="24"/>
              </w:rPr>
              <w:t>云南省（自治区）楚雄州 姚安县（区）光禄镇福光村委会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75" w:type="pct"/>
            <w:tcMar>
              <w:top w:w="16" w:type="dxa"/>
              <w:left w:w="16" w:type="dxa"/>
              <w:right w:w="16" w:type="dxa"/>
            </w:tcMar>
            <w:vAlign w:val="center"/>
          </w:tcPr>
          <w:p>
            <w:pPr>
              <w:adjustRightInd w:val="0"/>
              <w:snapToGrid w:val="0"/>
              <w:jc w:val="center"/>
              <w:rPr>
                <w:sz w:val="24"/>
              </w:rPr>
            </w:pPr>
            <w:r>
              <w:rPr>
                <w:sz w:val="24"/>
              </w:rPr>
              <w:t>地理坐标</w:t>
            </w:r>
          </w:p>
        </w:tc>
        <w:tc>
          <w:tcPr>
            <w:tcW w:w="4025" w:type="pct"/>
            <w:gridSpan w:val="3"/>
            <w:vAlign w:val="center"/>
          </w:tcPr>
          <w:p>
            <w:pPr>
              <w:jc w:val="center"/>
              <w:rPr>
                <w:sz w:val="24"/>
              </w:rPr>
            </w:pPr>
            <w:r>
              <w:rPr>
                <w:rFonts w:hint="eastAsia"/>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75" w:type="pct"/>
            <w:tcMar>
              <w:top w:w="16" w:type="dxa"/>
              <w:left w:w="16" w:type="dxa"/>
              <w:right w:w="16" w:type="dxa"/>
            </w:tcMar>
            <w:vAlign w:val="center"/>
          </w:tcPr>
          <w:p>
            <w:pPr>
              <w:adjustRightInd w:val="0"/>
              <w:snapToGrid w:val="0"/>
              <w:jc w:val="center"/>
              <w:rPr>
                <w:sz w:val="24"/>
              </w:rPr>
            </w:pPr>
            <w:r>
              <w:rPr>
                <w:sz w:val="24"/>
              </w:rPr>
              <w:t>国民经济</w:t>
            </w:r>
          </w:p>
          <w:p>
            <w:pPr>
              <w:adjustRightInd w:val="0"/>
              <w:snapToGrid w:val="0"/>
              <w:jc w:val="center"/>
              <w:rPr>
                <w:sz w:val="24"/>
              </w:rPr>
            </w:pPr>
            <w:r>
              <w:rPr>
                <w:sz w:val="24"/>
              </w:rPr>
              <w:t>行业类别</w:t>
            </w:r>
          </w:p>
        </w:tc>
        <w:tc>
          <w:tcPr>
            <w:tcW w:w="1136" w:type="pct"/>
            <w:vAlign w:val="center"/>
          </w:tcPr>
          <w:p>
            <w:pPr>
              <w:pStyle w:val="6"/>
              <w:jc w:val="center"/>
              <w:rPr>
                <w:kern w:val="2"/>
                <w:szCs w:val="24"/>
              </w:rPr>
            </w:pPr>
            <w:r>
              <w:t>D</w:t>
            </w:r>
            <w:r>
              <w:rPr>
                <w:kern w:val="2"/>
                <w:szCs w:val="24"/>
              </w:rPr>
              <w:t>4430热力生产和供应A0143花卉种植</w:t>
            </w:r>
          </w:p>
        </w:tc>
        <w:tc>
          <w:tcPr>
            <w:tcW w:w="1128" w:type="pct"/>
            <w:vAlign w:val="center"/>
          </w:tcPr>
          <w:p>
            <w:pPr>
              <w:adjustRightInd w:val="0"/>
              <w:snapToGrid w:val="0"/>
              <w:jc w:val="center"/>
              <w:rPr>
                <w:sz w:val="24"/>
              </w:rPr>
            </w:pPr>
            <w:bookmarkStart w:id="7" w:name="_Hlk49843745"/>
            <w:r>
              <w:rPr>
                <w:sz w:val="24"/>
              </w:rPr>
              <w:t>建设项目</w:t>
            </w:r>
          </w:p>
          <w:p>
            <w:pPr>
              <w:adjustRightInd w:val="0"/>
              <w:snapToGrid w:val="0"/>
              <w:jc w:val="center"/>
              <w:rPr>
                <w:sz w:val="24"/>
              </w:rPr>
            </w:pPr>
            <w:r>
              <w:rPr>
                <w:sz w:val="24"/>
              </w:rPr>
              <w:t>行业类别</w:t>
            </w:r>
            <w:bookmarkEnd w:id="7"/>
          </w:p>
        </w:tc>
        <w:tc>
          <w:tcPr>
            <w:tcW w:w="1761" w:type="pct"/>
            <w:vAlign w:val="center"/>
          </w:tcPr>
          <w:p>
            <w:pPr>
              <w:adjustRightInd w:val="0"/>
              <w:snapToGrid w:val="0"/>
              <w:jc w:val="center"/>
              <w:rPr>
                <w:sz w:val="24"/>
              </w:rPr>
            </w:pPr>
            <w:r>
              <w:rPr>
                <w:sz w:val="24"/>
              </w:rPr>
              <w:t>四十一、91热力生产和供应工程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75" w:type="pct"/>
            <w:tcMar>
              <w:top w:w="16" w:type="dxa"/>
              <w:left w:w="16" w:type="dxa"/>
              <w:right w:w="16" w:type="dxa"/>
            </w:tcMar>
            <w:vAlign w:val="center"/>
          </w:tcPr>
          <w:p>
            <w:pPr>
              <w:adjustRightInd w:val="0"/>
              <w:snapToGrid w:val="0"/>
              <w:jc w:val="center"/>
              <w:rPr>
                <w:sz w:val="24"/>
              </w:rPr>
            </w:pPr>
            <w:r>
              <w:rPr>
                <w:sz w:val="24"/>
              </w:rPr>
              <w:t>建设性质</w:t>
            </w:r>
          </w:p>
        </w:tc>
        <w:tc>
          <w:tcPr>
            <w:tcW w:w="1136" w:type="pct"/>
            <w:vAlign w:val="center"/>
          </w:tcPr>
          <w:p>
            <w:pPr>
              <w:rPr>
                <w:sz w:val="24"/>
              </w:rPr>
            </w:pPr>
            <w:r>
              <w:rPr>
                <w:rFonts w:ascii="Segoe UI Symbol" w:hAnsi="Segoe UI Symbol" w:cs="Segoe UI Symbol"/>
                <w:sz w:val="24"/>
              </w:rPr>
              <w:t>☑</w:t>
            </w:r>
            <w:r>
              <w:rPr>
                <w:sz w:val="24"/>
              </w:rPr>
              <w:t>新建（迁建）</w:t>
            </w:r>
          </w:p>
          <w:p>
            <w:pPr>
              <w:rPr>
                <w:sz w:val="24"/>
              </w:rPr>
            </w:pPr>
            <w:r>
              <w:rPr>
                <w:sz w:val="24"/>
              </w:rPr>
              <w:t>□改建</w:t>
            </w:r>
          </w:p>
          <w:p>
            <w:pPr>
              <w:rPr>
                <w:sz w:val="24"/>
              </w:rPr>
            </w:pPr>
            <w:r>
              <w:rPr>
                <w:sz w:val="24"/>
              </w:rPr>
              <w:t>□扩建</w:t>
            </w:r>
          </w:p>
          <w:p>
            <w:pPr>
              <w:rPr>
                <w:sz w:val="24"/>
              </w:rPr>
            </w:pPr>
            <w:r>
              <w:rPr>
                <w:sz w:val="24"/>
              </w:rPr>
              <w:t>□技术改造</w:t>
            </w:r>
          </w:p>
        </w:tc>
        <w:tc>
          <w:tcPr>
            <w:tcW w:w="1128" w:type="pct"/>
            <w:vAlign w:val="center"/>
          </w:tcPr>
          <w:p>
            <w:pPr>
              <w:adjustRightInd w:val="0"/>
              <w:snapToGrid w:val="0"/>
              <w:jc w:val="center"/>
              <w:rPr>
                <w:sz w:val="24"/>
              </w:rPr>
            </w:pPr>
            <w:r>
              <w:rPr>
                <w:sz w:val="24"/>
              </w:rPr>
              <w:t>建设项目</w:t>
            </w:r>
          </w:p>
          <w:p>
            <w:pPr>
              <w:adjustRightInd w:val="0"/>
              <w:snapToGrid w:val="0"/>
              <w:jc w:val="center"/>
              <w:rPr>
                <w:sz w:val="24"/>
              </w:rPr>
            </w:pPr>
            <w:r>
              <w:rPr>
                <w:sz w:val="24"/>
              </w:rPr>
              <w:t>申报情形</w:t>
            </w:r>
          </w:p>
        </w:tc>
        <w:tc>
          <w:tcPr>
            <w:tcW w:w="1761" w:type="pct"/>
            <w:vAlign w:val="center"/>
          </w:tcPr>
          <w:p>
            <w:pPr>
              <w:rPr>
                <w:sz w:val="24"/>
              </w:rPr>
            </w:pPr>
            <w:r>
              <w:rPr>
                <w:rFonts w:ascii="Segoe UI Symbol" w:hAnsi="Segoe UI Symbol" w:cs="Segoe UI Symbol"/>
                <w:sz w:val="24"/>
              </w:rPr>
              <w:t>☑</w:t>
            </w:r>
            <w:r>
              <w:rPr>
                <w:sz w:val="24"/>
              </w:rPr>
              <w:t>首次申报项目</w:t>
            </w:r>
          </w:p>
          <w:p>
            <w:pPr>
              <w:rPr>
                <w:sz w:val="24"/>
              </w:rPr>
            </w:pPr>
            <w:r>
              <w:rPr>
                <w:sz w:val="24"/>
              </w:rPr>
              <w:t>□不予批准后再次申报项目</w:t>
            </w:r>
          </w:p>
          <w:p>
            <w:pPr>
              <w:rPr>
                <w:sz w:val="24"/>
              </w:rPr>
            </w:pPr>
            <w:r>
              <w:rPr>
                <w:sz w:val="24"/>
              </w:rPr>
              <w:t>□超五年重新审核项目</w:t>
            </w:r>
          </w:p>
          <w:p>
            <w:pPr>
              <w:rPr>
                <w:sz w:val="24"/>
              </w:rPr>
            </w:pPr>
            <w:r>
              <w:rPr>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75" w:type="pct"/>
            <w:tcMar>
              <w:top w:w="16" w:type="dxa"/>
              <w:left w:w="16" w:type="dxa"/>
              <w:right w:w="16" w:type="dxa"/>
            </w:tcMar>
            <w:vAlign w:val="center"/>
          </w:tcPr>
          <w:p>
            <w:pPr>
              <w:adjustRightInd w:val="0"/>
              <w:snapToGrid w:val="0"/>
              <w:jc w:val="center"/>
              <w:rPr>
                <w:sz w:val="24"/>
              </w:rPr>
            </w:pPr>
            <w:r>
              <w:rPr>
                <w:sz w:val="24"/>
              </w:rPr>
              <w:t>项目审（核准/</w:t>
            </w:r>
          </w:p>
          <w:p>
            <w:pPr>
              <w:adjustRightInd w:val="0"/>
              <w:snapToGrid w:val="0"/>
              <w:jc w:val="center"/>
              <w:rPr>
                <w:sz w:val="24"/>
              </w:rPr>
            </w:pPr>
            <w:r>
              <w:rPr>
                <w:sz w:val="24"/>
              </w:rPr>
              <w:t>备案）部门（选填）</w:t>
            </w:r>
          </w:p>
        </w:tc>
        <w:tc>
          <w:tcPr>
            <w:tcW w:w="1136" w:type="pct"/>
            <w:vAlign w:val="center"/>
          </w:tcPr>
          <w:p>
            <w:pPr>
              <w:adjustRightInd w:val="0"/>
              <w:snapToGrid w:val="0"/>
              <w:jc w:val="center"/>
              <w:rPr>
                <w:sz w:val="24"/>
              </w:rPr>
            </w:pPr>
            <w:r>
              <w:rPr>
                <w:sz w:val="24"/>
              </w:rPr>
              <w:t>姚安县发展和改革局</w:t>
            </w:r>
          </w:p>
        </w:tc>
        <w:tc>
          <w:tcPr>
            <w:tcW w:w="1128" w:type="pct"/>
            <w:vAlign w:val="center"/>
          </w:tcPr>
          <w:p>
            <w:pPr>
              <w:adjustRightInd w:val="0"/>
              <w:snapToGrid w:val="0"/>
              <w:jc w:val="center"/>
              <w:rPr>
                <w:sz w:val="24"/>
              </w:rPr>
            </w:pPr>
            <w:r>
              <w:rPr>
                <w:sz w:val="24"/>
              </w:rPr>
              <w:t>项目审批（核准/</w:t>
            </w:r>
          </w:p>
          <w:p>
            <w:pPr>
              <w:adjustRightInd w:val="0"/>
              <w:snapToGrid w:val="0"/>
              <w:jc w:val="center"/>
              <w:rPr>
                <w:sz w:val="24"/>
              </w:rPr>
            </w:pPr>
            <w:r>
              <w:rPr>
                <w:sz w:val="24"/>
              </w:rPr>
              <w:t>备案）文号（选填）</w:t>
            </w:r>
          </w:p>
        </w:tc>
        <w:tc>
          <w:tcPr>
            <w:tcW w:w="1761" w:type="pct"/>
            <w:vAlign w:val="center"/>
          </w:tcPr>
          <w:p>
            <w:pPr>
              <w:adjustRightInd w:val="0"/>
              <w:snapToGrid w:val="0"/>
              <w:jc w:val="center"/>
              <w:rPr>
                <w:sz w:val="24"/>
              </w:rPr>
            </w:pPr>
            <w:r>
              <w:rPr>
                <w:kern w:val="0"/>
                <w:sz w:val="24"/>
                <w:lang w:bidi="ar"/>
              </w:rPr>
              <w:t>2305-532325-04-05-322193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75" w:type="pct"/>
            <w:tcMar>
              <w:top w:w="16" w:type="dxa"/>
              <w:left w:w="16" w:type="dxa"/>
              <w:right w:w="16" w:type="dxa"/>
            </w:tcMar>
            <w:vAlign w:val="center"/>
          </w:tcPr>
          <w:p>
            <w:pPr>
              <w:adjustRightInd w:val="0"/>
              <w:snapToGrid w:val="0"/>
              <w:jc w:val="center"/>
              <w:rPr>
                <w:sz w:val="24"/>
              </w:rPr>
            </w:pPr>
            <w:r>
              <w:rPr>
                <w:sz w:val="24"/>
              </w:rPr>
              <w:t>总投资（万元）</w:t>
            </w:r>
          </w:p>
        </w:tc>
        <w:tc>
          <w:tcPr>
            <w:tcW w:w="1136" w:type="pct"/>
            <w:vAlign w:val="center"/>
          </w:tcPr>
          <w:p>
            <w:pPr>
              <w:adjustRightInd w:val="0"/>
              <w:snapToGrid w:val="0"/>
              <w:jc w:val="center"/>
              <w:rPr>
                <w:sz w:val="24"/>
              </w:rPr>
            </w:pPr>
            <w:r>
              <w:rPr>
                <w:rFonts w:eastAsiaTheme="minorEastAsia"/>
                <w:sz w:val="24"/>
              </w:rPr>
              <w:t>400</w:t>
            </w:r>
          </w:p>
        </w:tc>
        <w:tc>
          <w:tcPr>
            <w:tcW w:w="1128" w:type="pct"/>
            <w:tcMar>
              <w:top w:w="16" w:type="dxa"/>
              <w:left w:w="16" w:type="dxa"/>
              <w:right w:w="16" w:type="dxa"/>
            </w:tcMar>
            <w:vAlign w:val="center"/>
          </w:tcPr>
          <w:p>
            <w:pPr>
              <w:adjustRightInd w:val="0"/>
              <w:snapToGrid w:val="0"/>
              <w:jc w:val="center"/>
              <w:rPr>
                <w:sz w:val="24"/>
              </w:rPr>
            </w:pPr>
            <w:r>
              <w:rPr>
                <w:sz w:val="24"/>
              </w:rPr>
              <w:t>环保投资（万元）</w:t>
            </w:r>
          </w:p>
        </w:tc>
        <w:tc>
          <w:tcPr>
            <w:tcW w:w="1761" w:type="pct"/>
            <w:vAlign w:val="center"/>
          </w:tcPr>
          <w:p>
            <w:pPr>
              <w:adjustRightInd w:val="0"/>
              <w:snapToGrid w:val="0"/>
              <w:jc w:val="center"/>
              <w:rPr>
                <w:sz w:val="24"/>
              </w:rPr>
            </w:pPr>
            <w:r>
              <w:rPr>
                <w:sz w:val="24"/>
              </w:rPr>
              <w:t>49.35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75" w:type="pct"/>
            <w:tcMar>
              <w:top w:w="16" w:type="dxa"/>
              <w:left w:w="16" w:type="dxa"/>
              <w:right w:w="16" w:type="dxa"/>
            </w:tcMar>
            <w:vAlign w:val="center"/>
          </w:tcPr>
          <w:p>
            <w:pPr>
              <w:adjustRightInd w:val="0"/>
              <w:snapToGrid w:val="0"/>
              <w:jc w:val="center"/>
              <w:rPr>
                <w:sz w:val="24"/>
              </w:rPr>
            </w:pPr>
            <w:r>
              <w:rPr>
                <w:sz w:val="24"/>
              </w:rPr>
              <w:t>环保投资占比（%）</w:t>
            </w:r>
          </w:p>
        </w:tc>
        <w:tc>
          <w:tcPr>
            <w:tcW w:w="1136" w:type="pct"/>
            <w:vAlign w:val="center"/>
          </w:tcPr>
          <w:p>
            <w:pPr>
              <w:adjustRightInd w:val="0"/>
              <w:snapToGrid w:val="0"/>
              <w:jc w:val="center"/>
              <w:rPr>
                <w:sz w:val="24"/>
              </w:rPr>
            </w:pPr>
            <w:r>
              <w:rPr>
                <w:sz w:val="24"/>
              </w:rPr>
              <w:t>12.3</w:t>
            </w:r>
          </w:p>
        </w:tc>
        <w:tc>
          <w:tcPr>
            <w:tcW w:w="1128" w:type="pct"/>
            <w:tcMar>
              <w:top w:w="16" w:type="dxa"/>
              <w:left w:w="16" w:type="dxa"/>
              <w:right w:w="16" w:type="dxa"/>
            </w:tcMar>
            <w:vAlign w:val="center"/>
          </w:tcPr>
          <w:p>
            <w:pPr>
              <w:adjustRightInd w:val="0"/>
              <w:snapToGrid w:val="0"/>
              <w:jc w:val="center"/>
              <w:rPr>
                <w:sz w:val="24"/>
              </w:rPr>
            </w:pPr>
            <w:r>
              <w:rPr>
                <w:sz w:val="24"/>
              </w:rPr>
              <w:t>施工工期</w:t>
            </w:r>
          </w:p>
        </w:tc>
        <w:tc>
          <w:tcPr>
            <w:tcW w:w="1761" w:type="pct"/>
            <w:vAlign w:val="center"/>
          </w:tcPr>
          <w:p>
            <w:pPr>
              <w:adjustRightInd w:val="0"/>
              <w:snapToGrid w:val="0"/>
              <w:jc w:val="center"/>
              <w:rPr>
                <w:sz w:val="24"/>
              </w:rPr>
            </w:pPr>
            <w:r>
              <w:rPr>
                <w:sz w:val="24"/>
              </w:rPr>
              <w:t>5个月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75" w:type="pct"/>
            <w:tcMar>
              <w:top w:w="16" w:type="dxa"/>
              <w:left w:w="16" w:type="dxa"/>
              <w:right w:w="16" w:type="dxa"/>
            </w:tcMar>
            <w:vAlign w:val="center"/>
          </w:tcPr>
          <w:p>
            <w:pPr>
              <w:adjustRightInd w:val="0"/>
              <w:snapToGrid w:val="0"/>
              <w:jc w:val="center"/>
              <w:rPr>
                <w:sz w:val="24"/>
              </w:rPr>
            </w:pPr>
            <w:r>
              <w:rPr>
                <w:sz w:val="24"/>
              </w:rPr>
              <w:t>是否开工建设</w:t>
            </w:r>
          </w:p>
        </w:tc>
        <w:tc>
          <w:tcPr>
            <w:tcW w:w="1136" w:type="pct"/>
            <w:vAlign w:val="center"/>
          </w:tcPr>
          <w:p>
            <w:pPr>
              <w:adjustRightInd w:val="0"/>
              <w:snapToGrid w:val="0"/>
              <w:rPr>
                <w:sz w:val="24"/>
              </w:rPr>
            </w:pPr>
            <w:r>
              <w:rPr>
                <w:rFonts w:ascii="Segoe UI Symbol" w:hAnsi="Segoe UI Symbol" w:cs="Segoe UI Symbol"/>
                <w:sz w:val="24"/>
              </w:rPr>
              <w:t>☑</w:t>
            </w:r>
            <w:r>
              <w:rPr>
                <w:sz w:val="24"/>
              </w:rPr>
              <w:t>否</w:t>
            </w:r>
          </w:p>
          <w:p>
            <w:pPr>
              <w:rPr>
                <w:szCs w:val="21"/>
              </w:rPr>
            </w:pPr>
            <w:r>
              <w:rPr>
                <w:sz w:val="24"/>
              </w:rPr>
              <w:t>□是：</w:t>
            </w:r>
          </w:p>
        </w:tc>
        <w:tc>
          <w:tcPr>
            <w:tcW w:w="1128" w:type="pct"/>
            <w:tcMar>
              <w:top w:w="16" w:type="dxa"/>
              <w:left w:w="16" w:type="dxa"/>
              <w:right w:w="16" w:type="dxa"/>
            </w:tcMar>
            <w:vAlign w:val="center"/>
          </w:tcPr>
          <w:p>
            <w:pPr>
              <w:adjustRightInd w:val="0"/>
              <w:snapToGrid w:val="0"/>
              <w:jc w:val="center"/>
              <w:rPr>
                <w:spacing w:val="-6"/>
                <w:sz w:val="24"/>
              </w:rPr>
            </w:pPr>
            <w:r>
              <w:rPr>
                <w:spacing w:val="-6"/>
                <w:sz w:val="24"/>
              </w:rPr>
              <w:t>用地（用海）</w:t>
            </w:r>
          </w:p>
          <w:p>
            <w:pPr>
              <w:adjustRightInd w:val="0"/>
              <w:snapToGrid w:val="0"/>
              <w:jc w:val="center"/>
              <w:rPr>
                <w:sz w:val="24"/>
              </w:rPr>
            </w:pPr>
            <w:r>
              <w:rPr>
                <w:spacing w:val="-6"/>
                <w:sz w:val="24"/>
              </w:rPr>
              <w:t>面积（m</w:t>
            </w:r>
            <w:r>
              <w:rPr>
                <w:spacing w:val="-6"/>
                <w:sz w:val="24"/>
                <w:vertAlign w:val="superscript"/>
              </w:rPr>
              <w:t>2</w:t>
            </w:r>
            <w:r>
              <w:rPr>
                <w:spacing w:val="-6"/>
                <w:sz w:val="24"/>
              </w:rPr>
              <w:t>）</w:t>
            </w:r>
          </w:p>
        </w:tc>
        <w:tc>
          <w:tcPr>
            <w:tcW w:w="1761" w:type="pct"/>
            <w:vAlign w:val="center"/>
          </w:tcPr>
          <w:p>
            <w:pPr>
              <w:adjustRightInd w:val="0"/>
              <w:snapToGrid w:val="0"/>
              <w:jc w:val="center"/>
              <w:rPr>
                <w:sz w:val="24"/>
              </w:rPr>
            </w:pPr>
            <w:r>
              <w:rPr>
                <w:sz w:val="24"/>
              </w:rPr>
              <w:t>54700</w:t>
            </w:r>
            <w:r>
              <w:rPr>
                <w:spacing w:val="-6"/>
                <w:sz w:val="24"/>
              </w:rPr>
              <w:t>m</w:t>
            </w:r>
            <w:r>
              <w:rPr>
                <w:spacing w:val="-6"/>
                <w:sz w:val="24"/>
                <w:vertAlign w:val="superscript"/>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75" w:type="pct"/>
            <w:vAlign w:val="center"/>
          </w:tcPr>
          <w:p>
            <w:pPr>
              <w:autoSpaceDE w:val="0"/>
              <w:autoSpaceDN w:val="0"/>
              <w:adjustRightInd w:val="0"/>
              <w:snapToGrid w:val="0"/>
              <w:spacing w:line="360" w:lineRule="auto"/>
              <w:jc w:val="center"/>
              <w:rPr>
                <w:kern w:val="0"/>
                <w:sz w:val="24"/>
              </w:rPr>
            </w:pPr>
            <w:r>
              <w:rPr>
                <w:kern w:val="0"/>
                <w:sz w:val="24"/>
              </w:rPr>
              <w:t>专项评价设置情况</w:t>
            </w:r>
          </w:p>
        </w:tc>
        <w:tc>
          <w:tcPr>
            <w:tcW w:w="4025" w:type="pct"/>
            <w:gridSpan w:val="3"/>
            <w:vAlign w:val="center"/>
          </w:tcPr>
          <w:p>
            <w:pPr>
              <w:autoSpaceDE w:val="0"/>
              <w:autoSpaceDN w:val="0"/>
              <w:adjustRightInd w:val="0"/>
              <w:snapToGrid w:val="0"/>
              <w:spacing w:line="360" w:lineRule="auto"/>
              <w:ind w:firstLine="480" w:firstLineChars="200"/>
              <w:jc w:val="left"/>
              <w:rPr>
                <w:b/>
                <w:bCs/>
                <w:sz w:val="24"/>
              </w:rPr>
            </w:pPr>
            <w:r>
              <w:rPr>
                <w:sz w:val="24"/>
              </w:rPr>
              <w:t>根据建设项目排污情况及所涉环境敏感程度，确定专项评价的类别。大气、地表水、环境风险</w:t>
            </w:r>
            <w:r>
              <w:rPr>
                <w:b/>
                <w:bCs/>
                <w:sz w:val="24"/>
              </w:rPr>
              <w:t>、</w:t>
            </w:r>
            <w:r>
              <w:rPr>
                <w:sz w:val="24"/>
              </w:rPr>
              <w:t>生态和海洋专项评价具体设置原则见表1-1。</w:t>
            </w:r>
          </w:p>
          <w:p>
            <w:pPr>
              <w:pStyle w:val="12"/>
              <w:spacing w:line="360" w:lineRule="auto"/>
              <w:jc w:val="center"/>
              <w:rPr>
                <w:rFonts w:ascii="Times New Roman" w:hAnsi="Times New Roman"/>
                <w:b/>
                <w:bCs/>
                <w:sz w:val="24"/>
              </w:rPr>
            </w:pPr>
            <w:r>
              <w:rPr>
                <w:rFonts w:ascii="Times New Roman" w:hAnsi="Times New Roman"/>
                <w:b/>
                <w:bCs/>
                <w:sz w:val="24"/>
              </w:rPr>
              <w:t>表1-1 专项评价设置原则表</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2632"/>
              <w:gridCol w:w="2783"/>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3" w:type="pct"/>
                  <w:vAlign w:val="center"/>
                </w:tcPr>
                <w:p>
                  <w:pPr>
                    <w:pStyle w:val="13"/>
                    <w:jc w:val="center"/>
                    <w:rPr>
                      <w:rFonts w:ascii="Times New Roman"/>
                      <w:b/>
                      <w:bCs/>
                      <w:color w:val="auto"/>
                      <w:kern w:val="2"/>
                      <w:sz w:val="21"/>
                      <w:szCs w:val="21"/>
                    </w:rPr>
                  </w:pPr>
                  <w:r>
                    <w:rPr>
                      <w:rFonts w:ascii="Times New Roman"/>
                      <w:b/>
                      <w:bCs/>
                      <w:color w:val="auto"/>
                      <w:kern w:val="2"/>
                      <w:sz w:val="21"/>
                      <w:szCs w:val="21"/>
                    </w:rPr>
                    <w:t>专项评价的类别</w:t>
                  </w:r>
                </w:p>
              </w:tc>
              <w:tc>
                <w:tcPr>
                  <w:tcW w:w="1791" w:type="pct"/>
                  <w:vAlign w:val="center"/>
                </w:tcPr>
                <w:p>
                  <w:pPr>
                    <w:pStyle w:val="13"/>
                    <w:jc w:val="center"/>
                    <w:rPr>
                      <w:rFonts w:ascii="Times New Roman"/>
                      <w:b/>
                      <w:bCs/>
                      <w:color w:val="auto"/>
                      <w:kern w:val="2"/>
                      <w:sz w:val="21"/>
                      <w:szCs w:val="21"/>
                    </w:rPr>
                  </w:pPr>
                  <w:r>
                    <w:rPr>
                      <w:rFonts w:ascii="Times New Roman"/>
                      <w:b/>
                      <w:bCs/>
                      <w:color w:val="auto"/>
                      <w:kern w:val="2"/>
                      <w:sz w:val="21"/>
                      <w:szCs w:val="21"/>
                    </w:rPr>
                    <w:t>设置原则</w:t>
                  </w:r>
                </w:p>
              </w:tc>
              <w:tc>
                <w:tcPr>
                  <w:tcW w:w="1894" w:type="pct"/>
                  <w:vAlign w:val="center"/>
                </w:tcPr>
                <w:p>
                  <w:pPr>
                    <w:pStyle w:val="13"/>
                    <w:jc w:val="center"/>
                    <w:rPr>
                      <w:rFonts w:ascii="Times New Roman"/>
                      <w:b/>
                      <w:bCs/>
                      <w:color w:val="auto"/>
                      <w:kern w:val="2"/>
                      <w:sz w:val="21"/>
                      <w:szCs w:val="21"/>
                    </w:rPr>
                  </w:pPr>
                  <w:r>
                    <w:rPr>
                      <w:rFonts w:ascii="Times New Roman"/>
                      <w:b/>
                      <w:bCs/>
                      <w:color w:val="auto"/>
                      <w:kern w:val="2"/>
                      <w:sz w:val="21"/>
                      <w:szCs w:val="21"/>
                    </w:rPr>
                    <w:t>本项目情况</w:t>
                  </w:r>
                </w:p>
              </w:tc>
              <w:tc>
                <w:tcPr>
                  <w:tcW w:w="591" w:type="pct"/>
                  <w:vAlign w:val="center"/>
                </w:tcPr>
                <w:p>
                  <w:pPr>
                    <w:pStyle w:val="13"/>
                    <w:jc w:val="center"/>
                    <w:rPr>
                      <w:rFonts w:ascii="Times New Roman"/>
                      <w:b/>
                      <w:bCs/>
                      <w:color w:val="auto"/>
                      <w:kern w:val="2"/>
                      <w:sz w:val="21"/>
                      <w:szCs w:val="21"/>
                    </w:rPr>
                  </w:pPr>
                  <w:r>
                    <w:rPr>
                      <w:rFonts w:ascii="Times New Roman"/>
                      <w:b/>
                      <w:bCs/>
                      <w:color w:val="auto"/>
                      <w:kern w:val="2"/>
                      <w:sz w:val="21"/>
                      <w:szCs w:val="21"/>
                    </w:rPr>
                    <w:t>是否设置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pct"/>
                  <w:vAlign w:val="center"/>
                </w:tcPr>
                <w:p>
                  <w:pPr>
                    <w:pStyle w:val="13"/>
                    <w:jc w:val="center"/>
                    <w:rPr>
                      <w:rFonts w:ascii="Times New Roman"/>
                      <w:color w:val="auto"/>
                      <w:kern w:val="2"/>
                      <w:sz w:val="21"/>
                      <w:szCs w:val="21"/>
                    </w:rPr>
                  </w:pPr>
                  <w:r>
                    <w:rPr>
                      <w:rFonts w:ascii="Times New Roman"/>
                      <w:color w:val="auto"/>
                      <w:kern w:val="2"/>
                      <w:sz w:val="21"/>
                      <w:szCs w:val="21"/>
                    </w:rPr>
                    <w:t>大气</w:t>
                  </w:r>
                </w:p>
              </w:tc>
              <w:tc>
                <w:tcPr>
                  <w:tcW w:w="1791" w:type="pct"/>
                  <w:vAlign w:val="center"/>
                </w:tcPr>
                <w:p>
                  <w:pPr>
                    <w:pStyle w:val="13"/>
                    <w:jc w:val="center"/>
                    <w:rPr>
                      <w:rFonts w:ascii="Times New Roman"/>
                      <w:color w:val="auto"/>
                      <w:kern w:val="2"/>
                      <w:sz w:val="21"/>
                      <w:szCs w:val="21"/>
                    </w:rPr>
                  </w:pPr>
                  <w:r>
                    <w:rPr>
                      <w:rFonts w:ascii="Times New Roman"/>
                      <w:color w:val="auto"/>
                      <w:kern w:val="2"/>
                      <w:sz w:val="21"/>
                      <w:szCs w:val="21"/>
                    </w:rPr>
                    <w:t>排放废气含有有毒有害污染物二噁英、苯并芘、氰化物、氯气且厂界外500m范围内有环境空气保护目标的建设项目。</w:t>
                  </w:r>
                </w:p>
              </w:tc>
              <w:tc>
                <w:tcPr>
                  <w:tcW w:w="1894" w:type="pct"/>
                  <w:vAlign w:val="center"/>
                </w:tcPr>
                <w:p>
                  <w:pPr>
                    <w:pStyle w:val="13"/>
                    <w:jc w:val="center"/>
                    <w:rPr>
                      <w:rFonts w:ascii="Times New Roman"/>
                      <w:color w:val="auto"/>
                      <w:kern w:val="2"/>
                      <w:sz w:val="21"/>
                      <w:szCs w:val="21"/>
                    </w:rPr>
                  </w:pPr>
                  <w:r>
                    <w:rPr>
                      <w:rFonts w:ascii="Times New Roman"/>
                      <w:color w:val="auto"/>
                      <w:kern w:val="2"/>
                      <w:sz w:val="21"/>
                      <w:szCs w:val="21"/>
                    </w:rPr>
                    <w:t>本项目使用生物质锅炉供暖，不产生有毒有害废气。</w:t>
                  </w:r>
                </w:p>
              </w:tc>
              <w:tc>
                <w:tcPr>
                  <w:tcW w:w="591" w:type="pct"/>
                  <w:vAlign w:val="center"/>
                </w:tcPr>
                <w:p>
                  <w:pPr>
                    <w:pStyle w:val="13"/>
                    <w:jc w:val="center"/>
                    <w:rPr>
                      <w:rFonts w:ascii="Times New Roman"/>
                      <w:color w:val="auto"/>
                      <w:kern w:val="2"/>
                      <w:sz w:val="21"/>
                      <w:szCs w:val="21"/>
                    </w:rPr>
                  </w:pPr>
                  <w:r>
                    <w:rPr>
                      <w:rFonts w:ascii="Times New Roman"/>
                      <w:color w:val="auto"/>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pct"/>
                  <w:vAlign w:val="center"/>
                </w:tcPr>
                <w:p>
                  <w:pPr>
                    <w:pStyle w:val="13"/>
                    <w:jc w:val="center"/>
                    <w:rPr>
                      <w:rFonts w:ascii="Times New Roman"/>
                      <w:color w:val="auto"/>
                      <w:kern w:val="2"/>
                      <w:sz w:val="21"/>
                      <w:szCs w:val="21"/>
                    </w:rPr>
                  </w:pPr>
                  <w:r>
                    <w:rPr>
                      <w:rFonts w:ascii="Times New Roman"/>
                      <w:color w:val="auto"/>
                      <w:kern w:val="2"/>
                      <w:sz w:val="21"/>
                      <w:szCs w:val="21"/>
                    </w:rPr>
                    <w:t>地表水</w:t>
                  </w:r>
                </w:p>
              </w:tc>
              <w:tc>
                <w:tcPr>
                  <w:tcW w:w="1791" w:type="pct"/>
                  <w:vAlign w:val="center"/>
                </w:tcPr>
                <w:p>
                  <w:pPr>
                    <w:pStyle w:val="13"/>
                    <w:jc w:val="center"/>
                    <w:rPr>
                      <w:rFonts w:ascii="Times New Roman"/>
                      <w:color w:val="auto"/>
                      <w:kern w:val="2"/>
                      <w:sz w:val="21"/>
                      <w:szCs w:val="21"/>
                    </w:rPr>
                  </w:pPr>
                  <w:r>
                    <w:rPr>
                      <w:rFonts w:ascii="Times New Roman"/>
                      <w:color w:val="auto"/>
                      <w:kern w:val="2"/>
                      <w:sz w:val="21"/>
                      <w:szCs w:val="21"/>
                    </w:rPr>
                    <w:t>新增工业废水直排建设项目（槽罐车外送污水处理厂的除外）。</w:t>
                  </w:r>
                </w:p>
                <w:p>
                  <w:pPr>
                    <w:pStyle w:val="13"/>
                    <w:jc w:val="center"/>
                    <w:rPr>
                      <w:rFonts w:ascii="Times New Roman"/>
                      <w:color w:val="auto"/>
                      <w:kern w:val="2"/>
                      <w:sz w:val="21"/>
                      <w:szCs w:val="21"/>
                    </w:rPr>
                  </w:pPr>
                  <w:r>
                    <w:rPr>
                      <w:rFonts w:ascii="Times New Roman"/>
                      <w:color w:val="auto"/>
                      <w:kern w:val="2"/>
                      <w:sz w:val="21"/>
                      <w:szCs w:val="21"/>
                    </w:rPr>
                    <w:t>新增废水直排的污染集中处理厂 。</w:t>
                  </w:r>
                </w:p>
              </w:tc>
              <w:tc>
                <w:tcPr>
                  <w:tcW w:w="1894" w:type="pct"/>
                  <w:vAlign w:val="center"/>
                </w:tcPr>
                <w:p>
                  <w:pPr>
                    <w:pStyle w:val="13"/>
                    <w:jc w:val="center"/>
                    <w:rPr>
                      <w:rFonts w:ascii="Times New Roman"/>
                      <w:color w:val="auto"/>
                      <w:kern w:val="2"/>
                      <w:sz w:val="21"/>
                      <w:szCs w:val="21"/>
                    </w:rPr>
                  </w:pPr>
                  <w:r>
                    <w:rPr>
                      <w:rFonts w:ascii="Times New Roman"/>
                      <w:color w:val="auto"/>
                      <w:kern w:val="2"/>
                      <w:sz w:val="21"/>
                      <w:szCs w:val="21"/>
                    </w:rPr>
                    <w:t>本项目产生废水在未接入姚安县第二污水处理厂前由厂区自建污水处理站处理回用，后续接入污水处理厂由污水处理厂处理。</w:t>
                  </w:r>
                </w:p>
              </w:tc>
              <w:tc>
                <w:tcPr>
                  <w:tcW w:w="591" w:type="pct"/>
                  <w:vAlign w:val="center"/>
                </w:tcPr>
                <w:p>
                  <w:pPr>
                    <w:pStyle w:val="13"/>
                    <w:jc w:val="center"/>
                    <w:rPr>
                      <w:rFonts w:ascii="Times New Roman"/>
                      <w:color w:val="auto"/>
                      <w:kern w:val="2"/>
                      <w:sz w:val="21"/>
                      <w:szCs w:val="21"/>
                    </w:rPr>
                  </w:pPr>
                  <w:r>
                    <w:rPr>
                      <w:rFonts w:ascii="Times New Roman"/>
                      <w:color w:val="auto"/>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pct"/>
                  <w:vAlign w:val="center"/>
                </w:tcPr>
                <w:p>
                  <w:pPr>
                    <w:pStyle w:val="13"/>
                    <w:jc w:val="center"/>
                    <w:rPr>
                      <w:rFonts w:ascii="Times New Roman"/>
                      <w:color w:val="auto"/>
                      <w:kern w:val="2"/>
                      <w:sz w:val="21"/>
                      <w:szCs w:val="21"/>
                    </w:rPr>
                  </w:pPr>
                  <w:r>
                    <w:rPr>
                      <w:rFonts w:ascii="Times New Roman"/>
                      <w:color w:val="auto"/>
                      <w:kern w:val="2"/>
                      <w:sz w:val="21"/>
                      <w:szCs w:val="21"/>
                    </w:rPr>
                    <w:t>环境风险</w:t>
                  </w:r>
                </w:p>
              </w:tc>
              <w:tc>
                <w:tcPr>
                  <w:tcW w:w="1791" w:type="pct"/>
                  <w:vAlign w:val="center"/>
                </w:tcPr>
                <w:p>
                  <w:pPr>
                    <w:pStyle w:val="13"/>
                    <w:jc w:val="center"/>
                    <w:rPr>
                      <w:rFonts w:ascii="Times New Roman"/>
                      <w:color w:val="auto"/>
                      <w:kern w:val="2"/>
                      <w:sz w:val="21"/>
                      <w:szCs w:val="21"/>
                    </w:rPr>
                  </w:pPr>
                  <w:r>
                    <w:rPr>
                      <w:rFonts w:ascii="Times New Roman"/>
                      <w:color w:val="auto"/>
                      <w:kern w:val="2"/>
                      <w:sz w:val="21"/>
                      <w:szCs w:val="21"/>
                    </w:rPr>
                    <w:t>有毒有害和易燃易爆危险物质储存量超过临界量的建设项目。</w:t>
                  </w:r>
                </w:p>
              </w:tc>
              <w:tc>
                <w:tcPr>
                  <w:tcW w:w="1894" w:type="pct"/>
                  <w:vAlign w:val="center"/>
                </w:tcPr>
                <w:p>
                  <w:pPr>
                    <w:pStyle w:val="13"/>
                    <w:jc w:val="center"/>
                    <w:rPr>
                      <w:rFonts w:ascii="Times New Roman"/>
                      <w:color w:val="auto"/>
                      <w:kern w:val="2"/>
                      <w:sz w:val="21"/>
                      <w:szCs w:val="21"/>
                    </w:rPr>
                  </w:pPr>
                  <w:r>
                    <w:rPr>
                      <w:rFonts w:ascii="Times New Roman"/>
                      <w:color w:val="auto"/>
                      <w:kern w:val="2"/>
                      <w:sz w:val="21"/>
                      <w:szCs w:val="21"/>
                    </w:rPr>
                    <w:t>本项目储存的有毒有害和易燃易爆危险物质远小于临界量；并且危险废物都妥善保存在危险废物贮存库，定期委托有资质的部门清运处置。</w:t>
                  </w:r>
                </w:p>
              </w:tc>
              <w:tc>
                <w:tcPr>
                  <w:tcW w:w="591" w:type="pct"/>
                  <w:vAlign w:val="center"/>
                </w:tcPr>
                <w:p>
                  <w:pPr>
                    <w:pStyle w:val="13"/>
                    <w:jc w:val="center"/>
                    <w:rPr>
                      <w:rFonts w:ascii="Times New Roman"/>
                      <w:color w:val="auto"/>
                      <w:kern w:val="2"/>
                      <w:sz w:val="21"/>
                      <w:szCs w:val="21"/>
                    </w:rPr>
                  </w:pPr>
                  <w:r>
                    <w:rPr>
                      <w:rFonts w:ascii="Times New Roman"/>
                      <w:color w:val="auto"/>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pct"/>
                  <w:vAlign w:val="center"/>
                </w:tcPr>
                <w:p>
                  <w:pPr>
                    <w:pStyle w:val="13"/>
                    <w:jc w:val="center"/>
                    <w:rPr>
                      <w:rFonts w:ascii="Times New Roman"/>
                      <w:color w:val="auto"/>
                      <w:kern w:val="2"/>
                      <w:sz w:val="21"/>
                      <w:szCs w:val="21"/>
                    </w:rPr>
                  </w:pPr>
                  <w:r>
                    <w:rPr>
                      <w:rFonts w:ascii="Times New Roman"/>
                      <w:color w:val="auto"/>
                      <w:kern w:val="2"/>
                      <w:sz w:val="21"/>
                      <w:szCs w:val="21"/>
                    </w:rPr>
                    <w:t>生态</w:t>
                  </w:r>
                </w:p>
              </w:tc>
              <w:tc>
                <w:tcPr>
                  <w:tcW w:w="1791" w:type="pct"/>
                  <w:vAlign w:val="center"/>
                </w:tcPr>
                <w:p>
                  <w:pPr>
                    <w:pStyle w:val="13"/>
                    <w:jc w:val="center"/>
                    <w:rPr>
                      <w:rFonts w:ascii="Times New Roman"/>
                      <w:color w:val="auto"/>
                      <w:kern w:val="2"/>
                      <w:sz w:val="21"/>
                      <w:szCs w:val="21"/>
                    </w:rPr>
                  </w:pPr>
                  <w:r>
                    <w:rPr>
                      <w:rFonts w:ascii="Times New Roman"/>
                      <w:color w:val="auto"/>
                      <w:kern w:val="2"/>
                      <w:sz w:val="21"/>
                      <w:szCs w:val="21"/>
                    </w:rPr>
                    <w:t>取水口下游500m范围内有重要水生生物的自然产卵场、索饵场、越冬场和洄游通道的新增河道取水的污染类建设项目。</w:t>
                  </w:r>
                </w:p>
              </w:tc>
              <w:tc>
                <w:tcPr>
                  <w:tcW w:w="1894" w:type="pct"/>
                  <w:vAlign w:val="center"/>
                </w:tcPr>
                <w:p>
                  <w:pPr>
                    <w:pStyle w:val="13"/>
                    <w:jc w:val="center"/>
                    <w:rPr>
                      <w:rFonts w:ascii="Times New Roman"/>
                      <w:color w:val="auto"/>
                      <w:kern w:val="2"/>
                      <w:sz w:val="21"/>
                      <w:szCs w:val="21"/>
                    </w:rPr>
                  </w:pPr>
                  <w:r>
                    <w:rPr>
                      <w:rFonts w:ascii="Times New Roman"/>
                      <w:color w:val="auto"/>
                      <w:kern w:val="2"/>
                      <w:sz w:val="21"/>
                      <w:szCs w:val="21"/>
                    </w:rPr>
                    <w:t>本项目下游无重要水生生物的自然产卵场、索饵场、越冬场和洄游通道的新增河道取水的污染类建设项目。</w:t>
                  </w:r>
                </w:p>
              </w:tc>
              <w:tc>
                <w:tcPr>
                  <w:tcW w:w="591" w:type="pct"/>
                  <w:vAlign w:val="center"/>
                </w:tcPr>
                <w:p>
                  <w:pPr>
                    <w:pStyle w:val="13"/>
                    <w:jc w:val="center"/>
                    <w:rPr>
                      <w:rFonts w:ascii="Times New Roman"/>
                      <w:color w:val="auto"/>
                      <w:kern w:val="2"/>
                      <w:sz w:val="21"/>
                      <w:szCs w:val="21"/>
                    </w:rPr>
                  </w:pPr>
                  <w:r>
                    <w:rPr>
                      <w:rFonts w:ascii="Times New Roman"/>
                      <w:color w:val="auto"/>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pct"/>
                  <w:vAlign w:val="center"/>
                </w:tcPr>
                <w:p>
                  <w:pPr>
                    <w:pStyle w:val="13"/>
                    <w:jc w:val="center"/>
                    <w:rPr>
                      <w:rFonts w:ascii="Times New Roman"/>
                      <w:color w:val="auto"/>
                      <w:kern w:val="2"/>
                      <w:sz w:val="21"/>
                      <w:szCs w:val="21"/>
                    </w:rPr>
                  </w:pPr>
                  <w:r>
                    <w:rPr>
                      <w:rFonts w:ascii="Times New Roman"/>
                      <w:color w:val="auto"/>
                      <w:kern w:val="2"/>
                      <w:sz w:val="21"/>
                      <w:szCs w:val="21"/>
                    </w:rPr>
                    <w:t>海洋</w:t>
                  </w:r>
                </w:p>
              </w:tc>
              <w:tc>
                <w:tcPr>
                  <w:tcW w:w="1791" w:type="pct"/>
                  <w:vAlign w:val="center"/>
                </w:tcPr>
                <w:p>
                  <w:pPr>
                    <w:pStyle w:val="13"/>
                    <w:jc w:val="center"/>
                    <w:rPr>
                      <w:rFonts w:ascii="Times New Roman"/>
                      <w:color w:val="auto"/>
                      <w:kern w:val="2"/>
                      <w:sz w:val="21"/>
                      <w:szCs w:val="21"/>
                    </w:rPr>
                  </w:pPr>
                  <w:r>
                    <w:rPr>
                      <w:rFonts w:ascii="Times New Roman"/>
                      <w:color w:val="auto"/>
                      <w:kern w:val="2"/>
                      <w:sz w:val="21"/>
                      <w:szCs w:val="21"/>
                    </w:rPr>
                    <w:t>直接向海排放污染物的海洋工程建设项目。</w:t>
                  </w:r>
                </w:p>
              </w:tc>
              <w:tc>
                <w:tcPr>
                  <w:tcW w:w="1894" w:type="pct"/>
                  <w:vAlign w:val="center"/>
                </w:tcPr>
                <w:p>
                  <w:pPr>
                    <w:pStyle w:val="13"/>
                    <w:jc w:val="center"/>
                    <w:rPr>
                      <w:rFonts w:ascii="Times New Roman"/>
                      <w:color w:val="auto"/>
                      <w:kern w:val="2"/>
                      <w:sz w:val="21"/>
                      <w:szCs w:val="21"/>
                    </w:rPr>
                  </w:pPr>
                  <w:r>
                    <w:rPr>
                      <w:rFonts w:ascii="Times New Roman"/>
                      <w:color w:val="auto"/>
                      <w:kern w:val="2"/>
                      <w:sz w:val="21"/>
                      <w:szCs w:val="21"/>
                    </w:rPr>
                    <w:t>本项目距离海洋较远且不属于海洋工程建设项目。</w:t>
                  </w:r>
                </w:p>
              </w:tc>
              <w:tc>
                <w:tcPr>
                  <w:tcW w:w="591" w:type="pct"/>
                  <w:vAlign w:val="center"/>
                </w:tcPr>
                <w:p>
                  <w:pPr>
                    <w:pStyle w:val="13"/>
                    <w:jc w:val="center"/>
                    <w:rPr>
                      <w:rFonts w:ascii="Times New Roman"/>
                      <w:color w:val="auto"/>
                      <w:kern w:val="2"/>
                      <w:sz w:val="21"/>
                      <w:szCs w:val="21"/>
                    </w:rPr>
                  </w:pPr>
                  <w:r>
                    <w:rPr>
                      <w:rFonts w:ascii="Times New Roman"/>
                      <w:color w:val="auto"/>
                      <w:kern w:val="2"/>
                      <w:sz w:val="21"/>
                      <w:szCs w:val="21"/>
                    </w:rPr>
                    <w:t>否</w:t>
                  </w:r>
                </w:p>
              </w:tc>
            </w:tr>
          </w:tbl>
          <w:p>
            <w:pPr>
              <w:autoSpaceDE w:val="0"/>
              <w:autoSpaceDN w:val="0"/>
              <w:adjustRightInd w:val="0"/>
              <w:snapToGrid w:val="0"/>
              <w:jc w:val="center"/>
              <w:rPr>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975" w:type="pct"/>
            <w:vAlign w:val="center"/>
          </w:tcPr>
          <w:p>
            <w:pPr>
              <w:autoSpaceDE w:val="0"/>
              <w:autoSpaceDN w:val="0"/>
              <w:adjustRightInd w:val="0"/>
              <w:snapToGrid w:val="0"/>
              <w:spacing w:line="360" w:lineRule="auto"/>
              <w:jc w:val="center"/>
              <w:rPr>
                <w:kern w:val="0"/>
                <w:sz w:val="24"/>
              </w:rPr>
            </w:pPr>
            <w:r>
              <w:rPr>
                <w:sz w:val="24"/>
              </w:rPr>
              <w:t>规划情况</w:t>
            </w:r>
          </w:p>
        </w:tc>
        <w:tc>
          <w:tcPr>
            <w:tcW w:w="4025" w:type="pct"/>
            <w:gridSpan w:val="3"/>
            <w:vAlign w:val="center"/>
          </w:tcPr>
          <w:p>
            <w:pPr>
              <w:autoSpaceDE w:val="0"/>
              <w:autoSpaceDN w:val="0"/>
              <w:adjustRightInd w:val="0"/>
              <w:snapToGrid w:val="0"/>
              <w:spacing w:line="360" w:lineRule="auto"/>
              <w:jc w:val="center"/>
              <w:rPr>
                <w:kern w:val="0"/>
                <w:sz w:val="24"/>
              </w:rPr>
            </w:pPr>
            <w:r>
              <w:rPr>
                <w:kern w:val="0"/>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975" w:type="pct"/>
            <w:vAlign w:val="center"/>
          </w:tcPr>
          <w:p>
            <w:pPr>
              <w:adjustRightInd w:val="0"/>
              <w:snapToGrid w:val="0"/>
              <w:spacing w:line="360" w:lineRule="auto"/>
              <w:jc w:val="center"/>
              <w:rPr>
                <w:sz w:val="24"/>
              </w:rPr>
            </w:pPr>
            <w:r>
              <w:rPr>
                <w:sz w:val="24"/>
              </w:rPr>
              <w:t>规划环境影响</w:t>
            </w:r>
          </w:p>
          <w:p>
            <w:pPr>
              <w:adjustRightInd w:val="0"/>
              <w:snapToGrid w:val="0"/>
              <w:spacing w:line="360" w:lineRule="auto"/>
              <w:jc w:val="center"/>
              <w:rPr>
                <w:kern w:val="0"/>
                <w:sz w:val="24"/>
              </w:rPr>
            </w:pPr>
            <w:r>
              <w:rPr>
                <w:sz w:val="24"/>
              </w:rPr>
              <w:t>评价情况</w:t>
            </w:r>
          </w:p>
        </w:tc>
        <w:tc>
          <w:tcPr>
            <w:tcW w:w="4025" w:type="pct"/>
            <w:gridSpan w:val="3"/>
            <w:vAlign w:val="center"/>
          </w:tcPr>
          <w:p>
            <w:pPr>
              <w:autoSpaceDE w:val="0"/>
              <w:autoSpaceDN w:val="0"/>
              <w:adjustRightInd w:val="0"/>
              <w:snapToGrid w:val="0"/>
              <w:spacing w:line="360" w:lineRule="auto"/>
              <w:jc w:val="center"/>
              <w:rPr>
                <w:kern w:val="0"/>
                <w:sz w:val="24"/>
              </w:rPr>
            </w:pPr>
            <w:r>
              <w:rPr>
                <w:kern w:val="0"/>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975" w:type="pct"/>
            <w:vAlign w:val="center"/>
          </w:tcPr>
          <w:p>
            <w:pPr>
              <w:autoSpaceDE w:val="0"/>
              <w:autoSpaceDN w:val="0"/>
              <w:adjustRightInd w:val="0"/>
              <w:snapToGrid w:val="0"/>
              <w:spacing w:line="360" w:lineRule="auto"/>
              <w:jc w:val="center"/>
              <w:rPr>
                <w:kern w:val="0"/>
                <w:sz w:val="24"/>
              </w:rPr>
            </w:pPr>
            <w:r>
              <w:rPr>
                <w:kern w:val="0"/>
                <w:sz w:val="24"/>
              </w:rPr>
              <w:t>规划及规划环境影响评价符合性分析</w:t>
            </w:r>
          </w:p>
        </w:tc>
        <w:tc>
          <w:tcPr>
            <w:tcW w:w="4025" w:type="pct"/>
            <w:gridSpan w:val="3"/>
            <w:vAlign w:val="center"/>
          </w:tcPr>
          <w:p>
            <w:pPr>
              <w:autoSpaceDE w:val="0"/>
              <w:autoSpaceDN w:val="0"/>
              <w:adjustRightInd w:val="0"/>
              <w:snapToGrid w:val="0"/>
              <w:spacing w:line="360" w:lineRule="auto"/>
              <w:jc w:val="center"/>
              <w:rPr>
                <w:b/>
                <w:bCs/>
                <w:sz w:val="24"/>
              </w:rPr>
            </w:pPr>
            <w:r>
              <w:rPr>
                <w:b/>
                <w:bCs/>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75" w:type="pct"/>
            <w:vAlign w:val="center"/>
          </w:tcPr>
          <w:p>
            <w:pPr>
              <w:autoSpaceDE w:val="0"/>
              <w:autoSpaceDN w:val="0"/>
              <w:adjustRightInd w:val="0"/>
              <w:snapToGrid w:val="0"/>
              <w:spacing w:line="360" w:lineRule="auto"/>
              <w:jc w:val="center"/>
              <w:rPr>
                <w:kern w:val="0"/>
                <w:sz w:val="24"/>
              </w:rPr>
            </w:pPr>
            <w:r>
              <w:rPr>
                <w:kern w:val="0"/>
                <w:sz w:val="24"/>
              </w:rPr>
              <w:t>其他符合性分析</w:t>
            </w:r>
          </w:p>
        </w:tc>
        <w:tc>
          <w:tcPr>
            <w:tcW w:w="4025" w:type="pct"/>
            <w:gridSpan w:val="3"/>
            <w:vAlign w:val="center"/>
          </w:tcPr>
          <w:p>
            <w:pPr>
              <w:autoSpaceDE w:val="0"/>
              <w:autoSpaceDN w:val="0"/>
              <w:adjustRightInd w:val="0"/>
              <w:snapToGrid w:val="0"/>
              <w:spacing w:line="360" w:lineRule="auto"/>
              <w:jc w:val="left"/>
              <w:rPr>
                <w:sz w:val="24"/>
              </w:rPr>
            </w:pPr>
            <w:r>
              <w:rPr>
                <w:sz w:val="24"/>
              </w:rPr>
              <w:t xml:space="preserve">（1）产业政策符合性分析 </w:t>
            </w:r>
          </w:p>
          <w:p>
            <w:pPr>
              <w:autoSpaceDE w:val="0"/>
              <w:autoSpaceDN w:val="0"/>
              <w:adjustRightInd w:val="0"/>
              <w:snapToGrid w:val="0"/>
              <w:spacing w:line="360" w:lineRule="auto"/>
              <w:ind w:firstLine="480" w:firstLineChars="200"/>
              <w:jc w:val="left"/>
              <w:rPr>
                <w:sz w:val="24"/>
              </w:rPr>
            </w:pPr>
            <w:r>
              <w:rPr>
                <w:sz w:val="24"/>
              </w:rPr>
              <w:t>根据《产业结构调整指导目录（2019年本）》可知，本项目属于其中规定的“鼓励类”中“一、农林业”中的“3、蔬菜、瓜果、花卉设施栽培（含无土栽培）先进技术开发与应用，优质、高产、高效标准化栽培技术开发与应用”中的“花卉设施栽培（含无土栽培）先进技术开发与应用”，项目所用锅炉不属于目录中的鼓励类、限制类和淘汰类锅炉，属于允许类锅炉，符合产业结构调整指导目录的要求。项目的建设符合国家相关法律和政策，属于允许类建设项目。综上所述，本项目的建设符合现行国家产业政策。</w:t>
            </w:r>
          </w:p>
          <w:p>
            <w:pPr>
              <w:autoSpaceDE w:val="0"/>
              <w:autoSpaceDN w:val="0"/>
              <w:adjustRightInd w:val="0"/>
              <w:snapToGrid w:val="0"/>
              <w:spacing w:line="360" w:lineRule="auto"/>
              <w:jc w:val="left"/>
              <w:rPr>
                <w:sz w:val="24"/>
              </w:rPr>
            </w:pPr>
            <w:r>
              <w:rPr>
                <w:sz w:val="24"/>
              </w:rPr>
              <w:t>（2）选址合理性分析</w:t>
            </w:r>
          </w:p>
          <w:p>
            <w:pPr>
              <w:adjustRightInd w:val="0"/>
              <w:snapToGrid w:val="0"/>
              <w:spacing w:line="360" w:lineRule="auto"/>
              <w:ind w:firstLine="480" w:firstLineChars="200"/>
              <w:jc w:val="left"/>
              <w:rPr>
                <w:sz w:val="24"/>
              </w:rPr>
            </w:pPr>
            <w:r>
              <w:rPr>
                <w:sz w:val="24"/>
              </w:rPr>
              <w:t>根据“姚安县自然资源局关于姚安宇锦花卉有限公司花卉种植区三区三线划定情况查询的说明”查询结果分析，姚安宇锦花卉有限公司花卉种植区拐点坐标范围不涉及占用姚安县“三区三线”（国家下发）中生态保护红线、永久基本农田、城镇开发边界（查询结果见附件9），项目选址区及周围500m范围内没有需要特殊保护的文物、名胜、古迹和文化、自然遗产，不涉及自然保护区、水源保护区、风景名胜区保护范围；项目运营期废水、废气、噪声、固废均采取了有效的污染防治措施妥善处理，不会对环境造成大的影响，不会改变项目选址区域环境功能属性；项目选址在云南省楚雄州姚安县光禄镇福光村委会，本项目是以农业种植为主的项目，主要种植花卉作物。因此项目选址环境可行。</w:t>
            </w:r>
          </w:p>
          <w:p>
            <w:pPr>
              <w:autoSpaceDE w:val="0"/>
              <w:autoSpaceDN w:val="0"/>
              <w:adjustRightInd w:val="0"/>
              <w:snapToGrid w:val="0"/>
              <w:spacing w:line="360" w:lineRule="auto"/>
              <w:jc w:val="left"/>
              <w:rPr>
                <w:sz w:val="24"/>
              </w:rPr>
            </w:pPr>
            <w:r>
              <w:rPr>
                <w:sz w:val="24"/>
              </w:rPr>
              <w:t>（3）与周围环境相容性分析</w:t>
            </w:r>
          </w:p>
          <w:p>
            <w:pPr>
              <w:autoSpaceDE w:val="0"/>
              <w:autoSpaceDN w:val="0"/>
              <w:adjustRightInd w:val="0"/>
              <w:snapToGrid w:val="0"/>
              <w:spacing w:line="360" w:lineRule="auto"/>
              <w:ind w:firstLine="480" w:firstLineChars="200"/>
              <w:jc w:val="left"/>
              <w:rPr>
                <w:sz w:val="24"/>
              </w:rPr>
            </w:pPr>
            <w:r>
              <w:rPr>
                <w:sz w:val="24"/>
              </w:rPr>
              <w:t>项目位于云南省楚雄彝族自治州光禄镇福光村委会，项目属农产品基地项目（含药材基地），项目周边为花卉种植基地、农田等，周边企业对本项目有影响物质很少，本项目产生污染物对周边企业影响较小，项目具有与周边环境相容的条件，项目各污染物经过环保措施处理后都能达标排放。因此项目在此入驻与周边环境相容。</w:t>
            </w:r>
          </w:p>
          <w:p>
            <w:pPr>
              <w:autoSpaceDE w:val="0"/>
              <w:autoSpaceDN w:val="0"/>
              <w:adjustRightInd w:val="0"/>
              <w:snapToGrid w:val="0"/>
              <w:spacing w:line="360" w:lineRule="auto"/>
              <w:jc w:val="left"/>
              <w:rPr>
                <w:sz w:val="24"/>
              </w:rPr>
            </w:pPr>
            <w:r>
              <w:rPr>
                <w:sz w:val="24"/>
              </w:rPr>
              <w:t>（4）与云南省人民政府关于实施“三线一单”生态环境分区管控的意见的相符性分析</w:t>
            </w:r>
          </w:p>
          <w:p>
            <w:pPr>
              <w:autoSpaceDE w:val="0"/>
              <w:autoSpaceDN w:val="0"/>
              <w:adjustRightInd w:val="0"/>
              <w:snapToGrid w:val="0"/>
              <w:spacing w:line="360" w:lineRule="auto"/>
              <w:ind w:firstLine="480" w:firstLineChars="200"/>
              <w:jc w:val="left"/>
              <w:rPr>
                <w:sz w:val="24"/>
              </w:rPr>
            </w:pPr>
            <w:r>
              <w:rPr>
                <w:sz w:val="24"/>
              </w:rPr>
              <w:t>根据《关于以改善环境质量为核心加强环境影响评价管理的通知》（环评[2016]150号）要求，切实加强环境影响评价管理，落实“生态保护红线、环境质量底线、资源利用上线和环境准入负面清单”约束，建立项目环评审批与规划、现有项目环境管理、区域环境质量联动机制，更好地发挥环评制度从源头防范环境污染和生态破坏的作用，加强推进改善环境质量。判定本项目与“三线一单”相符性如下表。</w:t>
            </w:r>
          </w:p>
          <w:p>
            <w:pPr>
              <w:autoSpaceDE w:val="0"/>
              <w:autoSpaceDN w:val="0"/>
              <w:adjustRightInd w:val="0"/>
              <w:snapToGrid w:val="0"/>
              <w:spacing w:line="360" w:lineRule="auto"/>
              <w:ind w:firstLine="482" w:firstLineChars="200"/>
              <w:jc w:val="center"/>
              <w:rPr>
                <w:b/>
                <w:bCs/>
                <w:sz w:val="24"/>
              </w:rPr>
            </w:pPr>
            <w:r>
              <w:rPr>
                <w:b/>
                <w:bCs/>
                <w:sz w:val="24"/>
              </w:rPr>
              <w:t>表1-2项目与“三线一单”相符性</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 w:type="dxa"/>
                <w:left w:w="28" w:type="dxa"/>
                <w:bottom w:w="11" w:type="dxa"/>
                <w:right w:w="28" w:type="dxa"/>
              </w:tblCellMar>
            </w:tblPr>
            <w:tblGrid>
              <w:gridCol w:w="687"/>
              <w:gridCol w:w="1033"/>
              <w:gridCol w:w="2517"/>
              <w:gridCol w:w="2231"/>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90" w:hRule="atLeast"/>
                <w:jc w:val="center"/>
              </w:trPr>
              <w:tc>
                <w:tcPr>
                  <w:tcW w:w="687" w:type="dxa"/>
                  <w:noWrap/>
                  <w:vAlign w:val="center"/>
                </w:tcPr>
                <w:p>
                  <w:pPr>
                    <w:jc w:val="center"/>
                    <w:rPr>
                      <w:b/>
                      <w:bCs/>
                    </w:rPr>
                  </w:pPr>
                  <w:r>
                    <w:rPr>
                      <w:b/>
                      <w:bCs/>
                    </w:rPr>
                    <w:t>序号</w:t>
                  </w:r>
                </w:p>
              </w:tc>
              <w:tc>
                <w:tcPr>
                  <w:tcW w:w="1033" w:type="dxa"/>
                  <w:noWrap/>
                  <w:vAlign w:val="center"/>
                </w:tcPr>
                <w:p>
                  <w:pPr>
                    <w:jc w:val="center"/>
                    <w:rPr>
                      <w:b/>
                      <w:bCs/>
                    </w:rPr>
                  </w:pPr>
                  <w:r>
                    <w:rPr>
                      <w:b/>
                      <w:bCs/>
                    </w:rPr>
                    <w:t>内容</w:t>
                  </w:r>
                </w:p>
              </w:tc>
              <w:tc>
                <w:tcPr>
                  <w:tcW w:w="2517" w:type="dxa"/>
                  <w:noWrap/>
                  <w:vAlign w:val="center"/>
                </w:tcPr>
                <w:p>
                  <w:pPr>
                    <w:jc w:val="center"/>
                    <w:rPr>
                      <w:b/>
                      <w:bCs/>
                    </w:rPr>
                  </w:pPr>
                  <w:r>
                    <w:rPr>
                      <w:b/>
                      <w:bCs/>
                    </w:rPr>
                    <w:t>要求</w:t>
                  </w:r>
                </w:p>
              </w:tc>
              <w:tc>
                <w:tcPr>
                  <w:tcW w:w="2231" w:type="dxa"/>
                  <w:noWrap/>
                  <w:vAlign w:val="center"/>
                </w:tcPr>
                <w:p>
                  <w:pPr>
                    <w:jc w:val="center"/>
                    <w:rPr>
                      <w:b/>
                      <w:bCs/>
                    </w:rPr>
                  </w:pPr>
                  <w:r>
                    <w:rPr>
                      <w:b/>
                      <w:bCs/>
                    </w:rPr>
                    <w:t>项目情况</w:t>
                  </w:r>
                </w:p>
              </w:tc>
              <w:tc>
                <w:tcPr>
                  <w:tcW w:w="837" w:type="dxa"/>
                  <w:noWrap/>
                  <w:vAlign w:val="center"/>
                </w:tcPr>
                <w:p>
                  <w:pPr>
                    <w:jc w:val="center"/>
                    <w:rPr>
                      <w:b/>
                      <w:bCs/>
                    </w:rPr>
                  </w:pPr>
                  <w:r>
                    <w:rPr>
                      <w:b/>
                      <w:bCs/>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340" w:hRule="atLeast"/>
                <w:jc w:val="center"/>
              </w:trPr>
              <w:tc>
                <w:tcPr>
                  <w:tcW w:w="687" w:type="dxa"/>
                  <w:noWrap/>
                  <w:vAlign w:val="center"/>
                </w:tcPr>
                <w:p>
                  <w:r>
                    <w:t>1</w:t>
                  </w:r>
                </w:p>
              </w:tc>
              <w:tc>
                <w:tcPr>
                  <w:tcW w:w="1033" w:type="dxa"/>
                  <w:noWrap/>
                  <w:vAlign w:val="center"/>
                </w:tcPr>
                <w:p>
                  <w:pPr>
                    <w:jc w:val="center"/>
                  </w:pPr>
                  <w:r>
                    <w:t>生态保护红线</w:t>
                  </w:r>
                </w:p>
              </w:tc>
              <w:tc>
                <w:tcPr>
                  <w:tcW w:w="2517" w:type="dxa"/>
                  <w:noWrap/>
                  <w:vAlign w:val="center"/>
                </w:tcPr>
                <w:p>
                  <w:r>
                    <w:t>生态保护红线是生态空间范围具有特殊重要生态功能必须实行强制性严格保护的区域。在生态保护红线范围内，严控各类开发建设活动，依法不予审批新建工业项目及矿产开发项目的环评文件。</w:t>
                  </w:r>
                </w:p>
              </w:tc>
              <w:tc>
                <w:tcPr>
                  <w:tcW w:w="2231" w:type="dxa"/>
                  <w:noWrap/>
                  <w:vAlign w:val="center"/>
                </w:tcPr>
                <w:p>
                  <w:r>
                    <w:t>本项目位于云南省楚雄彝族自治州光禄镇福光村委会，用地为其他用地，不在生态红线范围内。</w:t>
                  </w:r>
                </w:p>
              </w:tc>
              <w:tc>
                <w:tcPr>
                  <w:tcW w:w="837" w:type="dxa"/>
                  <w:noWrap/>
                  <w:vAlign w:val="center"/>
                </w:tcPr>
                <w:p>
                  <w:pPr>
                    <w:jc w:val="center"/>
                  </w:pPr>
                  <w: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340" w:hRule="atLeast"/>
                <w:jc w:val="center"/>
              </w:trPr>
              <w:tc>
                <w:tcPr>
                  <w:tcW w:w="687" w:type="dxa"/>
                  <w:noWrap/>
                  <w:vAlign w:val="center"/>
                </w:tcPr>
                <w:p>
                  <w:r>
                    <w:t>2</w:t>
                  </w:r>
                </w:p>
              </w:tc>
              <w:tc>
                <w:tcPr>
                  <w:tcW w:w="1033" w:type="dxa"/>
                  <w:noWrap/>
                  <w:vAlign w:val="center"/>
                </w:tcPr>
                <w:p>
                  <w:pPr>
                    <w:jc w:val="center"/>
                  </w:pPr>
                  <w:r>
                    <w:t>环境质量底线</w:t>
                  </w:r>
                </w:p>
              </w:tc>
              <w:tc>
                <w:tcPr>
                  <w:tcW w:w="2517" w:type="dxa"/>
                  <w:noWrap/>
                  <w:vAlign w:val="center"/>
                </w:tcPr>
                <w:p>
                  <w:r>
                    <w:t>环境质量现状超标地区以及未达到环境质量目标考核要求的地区上新项目将受到限制；对环境质量现状超标的地区，项目拟采取的措施能满足区域环境质量改善目标管理要求的，依法不予审批环评其环评文件。</w:t>
                  </w:r>
                </w:p>
              </w:tc>
              <w:tc>
                <w:tcPr>
                  <w:tcW w:w="2231" w:type="dxa"/>
                  <w:noWrap/>
                  <w:vAlign w:val="center"/>
                </w:tcPr>
                <w:p>
                  <w:r>
                    <w:t>项目区环境质量为达标区，</w:t>
                  </w:r>
                  <w:r>
                    <w:rPr>
                      <w:rFonts w:hint="eastAsia"/>
                      <w:lang w:eastAsia="zh-CN"/>
                    </w:rPr>
                    <w:t>本项目</w:t>
                  </w:r>
                  <w:r>
                    <w:t>采取合理可行的污染防治措施，各污染物达标排放，在做好废气、废水、噪声污染防治措施的情况下，对评价区域环境影响较小，不会降低区域环境质量。</w:t>
                  </w:r>
                </w:p>
              </w:tc>
              <w:tc>
                <w:tcPr>
                  <w:tcW w:w="837" w:type="dxa"/>
                  <w:noWrap/>
                  <w:vAlign w:val="center"/>
                </w:tcPr>
                <w:p>
                  <w:pPr>
                    <w:jc w:val="center"/>
                  </w:pPr>
                  <w: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340" w:hRule="atLeast"/>
                <w:jc w:val="center"/>
              </w:trPr>
              <w:tc>
                <w:tcPr>
                  <w:tcW w:w="687" w:type="dxa"/>
                  <w:noWrap/>
                  <w:vAlign w:val="center"/>
                </w:tcPr>
                <w:p>
                  <w:r>
                    <w:t>3</w:t>
                  </w:r>
                </w:p>
              </w:tc>
              <w:tc>
                <w:tcPr>
                  <w:tcW w:w="1033" w:type="dxa"/>
                  <w:noWrap/>
                  <w:vAlign w:val="center"/>
                </w:tcPr>
                <w:p>
                  <w:pPr>
                    <w:jc w:val="center"/>
                  </w:pPr>
                  <w:r>
                    <w:t>资源利用上线</w:t>
                  </w:r>
                </w:p>
              </w:tc>
              <w:tc>
                <w:tcPr>
                  <w:tcW w:w="2517" w:type="dxa"/>
                  <w:noWrap/>
                  <w:vAlign w:val="center"/>
                </w:tcPr>
                <w:p>
                  <w:r>
                    <w:t>依据有关资源利用上线要求，即各</w:t>
                  </w:r>
                  <w:r>
                    <w:cr/>
                  </w:r>
                  <w:r>
                    <w:t>区能源、水、土地等资源消耗是不得突破“天花板”。</w:t>
                  </w:r>
                </w:p>
              </w:tc>
              <w:tc>
                <w:tcPr>
                  <w:tcW w:w="2231" w:type="dxa"/>
                  <w:noWrap/>
                  <w:vAlign w:val="center"/>
                </w:tcPr>
                <w:p>
                  <w:r>
                    <w:t>本项目用水、用电及土地资源利用情况均未突破资源利用上线要求。</w:t>
                  </w:r>
                </w:p>
              </w:tc>
              <w:tc>
                <w:tcPr>
                  <w:tcW w:w="837" w:type="dxa"/>
                  <w:noWrap/>
                  <w:vAlign w:val="center"/>
                </w:tcPr>
                <w:p>
                  <w:pPr>
                    <w:jc w:val="center"/>
                  </w:pPr>
                  <w: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3107" w:hRule="atLeast"/>
                <w:jc w:val="center"/>
              </w:trPr>
              <w:tc>
                <w:tcPr>
                  <w:tcW w:w="687" w:type="dxa"/>
                  <w:noWrap/>
                  <w:vAlign w:val="center"/>
                </w:tcPr>
                <w:p>
                  <w:r>
                    <w:t>4</w:t>
                  </w:r>
                </w:p>
              </w:tc>
              <w:tc>
                <w:tcPr>
                  <w:tcW w:w="1033" w:type="dxa"/>
                  <w:noWrap/>
                  <w:vAlign w:val="center"/>
                </w:tcPr>
                <w:p>
                  <w:pPr>
                    <w:jc w:val="center"/>
                  </w:pPr>
                  <w:r>
                    <w:t>环境准入负面清单</w:t>
                  </w:r>
                </w:p>
              </w:tc>
              <w:tc>
                <w:tcPr>
                  <w:tcW w:w="2517" w:type="dxa"/>
                  <w:noWrap/>
                  <w:vAlign w:val="center"/>
                </w:tcPr>
                <w:p>
                  <w:r>
                    <w:t>环境准入负面清单是基于生态保护红线、环境质量底线和资源利用上线，以清单式列出的禁止、限制等差别化环境准入条件和要求。要在规划环评清单式管理试点的基础上，从布局选址、资源利用效率、资源配置方式等方面入手，制定环境准入负面清单，充分发挥负面清单对产业发展和项目准入的指导和约束作用。</w:t>
                  </w:r>
                </w:p>
              </w:tc>
              <w:tc>
                <w:tcPr>
                  <w:tcW w:w="2231" w:type="dxa"/>
                  <w:noWrap/>
                  <w:vAlign w:val="center"/>
                </w:tcPr>
                <w:p>
                  <w:r>
                    <w:t>本项目为A0143花卉种植及D4430热力生产和供应，不属于负面清单所列范畴。</w:t>
                  </w:r>
                </w:p>
              </w:tc>
              <w:tc>
                <w:tcPr>
                  <w:tcW w:w="837" w:type="dxa"/>
                  <w:noWrap/>
                  <w:vAlign w:val="center"/>
                </w:tcPr>
                <w:p>
                  <w:pPr>
                    <w:jc w:val="center"/>
                  </w:pPr>
                  <w:r>
                    <w:t>相符</w:t>
                  </w:r>
                </w:p>
              </w:tc>
            </w:tr>
          </w:tbl>
          <w:p>
            <w:pPr>
              <w:pStyle w:val="12"/>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项目符合《关于以改善环境质量为核心加强环境影响评价管理的通知》（环评[2016]150号）中“三线一单”相关要求。</w:t>
            </w:r>
          </w:p>
          <w:p>
            <w:pPr>
              <w:autoSpaceDE w:val="0"/>
              <w:autoSpaceDN w:val="0"/>
              <w:adjustRightInd w:val="0"/>
              <w:snapToGrid w:val="0"/>
              <w:spacing w:line="360" w:lineRule="auto"/>
              <w:jc w:val="left"/>
              <w:rPr>
                <w:rFonts w:eastAsiaTheme="minorEastAsia"/>
                <w:sz w:val="24"/>
              </w:rPr>
            </w:pPr>
            <w:r>
              <w:rPr>
                <w:rFonts w:eastAsiaTheme="minorEastAsia"/>
                <w:sz w:val="24"/>
              </w:rPr>
              <w:t>（5）与“《楚雄州人民政府关于印发楚雄州“三线一单”生态环境分区管控实施方案的通知》的相符性</w:t>
            </w:r>
          </w:p>
          <w:p>
            <w:pPr>
              <w:spacing w:before="156" w:beforeLines="50" w:line="360" w:lineRule="auto"/>
              <w:ind w:firstLine="480" w:firstLineChars="200"/>
              <w:rPr>
                <w:rFonts w:eastAsiaTheme="minorEastAsia"/>
                <w:sz w:val="24"/>
              </w:rPr>
            </w:pPr>
            <w:r>
              <w:rPr>
                <w:rFonts w:eastAsiaTheme="minorEastAsia"/>
                <w:sz w:val="24"/>
              </w:rPr>
              <w:t>根据“《楚雄州人民政府关于印发楚雄州“三线一单”生态环境分区管控实施方案的通知》楚政通（2021）22号”，项目在楚雄州重点管控单元生态环境准入清单中姚安县光禄镇城镇生活污染重点管控单元。因此，项目与“楚雄州生态环境管控总体要求”符合性分析详见下表。</w:t>
            </w:r>
          </w:p>
          <w:p>
            <w:pPr>
              <w:spacing w:before="156" w:beforeLines="50" w:line="360" w:lineRule="auto"/>
              <w:jc w:val="center"/>
              <w:rPr>
                <w:sz w:val="24"/>
              </w:rPr>
            </w:pPr>
            <w:r>
              <w:rPr>
                <w:b/>
                <w:bCs/>
                <w:sz w:val="24"/>
              </w:rPr>
              <w:t>表1-3与楚雄州生态环境管控总体要求符合性分析</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 w:type="dxa"/>
                <w:left w:w="28" w:type="dxa"/>
                <w:bottom w:w="11" w:type="dxa"/>
                <w:right w:w="28" w:type="dxa"/>
              </w:tblCellMar>
            </w:tblPr>
            <w:tblGrid>
              <w:gridCol w:w="949"/>
              <w:gridCol w:w="3935"/>
              <w:gridCol w:w="1970"/>
              <w:gridCol w:w="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340" w:hRule="atLeast"/>
                <w:jc w:val="center"/>
              </w:trPr>
              <w:tc>
                <w:tcPr>
                  <w:tcW w:w="0" w:type="auto"/>
                  <w:vAlign w:val="center"/>
                </w:tcPr>
                <w:p>
                  <w:pPr>
                    <w:jc w:val="center"/>
                    <w:rPr>
                      <w:b/>
                      <w:bCs/>
                    </w:rPr>
                  </w:pPr>
                  <w:r>
                    <w:rPr>
                      <w:b/>
                      <w:bCs/>
                    </w:rPr>
                    <w:t>管控领域</w:t>
                  </w:r>
                </w:p>
              </w:tc>
              <w:tc>
                <w:tcPr>
                  <w:tcW w:w="3935" w:type="dxa"/>
                  <w:vAlign w:val="center"/>
                </w:tcPr>
                <w:p>
                  <w:pPr>
                    <w:jc w:val="center"/>
                    <w:rPr>
                      <w:b/>
                      <w:bCs/>
                    </w:rPr>
                  </w:pPr>
                  <w:r>
                    <w:rPr>
                      <w:b/>
                      <w:bCs/>
                    </w:rPr>
                    <w:t>准入要求</w:t>
                  </w:r>
                </w:p>
              </w:tc>
              <w:tc>
                <w:tcPr>
                  <w:tcW w:w="1920" w:type="dxa"/>
                  <w:vAlign w:val="center"/>
                </w:tcPr>
                <w:p>
                  <w:pPr>
                    <w:jc w:val="center"/>
                    <w:rPr>
                      <w:b/>
                      <w:bCs/>
                    </w:rPr>
                  </w:pPr>
                  <w:r>
                    <w:rPr>
                      <w:b/>
                      <w:bCs/>
                    </w:rPr>
                    <w:t>项目建设情况</w:t>
                  </w:r>
                </w:p>
              </w:tc>
              <w:tc>
                <w:tcPr>
                  <w:tcW w:w="0" w:type="auto"/>
                  <w:vAlign w:val="center"/>
                </w:tcPr>
                <w:p>
                  <w:pPr>
                    <w:jc w:val="center"/>
                    <w:rPr>
                      <w:b/>
                      <w:bCs/>
                    </w:rPr>
                  </w:pPr>
                  <w:r>
                    <w:rPr>
                      <w:b/>
                      <w:bCs/>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340" w:hRule="atLeast"/>
                <w:jc w:val="center"/>
              </w:trPr>
              <w:tc>
                <w:tcPr>
                  <w:tcW w:w="0" w:type="auto"/>
                  <w:vAlign w:val="center"/>
                </w:tcPr>
                <w:p>
                  <w:r>
                    <w:t>空间布局约束</w:t>
                  </w:r>
                </w:p>
              </w:tc>
              <w:tc>
                <w:tcPr>
                  <w:tcW w:w="3935" w:type="dxa"/>
                  <w:vAlign w:val="center"/>
                </w:tcPr>
                <w:p>
                  <w:r>
                    <w:t>（l）严格落实国家产业政策。将资源承载能力、生态环境容量作为承接产业转移的基础和前提，合理确定承接产业转移重点，禁止引进环境污染大、资源消耗高、技术落后的生产能力。严禁以任何名义、任何方式核准或备案产能严重过剩行业的增加产能项目。</w:t>
                  </w:r>
                </w:p>
                <w:p>
                  <w:r>
                    <w:t>（2)严格按照《云南省长江经济带发展负面清单指南实施细则》（试行)要求，禁止在金沙江、长江一级支流（南广河、赤水河）岸线边界1公里范围内新建、扩建化工园区和化工项目。禁止在合规园区外新建、扩建钢铁、石化、化工、焦化、建材、有色等高污染项目。</w:t>
                  </w:r>
                </w:p>
                <w:p>
                  <w:r>
                    <w:t>（3）禁止在金沙江、长江一级支流（南广河、赤水河）建设除党中央、国务院、国家投资主管部门、省级有关部门批复同意以外的过江基础设施项目。禁止在金沙江岸线3公里、长江一级支流岸线（南广河、赤水河）1公里范围内新建、改建、扩建尾矿库。</w:t>
                  </w:r>
                </w:p>
                <w:p>
                  <w:r>
                    <w:t>（4）在永久基本农田集中区域，不得新建可能造成土壤污染的建设项目：已建成的应当限期关闭拆除。拟开发为农用地的未利用地，要开展土壤环境质量状况评估，不符合相应标准的，不得种植食用农产品。</w:t>
                  </w:r>
                </w:p>
                <w:p>
                  <w:r>
                    <w:t>（5）在天然气干、支线可以覆盖的地区原则上不再新建、改建、扩建以煤（油）为燃料的项目。全州产业聚集区集中建设热电联产机组或大型集中供热设施，逐步淘汰分散燃煤锅炉。在不具备热电联产集中供热条件的地区，现有多台燃煤小锅炉的，可按照等容量替代原</w:t>
                  </w:r>
                </w:p>
                <w:p>
                  <w:r>
                    <w:t>则建设大容量燃煤锅炉。</w:t>
                  </w:r>
                </w:p>
              </w:tc>
              <w:tc>
                <w:tcPr>
                  <w:tcW w:w="1920" w:type="dxa"/>
                  <w:vAlign w:val="center"/>
                </w:tcPr>
                <w:p>
                  <w:r>
                    <w:t>项目属于花卉栽培及热力供应项目，项目符合国家产业政策，采用工艺及生产设备环保先进：项目不属于钢铁、石化、化工、焦化、建材、有色等高污染项目。项目不涉及建设尾矿库：项目属于新建项目，对项目周边土壤影响较小：使用蒸汽生物质锅炉供给热能。</w:t>
                  </w:r>
                </w:p>
              </w:tc>
              <w:tc>
                <w:tcPr>
                  <w:tcW w:w="0" w:type="auto"/>
                  <w:vAlign w:val="center"/>
                </w:tcPr>
                <w:p>
                  <w: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340" w:hRule="atLeast"/>
                <w:jc w:val="center"/>
              </w:trPr>
              <w:tc>
                <w:tcPr>
                  <w:tcW w:w="0" w:type="auto"/>
                  <w:vAlign w:val="center"/>
                </w:tcPr>
                <w:p>
                  <w:r>
                    <w:t>污染物排放管控</w:t>
                  </w:r>
                </w:p>
              </w:tc>
              <w:tc>
                <w:tcPr>
                  <w:tcW w:w="3935" w:type="dxa"/>
                  <w:vAlign w:val="center"/>
                </w:tcPr>
                <w:p>
                  <w:r>
                    <w:t>（1）严格控制缺水地区、水污染严重地区和敏感区域高耗水、高污染行业发展，新建、改建、扩建重点行业建设项目实行主要水污染物排放减量置换。</w:t>
                  </w:r>
                </w:p>
                <w:p>
                  <w:r>
                    <w:t>(2)严格保护城乡饮用水水源地，整治饮用水源保护区内的污染源，确保饮水安全。实现城镇生活污水、生活垃圾处理设施全覆盖和稳定运行。推进农村面源污染治理。对入驻企业较少，主要产生生活污水，工业污水中不含有毒有害物质的工业集中区，其污水可就近依托城镇污水处理厂进行处理：对工业污水排放量较小的工业集中区，可依托工业企业治污设施处理后达标排放。新建冶金、电镀、有色金属、化工、印染、制革、原料药制造等企业，原则上布局在符合产业定位的园区，其排放的污水由姚安县第二污水处理厂集中处理。</w:t>
                  </w:r>
                </w:p>
                <w:p>
                  <w:r>
                    <w:t>（3）加大VOCs减排力度，扎实推动PM2.5和臭氧协同控制，有效巩固环境空气质量优良天数比例。在持续推进氮氧化物减排的基础上，重点加大石化、化工及含挥发性有机化合物产品制造企业和喷漆、制鞋、印刷、电子、服装干洗等行业清洁生产和污染治理力度，逐步淘汰挥发性有机化合物含量高的产品生产和使用，严控生产过程中逃逸性有机气体的排放。</w:t>
                  </w:r>
                </w:p>
                <w:p>
                  <w:r>
                    <w:t>(4）加强土壤污染防治，对农用地实施分类管理，对重点行业企业建设用地实行环境准入管理，进入各使用环节（储备、转让、收回以及改变用途)之前应按照规定进行土壤污染状况调查，动态更新土壤环境污染重点监管企业名单，实施土壤污染环境风险管控和修复名录制度，对污染地块开发利用实行联动监管。</w:t>
                  </w:r>
                </w:p>
                <w:p>
                  <w:r>
                    <w:t>（5）提高钢铁、水泥等高耗能产业减量置换比例，把高能效和低碳排放纳入产能减量置换门槛，明确重点行业二氧化碳排放达峰目标，控制工业、交通、建筑等行业温室气体排放。</w:t>
                  </w:r>
                </w:p>
                <w:p>
                  <w:r>
                    <w:t>（6）全州主要污染物总量控制目标达到省级考核要求。</w:t>
                  </w:r>
                </w:p>
              </w:tc>
              <w:tc>
                <w:tcPr>
                  <w:tcW w:w="1920" w:type="dxa"/>
                  <w:vAlign w:val="center"/>
                </w:tcPr>
                <w:p>
                  <w:r>
                    <w:t>初期雨水经项目自建初期雨水沉淀池处理后达到《城市污水再生利用-农田灌溉用水水质》（GB/T20922-2007）后回用于项目生产区灌溉。生活废水经化粪池收集处理达到《城市污水再生利用-农田灌溉用水水质》（GB/T20922-2007）后与生产废水回用于项目生产过程。项目生产过程锅炉排放废气和粉尘经</w:t>
                  </w:r>
                  <w:r>
                    <w:rPr>
                      <w:rFonts w:hint="eastAsia"/>
                    </w:rPr>
                    <w:t>湿式除尘+</w:t>
                  </w:r>
                  <w:r>
                    <w:t>布袋除尘器装置处理后由40m高排气筒有组织排放，项目废水、废气处理后达标排放，</w:t>
                  </w:r>
                </w:p>
                <w:p>
                  <w:r>
                    <w:t>固体废物合理、妥善处置。项目位于光禄镇福光村委会，将项目生产周边土地硬化，对周边土壤影响较小：项目不涉及钢铁、水泥等高耗能产业。</w:t>
                  </w:r>
                </w:p>
              </w:tc>
              <w:tc>
                <w:tcPr>
                  <w:tcW w:w="0" w:type="auto"/>
                  <w:vAlign w:val="center"/>
                </w:tcPr>
                <w:p>
                  <w: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340" w:hRule="atLeast"/>
                <w:jc w:val="center"/>
              </w:trPr>
              <w:tc>
                <w:tcPr>
                  <w:tcW w:w="0" w:type="auto"/>
                  <w:vAlign w:val="center"/>
                </w:tcPr>
                <w:p>
                  <w:r>
                    <w:t>环境风险防控</w:t>
                  </w:r>
                </w:p>
              </w:tc>
              <w:tc>
                <w:tcPr>
                  <w:tcW w:w="3935" w:type="dxa"/>
                  <w:vAlign w:val="center"/>
                </w:tcPr>
                <w:p>
                  <w:r>
                    <w:t>（1）以金沙江楚雄段为重点，研究建立环境风险评估体系，定期评估沿江河湖库工业企业、工业集中区环境风险，落实防控措施。重点开展长江流域金沙江楚雄段生态隐患和环境风险调查评估，划定高风险区域。</w:t>
                  </w:r>
                </w:p>
                <w:p>
                  <w:r>
                    <w:t>（2）强化全州与其他滇中城市的大气污染防治联防联控协作机制，加强区域内重污染天气应急联动。</w:t>
                  </w:r>
                </w:p>
                <w:p>
                  <w:r>
                    <w:t>(3)禁止在环境风险防控重点区域如城乡建设规划区、居民集中区、医院和学校附近、重要水源涵养生态功能区等，以及因环境污染导致环境质量不能稳定达标的区域内新建或扩建可能引发环境风险的项目，如冶金、化工、造纸、危险品生产和储运等。</w:t>
                  </w:r>
                </w:p>
                <w:p>
                  <w:r>
                    <w:t>（4）</w:t>
                  </w:r>
                  <w:r>
                    <w:rPr>
                      <w:rFonts w:hint="eastAsia"/>
                      <w:lang w:eastAsia="zh-CN"/>
                    </w:rPr>
                    <w:t>垃圾处理厂</w:t>
                  </w:r>
                  <w:r>
                    <w:t>、垃圾中转站、污水处理厂、生物发酵、规模化畜禽养殖、屠宰等产生恶臭气体的单位应当科学选址，与机关、学校、医院、居民住宅区等人口集中地区和其他依法需要特殊保护的区域保持符合规定的防护距离。</w:t>
                  </w:r>
                </w:p>
              </w:tc>
              <w:tc>
                <w:tcPr>
                  <w:tcW w:w="1920" w:type="dxa"/>
                  <w:vAlign w:val="center"/>
                </w:tcPr>
                <w:p>
                  <w:r>
                    <w:t>项目不属于</w:t>
                  </w:r>
                  <w:r>
                    <w:rPr>
                      <w:rFonts w:hint="eastAsia"/>
                      <w:lang w:eastAsia="zh-CN"/>
                    </w:rPr>
                    <w:t>垃圾处理厂</w:t>
                  </w:r>
                  <w:r>
                    <w:t>、垃圾中转站、污水处理厂、生物发酵、规模化畜禽养殖、屠宰等产生恶臭气体的单位。</w:t>
                  </w:r>
                </w:p>
              </w:tc>
              <w:tc>
                <w:tcPr>
                  <w:tcW w:w="0" w:type="auto"/>
                  <w:vAlign w:val="center"/>
                </w:tcPr>
                <w:p>
                  <w: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340" w:hRule="atLeast"/>
                <w:jc w:val="center"/>
              </w:trPr>
              <w:tc>
                <w:tcPr>
                  <w:tcW w:w="0" w:type="auto"/>
                  <w:vAlign w:val="center"/>
                </w:tcPr>
                <w:p>
                  <w:r>
                    <w:t>资源利用效率</w:t>
                  </w:r>
                </w:p>
              </w:tc>
              <w:tc>
                <w:tcPr>
                  <w:tcW w:w="3935" w:type="dxa"/>
                  <w:vAlign w:val="center"/>
                </w:tcPr>
                <w:p>
                  <w:r>
                    <w:t>（l）降低水、土地、矿产资源消耗强度，强化约束性指标管理。</w:t>
                  </w:r>
                </w:p>
                <w:p>
                  <w:r>
                    <w:t>(2)实行最严格的水资源管理制度，严格用水总量、强度指标管理，严格取水管控，建立重点监控取水单位名录，强化重点监控取水单位管理。全州年用水总量、万元工业增加值用水量降幅等指标达到省考核要求。</w:t>
                  </w:r>
                </w:p>
                <w:p>
                  <w:r>
                    <w:t>（3）坚持最严格的耕地保护制度，守住耕地保护红线。坚持节约用地，严格执行耕地占补平衡等制度，提高土地投资强度和单位面积产出水平。</w:t>
                  </w:r>
                </w:p>
                <w:p>
                  <w:r>
                    <w:t>（4)全州单位GDP能耗持续下降，能耗增量控制目标达到省考核要求。</w:t>
                  </w:r>
                </w:p>
                <w:p>
                  <w:r>
                    <w:t>（5）鼓励全州石化、化工、有色金属冶炼等行业运用工业节水、技术和装备，促进企业废水深度处理回用。</w:t>
                  </w:r>
                </w:p>
                <w:p>
                  <w:r>
                    <w:t>（6）实施金沙江龙川江等重点流域水库群联合调度，增加枯水期下泄流量，确保生态用水比例只增不降。</w:t>
                  </w:r>
                </w:p>
              </w:tc>
              <w:tc>
                <w:tcPr>
                  <w:tcW w:w="1920" w:type="dxa"/>
                  <w:vAlign w:val="center"/>
                </w:tcPr>
                <w:p>
                  <w:r>
                    <w:t>项目属于新建项目，项目运用工业节水、技术和装备，促进企业污水处理达标后回用于项目生产过程。</w:t>
                  </w:r>
                </w:p>
              </w:tc>
              <w:tc>
                <w:tcPr>
                  <w:tcW w:w="0" w:type="auto"/>
                  <w:vAlign w:val="center"/>
                </w:tcPr>
                <w:p>
                  <w:r>
                    <w:t>相符</w:t>
                  </w:r>
                </w:p>
              </w:tc>
            </w:tr>
          </w:tbl>
          <w:p>
            <w:pPr>
              <w:pStyle w:val="12"/>
              <w:spacing w:line="360" w:lineRule="auto"/>
              <w:ind w:firstLine="480" w:firstLineChars="200"/>
              <w:rPr>
                <w:rFonts w:ascii="Times New Roman" w:hAnsi="Times New Roman"/>
                <w:sz w:val="24"/>
              </w:rPr>
            </w:pPr>
            <w:r>
              <w:rPr>
                <w:rFonts w:ascii="Times New Roman" w:hAnsi="Times New Roman"/>
                <w:sz w:val="24"/>
              </w:rPr>
              <w:t>综上，本项目总体上能够符合“《楚雄州人民政府关于印发楚雄州“三线一单”生态环境分区管控实施方案》（楚政通（2021）22号）”的管理要求。</w:t>
            </w:r>
          </w:p>
          <w:p>
            <w:pPr>
              <w:autoSpaceDE w:val="0"/>
              <w:autoSpaceDN w:val="0"/>
              <w:adjustRightInd w:val="0"/>
              <w:snapToGrid w:val="0"/>
              <w:spacing w:line="360" w:lineRule="auto"/>
              <w:rPr>
                <w:sz w:val="24"/>
              </w:rPr>
            </w:pPr>
            <w:r>
              <w:rPr>
                <w:sz w:val="24"/>
              </w:rPr>
              <w:t>（6）与“楚雄州重点管控单元生态环境准入清单—姚安县”符合性分析</w:t>
            </w:r>
          </w:p>
          <w:p>
            <w:pPr>
              <w:autoSpaceDE w:val="0"/>
              <w:autoSpaceDN w:val="0"/>
              <w:adjustRightInd w:val="0"/>
              <w:snapToGrid w:val="0"/>
              <w:spacing w:line="360" w:lineRule="auto"/>
              <w:ind w:firstLine="480" w:firstLineChars="200"/>
              <w:rPr>
                <w:sz w:val="24"/>
              </w:rPr>
            </w:pPr>
            <w:r>
              <w:rPr>
                <w:sz w:val="24"/>
              </w:rPr>
              <w:t>与“楚雄州重点管控单元生态环境准入清单—姚安县”符合性分析详见下表。</w:t>
            </w:r>
          </w:p>
          <w:p>
            <w:pPr>
              <w:autoSpaceDE w:val="0"/>
              <w:autoSpaceDN w:val="0"/>
              <w:adjustRightInd w:val="0"/>
              <w:snapToGrid w:val="0"/>
              <w:spacing w:line="360" w:lineRule="auto"/>
              <w:ind w:firstLine="964" w:firstLineChars="400"/>
              <w:rPr>
                <w:b/>
                <w:bCs/>
                <w:sz w:val="24"/>
              </w:rPr>
            </w:pPr>
            <w:r>
              <w:rPr>
                <w:b/>
                <w:bCs/>
                <w:sz w:val="24"/>
              </w:rPr>
              <w:t>1-4 楚雄州重点管控单元生态环境准入清单－姚安县</w:t>
            </w:r>
          </w:p>
          <w:tbl>
            <w:tblPr>
              <w:tblStyle w:val="27"/>
              <w:tblW w:w="73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28" w:type="dxa"/>
                <w:bottom w:w="0" w:type="dxa"/>
                <w:right w:w="28" w:type="dxa"/>
              </w:tblCellMar>
            </w:tblPr>
            <w:tblGrid>
              <w:gridCol w:w="499"/>
              <w:gridCol w:w="507"/>
              <w:gridCol w:w="476"/>
              <w:gridCol w:w="2699"/>
              <w:gridCol w:w="2670"/>
              <w:gridCol w:w="4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0" w:hRule="atLeast"/>
                <w:tblHeader/>
                <w:jc w:val="center"/>
              </w:trPr>
              <w:tc>
                <w:tcPr>
                  <w:tcW w:w="499" w:type="dxa"/>
                  <w:vAlign w:val="center"/>
                </w:tcPr>
                <w:p>
                  <w:pPr>
                    <w:jc w:val="center"/>
                    <w:rPr>
                      <w:b/>
                      <w:bCs/>
                    </w:rPr>
                  </w:pPr>
                  <w:r>
                    <w:rPr>
                      <w:b/>
                      <w:bCs/>
                    </w:rPr>
                    <w:t>市县</w:t>
                  </w:r>
                </w:p>
              </w:tc>
              <w:tc>
                <w:tcPr>
                  <w:tcW w:w="507" w:type="dxa"/>
                  <w:vAlign w:val="center"/>
                </w:tcPr>
                <w:p>
                  <w:pPr>
                    <w:jc w:val="center"/>
                    <w:rPr>
                      <w:b/>
                      <w:bCs/>
                    </w:rPr>
                  </w:pPr>
                  <w:r>
                    <w:rPr>
                      <w:b/>
                      <w:bCs/>
                    </w:rPr>
                    <w:t>单元</w:t>
                  </w:r>
                </w:p>
                <w:p>
                  <w:pPr>
                    <w:jc w:val="center"/>
                    <w:rPr>
                      <w:b/>
                      <w:bCs/>
                    </w:rPr>
                  </w:pPr>
                  <w:r>
                    <w:rPr>
                      <w:b/>
                      <w:bCs/>
                    </w:rPr>
                    <w:t>名称</w:t>
                  </w:r>
                </w:p>
              </w:tc>
              <w:tc>
                <w:tcPr>
                  <w:tcW w:w="3175" w:type="dxa"/>
                  <w:gridSpan w:val="2"/>
                  <w:noWrap/>
                  <w:vAlign w:val="center"/>
                </w:tcPr>
                <w:p>
                  <w:pPr>
                    <w:jc w:val="center"/>
                    <w:rPr>
                      <w:b/>
                      <w:bCs/>
                    </w:rPr>
                  </w:pPr>
                  <w:r>
                    <w:rPr>
                      <w:b/>
                      <w:bCs/>
                    </w:rPr>
                    <w:t>管控要求</w:t>
                  </w:r>
                </w:p>
              </w:tc>
              <w:tc>
                <w:tcPr>
                  <w:tcW w:w="2670" w:type="dxa"/>
                  <w:noWrap/>
                  <w:vAlign w:val="center"/>
                </w:tcPr>
                <w:p>
                  <w:pPr>
                    <w:jc w:val="center"/>
                    <w:rPr>
                      <w:b/>
                      <w:bCs/>
                    </w:rPr>
                  </w:pPr>
                  <w:r>
                    <w:rPr>
                      <w:b/>
                      <w:bCs/>
                    </w:rPr>
                    <w:t>项目建设情况</w:t>
                  </w:r>
                </w:p>
              </w:tc>
              <w:tc>
                <w:tcPr>
                  <w:tcW w:w="489" w:type="dxa"/>
                  <w:noWrap/>
                  <w:vAlign w:val="center"/>
                </w:tcPr>
                <w:p>
                  <w:pPr>
                    <w:jc w:val="center"/>
                    <w:rPr>
                      <w:b/>
                      <w:bCs/>
                    </w:rPr>
                  </w:pPr>
                  <w:r>
                    <w:rPr>
                      <w:b/>
                      <w:bCs/>
                    </w:rPr>
                    <w:t>相符性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76" w:hRule="atLeast"/>
                <w:jc w:val="center"/>
              </w:trPr>
              <w:tc>
                <w:tcPr>
                  <w:tcW w:w="499" w:type="dxa"/>
                  <w:vMerge w:val="restart"/>
                  <w:vAlign w:val="center"/>
                </w:tcPr>
                <w:p>
                  <w:r>
                    <w:t>姚安县</w:t>
                  </w:r>
                </w:p>
              </w:tc>
              <w:tc>
                <w:tcPr>
                  <w:tcW w:w="507" w:type="dxa"/>
                  <w:vMerge w:val="restart"/>
                  <w:vAlign w:val="center"/>
                </w:tcPr>
                <w:p>
                  <w:r>
                    <w:t>姚安县光禄镇城镇生活污染重点管控单元</w:t>
                  </w:r>
                </w:p>
              </w:tc>
              <w:tc>
                <w:tcPr>
                  <w:tcW w:w="476" w:type="dxa"/>
                  <w:vAlign w:val="center"/>
                </w:tcPr>
                <w:p>
                  <w:r>
                    <w:t>空间布局约束</w:t>
                  </w:r>
                </w:p>
              </w:tc>
              <w:tc>
                <w:tcPr>
                  <w:tcW w:w="2699" w:type="dxa"/>
                </w:tcPr>
                <w:p>
                  <w:r>
                    <w:t>禁止在人口集中地区、交通干线附近和其他依法需要特殊保护的区域内焚烧沥青、油毡、橡胶、塑料、皮革、秸秆、落叶、垃圾以及其他产生有毒有害烟尘和恶臭气体的物质。</w:t>
                  </w:r>
                </w:p>
              </w:tc>
              <w:tc>
                <w:tcPr>
                  <w:tcW w:w="2670" w:type="dxa"/>
                </w:tcPr>
                <w:p>
                  <w:r>
                    <w:t>本项目不涉及焚烧沥青、油毡、橡胶、塑料、皮革、秸秆、落叶、垃圾以及其他产生有毒有害烟尘和恶臭气体的物质。</w:t>
                  </w:r>
                </w:p>
              </w:tc>
              <w:tc>
                <w:tcPr>
                  <w:tcW w:w="489" w:type="dxa"/>
                  <w:vAlign w:val="center"/>
                </w:tcPr>
                <w:p>
                  <w:r>
                    <w:t>相符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106" w:hRule="atLeast"/>
                <w:jc w:val="center"/>
              </w:trPr>
              <w:tc>
                <w:tcPr>
                  <w:tcW w:w="499" w:type="dxa"/>
                  <w:vMerge w:val="continue"/>
                  <w:vAlign w:val="center"/>
                </w:tcPr>
                <w:p/>
              </w:tc>
              <w:tc>
                <w:tcPr>
                  <w:tcW w:w="507" w:type="dxa"/>
                  <w:vMerge w:val="continue"/>
                  <w:vAlign w:val="center"/>
                </w:tcPr>
                <w:p/>
              </w:tc>
              <w:tc>
                <w:tcPr>
                  <w:tcW w:w="476" w:type="dxa"/>
                  <w:vAlign w:val="center"/>
                </w:tcPr>
                <w:p>
                  <w:r>
                    <w:t>污染物排放管控</w:t>
                  </w:r>
                </w:p>
              </w:tc>
              <w:tc>
                <w:tcPr>
                  <w:tcW w:w="2699" w:type="dxa"/>
                </w:tcPr>
                <w:p>
                  <w:r>
                    <w:t>1.向污水集中处理设施排放水污染物，应当符合国家或者地方规定的水污染物排放标准。</w:t>
                  </w:r>
                </w:p>
                <w:p>
                  <w:r>
                    <w:t>2.大力推进生活垃圾分类回收利用，建立分类投放、收集、运输、处理的生活垃圾收运处理系统。</w:t>
                  </w:r>
                </w:p>
                <w:p>
                  <w:r>
                    <w:t>3.加强光禄集镇集中式污水处理设施建设，提升污水管网覆盖范围，减少生活污水直排入河量，确保蜻蛉河光禄镇吴海王家桥断面水质稳定达到Ⅳ类标准。</w:t>
                  </w:r>
                </w:p>
              </w:tc>
              <w:tc>
                <w:tcPr>
                  <w:tcW w:w="2670" w:type="dxa"/>
                </w:tcPr>
                <w:p>
                  <w:r>
                    <w:t>本项目自建初期雨水沉淀池处理后达到《城市污水再生利用-农田灌溉用水水质》（GB/T20922-2007）后回用于项目区种植花卉。食堂废水经隔油池处理后与生活污水一起进入化粪池处理，化粪池处理后，污水在前期未接通污水管网时进入自建污水处理站进行处理达标后回用，不外排；后期接入污水管网后进入姚安县第二污水处理厂进行处理。生活垃圾委托环卫部门进行定期清运，固体废物处置率100%。</w:t>
                  </w:r>
                </w:p>
              </w:tc>
              <w:tc>
                <w:tcPr>
                  <w:tcW w:w="489" w:type="dxa"/>
                  <w:vAlign w:val="center"/>
                </w:tcPr>
                <w:p>
                  <w:r>
                    <w:t>相符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489" w:hRule="atLeast"/>
                <w:jc w:val="center"/>
              </w:trPr>
              <w:tc>
                <w:tcPr>
                  <w:tcW w:w="499" w:type="dxa"/>
                  <w:vMerge w:val="continue"/>
                  <w:vAlign w:val="center"/>
                </w:tcPr>
                <w:p/>
              </w:tc>
              <w:tc>
                <w:tcPr>
                  <w:tcW w:w="507" w:type="dxa"/>
                  <w:vMerge w:val="continue"/>
                  <w:vAlign w:val="center"/>
                </w:tcPr>
                <w:p/>
              </w:tc>
              <w:tc>
                <w:tcPr>
                  <w:tcW w:w="476" w:type="dxa"/>
                  <w:vAlign w:val="center"/>
                </w:tcPr>
                <w:p>
                  <w:r>
                    <w:t>资源开发效率要求</w:t>
                  </w:r>
                </w:p>
              </w:tc>
              <w:tc>
                <w:tcPr>
                  <w:tcW w:w="2699" w:type="dxa"/>
                </w:tcPr>
                <w:p>
                  <w:r>
                    <w:t>1.鼓励居民家庭选用节水器具。</w:t>
                  </w:r>
                </w:p>
                <w:p>
                  <w:r>
                    <w:t>2.鼓励将分散污水处理设施尾水以及经收集和处理后的雨水用于河道生态补水、集镇绿化等。</w:t>
                  </w:r>
                </w:p>
              </w:tc>
              <w:tc>
                <w:tcPr>
                  <w:tcW w:w="2670" w:type="dxa"/>
                </w:tcPr>
                <w:p>
                  <w:r>
                    <w:t>本项目已选用节水器具。</w:t>
                  </w:r>
                </w:p>
              </w:tc>
              <w:tc>
                <w:tcPr>
                  <w:tcW w:w="489" w:type="dxa"/>
                  <w:vAlign w:val="center"/>
                </w:tcPr>
                <w:p>
                  <w:r>
                    <w:t>相符</w:t>
                  </w:r>
                </w:p>
              </w:tc>
            </w:tr>
          </w:tbl>
          <w:p>
            <w:pPr>
              <w:pStyle w:val="12"/>
              <w:spacing w:line="360" w:lineRule="auto"/>
              <w:ind w:firstLine="480" w:firstLineChars="200"/>
              <w:rPr>
                <w:rFonts w:ascii="Times New Roman" w:hAnsi="Times New Roman"/>
              </w:rPr>
            </w:pPr>
            <w:r>
              <w:rPr>
                <w:rFonts w:ascii="Times New Roman" w:hAnsi="Times New Roman"/>
                <w:sz w:val="24"/>
              </w:rPr>
              <w:t>根据上表分析，项目符合管控单元相关要求。</w:t>
            </w:r>
          </w:p>
          <w:p>
            <w:pPr>
              <w:pStyle w:val="12"/>
              <w:spacing w:line="360" w:lineRule="auto"/>
              <w:rPr>
                <w:rFonts w:ascii="Times New Roman" w:hAnsi="Times New Roman"/>
                <w:sz w:val="24"/>
              </w:rPr>
            </w:pPr>
            <w:r>
              <w:rPr>
                <w:rFonts w:ascii="Times New Roman" w:hAnsi="Times New Roman"/>
                <w:sz w:val="24"/>
              </w:rPr>
              <w:t>（7）与《长江经济带发展负面清单指南（试行）2022版》《云南省长江经济带负面清单指南实施细则(试行，2022版）》符合性分析</w:t>
            </w:r>
          </w:p>
          <w:p>
            <w:pPr>
              <w:pStyle w:val="12"/>
              <w:spacing w:line="360" w:lineRule="auto"/>
              <w:jc w:val="center"/>
              <w:rPr>
                <w:rFonts w:ascii="Times New Roman" w:hAnsi="Times New Roman"/>
                <w:b/>
                <w:bCs/>
                <w:sz w:val="24"/>
              </w:rPr>
            </w:pPr>
            <w:r>
              <w:rPr>
                <w:rFonts w:ascii="Times New Roman" w:hAnsi="Times New Roman"/>
                <w:b/>
                <w:bCs/>
                <w:sz w:val="24"/>
              </w:rPr>
              <w:t>表1-5与“长江经济带负面清单指南（试行）2022版”符合性分析</w:t>
            </w:r>
          </w:p>
          <w:tbl>
            <w:tblPr>
              <w:tblStyle w:val="28"/>
              <w:tblpPr w:leftFromText="180" w:rightFromText="180" w:vertAnchor="text" w:horzAnchor="page" w:tblpX="130" w:tblpY="154"/>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3170"/>
              <w:gridCol w:w="2309"/>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pPr>
                    <w:adjustRightInd w:val="0"/>
                    <w:snapToGrid w:val="0"/>
                    <w:jc w:val="center"/>
                    <w:rPr>
                      <w:rFonts w:eastAsiaTheme="minorEastAsia"/>
                      <w:b/>
                      <w:szCs w:val="21"/>
                    </w:rPr>
                  </w:pPr>
                  <w:r>
                    <w:rPr>
                      <w:rFonts w:eastAsiaTheme="minorEastAsia"/>
                      <w:b/>
                      <w:szCs w:val="21"/>
                    </w:rPr>
                    <w:t>序号</w:t>
                  </w:r>
                </w:p>
              </w:tc>
              <w:tc>
                <w:tcPr>
                  <w:tcW w:w="2156" w:type="pct"/>
                  <w:vAlign w:val="center"/>
                </w:tcPr>
                <w:p>
                  <w:pPr>
                    <w:adjustRightInd w:val="0"/>
                    <w:snapToGrid w:val="0"/>
                    <w:jc w:val="center"/>
                    <w:rPr>
                      <w:rFonts w:eastAsiaTheme="minorEastAsia"/>
                      <w:b/>
                      <w:szCs w:val="21"/>
                    </w:rPr>
                  </w:pPr>
                  <w:r>
                    <w:rPr>
                      <w:rFonts w:eastAsiaTheme="minorEastAsia"/>
                      <w:b/>
                      <w:szCs w:val="21"/>
                    </w:rPr>
                    <w:t>负面清单指南内容</w:t>
                  </w:r>
                </w:p>
              </w:tc>
              <w:tc>
                <w:tcPr>
                  <w:tcW w:w="1570" w:type="pct"/>
                  <w:vAlign w:val="center"/>
                </w:tcPr>
                <w:p>
                  <w:pPr>
                    <w:adjustRightInd w:val="0"/>
                    <w:snapToGrid w:val="0"/>
                    <w:jc w:val="center"/>
                    <w:rPr>
                      <w:rFonts w:eastAsiaTheme="minorEastAsia"/>
                      <w:b/>
                      <w:szCs w:val="21"/>
                    </w:rPr>
                  </w:pPr>
                  <w:r>
                    <w:rPr>
                      <w:rFonts w:eastAsiaTheme="minorEastAsia"/>
                      <w:b/>
                      <w:szCs w:val="21"/>
                    </w:rPr>
                    <w:t>项目情况</w:t>
                  </w:r>
                </w:p>
              </w:tc>
              <w:tc>
                <w:tcPr>
                  <w:tcW w:w="715" w:type="pct"/>
                  <w:vAlign w:val="center"/>
                </w:tcPr>
                <w:p>
                  <w:pPr>
                    <w:adjustRightInd w:val="0"/>
                    <w:snapToGrid w:val="0"/>
                    <w:jc w:val="center"/>
                    <w:rPr>
                      <w:rFonts w:eastAsiaTheme="minorEastAsia"/>
                      <w:b/>
                      <w:szCs w:val="21"/>
                    </w:rPr>
                  </w:pPr>
                  <w:r>
                    <w:rPr>
                      <w:rFonts w:eastAsiaTheme="minorEastAsia"/>
                      <w:b/>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pPr>
                    <w:autoSpaceDE w:val="0"/>
                    <w:autoSpaceDN w:val="0"/>
                    <w:adjustRightInd w:val="0"/>
                    <w:snapToGrid w:val="0"/>
                    <w:jc w:val="center"/>
                    <w:rPr>
                      <w:rFonts w:eastAsiaTheme="minorEastAsia"/>
                      <w:szCs w:val="21"/>
                    </w:rPr>
                  </w:pPr>
                  <w:r>
                    <w:rPr>
                      <w:rFonts w:eastAsiaTheme="minorEastAsia"/>
                      <w:szCs w:val="21"/>
                    </w:rPr>
                    <w:t>1</w:t>
                  </w:r>
                </w:p>
              </w:tc>
              <w:tc>
                <w:tcPr>
                  <w:tcW w:w="2156" w:type="pct"/>
                  <w:vAlign w:val="center"/>
                </w:tcPr>
                <w:p>
                  <w:pPr>
                    <w:pStyle w:val="12"/>
                    <w:jc w:val="center"/>
                    <w:rPr>
                      <w:rFonts w:ascii="Times New Roman" w:hAnsi="Times New Roman" w:eastAsiaTheme="minorEastAsia"/>
                      <w:szCs w:val="21"/>
                    </w:rPr>
                  </w:pPr>
                  <w:r>
                    <w:rPr>
                      <w:rFonts w:ascii="Times New Roman" w:hAnsi="Times New Roman" w:eastAsiaTheme="minorEastAsia"/>
                      <w:szCs w:val="21"/>
                    </w:rPr>
                    <w:t>禁止建设不符合全国和省级港口布局规划以及港口总体规划的码头项目，禁止建设不符合《长江干线过江通道布局规划》的过长江通道项目。</w:t>
                  </w:r>
                </w:p>
              </w:tc>
              <w:tc>
                <w:tcPr>
                  <w:tcW w:w="1570" w:type="pct"/>
                  <w:vAlign w:val="center"/>
                </w:tcPr>
                <w:p>
                  <w:pPr>
                    <w:autoSpaceDE w:val="0"/>
                    <w:autoSpaceDN w:val="0"/>
                    <w:adjustRightInd w:val="0"/>
                    <w:snapToGrid w:val="0"/>
                    <w:jc w:val="center"/>
                    <w:rPr>
                      <w:rFonts w:eastAsiaTheme="minorEastAsia"/>
                      <w:szCs w:val="21"/>
                    </w:rPr>
                  </w:pPr>
                  <w:r>
                    <w:rPr>
                      <w:rFonts w:eastAsiaTheme="minorEastAsia"/>
                      <w:szCs w:val="21"/>
                    </w:rPr>
                    <w:t>本项目为花卉栽培及热力供应企业，不涉及码头项目和过长江通道项目。</w:t>
                  </w:r>
                </w:p>
              </w:tc>
              <w:tc>
                <w:tcPr>
                  <w:tcW w:w="715" w:type="pct"/>
                  <w:vAlign w:val="center"/>
                </w:tcPr>
                <w:p>
                  <w:pPr>
                    <w:autoSpaceDE w:val="0"/>
                    <w:autoSpaceDN w:val="0"/>
                    <w:adjustRightInd w:val="0"/>
                    <w:snapToGrid w:val="0"/>
                    <w:jc w:val="center"/>
                    <w:rPr>
                      <w:rFonts w:eastAsiaTheme="minorEastAsia"/>
                      <w:szCs w:val="21"/>
                    </w:rPr>
                  </w:pPr>
                  <w:r>
                    <w:rPr>
                      <w:rFonts w:eastAsia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pPr>
                    <w:autoSpaceDE w:val="0"/>
                    <w:autoSpaceDN w:val="0"/>
                    <w:adjustRightInd w:val="0"/>
                    <w:snapToGrid w:val="0"/>
                    <w:jc w:val="center"/>
                    <w:rPr>
                      <w:rFonts w:eastAsiaTheme="minorEastAsia"/>
                      <w:szCs w:val="21"/>
                    </w:rPr>
                  </w:pPr>
                  <w:r>
                    <w:rPr>
                      <w:rFonts w:eastAsiaTheme="minorEastAsia"/>
                      <w:szCs w:val="21"/>
                    </w:rPr>
                    <w:t>2</w:t>
                  </w:r>
                </w:p>
              </w:tc>
              <w:tc>
                <w:tcPr>
                  <w:tcW w:w="2156" w:type="pct"/>
                  <w:vAlign w:val="center"/>
                </w:tcPr>
                <w:p>
                  <w:pPr>
                    <w:pStyle w:val="12"/>
                    <w:jc w:val="center"/>
                    <w:rPr>
                      <w:rFonts w:ascii="Times New Roman" w:hAnsi="Times New Roman" w:eastAsiaTheme="minorEastAsia"/>
                      <w:szCs w:val="21"/>
                    </w:rPr>
                  </w:pPr>
                  <w:r>
                    <w:rPr>
                      <w:rFonts w:ascii="Times New Roman" w:hAnsi="Times New Roman" w:eastAsiaTheme="minorEastAsia"/>
                      <w:szCs w:val="21"/>
                    </w:rPr>
                    <w:t>禁止在自然保护区核心区、缓冲区的岸线和河段范围内投资建设旅游和生产经营项目。禁止在风景名胜区核心景区的岸线和河段范围内投资建设与风景名胜资源保护无关的项目。</w:t>
                  </w:r>
                </w:p>
              </w:tc>
              <w:tc>
                <w:tcPr>
                  <w:tcW w:w="1570" w:type="pct"/>
                  <w:vAlign w:val="center"/>
                </w:tcPr>
                <w:p>
                  <w:pPr>
                    <w:pStyle w:val="12"/>
                    <w:rPr>
                      <w:rFonts w:ascii="Times New Roman" w:hAnsi="Times New Roman" w:eastAsiaTheme="minorEastAsia"/>
                      <w:szCs w:val="21"/>
                    </w:rPr>
                  </w:pPr>
                  <w:r>
                    <w:rPr>
                      <w:rFonts w:ascii="Times New Roman" w:hAnsi="Times New Roman" w:eastAsiaTheme="minorEastAsia"/>
                      <w:szCs w:val="21"/>
                    </w:rPr>
                    <w:t>根据项目生态保护红线查询意见，项目位于光禄镇福光村委会，不涉及自然保护区、风景名胜区。</w:t>
                  </w:r>
                </w:p>
              </w:tc>
              <w:tc>
                <w:tcPr>
                  <w:tcW w:w="715" w:type="pct"/>
                  <w:vAlign w:val="center"/>
                </w:tcPr>
                <w:p>
                  <w:pPr>
                    <w:autoSpaceDE w:val="0"/>
                    <w:autoSpaceDN w:val="0"/>
                    <w:adjustRightInd w:val="0"/>
                    <w:snapToGrid w:val="0"/>
                    <w:jc w:val="center"/>
                    <w:rPr>
                      <w:rFonts w:eastAsiaTheme="minorEastAsia"/>
                      <w:szCs w:val="21"/>
                    </w:rPr>
                  </w:pPr>
                  <w:r>
                    <w:rPr>
                      <w:rFonts w:eastAsia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pPr>
                    <w:autoSpaceDE w:val="0"/>
                    <w:autoSpaceDN w:val="0"/>
                    <w:adjustRightInd w:val="0"/>
                    <w:snapToGrid w:val="0"/>
                    <w:jc w:val="center"/>
                    <w:rPr>
                      <w:rFonts w:eastAsiaTheme="minorEastAsia"/>
                      <w:szCs w:val="21"/>
                    </w:rPr>
                  </w:pPr>
                  <w:r>
                    <w:rPr>
                      <w:rFonts w:eastAsiaTheme="minorEastAsia"/>
                      <w:szCs w:val="21"/>
                    </w:rPr>
                    <w:t>3</w:t>
                  </w:r>
                </w:p>
              </w:tc>
              <w:tc>
                <w:tcPr>
                  <w:tcW w:w="2156" w:type="pct"/>
                  <w:vAlign w:val="center"/>
                </w:tcPr>
                <w:p>
                  <w:pPr>
                    <w:pStyle w:val="12"/>
                    <w:jc w:val="center"/>
                    <w:rPr>
                      <w:rFonts w:ascii="Times New Roman" w:hAnsi="Times New Roman" w:eastAsiaTheme="minorEastAsia"/>
                      <w:szCs w:val="21"/>
                    </w:rPr>
                  </w:pPr>
                  <w:r>
                    <w:rPr>
                      <w:rFonts w:ascii="Times New Roman" w:hAnsi="Times New Roman" w:eastAsiaTheme="minorEastAsia"/>
                      <w:szCs w:val="21"/>
                    </w:rPr>
                    <w:t>禁止在饮用水水源一级保护区的岸线和河段范围内新建、改建、扩建与供水</w:t>
                  </w:r>
                </w:p>
                <w:p>
                  <w:pPr>
                    <w:pStyle w:val="12"/>
                    <w:jc w:val="center"/>
                    <w:rPr>
                      <w:rFonts w:ascii="Times New Roman" w:hAnsi="Times New Roman" w:eastAsiaTheme="minorEastAsia"/>
                      <w:szCs w:val="21"/>
                    </w:rPr>
                  </w:pPr>
                  <w:r>
                    <w:rPr>
                      <w:rFonts w:ascii="Times New Roman" w:hAnsi="Times New Roman" w:eastAsiaTheme="minorEastAsia"/>
                      <w:szCs w:val="21"/>
                    </w:rPr>
                    <w:t>设施和包括水源无关口项目，以及网箱养殖、旅游等可能污染饮口水水体的投资建设项目。禁止在饮用水水源二级保护区的岸线和河段范围内新建、改建、扩建排放污染物的投资建设项目。</w:t>
                  </w:r>
                </w:p>
              </w:tc>
              <w:tc>
                <w:tcPr>
                  <w:tcW w:w="1570" w:type="pct"/>
                  <w:vAlign w:val="center"/>
                </w:tcPr>
                <w:p>
                  <w:pPr>
                    <w:pStyle w:val="12"/>
                    <w:jc w:val="center"/>
                    <w:rPr>
                      <w:rFonts w:ascii="Times New Roman" w:hAnsi="Times New Roman" w:eastAsiaTheme="minorEastAsia"/>
                      <w:szCs w:val="21"/>
                    </w:rPr>
                  </w:pPr>
                  <w:r>
                    <w:rPr>
                      <w:rFonts w:ascii="Times New Roman" w:hAnsi="Times New Roman" w:eastAsiaTheme="minorEastAsia"/>
                      <w:szCs w:val="21"/>
                    </w:rPr>
                    <w:t>项目位于光禄镇福光村委会，不涉及饮用水源保护区建设项目。</w:t>
                  </w:r>
                </w:p>
              </w:tc>
              <w:tc>
                <w:tcPr>
                  <w:tcW w:w="715" w:type="pct"/>
                  <w:vAlign w:val="center"/>
                </w:tcPr>
                <w:p>
                  <w:pPr>
                    <w:autoSpaceDE w:val="0"/>
                    <w:autoSpaceDN w:val="0"/>
                    <w:adjustRightInd w:val="0"/>
                    <w:snapToGrid w:val="0"/>
                    <w:jc w:val="center"/>
                    <w:rPr>
                      <w:rFonts w:eastAsiaTheme="minorEastAsia"/>
                      <w:szCs w:val="21"/>
                    </w:rPr>
                  </w:pPr>
                  <w:r>
                    <w:rPr>
                      <w:rFonts w:eastAsia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pPr>
                    <w:autoSpaceDE w:val="0"/>
                    <w:autoSpaceDN w:val="0"/>
                    <w:adjustRightInd w:val="0"/>
                    <w:snapToGrid w:val="0"/>
                    <w:jc w:val="center"/>
                    <w:rPr>
                      <w:rFonts w:eastAsiaTheme="minorEastAsia"/>
                      <w:szCs w:val="21"/>
                    </w:rPr>
                  </w:pPr>
                  <w:r>
                    <w:rPr>
                      <w:rFonts w:eastAsiaTheme="minorEastAsia"/>
                      <w:szCs w:val="21"/>
                    </w:rPr>
                    <w:t>4</w:t>
                  </w:r>
                </w:p>
              </w:tc>
              <w:tc>
                <w:tcPr>
                  <w:tcW w:w="2156" w:type="pct"/>
                  <w:vAlign w:val="center"/>
                </w:tcPr>
                <w:p>
                  <w:pPr>
                    <w:pStyle w:val="12"/>
                    <w:rPr>
                      <w:rFonts w:ascii="Times New Roman" w:hAnsi="Times New Roman" w:eastAsiaTheme="minorEastAsia"/>
                      <w:szCs w:val="21"/>
                    </w:rPr>
                  </w:pPr>
                  <w:r>
                    <w:rPr>
                      <w:rFonts w:ascii="Times New Roman" w:hAnsi="Times New Roman" w:eastAsiaTheme="minorEastAsia"/>
                      <w:szCs w:val="21"/>
                    </w:rPr>
                    <w:t>禁止在水产种质资源保护区的岸线和河段范围内新建排污口，以及围湖造田、围海造地或围填海等投资建设项目。禁止在国家湿地公园的岸线和河段范围内挖沙、采矿，以及任何不符合主体功能定位的投资建设项目。</w:t>
                  </w:r>
                </w:p>
              </w:tc>
              <w:tc>
                <w:tcPr>
                  <w:tcW w:w="1570" w:type="pct"/>
                  <w:vAlign w:val="center"/>
                </w:tcPr>
                <w:p>
                  <w:pPr>
                    <w:pStyle w:val="12"/>
                    <w:jc w:val="center"/>
                    <w:rPr>
                      <w:rFonts w:ascii="Times New Roman" w:hAnsi="Times New Roman" w:eastAsiaTheme="minorEastAsia"/>
                      <w:szCs w:val="21"/>
                    </w:rPr>
                  </w:pPr>
                  <w:r>
                    <w:rPr>
                      <w:rFonts w:ascii="Times New Roman" w:hAnsi="Times New Roman" w:eastAsiaTheme="minorEastAsia"/>
                      <w:szCs w:val="21"/>
                    </w:rPr>
                    <w:t>本项目为花卉栽培及热力供应企业，在污水管网未接通前，废水排入自建污水处理站处理，在污水管网接通后，进入姚安县第二污水处理厂进行处理。不涉及水产种质资源保护区新建排口，不涉及围湖造田等项目，不涉及挖沙，采矿活动。</w:t>
                  </w:r>
                </w:p>
              </w:tc>
              <w:tc>
                <w:tcPr>
                  <w:tcW w:w="715" w:type="pct"/>
                  <w:vAlign w:val="center"/>
                </w:tcPr>
                <w:p>
                  <w:pPr>
                    <w:autoSpaceDE w:val="0"/>
                    <w:autoSpaceDN w:val="0"/>
                    <w:adjustRightInd w:val="0"/>
                    <w:snapToGrid w:val="0"/>
                    <w:jc w:val="center"/>
                    <w:rPr>
                      <w:rFonts w:eastAsiaTheme="minorEastAsia"/>
                      <w:szCs w:val="21"/>
                    </w:rPr>
                  </w:pPr>
                  <w:r>
                    <w:rPr>
                      <w:rFonts w:eastAsia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pPr>
                    <w:autoSpaceDE w:val="0"/>
                    <w:autoSpaceDN w:val="0"/>
                    <w:adjustRightInd w:val="0"/>
                    <w:snapToGrid w:val="0"/>
                    <w:jc w:val="center"/>
                    <w:rPr>
                      <w:rFonts w:eastAsiaTheme="minorEastAsia"/>
                      <w:szCs w:val="21"/>
                    </w:rPr>
                  </w:pPr>
                  <w:r>
                    <w:rPr>
                      <w:rFonts w:eastAsiaTheme="minorEastAsia"/>
                      <w:szCs w:val="21"/>
                    </w:rPr>
                    <w:t>5</w:t>
                  </w:r>
                </w:p>
              </w:tc>
              <w:tc>
                <w:tcPr>
                  <w:tcW w:w="2156" w:type="pct"/>
                  <w:vAlign w:val="center"/>
                </w:tcPr>
                <w:p>
                  <w:pPr>
                    <w:pStyle w:val="12"/>
                    <w:rPr>
                      <w:rFonts w:ascii="Times New Roman" w:hAnsi="Times New Roman" w:eastAsiaTheme="minorEastAsia"/>
                      <w:szCs w:val="21"/>
                    </w:rPr>
                  </w:pPr>
                  <w:r>
                    <w:rPr>
                      <w:rFonts w:ascii="Times New Roman" w:hAnsi="Times New Roman" w:eastAsiaTheme="minorEastAsia"/>
                      <w:szCs w:val="21"/>
                    </w:rPr>
                    <w:t>禁止违法利用，占用长江流域河湖岸线。禁止在《长江岸线保护和开发利用总体规划》划定的岸口保护区内投资建设除保障防洪安全、河势稳定、供水安全以及保护生态环境、已建重要枢纽工程以外的项目，禁止在岸线保留区内投资建设除保障防洪安全河势稳定、供水安全、航道稳定以及保护生态环境以外的项目。禁止在《全国重要江河湖泊水功能区划》划定的河段保护区、保留区内投资建设不利于水资源及自然生态保护的项目。</w:t>
                  </w:r>
                </w:p>
              </w:tc>
              <w:tc>
                <w:tcPr>
                  <w:tcW w:w="1570" w:type="pct"/>
                  <w:vAlign w:val="center"/>
                </w:tcPr>
                <w:p>
                  <w:pPr>
                    <w:pStyle w:val="12"/>
                    <w:jc w:val="center"/>
                    <w:rPr>
                      <w:rFonts w:ascii="Times New Roman" w:hAnsi="Times New Roman" w:eastAsiaTheme="minorEastAsia"/>
                      <w:szCs w:val="21"/>
                    </w:rPr>
                  </w:pPr>
                  <w:r>
                    <w:rPr>
                      <w:rFonts w:ascii="Times New Roman" w:hAnsi="Times New Roman" w:eastAsiaTheme="minorEastAsia"/>
                      <w:szCs w:val="21"/>
                    </w:rPr>
                    <w:t>本项目均不涉及</w:t>
                  </w:r>
                </w:p>
              </w:tc>
              <w:tc>
                <w:tcPr>
                  <w:tcW w:w="715" w:type="pct"/>
                  <w:vAlign w:val="center"/>
                </w:tcPr>
                <w:p>
                  <w:pPr>
                    <w:autoSpaceDE w:val="0"/>
                    <w:autoSpaceDN w:val="0"/>
                    <w:adjustRightInd w:val="0"/>
                    <w:snapToGrid w:val="0"/>
                    <w:jc w:val="center"/>
                    <w:rPr>
                      <w:rFonts w:eastAsiaTheme="minorEastAsia"/>
                      <w:szCs w:val="21"/>
                    </w:rPr>
                  </w:pPr>
                  <w:r>
                    <w:rPr>
                      <w:rFonts w:eastAsia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pPr>
                    <w:autoSpaceDE w:val="0"/>
                    <w:autoSpaceDN w:val="0"/>
                    <w:adjustRightInd w:val="0"/>
                    <w:snapToGrid w:val="0"/>
                    <w:jc w:val="center"/>
                    <w:rPr>
                      <w:rFonts w:eastAsiaTheme="minorEastAsia"/>
                      <w:szCs w:val="21"/>
                    </w:rPr>
                  </w:pPr>
                  <w:r>
                    <w:rPr>
                      <w:rFonts w:eastAsiaTheme="minorEastAsia"/>
                      <w:szCs w:val="21"/>
                    </w:rPr>
                    <w:t>6</w:t>
                  </w:r>
                </w:p>
              </w:tc>
              <w:tc>
                <w:tcPr>
                  <w:tcW w:w="2156" w:type="pct"/>
                  <w:vAlign w:val="center"/>
                </w:tcPr>
                <w:p>
                  <w:pPr>
                    <w:pStyle w:val="12"/>
                    <w:jc w:val="center"/>
                    <w:rPr>
                      <w:rFonts w:ascii="Times New Roman" w:hAnsi="Times New Roman" w:eastAsiaTheme="minorEastAsia"/>
                      <w:szCs w:val="21"/>
                    </w:rPr>
                  </w:pPr>
                  <w:r>
                    <w:rPr>
                      <w:rFonts w:ascii="Times New Roman" w:hAnsi="Times New Roman" w:eastAsiaTheme="minorEastAsia"/>
                      <w:szCs w:val="21"/>
                    </w:rPr>
                    <w:t>禁止未经许可在长江干支流及湖泊新设、改设或扩大排污口。</w:t>
                  </w:r>
                </w:p>
              </w:tc>
              <w:tc>
                <w:tcPr>
                  <w:tcW w:w="1570" w:type="pct"/>
                  <w:vAlign w:val="center"/>
                </w:tcPr>
                <w:p>
                  <w:pPr>
                    <w:pStyle w:val="12"/>
                    <w:jc w:val="center"/>
                    <w:rPr>
                      <w:rFonts w:ascii="Times New Roman" w:hAnsi="Times New Roman" w:eastAsiaTheme="minorEastAsia"/>
                      <w:szCs w:val="21"/>
                    </w:rPr>
                  </w:pPr>
                  <w:r>
                    <w:rPr>
                      <w:rFonts w:ascii="Times New Roman" w:hAnsi="Times New Roman" w:eastAsiaTheme="minorEastAsia"/>
                      <w:szCs w:val="21"/>
                    </w:rPr>
                    <w:t>本项目均不涉及</w:t>
                  </w:r>
                </w:p>
              </w:tc>
              <w:tc>
                <w:tcPr>
                  <w:tcW w:w="715" w:type="pct"/>
                  <w:vAlign w:val="center"/>
                </w:tcPr>
                <w:p>
                  <w:pPr>
                    <w:autoSpaceDE w:val="0"/>
                    <w:autoSpaceDN w:val="0"/>
                    <w:adjustRightInd w:val="0"/>
                    <w:snapToGrid w:val="0"/>
                    <w:jc w:val="center"/>
                    <w:rPr>
                      <w:rFonts w:eastAsiaTheme="minorEastAsia"/>
                      <w:szCs w:val="21"/>
                    </w:rPr>
                  </w:pPr>
                  <w:r>
                    <w:rPr>
                      <w:rFonts w:eastAsia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pPr>
                    <w:autoSpaceDE w:val="0"/>
                    <w:autoSpaceDN w:val="0"/>
                    <w:adjustRightInd w:val="0"/>
                    <w:snapToGrid w:val="0"/>
                    <w:jc w:val="center"/>
                    <w:rPr>
                      <w:rFonts w:eastAsiaTheme="minorEastAsia"/>
                      <w:szCs w:val="21"/>
                    </w:rPr>
                  </w:pPr>
                  <w:r>
                    <w:rPr>
                      <w:rFonts w:eastAsiaTheme="minorEastAsia"/>
                      <w:szCs w:val="21"/>
                    </w:rPr>
                    <w:t>7</w:t>
                  </w:r>
                </w:p>
              </w:tc>
              <w:tc>
                <w:tcPr>
                  <w:tcW w:w="2156" w:type="pct"/>
                  <w:vAlign w:val="center"/>
                </w:tcPr>
                <w:p>
                  <w:pPr>
                    <w:pStyle w:val="12"/>
                    <w:jc w:val="center"/>
                    <w:rPr>
                      <w:rFonts w:ascii="Times New Roman" w:hAnsi="Times New Roman" w:eastAsiaTheme="minorEastAsia"/>
                      <w:szCs w:val="21"/>
                    </w:rPr>
                  </w:pPr>
                  <w:r>
                    <w:rPr>
                      <w:rFonts w:ascii="Times New Roman" w:hAnsi="Times New Roman" w:eastAsiaTheme="minorEastAsia"/>
                      <w:szCs w:val="21"/>
                    </w:rPr>
                    <w:t>禁止在“一江一口两湖七河”和332个水生生物保护区开展生产性捕捞。</w:t>
                  </w:r>
                </w:p>
              </w:tc>
              <w:tc>
                <w:tcPr>
                  <w:tcW w:w="1570" w:type="pct"/>
                  <w:vAlign w:val="center"/>
                </w:tcPr>
                <w:p>
                  <w:pPr>
                    <w:pStyle w:val="12"/>
                    <w:jc w:val="center"/>
                    <w:rPr>
                      <w:rFonts w:ascii="Times New Roman" w:hAnsi="Times New Roman" w:eastAsiaTheme="minorEastAsia"/>
                      <w:szCs w:val="21"/>
                    </w:rPr>
                  </w:pPr>
                  <w:r>
                    <w:rPr>
                      <w:rFonts w:ascii="Times New Roman" w:hAnsi="Times New Roman" w:eastAsiaTheme="minorEastAsia"/>
                      <w:szCs w:val="21"/>
                    </w:rPr>
                    <w:t>本项目均不涉及</w:t>
                  </w:r>
                </w:p>
              </w:tc>
              <w:tc>
                <w:tcPr>
                  <w:tcW w:w="715" w:type="pct"/>
                  <w:vAlign w:val="center"/>
                </w:tcPr>
                <w:p>
                  <w:pPr>
                    <w:autoSpaceDE w:val="0"/>
                    <w:autoSpaceDN w:val="0"/>
                    <w:adjustRightInd w:val="0"/>
                    <w:snapToGrid w:val="0"/>
                    <w:jc w:val="center"/>
                    <w:rPr>
                      <w:rFonts w:eastAsiaTheme="minorEastAsia"/>
                      <w:szCs w:val="21"/>
                    </w:rPr>
                  </w:pPr>
                  <w:r>
                    <w:rPr>
                      <w:rFonts w:eastAsia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pPr>
                    <w:autoSpaceDE w:val="0"/>
                    <w:autoSpaceDN w:val="0"/>
                    <w:adjustRightInd w:val="0"/>
                    <w:snapToGrid w:val="0"/>
                    <w:jc w:val="center"/>
                    <w:rPr>
                      <w:rFonts w:eastAsiaTheme="minorEastAsia"/>
                      <w:szCs w:val="21"/>
                    </w:rPr>
                  </w:pPr>
                  <w:r>
                    <w:rPr>
                      <w:rFonts w:eastAsiaTheme="minorEastAsia"/>
                      <w:szCs w:val="21"/>
                    </w:rPr>
                    <w:t>8</w:t>
                  </w:r>
                </w:p>
              </w:tc>
              <w:tc>
                <w:tcPr>
                  <w:tcW w:w="2156" w:type="pct"/>
                  <w:vAlign w:val="center"/>
                </w:tcPr>
                <w:p>
                  <w:pPr>
                    <w:pStyle w:val="12"/>
                    <w:rPr>
                      <w:rFonts w:ascii="Times New Roman" w:hAnsi="Times New Roman" w:eastAsiaTheme="minorEastAsia"/>
                      <w:szCs w:val="21"/>
                    </w:rPr>
                  </w:pPr>
                  <w:r>
                    <w:rPr>
                      <w:rFonts w:ascii="Times New Roman" w:hAnsi="Times New Roman" w:eastAsiaTheme="minorEastAsia"/>
                      <w:szCs w:val="21"/>
                    </w:rPr>
                    <w:t>禁止在长江干支流、重要湖泊岸线一公里范围内新建、扩建化工园区和化工项目。禁止在长江干流岸线三公里范围内和重要支流岸线一公里范围内新建、改建、扩建尾矿库、冶炼渣库和磷石膏库，以提升安全、生态环境保护水平为目的的改建除外。</w:t>
                  </w:r>
                </w:p>
              </w:tc>
              <w:tc>
                <w:tcPr>
                  <w:tcW w:w="1570" w:type="pct"/>
                  <w:vAlign w:val="center"/>
                </w:tcPr>
                <w:p>
                  <w:pPr>
                    <w:pStyle w:val="12"/>
                    <w:jc w:val="center"/>
                    <w:rPr>
                      <w:rFonts w:ascii="Times New Roman" w:hAnsi="Times New Roman" w:eastAsiaTheme="minorEastAsia"/>
                      <w:szCs w:val="21"/>
                    </w:rPr>
                  </w:pPr>
                  <w:r>
                    <w:rPr>
                      <w:rFonts w:ascii="Times New Roman" w:hAnsi="Times New Roman" w:eastAsiaTheme="minorEastAsia"/>
                      <w:szCs w:val="21"/>
                    </w:rPr>
                    <w:t>本项目属于花卉栽培及热力供应项目，位于西运河西面1900m，西运河属于金沙江水系龙川江支流，不属于长江干支流流域。</w:t>
                  </w:r>
                </w:p>
              </w:tc>
              <w:tc>
                <w:tcPr>
                  <w:tcW w:w="715" w:type="pct"/>
                  <w:vAlign w:val="center"/>
                </w:tcPr>
                <w:p>
                  <w:pPr>
                    <w:autoSpaceDE w:val="0"/>
                    <w:autoSpaceDN w:val="0"/>
                    <w:adjustRightInd w:val="0"/>
                    <w:snapToGrid w:val="0"/>
                    <w:jc w:val="center"/>
                    <w:rPr>
                      <w:rFonts w:eastAsiaTheme="minorEastAsia"/>
                      <w:szCs w:val="21"/>
                    </w:rPr>
                  </w:pPr>
                  <w:r>
                    <w:rPr>
                      <w:rFonts w:eastAsia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pPr>
                    <w:autoSpaceDE w:val="0"/>
                    <w:autoSpaceDN w:val="0"/>
                    <w:adjustRightInd w:val="0"/>
                    <w:snapToGrid w:val="0"/>
                    <w:jc w:val="center"/>
                    <w:rPr>
                      <w:rFonts w:eastAsiaTheme="minorEastAsia"/>
                      <w:szCs w:val="21"/>
                    </w:rPr>
                  </w:pPr>
                  <w:r>
                    <w:rPr>
                      <w:rFonts w:eastAsiaTheme="minorEastAsia"/>
                      <w:szCs w:val="21"/>
                    </w:rPr>
                    <w:t>9</w:t>
                  </w:r>
                </w:p>
              </w:tc>
              <w:tc>
                <w:tcPr>
                  <w:tcW w:w="2156" w:type="pct"/>
                  <w:vAlign w:val="center"/>
                </w:tcPr>
                <w:p>
                  <w:pPr>
                    <w:pStyle w:val="12"/>
                    <w:rPr>
                      <w:rFonts w:ascii="Times New Roman" w:hAnsi="Times New Roman" w:eastAsiaTheme="minorEastAsia"/>
                      <w:szCs w:val="21"/>
                    </w:rPr>
                  </w:pPr>
                  <w:r>
                    <w:rPr>
                      <w:rFonts w:ascii="Times New Roman" w:hAnsi="Times New Roman" w:eastAsiaTheme="minorEastAsia"/>
                      <w:szCs w:val="21"/>
                    </w:rPr>
                    <w:t>禁止在合规园区外新建、扩建钢铁、石化、化工、焦化、建材、有色、制浆造纸等高污染项目。</w:t>
                  </w:r>
                </w:p>
              </w:tc>
              <w:tc>
                <w:tcPr>
                  <w:tcW w:w="1570" w:type="pct"/>
                  <w:vAlign w:val="center"/>
                </w:tcPr>
                <w:p>
                  <w:pPr>
                    <w:pStyle w:val="12"/>
                    <w:jc w:val="center"/>
                    <w:rPr>
                      <w:rFonts w:ascii="Times New Roman" w:hAnsi="Times New Roman" w:eastAsiaTheme="minorEastAsia"/>
                      <w:szCs w:val="21"/>
                    </w:rPr>
                  </w:pPr>
                  <w:r>
                    <w:rPr>
                      <w:rFonts w:ascii="Times New Roman" w:hAnsi="Times New Roman" w:eastAsiaTheme="minorEastAsia"/>
                      <w:szCs w:val="21"/>
                    </w:rPr>
                    <w:t>项目位于光禄镇福光村委会，属于花卉栽培及热力供应项目，不属于钢铁、石化等高污染项目</w:t>
                  </w:r>
                </w:p>
              </w:tc>
              <w:tc>
                <w:tcPr>
                  <w:tcW w:w="715" w:type="pct"/>
                  <w:vAlign w:val="center"/>
                </w:tcPr>
                <w:p>
                  <w:pPr>
                    <w:autoSpaceDE w:val="0"/>
                    <w:autoSpaceDN w:val="0"/>
                    <w:adjustRightInd w:val="0"/>
                    <w:snapToGrid w:val="0"/>
                    <w:jc w:val="center"/>
                    <w:rPr>
                      <w:rFonts w:eastAsiaTheme="minorEastAsia"/>
                      <w:szCs w:val="21"/>
                    </w:rPr>
                  </w:pPr>
                  <w:r>
                    <w:rPr>
                      <w:rFonts w:eastAsia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Align w:val="center"/>
                </w:tcPr>
                <w:p>
                  <w:pPr>
                    <w:autoSpaceDE w:val="0"/>
                    <w:autoSpaceDN w:val="0"/>
                    <w:adjustRightInd w:val="0"/>
                    <w:snapToGrid w:val="0"/>
                    <w:jc w:val="center"/>
                    <w:rPr>
                      <w:rFonts w:eastAsiaTheme="minorEastAsia"/>
                      <w:szCs w:val="21"/>
                    </w:rPr>
                  </w:pPr>
                  <w:r>
                    <w:rPr>
                      <w:rFonts w:eastAsiaTheme="minorEastAsia"/>
                      <w:szCs w:val="21"/>
                    </w:rPr>
                    <w:t>10</w:t>
                  </w:r>
                </w:p>
              </w:tc>
              <w:tc>
                <w:tcPr>
                  <w:tcW w:w="2156" w:type="pct"/>
                  <w:vAlign w:val="center"/>
                </w:tcPr>
                <w:p>
                  <w:pPr>
                    <w:pStyle w:val="12"/>
                    <w:rPr>
                      <w:rFonts w:ascii="Times New Roman" w:hAnsi="Times New Roman" w:eastAsiaTheme="minorEastAsia"/>
                      <w:szCs w:val="21"/>
                    </w:rPr>
                  </w:pPr>
                  <w:r>
                    <w:rPr>
                      <w:rFonts w:ascii="Times New Roman" w:hAnsi="Times New Roman" w:eastAsiaTheme="minorEastAsia"/>
                      <w:szCs w:val="21"/>
                    </w:rPr>
                    <w:t>禁止新建、扩建不符合国家石化、现代煤化工等产业布局规划的项目。</w:t>
                  </w:r>
                </w:p>
              </w:tc>
              <w:tc>
                <w:tcPr>
                  <w:tcW w:w="1570" w:type="pct"/>
                  <w:vAlign w:val="center"/>
                </w:tcPr>
                <w:p>
                  <w:pPr>
                    <w:pStyle w:val="12"/>
                    <w:jc w:val="center"/>
                    <w:rPr>
                      <w:rFonts w:ascii="Times New Roman" w:hAnsi="Times New Roman" w:eastAsiaTheme="minorEastAsia"/>
                      <w:szCs w:val="21"/>
                    </w:rPr>
                  </w:pPr>
                  <w:r>
                    <w:rPr>
                      <w:rFonts w:ascii="Times New Roman" w:hAnsi="Times New Roman" w:eastAsiaTheme="minorEastAsia"/>
                      <w:szCs w:val="21"/>
                    </w:rPr>
                    <w:t>本项目不属于石化、现代煤化工项目。</w:t>
                  </w:r>
                </w:p>
              </w:tc>
              <w:tc>
                <w:tcPr>
                  <w:tcW w:w="715" w:type="pct"/>
                  <w:vAlign w:val="center"/>
                </w:tcPr>
                <w:p>
                  <w:pPr>
                    <w:autoSpaceDE w:val="0"/>
                    <w:autoSpaceDN w:val="0"/>
                    <w:adjustRightInd w:val="0"/>
                    <w:snapToGrid w:val="0"/>
                    <w:jc w:val="center"/>
                    <w:rPr>
                      <w:rFonts w:eastAsiaTheme="minorEastAsia"/>
                      <w:szCs w:val="21"/>
                    </w:rPr>
                  </w:pPr>
                  <w:r>
                    <w:rPr>
                      <w:rFonts w:eastAsia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57" w:type="pct"/>
                  <w:vAlign w:val="center"/>
                </w:tcPr>
                <w:p>
                  <w:pPr>
                    <w:autoSpaceDE w:val="0"/>
                    <w:autoSpaceDN w:val="0"/>
                    <w:adjustRightInd w:val="0"/>
                    <w:snapToGrid w:val="0"/>
                    <w:jc w:val="center"/>
                    <w:rPr>
                      <w:rFonts w:eastAsiaTheme="minorEastAsia"/>
                      <w:szCs w:val="21"/>
                    </w:rPr>
                  </w:pPr>
                  <w:r>
                    <w:rPr>
                      <w:rFonts w:eastAsiaTheme="minorEastAsia"/>
                      <w:szCs w:val="21"/>
                    </w:rPr>
                    <w:t>11</w:t>
                  </w:r>
                </w:p>
              </w:tc>
              <w:tc>
                <w:tcPr>
                  <w:tcW w:w="2156" w:type="pct"/>
                  <w:vAlign w:val="center"/>
                </w:tcPr>
                <w:p>
                  <w:pPr>
                    <w:pStyle w:val="12"/>
                    <w:rPr>
                      <w:rFonts w:ascii="Times New Roman" w:hAnsi="Times New Roman" w:eastAsiaTheme="minorEastAsia"/>
                      <w:szCs w:val="21"/>
                    </w:rPr>
                  </w:pPr>
                  <w:r>
                    <w:rPr>
                      <w:rFonts w:ascii="Times New Roman" w:hAnsi="Times New Roman" w:eastAsiaTheme="minorEastAsia"/>
                      <w:szCs w:val="21"/>
                    </w:rPr>
                    <w:t>禁止新建、扩建法律法规和相关政策明令禁止的落后产能项目。禁止新建、扩建不符合国家产能置换要求的严重过剩产能行业的项目。禁止新建、扩建不符合要求的高耗能高排放项目。</w:t>
                  </w:r>
                </w:p>
              </w:tc>
              <w:tc>
                <w:tcPr>
                  <w:tcW w:w="1570" w:type="pct"/>
                  <w:vAlign w:val="center"/>
                </w:tcPr>
                <w:p>
                  <w:pPr>
                    <w:pStyle w:val="12"/>
                    <w:rPr>
                      <w:rFonts w:ascii="Times New Roman" w:hAnsi="Times New Roman" w:eastAsiaTheme="minorEastAsia"/>
                      <w:szCs w:val="21"/>
                    </w:rPr>
                  </w:pPr>
                  <w:r>
                    <w:rPr>
                      <w:rFonts w:ascii="Times New Roman" w:hAnsi="Times New Roman" w:eastAsiaTheme="minorEastAsia"/>
                      <w:szCs w:val="21"/>
                    </w:rPr>
                    <w:t>根据前文产业政策符合性判定，本项目属于目录中的“第一类鼓励类”，项目符合国家和地方产业政策，不属于禁止落后产能项目，不属于过剩产能行业项目，不属于高耗能高排放项目。</w:t>
                  </w:r>
                </w:p>
              </w:tc>
              <w:tc>
                <w:tcPr>
                  <w:tcW w:w="715" w:type="pct"/>
                  <w:vAlign w:val="center"/>
                </w:tcPr>
                <w:p>
                  <w:pPr>
                    <w:autoSpaceDE w:val="0"/>
                    <w:autoSpaceDN w:val="0"/>
                    <w:adjustRightInd w:val="0"/>
                    <w:snapToGrid w:val="0"/>
                    <w:jc w:val="center"/>
                    <w:rPr>
                      <w:rFonts w:eastAsiaTheme="minorEastAsia"/>
                      <w:szCs w:val="21"/>
                    </w:rPr>
                  </w:pPr>
                  <w:r>
                    <w:rPr>
                      <w:rFonts w:eastAsiaTheme="minorEastAsia"/>
                      <w:szCs w:val="21"/>
                    </w:rPr>
                    <w:t>符合</w:t>
                  </w:r>
                </w:p>
              </w:tc>
            </w:tr>
          </w:tbl>
          <w:p>
            <w:pPr>
              <w:autoSpaceDE w:val="0"/>
              <w:autoSpaceDN w:val="0"/>
              <w:adjustRightInd w:val="0"/>
              <w:snapToGrid w:val="0"/>
              <w:spacing w:line="360" w:lineRule="auto"/>
              <w:jc w:val="center"/>
              <w:rPr>
                <w:b/>
                <w:bCs/>
                <w:sz w:val="24"/>
              </w:rPr>
            </w:pPr>
            <w:r>
              <w:rPr>
                <w:b/>
                <w:bCs/>
                <w:sz w:val="24"/>
              </w:rPr>
              <w:t>表1-6项目与“云南省长江经济带负面清单指南实施细则（试行，2022版）”相符性</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 w:type="dxa"/>
                <w:left w:w="28" w:type="dxa"/>
                <w:bottom w:w="11" w:type="dxa"/>
                <w:right w:w="28" w:type="dxa"/>
              </w:tblCellMar>
            </w:tblPr>
            <w:tblGrid>
              <w:gridCol w:w="488"/>
              <w:gridCol w:w="3181"/>
              <w:gridCol w:w="3181"/>
              <w:gridCol w:w="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adjustRightInd w:val="0"/>
                    <w:snapToGrid w:val="0"/>
                    <w:spacing w:before="156" w:beforeLines="50" w:after="156" w:afterLines="50"/>
                    <w:ind w:left="105" w:leftChars="50" w:right="105" w:rightChars="50"/>
                    <w:jc w:val="center"/>
                    <w:rPr>
                      <w:rFonts w:eastAsiaTheme="minorEastAsia"/>
                      <w:b/>
                      <w:szCs w:val="21"/>
                    </w:rPr>
                  </w:pPr>
                  <w:r>
                    <w:rPr>
                      <w:rFonts w:eastAsiaTheme="minorEastAsia"/>
                      <w:b/>
                      <w:szCs w:val="21"/>
                    </w:rPr>
                    <w:t>序号</w:t>
                  </w:r>
                </w:p>
              </w:tc>
              <w:tc>
                <w:tcPr>
                  <w:tcW w:w="0" w:type="auto"/>
                  <w:vAlign w:val="center"/>
                </w:tcPr>
                <w:p>
                  <w:pPr>
                    <w:adjustRightInd w:val="0"/>
                    <w:snapToGrid w:val="0"/>
                    <w:spacing w:before="156" w:beforeLines="50" w:after="156" w:afterLines="50"/>
                    <w:ind w:left="105" w:leftChars="50" w:right="105" w:rightChars="50"/>
                    <w:jc w:val="center"/>
                    <w:rPr>
                      <w:rFonts w:eastAsiaTheme="minorEastAsia"/>
                      <w:b/>
                      <w:szCs w:val="21"/>
                    </w:rPr>
                  </w:pPr>
                  <w:r>
                    <w:rPr>
                      <w:rFonts w:eastAsiaTheme="minorEastAsia"/>
                      <w:b/>
                      <w:szCs w:val="21"/>
                    </w:rPr>
                    <w:t>实施细则相关要求</w:t>
                  </w:r>
                </w:p>
              </w:tc>
              <w:tc>
                <w:tcPr>
                  <w:tcW w:w="0" w:type="auto"/>
                  <w:vAlign w:val="center"/>
                </w:tcPr>
                <w:p>
                  <w:pPr>
                    <w:adjustRightInd w:val="0"/>
                    <w:snapToGrid w:val="0"/>
                    <w:spacing w:before="156" w:beforeLines="50" w:after="156" w:afterLines="50"/>
                    <w:ind w:left="105" w:leftChars="50" w:right="105" w:rightChars="50"/>
                    <w:jc w:val="center"/>
                    <w:rPr>
                      <w:rFonts w:eastAsiaTheme="minorEastAsia"/>
                      <w:b/>
                      <w:szCs w:val="21"/>
                    </w:rPr>
                  </w:pPr>
                  <w:r>
                    <w:rPr>
                      <w:rFonts w:eastAsiaTheme="minorEastAsia"/>
                      <w:b/>
                      <w:szCs w:val="21"/>
                    </w:rPr>
                    <w:t>项目情况</w:t>
                  </w:r>
                </w:p>
              </w:tc>
              <w:tc>
                <w:tcPr>
                  <w:tcW w:w="0" w:type="auto"/>
                  <w:vAlign w:val="center"/>
                </w:tcPr>
                <w:p>
                  <w:pPr>
                    <w:adjustRightInd w:val="0"/>
                    <w:snapToGrid w:val="0"/>
                    <w:spacing w:before="156" w:beforeLines="50" w:after="156" w:afterLines="50"/>
                    <w:ind w:left="105" w:leftChars="50" w:right="105" w:rightChars="50"/>
                    <w:jc w:val="center"/>
                    <w:rPr>
                      <w:rFonts w:eastAsiaTheme="minorEastAsia"/>
                      <w:b/>
                      <w:szCs w:val="21"/>
                    </w:rPr>
                  </w:pPr>
                  <w:r>
                    <w:rPr>
                      <w:rFonts w:eastAsiaTheme="minorEastAsia"/>
                      <w:b/>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jc w:val="center"/>
              </w:trPr>
              <w:tc>
                <w:tcPr>
                  <w:tcW w:w="0" w:type="auto"/>
                  <w:vAlign w:val="center"/>
                </w:tcPr>
                <w:p>
                  <w:pPr>
                    <w:adjustRightInd w:val="0"/>
                    <w:snapToGrid w:val="0"/>
                    <w:spacing w:before="156" w:beforeLines="50" w:after="156" w:afterLines="50"/>
                    <w:ind w:left="105" w:leftChars="50" w:right="105" w:rightChars="50"/>
                    <w:rPr>
                      <w:rFonts w:eastAsiaTheme="minorEastAsia"/>
                      <w:szCs w:val="21"/>
                    </w:rPr>
                  </w:pPr>
                  <w:r>
                    <w:rPr>
                      <w:rFonts w:eastAsiaTheme="minorEastAsia"/>
                      <w:szCs w:val="21"/>
                    </w:rPr>
                    <w:t>1</w:t>
                  </w:r>
                </w:p>
              </w:tc>
              <w:tc>
                <w:tcPr>
                  <w:tcW w:w="0" w:type="auto"/>
                  <w:vAlign w:val="center"/>
                </w:tcPr>
                <w:p>
                  <w:pPr>
                    <w:adjustRightInd w:val="0"/>
                    <w:snapToGrid w:val="0"/>
                    <w:spacing w:before="156" w:beforeLines="50" w:after="156" w:afterLines="50"/>
                    <w:ind w:left="105" w:leftChars="50" w:right="105" w:rightChars="50"/>
                    <w:rPr>
                      <w:rFonts w:eastAsiaTheme="minorEastAsia"/>
                      <w:szCs w:val="21"/>
                    </w:rPr>
                  </w:pPr>
                  <w:r>
                    <w:rPr>
                      <w:rFonts w:eastAsiaTheme="minorEastAsia"/>
                      <w:szCs w:val="21"/>
                    </w:rPr>
                    <w:t>禁止新建、改建和扩建不符合《全国内河航道与港口布局规划》等全国港口规划和《昭通市港口码头岸线规划（金沙江段2019年—2035年）》  《景洪港总体规划（2019—2035年）》等州（市）级以上港口布局规划以及港口总体规划的码头项目。</w:t>
                  </w:r>
                </w:p>
              </w:tc>
              <w:tc>
                <w:tcPr>
                  <w:tcW w:w="0" w:type="auto"/>
                  <w:vAlign w:val="center"/>
                </w:tcPr>
                <w:p>
                  <w:pPr>
                    <w:adjustRightInd w:val="0"/>
                    <w:snapToGrid w:val="0"/>
                    <w:spacing w:before="156" w:beforeLines="50" w:after="156" w:afterLines="50"/>
                    <w:ind w:left="105" w:leftChars="50" w:right="105" w:rightChars="50"/>
                    <w:rPr>
                      <w:rFonts w:eastAsiaTheme="minorEastAsia"/>
                      <w:szCs w:val="21"/>
                    </w:rPr>
                  </w:pPr>
                  <w:r>
                    <w:rPr>
                      <w:rFonts w:eastAsiaTheme="minorEastAsia"/>
                      <w:szCs w:val="21"/>
                    </w:rPr>
                    <w:t>本项目属于花卉栽培及热力供应企业，不属于码头项目，不涉及全国内河航道与港口布局规划》 等全国港口规划和《昭通市港口码头岸线规划（金沙江段2019年—2035年）》《景洪港总体规划（2019—2035年）》等州（市）级以上港口布局规划以及港口总体规划的码头项目。</w:t>
                  </w:r>
                </w:p>
              </w:tc>
              <w:tc>
                <w:tcPr>
                  <w:tcW w:w="0" w:type="auto"/>
                  <w:vAlign w:val="center"/>
                </w:tcPr>
                <w:p>
                  <w:pPr>
                    <w:adjustRightInd w:val="0"/>
                    <w:snapToGrid w:val="0"/>
                    <w:spacing w:before="156" w:beforeLines="50" w:after="156" w:afterLines="50"/>
                    <w:ind w:left="105" w:leftChars="50" w:right="105" w:rightChars="50"/>
                    <w:rPr>
                      <w:rFonts w:eastAsiaTheme="minorEastAsia"/>
                      <w:szCs w:val="21"/>
                    </w:rPr>
                  </w:pPr>
                  <w:r>
                    <w:rPr>
                      <w:rFonts w:eastAsiaTheme="minorEastAsia"/>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jc w:val="center"/>
              </w:trPr>
              <w:tc>
                <w:tcPr>
                  <w:tcW w:w="0" w:type="auto"/>
                  <w:vAlign w:val="center"/>
                </w:tcPr>
                <w:p>
                  <w:pPr>
                    <w:adjustRightInd w:val="0"/>
                    <w:snapToGrid w:val="0"/>
                    <w:spacing w:before="156" w:beforeLines="50" w:after="156" w:afterLines="50"/>
                    <w:ind w:left="105" w:leftChars="50" w:right="105" w:rightChars="50"/>
                    <w:rPr>
                      <w:rFonts w:eastAsiaTheme="minorEastAsia"/>
                      <w:szCs w:val="21"/>
                    </w:rPr>
                  </w:pPr>
                  <w:r>
                    <w:rPr>
                      <w:rFonts w:eastAsiaTheme="minorEastAsia"/>
                      <w:szCs w:val="21"/>
                    </w:rPr>
                    <w:t>2</w:t>
                  </w:r>
                </w:p>
              </w:tc>
              <w:tc>
                <w:tcPr>
                  <w:tcW w:w="0" w:type="auto"/>
                  <w:vAlign w:val="center"/>
                </w:tcPr>
                <w:p>
                  <w:pPr>
                    <w:adjustRightInd w:val="0"/>
                    <w:snapToGrid w:val="0"/>
                    <w:spacing w:before="156" w:beforeLines="50" w:after="156" w:afterLines="50"/>
                    <w:ind w:left="105" w:leftChars="50" w:right="105" w:rightChars="50"/>
                    <w:rPr>
                      <w:rFonts w:eastAsiaTheme="minorEastAsia"/>
                      <w:szCs w:val="21"/>
                    </w:rPr>
                  </w:pPr>
                  <w:r>
                    <w:rPr>
                      <w:rFonts w:eastAsiaTheme="minorEastAsia"/>
                      <w:szCs w:val="21"/>
                    </w:rPr>
                    <w:t>禁止在自然保护区核心区、缓冲区的岸线和河段范围内投资建设旅游和生产经营项目。禁止建设与自然保护区保护方向不一致的旅游项目。禁止在自然保护区内进行开矿、采石、挖沙等活动。禁止在自然保护区的核心区和缓冲区内建设任何生产设施，禁止在自然保护区的实验区内建设污染环境、破坏资源或者景观的生产设施。</w:t>
                  </w:r>
                </w:p>
              </w:tc>
              <w:tc>
                <w:tcPr>
                  <w:tcW w:w="0" w:type="auto"/>
                  <w:vAlign w:val="center"/>
                </w:tcPr>
                <w:p>
                  <w:pPr>
                    <w:adjustRightInd w:val="0"/>
                    <w:snapToGrid w:val="0"/>
                    <w:spacing w:before="156" w:beforeLines="50" w:after="156" w:afterLines="50"/>
                    <w:ind w:left="105" w:leftChars="50" w:right="105" w:rightChars="50"/>
                    <w:rPr>
                      <w:rFonts w:eastAsiaTheme="minorEastAsia"/>
                      <w:szCs w:val="21"/>
                    </w:rPr>
                  </w:pPr>
                  <w:r>
                    <w:rPr>
                      <w:rFonts w:eastAsiaTheme="minorEastAsia"/>
                      <w:szCs w:val="21"/>
                    </w:rPr>
                    <w:t>项目位于光禄镇福光村委会，距离项目区最近的自然保护区为三峰山自然保护区，距离项目区约19km，不位于其核心区、缓冲区、试验区，本项目属于花卉栽培及热力供应项目，不涉及旅游项目，不涉及开矿、采石、挖沙等活动。</w:t>
                  </w:r>
                </w:p>
              </w:tc>
              <w:tc>
                <w:tcPr>
                  <w:tcW w:w="0" w:type="auto"/>
                  <w:vAlign w:val="center"/>
                </w:tcPr>
                <w:p>
                  <w:pPr>
                    <w:adjustRightInd w:val="0"/>
                    <w:snapToGrid w:val="0"/>
                    <w:spacing w:before="156" w:beforeLines="50" w:after="156" w:afterLines="50"/>
                    <w:ind w:left="105" w:leftChars="50" w:right="105" w:rightChars="50"/>
                    <w:rPr>
                      <w:rFonts w:eastAsiaTheme="minorEastAsia"/>
                      <w:szCs w:val="21"/>
                    </w:rPr>
                  </w:pPr>
                  <w:r>
                    <w:rPr>
                      <w:rFonts w:eastAsiaTheme="minorEastAsia"/>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jc w:val="center"/>
              </w:trPr>
              <w:tc>
                <w:tcPr>
                  <w:tcW w:w="0" w:type="auto"/>
                  <w:vAlign w:val="center"/>
                </w:tcPr>
                <w:p>
                  <w:pPr>
                    <w:adjustRightInd w:val="0"/>
                    <w:snapToGrid w:val="0"/>
                    <w:spacing w:before="156" w:beforeLines="50" w:after="156" w:afterLines="50"/>
                    <w:ind w:left="105" w:leftChars="50" w:right="105" w:rightChars="50"/>
                    <w:rPr>
                      <w:rFonts w:eastAsiaTheme="minorEastAsia"/>
                      <w:szCs w:val="21"/>
                    </w:rPr>
                  </w:pPr>
                  <w:r>
                    <w:rPr>
                      <w:rFonts w:eastAsiaTheme="minorEastAsia"/>
                      <w:szCs w:val="21"/>
                    </w:rPr>
                    <w:t>3</w:t>
                  </w:r>
                </w:p>
              </w:tc>
              <w:tc>
                <w:tcPr>
                  <w:tcW w:w="0" w:type="auto"/>
                  <w:vAlign w:val="center"/>
                </w:tcPr>
                <w:p>
                  <w:pPr>
                    <w:adjustRightInd w:val="0"/>
                    <w:snapToGrid w:val="0"/>
                    <w:spacing w:before="156" w:beforeLines="50" w:after="156" w:afterLines="50"/>
                    <w:ind w:left="105" w:leftChars="50" w:right="105" w:rightChars="50"/>
                    <w:rPr>
                      <w:rFonts w:eastAsiaTheme="minorEastAsia"/>
                      <w:szCs w:val="21"/>
                    </w:rPr>
                  </w:pPr>
                  <w:r>
                    <w:rPr>
                      <w:rFonts w:eastAsiaTheme="minorEastAsia"/>
                      <w:szCs w:val="21"/>
                    </w:rPr>
                    <w:t>禁止在风景名胜区核心景区的岸线和河段范围内投资建设与风景名胜资源保护无关的项目。禁止在风景名胜区内进行开山、采石、开矿、开荒、修坟立碑等破坏景观、植被和地形地貌的活动以及修建储存爆炸性、易燃性、放射性、毒害性、腐蚀性物品的设施：禁止在风景名胜区内设立开发区和在核心景区内建设宾馆、会所、培训中心、疗养院以及与风景名胜资源保护无关的投资建设项目。</w:t>
                  </w:r>
                </w:p>
              </w:tc>
              <w:tc>
                <w:tcPr>
                  <w:tcW w:w="0" w:type="auto"/>
                  <w:vAlign w:val="center"/>
                </w:tcPr>
                <w:p>
                  <w:pPr>
                    <w:adjustRightInd w:val="0"/>
                    <w:snapToGrid w:val="0"/>
                    <w:spacing w:before="156" w:beforeLines="50" w:after="156" w:afterLines="50"/>
                    <w:ind w:left="105" w:leftChars="50" w:right="105" w:rightChars="50"/>
                    <w:rPr>
                      <w:rFonts w:eastAsiaTheme="minorEastAsia"/>
                      <w:szCs w:val="21"/>
                    </w:rPr>
                  </w:pPr>
                  <w:r>
                    <w:rPr>
                      <w:rFonts w:eastAsiaTheme="minorEastAsia"/>
                      <w:szCs w:val="21"/>
                    </w:rPr>
                    <w:t>项目位于光禄镇福光村委会，不涉及风景名胜区。</w:t>
                  </w:r>
                </w:p>
              </w:tc>
              <w:tc>
                <w:tcPr>
                  <w:tcW w:w="0" w:type="auto"/>
                  <w:vAlign w:val="center"/>
                </w:tcPr>
                <w:p>
                  <w:pPr>
                    <w:adjustRightInd w:val="0"/>
                    <w:snapToGrid w:val="0"/>
                    <w:spacing w:before="156" w:beforeLines="50" w:after="156" w:afterLines="50"/>
                    <w:ind w:left="105" w:leftChars="50" w:right="105" w:rightChars="50"/>
                    <w:rPr>
                      <w:rFonts w:eastAsiaTheme="minorEastAsia"/>
                      <w:szCs w:val="21"/>
                    </w:rPr>
                  </w:pPr>
                  <w:r>
                    <w:rPr>
                      <w:rFonts w:eastAsiaTheme="minorEastAsia"/>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jc w:val="center"/>
              </w:trPr>
              <w:tc>
                <w:tcPr>
                  <w:tcW w:w="0" w:type="auto"/>
                  <w:vAlign w:val="center"/>
                </w:tcPr>
                <w:p>
                  <w:pPr>
                    <w:adjustRightInd w:val="0"/>
                    <w:snapToGrid w:val="0"/>
                    <w:spacing w:before="156" w:beforeLines="50" w:after="156" w:afterLines="50"/>
                    <w:ind w:left="105" w:leftChars="50" w:right="105" w:rightChars="50"/>
                    <w:rPr>
                      <w:rFonts w:eastAsiaTheme="minorEastAsia"/>
                      <w:szCs w:val="21"/>
                    </w:rPr>
                  </w:pPr>
                  <w:r>
                    <w:rPr>
                      <w:rFonts w:eastAsiaTheme="minorEastAsia"/>
                      <w:szCs w:val="21"/>
                    </w:rPr>
                    <w:t>4</w:t>
                  </w:r>
                </w:p>
              </w:tc>
              <w:tc>
                <w:tcPr>
                  <w:tcW w:w="0" w:type="auto"/>
                  <w:vAlign w:val="center"/>
                </w:tcPr>
                <w:p>
                  <w:pPr>
                    <w:adjustRightInd w:val="0"/>
                    <w:snapToGrid w:val="0"/>
                    <w:spacing w:before="156" w:beforeLines="50" w:after="156" w:afterLines="50"/>
                    <w:ind w:left="105" w:leftChars="50" w:right="105" w:rightChars="50"/>
                    <w:rPr>
                      <w:rFonts w:eastAsiaTheme="minorEastAsia"/>
                      <w:szCs w:val="21"/>
                    </w:rPr>
                  </w:pPr>
                  <w:r>
                    <w:rPr>
                      <w:rFonts w:eastAsiaTheme="minorEastAsia"/>
                      <w:szCs w:val="21"/>
                    </w:rPr>
                    <w:t>禁止在饮用水水源一级保护区的岸线和河段范围内新建、改建、扩建与供水设施和保护水源无关的投资建设项目，以及网箱养殖、畜禽养殖、旅游等可能污染饮用水水体的投资建设项目。禁止在饮用水水源二级保护区的岸线和河段范围内新建、改建、扩建排放污染物的投资建设项目。</w:t>
                  </w:r>
                </w:p>
              </w:tc>
              <w:tc>
                <w:tcPr>
                  <w:tcW w:w="0" w:type="auto"/>
                  <w:vAlign w:val="center"/>
                </w:tcPr>
                <w:p>
                  <w:pPr>
                    <w:adjustRightInd w:val="0"/>
                    <w:snapToGrid w:val="0"/>
                    <w:spacing w:before="156" w:beforeLines="50" w:after="156" w:afterLines="50"/>
                    <w:ind w:left="105" w:leftChars="50" w:right="105" w:rightChars="50"/>
                    <w:rPr>
                      <w:rFonts w:eastAsiaTheme="minorEastAsia"/>
                      <w:szCs w:val="21"/>
                    </w:rPr>
                  </w:pPr>
                  <w:r>
                    <w:rPr>
                      <w:rFonts w:eastAsiaTheme="minorEastAsia"/>
                      <w:szCs w:val="21"/>
                    </w:rPr>
                    <w:t>最近的饮用水源地为洋派水库，位于项目区西南侧，距离项目区约4km，项目不位于其一级保护区、二级保护区内。</w:t>
                  </w:r>
                </w:p>
              </w:tc>
              <w:tc>
                <w:tcPr>
                  <w:tcW w:w="0" w:type="auto"/>
                  <w:vAlign w:val="center"/>
                </w:tcPr>
                <w:p>
                  <w:pPr>
                    <w:adjustRightInd w:val="0"/>
                    <w:snapToGrid w:val="0"/>
                    <w:spacing w:before="156" w:beforeLines="50" w:after="156" w:afterLines="50"/>
                    <w:ind w:left="105" w:leftChars="50" w:right="105" w:rightChars="50"/>
                    <w:rPr>
                      <w:rFonts w:eastAsiaTheme="minorEastAsia"/>
                      <w:szCs w:val="21"/>
                    </w:rPr>
                  </w:pPr>
                  <w:r>
                    <w:rPr>
                      <w:rFonts w:eastAsiaTheme="minorEastAsia"/>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jc w:val="center"/>
              </w:trPr>
              <w:tc>
                <w:tcPr>
                  <w:tcW w:w="0" w:type="auto"/>
                  <w:vAlign w:val="center"/>
                </w:tcPr>
                <w:p>
                  <w:pPr>
                    <w:adjustRightInd w:val="0"/>
                    <w:snapToGrid w:val="0"/>
                    <w:spacing w:before="156" w:beforeLines="50" w:after="156" w:afterLines="50"/>
                    <w:ind w:left="105" w:leftChars="50" w:right="105" w:rightChars="50"/>
                    <w:rPr>
                      <w:rFonts w:eastAsiaTheme="minorEastAsia"/>
                      <w:szCs w:val="21"/>
                    </w:rPr>
                  </w:pPr>
                  <w:r>
                    <w:rPr>
                      <w:rFonts w:eastAsiaTheme="minorEastAsia"/>
                      <w:szCs w:val="21"/>
                    </w:rPr>
                    <w:t>5</w:t>
                  </w:r>
                </w:p>
              </w:tc>
              <w:tc>
                <w:tcPr>
                  <w:tcW w:w="0" w:type="auto"/>
                  <w:vAlign w:val="center"/>
                </w:tcPr>
                <w:p>
                  <w:pPr>
                    <w:adjustRightInd w:val="0"/>
                    <w:snapToGrid w:val="0"/>
                    <w:spacing w:before="156" w:beforeLines="50" w:after="156" w:afterLines="50"/>
                    <w:ind w:left="105" w:leftChars="50" w:right="105" w:rightChars="50"/>
                    <w:rPr>
                      <w:rFonts w:eastAsiaTheme="minorEastAsia"/>
                      <w:szCs w:val="21"/>
                    </w:rPr>
                  </w:pPr>
                  <w:r>
                    <w:rPr>
                      <w:rFonts w:eastAsiaTheme="minorEastAsia"/>
                      <w:szCs w:val="21"/>
                    </w:rPr>
                    <w:t>禁止在水产种质资源保护区的岸线和河段范围内新建围湖造田、围湖造地或围湖填海等投资建设项目。禁止擅自征收、占用国家湿地公园的土地：禁止在国家湿地公园内挖沙、采矿，以及建设度假村、高尔夫球场等任何不符合主体功能定位的投资建设项目。</w:t>
                  </w:r>
                </w:p>
              </w:tc>
              <w:tc>
                <w:tcPr>
                  <w:tcW w:w="0" w:type="auto"/>
                  <w:vAlign w:val="center"/>
                </w:tcPr>
                <w:p>
                  <w:pPr>
                    <w:adjustRightInd w:val="0"/>
                    <w:snapToGrid w:val="0"/>
                    <w:spacing w:before="156" w:beforeLines="50" w:after="156" w:afterLines="50"/>
                    <w:ind w:left="105" w:leftChars="50" w:right="105" w:rightChars="50"/>
                    <w:rPr>
                      <w:rFonts w:eastAsiaTheme="minorEastAsia"/>
                      <w:szCs w:val="21"/>
                    </w:rPr>
                  </w:pPr>
                  <w:r>
                    <w:rPr>
                      <w:rFonts w:eastAsiaTheme="minorEastAsia"/>
                      <w:szCs w:val="21"/>
                    </w:rPr>
                    <w:t>项目位于光禄镇福光村委会，项目最近地表水体为1900m的西运河，不属于水产种质资源保护区：项目不涉及国家湿地公园。</w:t>
                  </w:r>
                </w:p>
              </w:tc>
              <w:tc>
                <w:tcPr>
                  <w:tcW w:w="0" w:type="auto"/>
                  <w:vAlign w:val="center"/>
                </w:tcPr>
                <w:p>
                  <w:pPr>
                    <w:adjustRightInd w:val="0"/>
                    <w:snapToGrid w:val="0"/>
                    <w:spacing w:before="156" w:beforeLines="50" w:after="156" w:afterLines="50"/>
                    <w:ind w:left="105" w:leftChars="50" w:right="105" w:rightChars="50"/>
                    <w:rPr>
                      <w:rFonts w:eastAsiaTheme="minorEastAsia"/>
                      <w:szCs w:val="21"/>
                    </w:rPr>
                  </w:pPr>
                  <w:r>
                    <w:rPr>
                      <w:rFonts w:eastAsiaTheme="minorEastAsia"/>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jc w:val="center"/>
              </w:trPr>
              <w:tc>
                <w:tcPr>
                  <w:tcW w:w="0" w:type="auto"/>
                  <w:vAlign w:val="center"/>
                </w:tcPr>
                <w:p>
                  <w:pPr>
                    <w:adjustRightInd w:val="0"/>
                    <w:snapToGrid w:val="0"/>
                    <w:spacing w:before="156" w:beforeLines="50" w:after="156" w:afterLines="50"/>
                    <w:ind w:left="105" w:leftChars="50" w:right="105" w:rightChars="50"/>
                    <w:rPr>
                      <w:rFonts w:eastAsiaTheme="minorEastAsia"/>
                      <w:szCs w:val="21"/>
                    </w:rPr>
                  </w:pPr>
                  <w:r>
                    <w:rPr>
                      <w:rFonts w:eastAsiaTheme="minorEastAsia"/>
                      <w:szCs w:val="21"/>
                    </w:rPr>
                    <w:t>6</w:t>
                  </w:r>
                </w:p>
              </w:tc>
              <w:tc>
                <w:tcPr>
                  <w:tcW w:w="0" w:type="auto"/>
                  <w:vAlign w:val="center"/>
                </w:tcPr>
                <w:p>
                  <w:pPr>
                    <w:adjustRightInd w:val="0"/>
                    <w:snapToGrid w:val="0"/>
                    <w:spacing w:before="156" w:beforeLines="50" w:after="156" w:afterLines="50"/>
                    <w:ind w:left="105" w:leftChars="50" w:right="105" w:rightChars="50"/>
                    <w:rPr>
                      <w:rFonts w:eastAsiaTheme="minorEastAsia"/>
                      <w:szCs w:val="21"/>
                    </w:rPr>
                  </w:pPr>
                  <w:r>
                    <w:rPr>
                      <w:rFonts w:eastAsiaTheme="minorEastAsia"/>
                      <w:szCs w:val="21"/>
                    </w:rPr>
                    <w:t>禁止违法利用、占用长江流域河湖岸线。禁止在金沙江岸线保护区和保留区内投资建设除事关公共安全及公众利益的防洪护岸、河道治理、供水、生态环境保护、航道整治、国家重要基础设施以外的项目。禁止在金沙江干流、九大高原湖泊保护区、保留区内投资建设不利于水资源及自然生态保护的项目。</w:t>
                  </w:r>
                </w:p>
              </w:tc>
              <w:tc>
                <w:tcPr>
                  <w:tcW w:w="0" w:type="auto"/>
                  <w:vAlign w:val="center"/>
                </w:tcPr>
                <w:p>
                  <w:pPr>
                    <w:adjustRightInd w:val="0"/>
                    <w:snapToGrid w:val="0"/>
                    <w:spacing w:before="156" w:beforeLines="50" w:after="156" w:afterLines="50"/>
                    <w:ind w:left="105" w:leftChars="50" w:right="105" w:rightChars="50"/>
                    <w:rPr>
                      <w:rFonts w:eastAsiaTheme="minorEastAsia"/>
                      <w:szCs w:val="21"/>
                    </w:rPr>
                  </w:pPr>
                  <w:r>
                    <w:rPr>
                      <w:rFonts w:eastAsiaTheme="minorEastAsia"/>
                      <w:szCs w:val="21"/>
                    </w:rPr>
                    <w:t>项目位于光禄镇福光村委会，不涉及占用利用、占用长江流域河湖岸线：不位于金沙江岸线保护区和保留区内：项目最近地表水体为1900m的西运河，不属于金沙江干流、九大高原湖泊保护区、保留区。</w:t>
                  </w:r>
                </w:p>
              </w:tc>
              <w:tc>
                <w:tcPr>
                  <w:tcW w:w="0" w:type="auto"/>
                  <w:vAlign w:val="center"/>
                </w:tcPr>
                <w:p>
                  <w:pPr>
                    <w:adjustRightInd w:val="0"/>
                    <w:snapToGrid w:val="0"/>
                    <w:spacing w:before="156" w:beforeLines="50" w:after="156" w:afterLines="50"/>
                    <w:ind w:left="105" w:leftChars="50" w:right="105" w:rightChars="50"/>
                    <w:rPr>
                      <w:rFonts w:eastAsiaTheme="minorEastAsia"/>
                      <w:szCs w:val="21"/>
                    </w:rPr>
                  </w:pPr>
                  <w:r>
                    <w:rPr>
                      <w:rFonts w:eastAsiaTheme="minorEastAsia"/>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jc w:val="center"/>
              </w:trPr>
              <w:tc>
                <w:tcPr>
                  <w:tcW w:w="0" w:type="auto"/>
                  <w:vAlign w:val="center"/>
                </w:tcPr>
                <w:p>
                  <w:pPr>
                    <w:adjustRightInd w:val="0"/>
                    <w:snapToGrid w:val="0"/>
                    <w:spacing w:before="156" w:beforeLines="50" w:after="156" w:afterLines="50"/>
                    <w:ind w:left="105" w:leftChars="50" w:right="105" w:rightChars="50"/>
                    <w:rPr>
                      <w:rFonts w:eastAsiaTheme="minorEastAsia"/>
                      <w:szCs w:val="21"/>
                    </w:rPr>
                  </w:pPr>
                  <w:r>
                    <w:rPr>
                      <w:rFonts w:eastAsiaTheme="minorEastAsia"/>
                      <w:szCs w:val="21"/>
                    </w:rPr>
                    <w:t>7</w:t>
                  </w:r>
                </w:p>
              </w:tc>
              <w:tc>
                <w:tcPr>
                  <w:tcW w:w="0" w:type="auto"/>
                  <w:vAlign w:val="center"/>
                </w:tcPr>
                <w:p>
                  <w:pPr>
                    <w:adjustRightInd w:val="0"/>
                    <w:snapToGrid w:val="0"/>
                    <w:spacing w:before="156" w:beforeLines="50" w:after="156" w:afterLines="50"/>
                    <w:ind w:left="105" w:leftChars="50" w:right="105" w:rightChars="50"/>
                    <w:rPr>
                      <w:rFonts w:eastAsiaTheme="minorEastAsia"/>
                      <w:szCs w:val="21"/>
                    </w:rPr>
                  </w:pPr>
                  <w:r>
                    <w:rPr>
                      <w:rFonts w:eastAsiaTheme="minorEastAsia"/>
                      <w:szCs w:val="21"/>
                    </w:rPr>
                    <w:t>禁止在金沙江干流、长江一级支流建设除党中央、国务院、国家投资主管部门、省级有关部门批复同意以外的过江基础设施项目：禁止未经许可在金沙江干流、长江一级支流、九大高原湖泊流域新设、改设或扩大排污口。</w:t>
                  </w:r>
                </w:p>
              </w:tc>
              <w:tc>
                <w:tcPr>
                  <w:tcW w:w="0" w:type="auto"/>
                  <w:vAlign w:val="center"/>
                </w:tcPr>
                <w:p>
                  <w:pPr>
                    <w:adjustRightInd w:val="0"/>
                    <w:snapToGrid w:val="0"/>
                    <w:spacing w:before="156" w:beforeLines="50" w:after="156" w:afterLines="50"/>
                    <w:ind w:left="105" w:leftChars="50" w:right="105" w:rightChars="50"/>
                    <w:rPr>
                      <w:rFonts w:eastAsiaTheme="minorEastAsia"/>
                      <w:szCs w:val="21"/>
                    </w:rPr>
                  </w:pPr>
                  <w:r>
                    <w:rPr>
                      <w:rFonts w:eastAsiaTheme="minorEastAsia"/>
                      <w:szCs w:val="21"/>
                    </w:rPr>
                    <w:t>项目最近地表水体为1900m的西运河，不属于金沙江干流、长江一级支流：项目不涉及在金沙江干流、长江一级支流、九大高原湖泊流域新设、改设或扩大排污口。</w:t>
                  </w:r>
                </w:p>
              </w:tc>
              <w:tc>
                <w:tcPr>
                  <w:tcW w:w="0" w:type="auto"/>
                  <w:vAlign w:val="center"/>
                </w:tcPr>
                <w:p>
                  <w:pPr>
                    <w:adjustRightInd w:val="0"/>
                    <w:snapToGrid w:val="0"/>
                    <w:spacing w:before="156" w:beforeLines="50" w:after="156" w:afterLines="50"/>
                    <w:ind w:left="105" w:leftChars="50" w:right="105" w:rightChars="50"/>
                    <w:rPr>
                      <w:rFonts w:eastAsiaTheme="minorEastAsia"/>
                      <w:szCs w:val="21"/>
                    </w:rPr>
                  </w:pPr>
                  <w:r>
                    <w:rPr>
                      <w:rFonts w:eastAsiaTheme="minorEastAsia"/>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jc w:val="center"/>
              </w:trPr>
              <w:tc>
                <w:tcPr>
                  <w:tcW w:w="0" w:type="auto"/>
                  <w:vAlign w:val="center"/>
                </w:tcPr>
                <w:p>
                  <w:pPr>
                    <w:adjustRightInd w:val="0"/>
                    <w:snapToGrid w:val="0"/>
                    <w:spacing w:before="156" w:beforeLines="50" w:after="156" w:afterLines="50"/>
                    <w:ind w:left="105" w:leftChars="50" w:right="105" w:rightChars="50"/>
                    <w:rPr>
                      <w:rFonts w:eastAsiaTheme="minorEastAsia"/>
                      <w:szCs w:val="21"/>
                    </w:rPr>
                  </w:pPr>
                  <w:r>
                    <w:rPr>
                      <w:rFonts w:eastAsiaTheme="minorEastAsia"/>
                      <w:szCs w:val="21"/>
                    </w:rPr>
                    <w:t>8</w:t>
                  </w:r>
                </w:p>
              </w:tc>
              <w:tc>
                <w:tcPr>
                  <w:tcW w:w="0" w:type="auto"/>
                  <w:vAlign w:val="center"/>
                </w:tcPr>
                <w:p>
                  <w:pPr>
                    <w:adjustRightInd w:val="0"/>
                    <w:snapToGrid w:val="0"/>
                    <w:spacing w:before="156" w:beforeLines="50" w:after="156" w:afterLines="50"/>
                    <w:ind w:left="105" w:leftChars="50" w:right="105" w:rightChars="50"/>
                    <w:rPr>
                      <w:rFonts w:eastAsiaTheme="minorEastAsia"/>
                      <w:szCs w:val="21"/>
                    </w:rPr>
                  </w:pPr>
                  <w:r>
                    <w:rPr>
                      <w:rFonts w:eastAsiaTheme="minorEastAsia"/>
                      <w:szCs w:val="21"/>
                    </w:rPr>
                    <w:t>禁止在金沙江干流、长江一级支流、水生生物保护区和长江流域禁捕水域开展天然渔业资源生产性捕捞。</w:t>
                  </w:r>
                </w:p>
              </w:tc>
              <w:tc>
                <w:tcPr>
                  <w:tcW w:w="0" w:type="auto"/>
                  <w:vAlign w:val="center"/>
                </w:tcPr>
                <w:p>
                  <w:pPr>
                    <w:adjustRightInd w:val="0"/>
                    <w:snapToGrid w:val="0"/>
                    <w:spacing w:before="156" w:beforeLines="50" w:after="156" w:afterLines="50"/>
                    <w:ind w:left="105" w:leftChars="50" w:right="105" w:rightChars="50"/>
                    <w:rPr>
                      <w:rFonts w:eastAsiaTheme="minorEastAsia"/>
                      <w:szCs w:val="21"/>
                    </w:rPr>
                  </w:pPr>
                  <w:r>
                    <w:rPr>
                      <w:rFonts w:eastAsiaTheme="minorEastAsia"/>
                      <w:szCs w:val="21"/>
                    </w:rPr>
                    <w:t>项目位于光禄镇福光村委会，属于花卉栽培及热力供应企业，项目不涉及在金沙江干流、长江一级支流，不涉及天然渔业资源生产性捕捞活动。</w:t>
                  </w:r>
                </w:p>
              </w:tc>
              <w:tc>
                <w:tcPr>
                  <w:tcW w:w="0" w:type="auto"/>
                  <w:vAlign w:val="center"/>
                </w:tcPr>
                <w:p>
                  <w:pPr>
                    <w:adjustRightInd w:val="0"/>
                    <w:snapToGrid w:val="0"/>
                    <w:spacing w:before="156" w:beforeLines="50" w:after="156" w:afterLines="50"/>
                    <w:ind w:left="105" w:leftChars="50" w:right="105" w:rightChars="50"/>
                    <w:rPr>
                      <w:rFonts w:eastAsiaTheme="minorEastAsia"/>
                      <w:szCs w:val="21"/>
                    </w:rPr>
                  </w:pPr>
                  <w:r>
                    <w:rPr>
                      <w:rFonts w:eastAsiaTheme="minorEastAsia"/>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jc w:val="center"/>
              </w:trPr>
              <w:tc>
                <w:tcPr>
                  <w:tcW w:w="0" w:type="auto"/>
                  <w:vAlign w:val="center"/>
                </w:tcPr>
                <w:p>
                  <w:pPr>
                    <w:adjustRightInd w:val="0"/>
                    <w:snapToGrid w:val="0"/>
                    <w:spacing w:before="156" w:beforeLines="50" w:after="156" w:afterLines="50"/>
                    <w:ind w:left="105" w:leftChars="50" w:right="105" w:rightChars="50"/>
                    <w:rPr>
                      <w:rFonts w:eastAsiaTheme="minorEastAsia"/>
                      <w:szCs w:val="21"/>
                    </w:rPr>
                  </w:pPr>
                  <w:r>
                    <w:rPr>
                      <w:rFonts w:eastAsiaTheme="minorEastAsia"/>
                      <w:szCs w:val="21"/>
                    </w:rPr>
                    <w:t>9</w:t>
                  </w:r>
                </w:p>
              </w:tc>
              <w:tc>
                <w:tcPr>
                  <w:tcW w:w="0" w:type="auto"/>
                  <w:vAlign w:val="center"/>
                </w:tcPr>
                <w:p>
                  <w:pPr>
                    <w:adjustRightInd w:val="0"/>
                    <w:snapToGrid w:val="0"/>
                    <w:spacing w:before="156" w:beforeLines="50" w:after="156" w:afterLines="50"/>
                    <w:ind w:left="105" w:leftChars="50" w:right="105" w:rightChars="50"/>
                    <w:rPr>
                      <w:rFonts w:eastAsiaTheme="minorEastAsia"/>
                      <w:szCs w:val="21"/>
                    </w:rPr>
                  </w:pPr>
                  <w:r>
                    <w:rPr>
                      <w:rFonts w:eastAsiaTheme="minorEastAsia"/>
                      <w:szCs w:val="21"/>
                    </w:rPr>
                    <w:t>禁止在金沙江干流，长江一级支流和九大高原湖泊岸线一公里范围内新建、扩建化工园区和化工项目。禁止在金沙江干流岸线三公里范围内和长江一级支流岸线一公里范围内新建、改建、扩建尾矿库、冶炼渣库和磷石膏库，以提升安全、生态环境保护水平为目的的改建除外。</w:t>
                  </w:r>
                </w:p>
              </w:tc>
              <w:tc>
                <w:tcPr>
                  <w:tcW w:w="0" w:type="auto"/>
                  <w:vAlign w:val="center"/>
                </w:tcPr>
                <w:p>
                  <w:pPr>
                    <w:adjustRightInd w:val="0"/>
                    <w:snapToGrid w:val="0"/>
                    <w:spacing w:before="156" w:beforeLines="50" w:after="156" w:afterLines="50"/>
                    <w:ind w:left="105" w:leftChars="50" w:right="105" w:rightChars="50"/>
                    <w:rPr>
                      <w:rFonts w:eastAsiaTheme="minorEastAsia"/>
                      <w:szCs w:val="21"/>
                    </w:rPr>
                  </w:pPr>
                  <w:r>
                    <w:rPr>
                      <w:rFonts w:eastAsiaTheme="minorEastAsia"/>
                      <w:szCs w:val="21"/>
                    </w:rPr>
                    <w:t>本项目位于西运河西面1900m，西运河属于金沙江水系龙川江支流，不属于金沙江干流，长江一级支流和九大高原湖泊岸线一公里范围内：项目属于花卉栽培及热力供应制造企业，不涉及新建、改建、扩建尾矿库、冶炼渣库和磷石膏库。</w:t>
                  </w:r>
                </w:p>
              </w:tc>
              <w:tc>
                <w:tcPr>
                  <w:tcW w:w="0" w:type="auto"/>
                  <w:vAlign w:val="center"/>
                </w:tcPr>
                <w:p>
                  <w:pPr>
                    <w:adjustRightInd w:val="0"/>
                    <w:snapToGrid w:val="0"/>
                    <w:spacing w:before="156" w:beforeLines="50" w:after="156" w:afterLines="50"/>
                    <w:ind w:left="105" w:leftChars="50" w:right="105" w:rightChars="50"/>
                    <w:rPr>
                      <w:rFonts w:eastAsiaTheme="minorEastAsia"/>
                      <w:szCs w:val="21"/>
                    </w:rPr>
                  </w:pPr>
                  <w:r>
                    <w:rPr>
                      <w:rFonts w:eastAsiaTheme="minorEastAsia"/>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jc w:val="center"/>
              </w:trPr>
              <w:tc>
                <w:tcPr>
                  <w:tcW w:w="0" w:type="auto"/>
                  <w:vAlign w:val="center"/>
                </w:tcPr>
                <w:p>
                  <w:pPr>
                    <w:adjustRightInd w:val="0"/>
                    <w:snapToGrid w:val="0"/>
                    <w:spacing w:before="156" w:beforeLines="50" w:after="156" w:afterLines="50"/>
                    <w:ind w:left="105" w:leftChars="50" w:right="105" w:rightChars="50"/>
                    <w:rPr>
                      <w:rFonts w:eastAsiaTheme="minorEastAsia"/>
                      <w:szCs w:val="21"/>
                    </w:rPr>
                  </w:pPr>
                  <w:r>
                    <w:rPr>
                      <w:rFonts w:eastAsiaTheme="minorEastAsia"/>
                      <w:szCs w:val="21"/>
                    </w:rPr>
                    <w:t>10</w:t>
                  </w:r>
                </w:p>
              </w:tc>
              <w:tc>
                <w:tcPr>
                  <w:tcW w:w="0" w:type="auto"/>
                  <w:vAlign w:val="center"/>
                </w:tcPr>
                <w:p>
                  <w:pPr>
                    <w:adjustRightInd w:val="0"/>
                    <w:snapToGrid w:val="0"/>
                    <w:spacing w:before="156" w:beforeLines="50" w:after="156" w:afterLines="50"/>
                    <w:ind w:left="105" w:leftChars="50" w:right="105" w:rightChars="50"/>
                    <w:rPr>
                      <w:rFonts w:eastAsiaTheme="minorEastAsia"/>
                      <w:szCs w:val="21"/>
                    </w:rPr>
                  </w:pPr>
                  <w:r>
                    <w:rPr>
                      <w:rFonts w:eastAsiaTheme="minorEastAsia"/>
                      <w:szCs w:val="21"/>
                    </w:rPr>
                    <w:t>禁止在合规园区外新建、扩建钢铁、石化、化工、焦化、建材、有色、制浆造纸行业中的高污染项目。</w:t>
                  </w:r>
                </w:p>
              </w:tc>
              <w:tc>
                <w:tcPr>
                  <w:tcW w:w="0" w:type="auto"/>
                  <w:vAlign w:val="center"/>
                </w:tcPr>
                <w:p>
                  <w:pPr>
                    <w:adjustRightInd w:val="0"/>
                    <w:snapToGrid w:val="0"/>
                    <w:spacing w:before="156" w:beforeLines="50" w:after="156" w:afterLines="50"/>
                    <w:ind w:left="105" w:leftChars="50" w:right="105" w:rightChars="50"/>
                    <w:rPr>
                      <w:rFonts w:eastAsiaTheme="minorEastAsia"/>
                      <w:szCs w:val="21"/>
                    </w:rPr>
                  </w:pPr>
                  <w:r>
                    <w:rPr>
                      <w:rFonts w:eastAsiaTheme="minorEastAsia"/>
                      <w:szCs w:val="21"/>
                    </w:rPr>
                    <w:t>本项目属于花卉栽培及热力供应企业，在租赁地块新建厂房，租赁地块为其他用地。</w:t>
                  </w:r>
                </w:p>
              </w:tc>
              <w:tc>
                <w:tcPr>
                  <w:tcW w:w="0" w:type="auto"/>
                  <w:vAlign w:val="center"/>
                </w:tcPr>
                <w:p>
                  <w:pPr>
                    <w:adjustRightInd w:val="0"/>
                    <w:snapToGrid w:val="0"/>
                    <w:spacing w:before="156" w:beforeLines="50" w:after="156" w:afterLines="50"/>
                    <w:ind w:left="105" w:leftChars="50" w:right="105" w:rightChars="50"/>
                    <w:rPr>
                      <w:rFonts w:eastAsiaTheme="minorEastAsia"/>
                      <w:szCs w:val="21"/>
                    </w:rPr>
                  </w:pPr>
                  <w:r>
                    <w:rPr>
                      <w:rFonts w:eastAsiaTheme="minorEastAsia"/>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jc w:val="center"/>
              </w:trPr>
              <w:tc>
                <w:tcPr>
                  <w:tcW w:w="0" w:type="auto"/>
                  <w:vAlign w:val="center"/>
                </w:tcPr>
                <w:p>
                  <w:pPr>
                    <w:adjustRightInd w:val="0"/>
                    <w:snapToGrid w:val="0"/>
                    <w:spacing w:before="156" w:beforeLines="50" w:after="156" w:afterLines="50"/>
                    <w:ind w:left="105" w:leftChars="50" w:right="105" w:rightChars="50"/>
                    <w:rPr>
                      <w:rFonts w:eastAsiaTheme="minorEastAsia"/>
                      <w:szCs w:val="21"/>
                    </w:rPr>
                  </w:pPr>
                  <w:r>
                    <w:rPr>
                      <w:rFonts w:eastAsiaTheme="minorEastAsia"/>
                      <w:szCs w:val="21"/>
                    </w:rPr>
                    <w:t>11</w:t>
                  </w:r>
                </w:p>
              </w:tc>
              <w:tc>
                <w:tcPr>
                  <w:tcW w:w="0" w:type="auto"/>
                  <w:vAlign w:val="center"/>
                </w:tcPr>
                <w:p>
                  <w:pPr>
                    <w:adjustRightInd w:val="0"/>
                    <w:snapToGrid w:val="0"/>
                    <w:spacing w:before="156" w:beforeLines="50" w:after="156" w:afterLines="50"/>
                    <w:ind w:left="105" w:leftChars="50" w:right="105" w:rightChars="50"/>
                    <w:rPr>
                      <w:rFonts w:eastAsiaTheme="minorEastAsia"/>
                      <w:szCs w:val="21"/>
                    </w:rPr>
                  </w:pPr>
                  <w:r>
                    <w:rPr>
                      <w:rFonts w:eastAsiaTheme="minorEastAsia"/>
                      <w:szCs w:val="21"/>
                    </w:rPr>
                    <w:t>禁止新建、扩建不符合国家石化、现代煤化工等产业布局规划的项目。禁止列入《云南省城镇人口密集区危险化学品生产企业搬迁改造名单》的搬迁改造企业在原址新建、扩建危险化学品生产项目。</w:t>
                  </w:r>
                </w:p>
              </w:tc>
              <w:tc>
                <w:tcPr>
                  <w:tcW w:w="0" w:type="auto"/>
                  <w:vAlign w:val="center"/>
                </w:tcPr>
                <w:p>
                  <w:pPr>
                    <w:adjustRightInd w:val="0"/>
                    <w:snapToGrid w:val="0"/>
                    <w:spacing w:before="156" w:beforeLines="50" w:after="156" w:afterLines="50"/>
                    <w:ind w:left="105" w:leftChars="50" w:right="105" w:rightChars="50"/>
                    <w:rPr>
                      <w:rFonts w:eastAsiaTheme="minorEastAsia"/>
                      <w:szCs w:val="21"/>
                    </w:rPr>
                  </w:pPr>
                  <w:r>
                    <w:rPr>
                      <w:rFonts w:eastAsiaTheme="minorEastAsia"/>
                      <w:szCs w:val="21"/>
                    </w:rPr>
                    <w:t>项目属于花卉栽培及热力供应企业，不涉及新建、扩建不符合国家石化、现代煤化工等产业布局规划的项目：项目不属于《云南省城镇人口密集区危险化学品生产企业搬迁改造名单》的搬迁改造企业。</w:t>
                  </w:r>
                </w:p>
              </w:tc>
              <w:tc>
                <w:tcPr>
                  <w:tcW w:w="0" w:type="auto"/>
                  <w:vAlign w:val="center"/>
                </w:tcPr>
                <w:p>
                  <w:pPr>
                    <w:adjustRightInd w:val="0"/>
                    <w:snapToGrid w:val="0"/>
                    <w:spacing w:before="156" w:beforeLines="50" w:after="156" w:afterLines="50"/>
                    <w:ind w:left="105" w:leftChars="50" w:right="105" w:rightChars="50"/>
                    <w:rPr>
                      <w:rFonts w:eastAsiaTheme="minorEastAsia"/>
                      <w:szCs w:val="21"/>
                    </w:rPr>
                  </w:pPr>
                  <w:r>
                    <w:rPr>
                      <w:rFonts w:eastAsiaTheme="minorEastAsia"/>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jc w:val="center"/>
              </w:trPr>
              <w:tc>
                <w:tcPr>
                  <w:tcW w:w="0" w:type="auto"/>
                  <w:vAlign w:val="center"/>
                </w:tcPr>
                <w:p>
                  <w:pPr>
                    <w:adjustRightInd w:val="0"/>
                    <w:snapToGrid w:val="0"/>
                    <w:spacing w:before="156" w:beforeLines="50" w:after="156" w:afterLines="50"/>
                    <w:ind w:left="105" w:leftChars="50" w:right="105" w:rightChars="50"/>
                    <w:rPr>
                      <w:rFonts w:eastAsiaTheme="minorEastAsia"/>
                      <w:szCs w:val="21"/>
                    </w:rPr>
                  </w:pPr>
                  <w:r>
                    <w:rPr>
                      <w:rFonts w:eastAsiaTheme="minorEastAsia"/>
                      <w:szCs w:val="21"/>
                    </w:rPr>
                    <w:t>12</w:t>
                  </w:r>
                </w:p>
              </w:tc>
              <w:tc>
                <w:tcPr>
                  <w:tcW w:w="0" w:type="auto"/>
                  <w:vAlign w:val="center"/>
                </w:tcPr>
                <w:p>
                  <w:pPr>
                    <w:adjustRightInd w:val="0"/>
                    <w:snapToGrid w:val="0"/>
                    <w:spacing w:before="156" w:beforeLines="50" w:after="156" w:afterLines="50"/>
                    <w:ind w:left="105" w:leftChars="50" w:right="105" w:rightChars="50"/>
                    <w:rPr>
                      <w:rFonts w:eastAsiaTheme="minorEastAsia"/>
                      <w:szCs w:val="21"/>
                    </w:rPr>
                  </w:pPr>
                  <w:r>
                    <w:rPr>
                      <w:rFonts w:eastAsiaTheme="minorEastAsia"/>
                      <w:szCs w:val="21"/>
                    </w:rPr>
                    <w:t>禁止新建、扩建法律法规和相关政策明令禁止的落后产能项目，依法依规关停退出能耗、环保、质量、安全不达标产能和技术落后产能。禁止新建、扩建不符合国家产能置换要求的过剩产能行业的项目。禁止新建、扩建不符合要求的高耗能、高排放项目，推动退出重点高耗能行业“限制类”产能。禁止建设高毒高残留以及对环境影响大的农药原药生产装置，严控尿素、磷铵、电石、焦炭、黄磷、烧碱、纯碱、聚氯乙烯等行业新增产能。</w:t>
                  </w:r>
                </w:p>
              </w:tc>
              <w:tc>
                <w:tcPr>
                  <w:tcW w:w="0" w:type="auto"/>
                  <w:vAlign w:val="center"/>
                </w:tcPr>
                <w:p>
                  <w:pPr>
                    <w:adjustRightInd w:val="0"/>
                    <w:snapToGrid w:val="0"/>
                    <w:spacing w:before="156" w:beforeLines="50" w:after="156" w:afterLines="50"/>
                    <w:ind w:left="105" w:leftChars="50" w:right="105" w:rightChars="50"/>
                    <w:rPr>
                      <w:rFonts w:eastAsiaTheme="minorEastAsia"/>
                      <w:szCs w:val="21"/>
                    </w:rPr>
                  </w:pPr>
                  <w:r>
                    <w:rPr>
                      <w:rFonts w:eastAsiaTheme="minorEastAsia"/>
                      <w:szCs w:val="21"/>
                    </w:rPr>
                    <w:t>根据前文产业政策符合性判定，本项目属于目录中的“第一类鼓励类”，所以项目符合国家现行产业政策要求。不属于依法依规关停退出能耗、环保、质量、安全不达标产能和技术落后产能：项目符合《产业结构调整指导目录（2021年修订）》，不属于国家产能置换要求的严重过剩产能行业的项目：不属于高耗能高排放项目。项目不涉及建设高毒高残留以及对环境影响大的农药原药生产装置：不涉及尿素、磷铵、电石、焦炭、黄磷、烧碱、纯碱、聚氯乙烯等行业新增产能。</w:t>
                  </w:r>
                </w:p>
              </w:tc>
              <w:tc>
                <w:tcPr>
                  <w:tcW w:w="0" w:type="auto"/>
                  <w:vAlign w:val="center"/>
                </w:tcPr>
                <w:p>
                  <w:pPr>
                    <w:adjustRightInd w:val="0"/>
                    <w:snapToGrid w:val="0"/>
                    <w:spacing w:before="156" w:beforeLines="50" w:after="156" w:afterLines="50"/>
                    <w:ind w:left="105" w:leftChars="50" w:right="105" w:rightChars="50"/>
                    <w:rPr>
                      <w:rFonts w:eastAsiaTheme="minorEastAsia"/>
                      <w:szCs w:val="21"/>
                    </w:rPr>
                  </w:pPr>
                  <w:r>
                    <w:rPr>
                      <w:rFonts w:eastAsiaTheme="minorEastAsia"/>
                      <w:szCs w:val="21"/>
                    </w:rPr>
                    <w:t>相符</w:t>
                  </w:r>
                </w:p>
              </w:tc>
            </w:tr>
          </w:tbl>
          <w:p>
            <w:pPr>
              <w:pStyle w:val="12"/>
              <w:numPr>
                <w:ilvl w:val="0"/>
                <w:numId w:val="1"/>
              </w:numPr>
              <w:spacing w:line="360" w:lineRule="auto"/>
              <w:ind w:firstLine="480" w:firstLineChars="200"/>
              <w:rPr>
                <w:rFonts w:ascii="Times New Roman" w:hAnsi="Times New Roman" w:eastAsiaTheme="minorEastAsia"/>
              </w:rPr>
            </w:pPr>
            <w:r>
              <w:rPr>
                <w:rFonts w:ascii="Times New Roman" w:hAnsi="Times New Roman" w:eastAsiaTheme="minorEastAsia"/>
                <w:sz w:val="24"/>
              </w:rPr>
              <w:t>根据《</w:t>
            </w:r>
            <w:r>
              <w:fldChar w:fldCharType="begin"/>
            </w:r>
            <w:r>
              <w:instrText xml:space="preserve"> HYPERLINK "https://news.bjx.com.cn/topics/yunnansheng/" \t "https://news.bjx.com.cn/html/20140408/_blank" </w:instrText>
            </w:r>
            <w:r>
              <w:fldChar w:fldCharType="separate"/>
            </w:r>
            <w:r>
              <w:rPr>
                <w:rFonts w:ascii="Times New Roman" w:hAnsi="Times New Roman" w:eastAsiaTheme="minorEastAsia"/>
                <w:sz w:val="24"/>
              </w:rPr>
              <w:t>云南省</w:t>
            </w:r>
            <w:r>
              <w:rPr>
                <w:rFonts w:ascii="Times New Roman" w:hAnsi="Times New Roman" w:eastAsiaTheme="minorEastAsia"/>
                <w:sz w:val="24"/>
              </w:rPr>
              <w:fldChar w:fldCharType="end"/>
            </w:r>
            <w:r>
              <w:rPr>
                <w:rFonts w:ascii="Times New Roman" w:hAnsi="Times New Roman" w:eastAsiaTheme="minorEastAsia"/>
                <w:sz w:val="24"/>
              </w:rPr>
              <w:t>人民政府关于印发云南省</w:t>
            </w:r>
            <w:r>
              <w:fldChar w:fldCharType="begin"/>
            </w:r>
            <w:r>
              <w:instrText xml:space="preserve"> HYPERLINK "https://news.bjx.com.cn/topics/daqiwuranfangzhi/" \t "https://news.bjx.com.cn/html/20140408/_blank" </w:instrText>
            </w:r>
            <w:r>
              <w:fldChar w:fldCharType="separate"/>
            </w:r>
            <w:r>
              <w:rPr>
                <w:rFonts w:ascii="Times New Roman" w:hAnsi="Times New Roman" w:eastAsiaTheme="minorEastAsia"/>
                <w:sz w:val="24"/>
              </w:rPr>
              <w:t>大气污染防治</w:t>
            </w:r>
            <w:r>
              <w:rPr>
                <w:rFonts w:ascii="Times New Roman" w:hAnsi="Times New Roman" w:eastAsiaTheme="minorEastAsia"/>
                <w:sz w:val="24"/>
              </w:rPr>
              <w:fldChar w:fldCharType="end"/>
            </w:r>
            <w:r>
              <w:rPr>
                <w:rFonts w:ascii="Times New Roman" w:hAnsi="Times New Roman" w:eastAsiaTheme="minorEastAsia"/>
                <w:sz w:val="24"/>
              </w:rPr>
              <w:t>行动实施方案的通知》（云政发[2014]9号），《云南省大气污染防治行动实施方案》要求和符合性分析如下：</w:t>
            </w:r>
          </w:p>
          <w:p>
            <w:pPr>
              <w:pStyle w:val="13"/>
              <w:spacing w:line="360" w:lineRule="auto"/>
              <w:ind w:firstLine="480" w:firstLineChars="200"/>
              <w:rPr>
                <w:rFonts w:ascii="Times New Roman" w:eastAsiaTheme="minorEastAsia"/>
                <w:color w:val="auto"/>
              </w:rPr>
            </w:pPr>
            <w:r>
              <w:rPr>
                <w:rFonts w:ascii="Times New Roman" w:eastAsiaTheme="minorEastAsia"/>
                <w:color w:val="auto"/>
              </w:rPr>
              <w:t>《云南省大气污染防治行动实施方案》要求：</w:t>
            </w:r>
          </w:p>
          <w:p>
            <w:pPr>
              <w:pStyle w:val="12"/>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一、总体要求和工作目标</w:t>
            </w:r>
          </w:p>
          <w:p>
            <w:pPr>
              <w:pStyle w:val="12"/>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总体要求：以邓小平理论、“三个代表”重要思想、科学发展观为指导，大力推进生态文明建设，把良好的环境空气作为维护和改善民生的重要目标，按照“预防为主、防治结合”的原则，着力解决危害群众身体健康、威胁地区环境安全、影响经济社会可持续发展的突出大气环境问题。</w:t>
            </w:r>
          </w:p>
          <w:p>
            <w:pPr>
              <w:pStyle w:val="12"/>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工作目标：到2017年底，全省环境空气质量总体继续保持优良，部分地区持续改善。</w:t>
            </w:r>
          </w:p>
          <w:p>
            <w:pPr>
              <w:pStyle w:val="12"/>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昆明市可吸入颗粒物(PM</w:t>
            </w:r>
            <w:r>
              <w:rPr>
                <w:rFonts w:ascii="Times New Roman" w:hAnsi="Times New Roman" w:eastAsiaTheme="minorEastAsia"/>
                <w:sz w:val="24"/>
                <w:vertAlign w:val="subscript"/>
              </w:rPr>
              <w:t>10</w:t>
            </w:r>
            <w:r>
              <w:rPr>
                <w:rFonts w:ascii="Times New Roman" w:hAnsi="Times New Roman" w:eastAsiaTheme="minorEastAsia"/>
                <w:sz w:val="24"/>
              </w:rPr>
              <w:t>)年均浓度比2012年下降10%以上，环境空气优良天数逐年增加；其他州、市人民政府所在地可吸入颗粒物（PM</w:t>
            </w:r>
            <w:r>
              <w:rPr>
                <w:rFonts w:ascii="Times New Roman" w:hAnsi="Times New Roman" w:eastAsiaTheme="minorEastAsia"/>
                <w:sz w:val="24"/>
                <w:vertAlign w:val="subscript"/>
              </w:rPr>
              <w:t>10</w:t>
            </w:r>
            <w:r>
              <w:rPr>
                <w:rFonts w:ascii="Times New Roman" w:hAnsi="Times New Roman" w:eastAsiaTheme="minorEastAsia"/>
                <w:sz w:val="24"/>
              </w:rPr>
              <w:t>)年均浓度比2012年有所下降，环境空气质量保持优良，其中昭通、曲靖、玉溪3市环境空气质量稳定达到国家二级标准。</w:t>
            </w:r>
          </w:p>
          <w:p>
            <w:pPr>
              <w:pStyle w:val="12"/>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安宁、个旧、开远、宣威4 个县级市环境空气质量逐年改善，稳定达到环境空气质量国家二级标准；其他县级市环境空气质量保持优良。</w:t>
            </w:r>
          </w:p>
          <w:p>
            <w:pPr>
              <w:pStyle w:val="12"/>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二、大气污染防治主要任务</w:t>
            </w:r>
          </w:p>
          <w:p>
            <w:pPr>
              <w:pStyle w:val="12"/>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（一）优化产业空间布局</w:t>
            </w:r>
          </w:p>
          <w:p>
            <w:pPr>
              <w:pStyle w:val="12"/>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按照云南省主体功能区规划要求，合理确定我省重点产业发展布局、结构和规模。科学制定并严格实施城乡规划，强化城市空间管制和绿地控制要求，规范各类产业园区和城市新城、新区设立和布局。</w:t>
            </w:r>
          </w:p>
          <w:p>
            <w:pPr>
              <w:pStyle w:val="12"/>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结合化解过剩产能和节能减排，有序推进16个州、市人民政府所在地城市建成区及周边严重影响城区环境空气质量的火电、建材、钢铁、化工、有色金属冶炼等重污染企业搬迁改造。2014年底前，各州、市人民政府要制定搬迁改造方案；2017年底前要完成搬迁改造工作，特别是昆明市主城区的云铜股份冶炼加工总厂、昆明玻璃股份有限公司要按期完成搬迁。</w:t>
            </w:r>
          </w:p>
          <w:p>
            <w:pPr>
              <w:pStyle w:val="12"/>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（二）严格节能环保准入</w:t>
            </w:r>
          </w:p>
          <w:p>
            <w:pPr>
              <w:pStyle w:val="12"/>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提高高污染、高耗能行业准入门槛，进一步强化节能、环保指标约束，严控高污染、高耗能行业新增产能。对新增用能项目，要实施严格的节能评估审查和环境影响评价制度，把二氧化硫、氮氧化物、烟粉尘和挥发性有机物排放是否符合总量控制要求，作为建设项目环境影响评价审批的主要因素予以审查。未通过能评和环评审查的建设项目，有关部门不得审批、核准、备案。</w:t>
            </w:r>
          </w:p>
          <w:p>
            <w:pPr>
              <w:pStyle w:val="12"/>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积极发展绿色建筑，新建建筑要严格执行强制性节能标准，大力推广使用太阳能热水系统和光伏建筑一体化等技术和装备。</w:t>
            </w:r>
          </w:p>
          <w:p>
            <w:pPr>
              <w:pStyle w:val="12"/>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（三）加快淘汰落后产能</w:t>
            </w:r>
          </w:p>
          <w:p>
            <w:pPr>
              <w:pStyle w:val="12"/>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综合运用经济、技术和行政手段，提前1年完成全省“十二五”工业行业淘汰落后产能任务，结合各地产业发展实际和环境空气质量状况，争取在2015年底前再淘汰一批落后产能。按照《部分工业行业淘汰落后生产工艺装备和产品指导目录（2010年本）》《产业结构调整指导目录（2011年本） （修正）》要求，重点针对钢铁、水泥等产能过剩行业制定“十三五”淘汰计划，确保国家下达的淘汰落后产能目标任务全面完成。</w:t>
            </w:r>
          </w:p>
          <w:p>
            <w:pPr>
              <w:pStyle w:val="13"/>
              <w:spacing w:line="360" w:lineRule="auto"/>
              <w:ind w:firstLine="480" w:firstLineChars="200"/>
              <w:rPr>
                <w:rFonts w:ascii="Times New Roman" w:eastAsiaTheme="minorEastAsia"/>
                <w:color w:val="auto"/>
                <w:kern w:val="2"/>
              </w:rPr>
            </w:pPr>
            <w:r>
              <w:rPr>
                <w:rFonts w:ascii="Times New Roman" w:eastAsiaTheme="minorEastAsia"/>
                <w:color w:val="auto"/>
                <w:kern w:val="2"/>
              </w:rPr>
              <w:t>与《云南省大气污染防治行动实施方案》的符合性分析：</w:t>
            </w:r>
          </w:p>
          <w:p>
            <w:pPr>
              <w:pStyle w:val="12"/>
              <w:spacing w:line="360" w:lineRule="auto"/>
              <w:ind w:firstLine="480" w:firstLineChars="200"/>
              <w:rPr>
                <w:rFonts w:ascii="Times New Roman" w:hAnsi="Times New Roman" w:eastAsiaTheme="minorEastAsia"/>
              </w:rPr>
            </w:pPr>
            <w:r>
              <w:rPr>
                <w:rFonts w:ascii="Times New Roman" w:hAnsi="Times New Roman" w:eastAsiaTheme="minorEastAsia"/>
                <w:sz w:val="24"/>
              </w:rPr>
              <w:t>本项目为花卉种植项目，不属于火电、建材、钢铁、化工、有色金属冶炼等重污染企业，不属于高污染、高耗能行业，根据《产业结构调整指导目录（2019年本）》可知，本项目为鼓励类中一、农林类（3.蔬菜、瓜果、花开设施栽培（含无土栽培）先进技术开发与应用，优质、高产、高效标准化栽培技术开发与应用），且项目所选锅炉不属于目录中的鼓励类、限制类和淘汰类锅炉，属于允许类锅炉，符合产业结构调整指导目录的要求。项目的建设符合国家相关法律和政策，属于允许类建设项目。综上，本项目符合《云南省大气污染防治行动实施方案》要求。</w:t>
            </w:r>
          </w:p>
          <w:p>
            <w:pPr>
              <w:autoSpaceDE w:val="0"/>
              <w:autoSpaceDN w:val="0"/>
              <w:adjustRightInd w:val="0"/>
              <w:spacing w:line="360" w:lineRule="auto"/>
              <w:jc w:val="left"/>
              <w:rPr>
                <w:rFonts w:eastAsiaTheme="minorEastAsia"/>
                <w:sz w:val="24"/>
              </w:rPr>
            </w:pPr>
            <w:r>
              <w:rPr>
                <w:rFonts w:eastAsiaTheme="minorEastAsia"/>
                <w:sz w:val="24"/>
              </w:rPr>
              <w:t>（9）与楚雄州人民政府办公室关于印发《楚雄州龙川江流域综合整治提升三年行动实施方案（2022—2024年）》（楚政办函〔2022〕16号）的通知符合性分析</w:t>
            </w:r>
          </w:p>
          <w:p>
            <w:pPr>
              <w:pStyle w:val="12"/>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关于加大对楚雄龙川江流域综合治理的问题，州委州政府高位推动龙川江流域综合整治提升工作，全州州级领导先后9次到龙川江进行现场调研，并多次召开会议专题研究流域综合治理工作，印发《楚雄州龙川江流域综合整治提升三年行动实施方案（2022—2024年）》《楚雄州龙川江流域综合整治提升三年行动工作方案》，制定龙川江流域综合整治提升十大措施37条具体措施科学、精准、全面抓工作落实。主要抓好以下几方面的工作：</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2921"/>
              <w:gridCol w:w="2629"/>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pStyle w:val="13"/>
                    <w:jc w:val="center"/>
                    <w:rPr>
                      <w:rFonts w:ascii="Times New Roman" w:eastAsiaTheme="minorEastAsia"/>
                      <w:color w:val="auto"/>
                      <w:kern w:val="2"/>
                      <w:sz w:val="21"/>
                      <w:szCs w:val="21"/>
                    </w:rPr>
                  </w:pPr>
                  <w:r>
                    <w:rPr>
                      <w:rFonts w:ascii="Times New Roman" w:eastAsiaTheme="minorEastAsia"/>
                      <w:color w:val="auto"/>
                      <w:kern w:val="2"/>
                      <w:sz w:val="21"/>
                      <w:szCs w:val="21"/>
                    </w:rPr>
                    <w:t>序号</w:t>
                  </w:r>
                </w:p>
              </w:tc>
              <w:tc>
                <w:tcPr>
                  <w:tcW w:w="2921" w:type="dxa"/>
                  <w:vAlign w:val="center"/>
                </w:tcPr>
                <w:p>
                  <w:pPr>
                    <w:pStyle w:val="13"/>
                    <w:jc w:val="center"/>
                    <w:rPr>
                      <w:rFonts w:ascii="Times New Roman" w:eastAsiaTheme="minorEastAsia"/>
                      <w:color w:val="auto"/>
                      <w:kern w:val="2"/>
                      <w:sz w:val="21"/>
                      <w:szCs w:val="21"/>
                    </w:rPr>
                  </w:pPr>
                  <w:r>
                    <w:rPr>
                      <w:rFonts w:ascii="Times New Roman" w:eastAsiaTheme="minorEastAsia"/>
                      <w:color w:val="auto"/>
                      <w:kern w:val="2"/>
                      <w:sz w:val="21"/>
                      <w:szCs w:val="21"/>
                    </w:rPr>
                    <w:t>方案内容</w:t>
                  </w:r>
                </w:p>
              </w:tc>
              <w:tc>
                <w:tcPr>
                  <w:tcW w:w="2629" w:type="dxa"/>
                  <w:vAlign w:val="center"/>
                </w:tcPr>
                <w:p>
                  <w:pPr>
                    <w:pStyle w:val="13"/>
                    <w:jc w:val="center"/>
                    <w:rPr>
                      <w:rFonts w:ascii="Times New Roman" w:eastAsiaTheme="minorEastAsia"/>
                      <w:color w:val="auto"/>
                      <w:kern w:val="2"/>
                      <w:sz w:val="21"/>
                      <w:szCs w:val="21"/>
                    </w:rPr>
                  </w:pPr>
                  <w:r>
                    <w:rPr>
                      <w:rFonts w:ascii="Times New Roman" w:eastAsiaTheme="minorEastAsia"/>
                      <w:color w:val="auto"/>
                      <w:kern w:val="2"/>
                      <w:sz w:val="21"/>
                      <w:szCs w:val="21"/>
                    </w:rPr>
                    <w:t>项目情况</w:t>
                  </w:r>
                </w:p>
              </w:tc>
              <w:tc>
                <w:tcPr>
                  <w:tcW w:w="742" w:type="dxa"/>
                  <w:vAlign w:val="center"/>
                </w:tcPr>
                <w:p>
                  <w:pPr>
                    <w:pStyle w:val="13"/>
                    <w:jc w:val="center"/>
                    <w:rPr>
                      <w:rFonts w:ascii="Times New Roman" w:eastAsiaTheme="minorEastAsia"/>
                      <w:color w:val="auto"/>
                      <w:kern w:val="2"/>
                      <w:sz w:val="21"/>
                      <w:szCs w:val="21"/>
                    </w:rPr>
                  </w:pPr>
                  <w:r>
                    <w:rPr>
                      <w:rFonts w:ascii="Times New Roman" w:eastAsiaTheme="minorEastAsia"/>
                      <w:color w:val="auto"/>
                      <w:kern w:val="2"/>
                      <w:sz w:val="2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pStyle w:val="13"/>
                    <w:jc w:val="left"/>
                    <w:rPr>
                      <w:rFonts w:ascii="Times New Roman" w:eastAsiaTheme="minorEastAsia"/>
                      <w:color w:val="auto"/>
                      <w:kern w:val="2"/>
                      <w:sz w:val="21"/>
                      <w:szCs w:val="21"/>
                    </w:rPr>
                  </w:pPr>
                  <w:r>
                    <w:rPr>
                      <w:rFonts w:ascii="Times New Roman" w:eastAsiaTheme="minorEastAsia"/>
                      <w:color w:val="auto"/>
                      <w:kern w:val="2"/>
                      <w:sz w:val="21"/>
                      <w:szCs w:val="21"/>
                    </w:rPr>
                    <w:t>1</w:t>
                  </w:r>
                </w:p>
              </w:tc>
              <w:tc>
                <w:tcPr>
                  <w:tcW w:w="2921" w:type="dxa"/>
                  <w:vAlign w:val="center"/>
                </w:tcPr>
                <w:p>
                  <w:pPr>
                    <w:pStyle w:val="12"/>
                    <w:jc w:val="left"/>
                    <w:rPr>
                      <w:rFonts w:ascii="Times New Roman" w:hAnsi="Times New Roman" w:eastAsiaTheme="minorEastAsia"/>
                      <w:szCs w:val="21"/>
                    </w:rPr>
                  </w:pPr>
                  <w:r>
                    <w:rPr>
                      <w:rFonts w:ascii="Times New Roman" w:hAnsi="Times New Roman" w:eastAsiaTheme="minorEastAsia"/>
                      <w:szCs w:val="21"/>
                    </w:rPr>
                    <w:t>一、加强水法治建设。</w:t>
                  </w:r>
                </w:p>
                <w:p>
                  <w:pPr>
                    <w:pStyle w:val="12"/>
                    <w:jc w:val="left"/>
                    <w:rPr>
                      <w:rFonts w:ascii="Times New Roman" w:hAnsi="Times New Roman" w:eastAsiaTheme="minorEastAsia"/>
                      <w:szCs w:val="21"/>
                    </w:rPr>
                  </w:pPr>
                  <w:r>
                    <w:rPr>
                      <w:rFonts w:ascii="Times New Roman" w:hAnsi="Times New Roman" w:eastAsiaTheme="minorEastAsia"/>
                      <w:szCs w:val="21"/>
                    </w:rPr>
                    <w:t>加快《楚雄彝族自治州河湖岸线保护条例》立法工作并完成所有立法程序，启动《云南省楚雄彝族自治州龙川江保护管理条例》修订工作，确保两个《条例》于2023年公布施行，持续为龙川江流域综合整治提升提供坚实法治保障。</w:t>
                  </w:r>
                </w:p>
              </w:tc>
              <w:tc>
                <w:tcPr>
                  <w:tcW w:w="2629" w:type="dxa"/>
                  <w:vAlign w:val="center"/>
                </w:tcPr>
                <w:p>
                  <w:pPr>
                    <w:pStyle w:val="13"/>
                    <w:jc w:val="left"/>
                    <w:rPr>
                      <w:rFonts w:ascii="Times New Roman" w:eastAsiaTheme="minorEastAsia"/>
                      <w:color w:val="auto"/>
                      <w:kern w:val="2"/>
                      <w:sz w:val="21"/>
                      <w:szCs w:val="21"/>
                    </w:rPr>
                  </w:pPr>
                  <w:r>
                    <w:rPr>
                      <w:rFonts w:ascii="Times New Roman" w:eastAsiaTheme="minorEastAsia"/>
                      <w:color w:val="auto"/>
                      <w:kern w:val="2"/>
                      <w:sz w:val="21"/>
                      <w:szCs w:val="21"/>
                    </w:rPr>
                    <w:t>项目的污水前期在污水管网未建成前使用过自建污水站处理后回用灌溉，在污水管网接通后则是处理后排入污水管网，到姚安县第二污水处理厂处理。顺应了水法治的建设。</w:t>
                  </w:r>
                </w:p>
              </w:tc>
              <w:tc>
                <w:tcPr>
                  <w:tcW w:w="742" w:type="dxa"/>
                  <w:vAlign w:val="center"/>
                </w:tcPr>
                <w:p>
                  <w:pPr>
                    <w:pStyle w:val="13"/>
                    <w:jc w:val="center"/>
                    <w:rPr>
                      <w:rFonts w:ascii="Times New Roman" w:eastAsiaTheme="minorEastAsia"/>
                      <w:color w:val="auto"/>
                      <w:kern w:val="2"/>
                      <w:sz w:val="21"/>
                      <w:szCs w:val="21"/>
                    </w:rPr>
                  </w:pPr>
                  <w:r>
                    <w:rPr>
                      <w:rFonts w:ascii="Times New Roman" w:eastAsiaTheme="minorEastAsia"/>
                      <w:color w:val="auto"/>
                      <w:kern w:val="2"/>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pStyle w:val="13"/>
                    <w:jc w:val="left"/>
                    <w:rPr>
                      <w:rFonts w:ascii="Times New Roman" w:eastAsiaTheme="minorEastAsia"/>
                      <w:color w:val="auto"/>
                      <w:kern w:val="2"/>
                      <w:sz w:val="21"/>
                      <w:szCs w:val="21"/>
                    </w:rPr>
                  </w:pPr>
                  <w:r>
                    <w:rPr>
                      <w:rFonts w:ascii="Times New Roman" w:eastAsiaTheme="minorEastAsia"/>
                      <w:color w:val="auto"/>
                      <w:kern w:val="2"/>
                      <w:sz w:val="21"/>
                      <w:szCs w:val="21"/>
                    </w:rPr>
                    <w:t>2</w:t>
                  </w:r>
                </w:p>
              </w:tc>
              <w:tc>
                <w:tcPr>
                  <w:tcW w:w="2921" w:type="dxa"/>
                  <w:vAlign w:val="center"/>
                </w:tcPr>
                <w:p>
                  <w:pPr>
                    <w:pStyle w:val="12"/>
                    <w:ind w:firstLine="420" w:firstLineChars="200"/>
                    <w:jc w:val="left"/>
                    <w:rPr>
                      <w:rFonts w:ascii="Times New Roman" w:hAnsi="Times New Roman" w:eastAsiaTheme="minorEastAsia"/>
                      <w:szCs w:val="21"/>
                    </w:rPr>
                  </w:pPr>
                  <w:r>
                    <w:rPr>
                      <w:rFonts w:ascii="Times New Roman" w:hAnsi="Times New Roman" w:eastAsiaTheme="minorEastAsia"/>
                      <w:szCs w:val="21"/>
                    </w:rPr>
                    <w:t>二、全面打响“河湖革命”攻坚战全面贯彻落实“退”“减”“调”“治”“管”5大措施，以打造河道景观带和水利风景区为抓手，督促县市扎实开展河长巡河、河湖“清四乱” “一河（库、渠）一策”滚动修编、河湖健康评价、美丽河湖生态廊道建设、基层河湖长培训等工作，强化问题交办督办，持续做好以龙川江流域为重点的水系修复保护，不断推动龙川江流域综合整治提升工作取得新的实效。</w:t>
                  </w:r>
                </w:p>
              </w:tc>
              <w:tc>
                <w:tcPr>
                  <w:tcW w:w="2629" w:type="dxa"/>
                  <w:vAlign w:val="center"/>
                </w:tcPr>
                <w:p>
                  <w:pPr>
                    <w:pStyle w:val="13"/>
                    <w:jc w:val="left"/>
                    <w:rPr>
                      <w:rFonts w:ascii="Times New Roman" w:eastAsiaTheme="minorEastAsia"/>
                      <w:color w:val="auto"/>
                      <w:kern w:val="2"/>
                      <w:sz w:val="21"/>
                      <w:szCs w:val="21"/>
                    </w:rPr>
                  </w:pPr>
                  <w:r>
                    <w:rPr>
                      <w:rFonts w:ascii="Times New Roman" w:eastAsiaTheme="minorEastAsia"/>
                      <w:color w:val="auto"/>
                      <w:kern w:val="2"/>
                      <w:sz w:val="21"/>
                      <w:szCs w:val="21"/>
                    </w:rPr>
                    <w:t>项目的污水前期在污水管网未建成前使用过自建污水站处理后回用灌溉，接通后则是处理后排入污水管网，到姚安县第二污水处理厂处理。不排入河流与湖泊。</w:t>
                  </w:r>
                </w:p>
              </w:tc>
              <w:tc>
                <w:tcPr>
                  <w:tcW w:w="742" w:type="dxa"/>
                  <w:vAlign w:val="center"/>
                </w:tcPr>
                <w:p>
                  <w:pPr>
                    <w:pStyle w:val="13"/>
                    <w:jc w:val="center"/>
                    <w:rPr>
                      <w:rFonts w:ascii="Times New Roman" w:eastAsiaTheme="minorEastAsia"/>
                      <w:color w:val="auto"/>
                      <w:kern w:val="2"/>
                      <w:sz w:val="21"/>
                      <w:szCs w:val="21"/>
                    </w:rPr>
                  </w:pPr>
                  <w:r>
                    <w:rPr>
                      <w:rFonts w:ascii="Times New Roman" w:eastAsiaTheme="minorEastAsia"/>
                      <w:color w:val="auto"/>
                      <w:kern w:val="2"/>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pStyle w:val="13"/>
                    <w:jc w:val="left"/>
                    <w:rPr>
                      <w:rFonts w:ascii="Times New Roman" w:eastAsiaTheme="minorEastAsia"/>
                      <w:color w:val="auto"/>
                      <w:kern w:val="2"/>
                      <w:sz w:val="21"/>
                      <w:szCs w:val="21"/>
                    </w:rPr>
                  </w:pPr>
                  <w:r>
                    <w:rPr>
                      <w:rFonts w:ascii="Times New Roman" w:eastAsiaTheme="minorEastAsia"/>
                      <w:color w:val="auto"/>
                      <w:kern w:val="2"/>
                      <w:sz w:val="21"/>
                      <w:szCs w:val="21"/>
                    </w:rPr>
                    <w:t>3</w:t>
                  </w:r>
                </w:p>
              </w:tc>
              <w:tc>
                <w:tcPr>
                  <w:tcW w:w="2921" w:type="dxa"/>
                  <w:vAlign w:val="center"/>
                </w:tcPr>
                <w:p>
                  <w:pPr>
                    <w:pStyle w:val="12"/>
                    <w:numPr>
                      <w:ilvl w:val="0"/>
                      <w:numId w:val="2"/>
                    </w:numPr>
                    <w:ind w:firstLine="420" w:firstLineChars="200"/>
                    <w:jc w:val="left"/>
                    <w:rPr>
                      <w:rFonts w:ascii="Times New Roman" w:hAnsi="Times New Roman" w:eastAsiaTheme="minorEastAsia"/>
                      <w:szCs w:val="21"/>
                    </w:rPr>
                  </w:pPr>
                  <w:r>
                    <w:rPr>
                      <w:rFonts w:ascii="Times New Roman" w:hAnsi="Times New Roman" w:eastAsiaTheme="minorEastAsia"/>
                      <w:szCs w:val="21"/>
                    </w:rPr>
                    <w:t>继续实施最严格水资源管理。落实最严格水资源管理和双控制度，加快《龙川江流域水量分配方案及生态流量保障确定方案》编制报审，修改完善《楚雄州中小水电站生态流量管理办法（试行）》，压实属地监管责任、行业监管责任和电站业主主体责任“三个责任”，积极推动生态流量管理日常化、制度化、规范化。</w:t>
                  </w:r>
                </w:p>
              </w:tc>
              <w:tc>
                <w:tcPr>
                  <w:tcW w:w="2629" w:type="dxa"/>
                  <w:vAlign w:val="center"/>
                </w:tcPr>
                <w:p>
                  <w:pPr>
                    <w:pStyle w:val="13"/>
                    <w:jc w:val="left"/>
                    <w:rPr>
                      <w:rFonts w:ascii="Times New Roman" w:eastAsiaTheme="minorEastAsia"/>
                      <w:color w:val="auto"/>
                      <w:kern w:val="2"/>
                      <w:sz w:val="21"/>
                      <w:szCs w:val="21"/>
                    </w:rPr>
                  </w:pPr>
                  <w:r>
                    <w:rPr>
                      <w:rFonts w:ascii="Times New Roman" w:eastAsiaTheme="minorEastAsia"/>
                      <w:color w:val="auto"/>
                      <w:kern w:val="2"/>
                      <w:sz w:val="21"/>
                      <w:szCs w:val="21"/>
                    </w:rPr>
                    <w:t>该项目是属于花卉栽培及热力供应项目，不涉及影响水资源管理。</w:t>
                  </w:r>
                </w:p>
              </w:tc>
              <w:tc>
                <w:tcPr>
                  <w:tcW w:w="742" w:type="dxa"/>
                  <w:vAlign w:val="center"/>
                </w:tcPr>
                <w:p>
                  <w:pPr>
                    <w:pStyle w:val="13"/>
                    <w:jc w:val="center"/>
                    <w:rPr>
                      <w:rFonts w:ascii="Times New Roman" w:eastAsiaTheme="minorEastAsia"/>
                      <w:color w:val="auto"/>
                      <w:kern w:val="2"/>
                      <w:sz w:val="21"/>
                      <w:szCs w:val="21"/>
                    </w:rPr>
                  </w:pPr>
                  <w:r>
                    <w:rPr>
                      <w:rFonts w:ascii="Times New Roman" w:eastAsiaTheme="minorEastAsia"/>
                      <w:color w:val="auto"/>
                      <w:kern w:val="2"/>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pStyle w:val="13"/>
                    <w:jc w:val="left"/>
                    <w:rPr>
                      <w:rFonts w:ascii="Times New Roman" w:eastAsiaTheme="minorEastAsia"/>
                      <w:color w:val="auto"/>
                      <w:kern w:val="2"/>
                      <w:sz w:val="21"/>
                      <w:szCs w:val="21"/>
                    </w:rPr>
                  </w:pPr>
                  <w:r>
                    <w:rPr>
                      <w:rFonts w:ascii="Times New Roman" w:eastAsiaTheme="minorEastAsia"/>
                      <w:color w:val="auto"/>
                      <w:kern w:val="2"/>
                      <w:sz w:val="21"/>
                      <w:szCs w:val="21"/>
                    </w:rPr>
                    <w:t>4</w:t>
                  </w:r>
                </w:p>
              </w:tc>
              <w:tc>
                <w:tcPr>
                  <w:tcW w:w="2921" w:type="dxa"/>
                  <w:vAlign w:val="center"/>
                </w:tcPr>
                <w:p>
                  <w:pPr>
                    <w:pStyle w:val="12"/>
                    <w:ind w:firstLine="420" w:firstLineChars="200"/>
                    <w:jc w:val="left"/>
                    <w:rPr>
                      <w:rFonts w:ascii="Times New Roman" w:hAnsi="Times New Roman" w:eastAsiaTheme="minorEastAsia"/>
                      <w:szCs w:val="21"/>
                    </w:rPr>
                  </w:pPr>
                  <w:r>
                    <w:rPr>
                      <w:rFonts w:ascii="Times New Roman" w:hAnsi="Times New Roman" w:eastAsiaTheme="minorEastAsia"/>
                      <w:szCs w:val="21"/>
                    </w:rPr>
                    <w:t>四、强化水土保持综合治理。</w:t>
                  </w:r>
                </w:p>
                <w:p>
                  <w:pPr>
                    <w:pStyle w:val="12"/>
                    <w:ind w:firstLine="420" w:firstLineChars="200"/>
                    <w:jc w:val="left"/>
                    <w:rPr>
                      <w:rFonts w:ascii="Times New Roman" w:hAnsi="Times New Roman" w:eastAsiaTheme="minorEastAsia"/>
                      <w:szCs w:val="21"/>
                    </w:rPr>
                  </w:pPr>
                  <w:r>
                    <w:rPr>
                      <w:rFonts w:ascii="Times New Roman" w:hAnsi="Times New Roman" w:eastAsiaTheme="minorEastAsia"/>
                      <w:szCs w:val="21"/>
                    </w:rPr>
                    <w:t>加强与建设部门的沟通交流，提前介入、提前服务抓好重大项目、重点工程水土保持方案编制、报批及实施监管等相关工作。</w:t>
                  </w:r>
                </w:p>
              </w:tc>
              <w:tc>
                <w:tcPr>
                  <w:tcW w:w="2629" w:type="dxa"/>
                  <w:vAlign w:val="center"/>
                </w:tcPr>
                <w:p>
                  <w:pPr>
                    <w:pStyle w:val="13"/>
                    <w:jc w:val="left"/>
                    <w:rPr>
                      <w:rFonts w:ascii="Times New Roman" w:eastAsiaTheme="minorEastAsia"/>
                      <w:color w:val="auto"/>
                      <w:kern w:val="2"/>
                      <w:sz w:val="21"/>
                      <w:szCs w:val="21"/>
                    </w:rPr>
                  </w:pPr>
                  <w:r>
                    <w:rPr>
                      <w:rFonts w:ascii="Times New Roman" w:eastAsiaTheme="minorEastAsia"/>
                      <w:color w:val="auto"/>
                      <w:kern w:val="2"/>
                      <w:sz w:val="21"/>
                      <w:szCs w:val="21"/>
                    </w:rPr>
                    <w:t>该项目是属于花卉栽培及热力供应项目，大面积土地都是属于花卉种植用地且有大棚遮挡，所以水土保持较为良好。</w:t>
                  </w:r>
                </w:p>
              </w:tc>
              <w:tc>
                <w:tcPr>
                  <w:tcW w:w="742" w:type="dxa"/>
                  <w:vAlign w:val="center"/>
                </w:tcPr>
                <w:p>
                  <w:pPr>
                    <w:pStyle w:val="13"/>
                    <w:jc w:val="center"/>
                    <w:rPr>
                      <w:rFonts w:ascii="Times New Roman" w:eastAsiaTheme="minorEastAsia"/>
                      <w:color w:val="auto"/>
                      <w:kern w:val="2"/>
                      <w:sz w:val="21"/>
                      <w:szCs w:val="21"/>
                    </w:rPr>
                  </w:pPr>
                  <w:r>
                    <w:rPr>
                      <w:rFonts w:ascii="Times New Roman" w:eastAsiaTheme="minorEastAsia"/>
                      <w:color w:val="auto"/>
                      <w:kern w:val="2"/>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pStyle w:val="13"/>
                    <w:jc w:val="left"/>
                    <w:rPr>
                      <w:rFonts w:ascii="Times New Roman" w:eastAsiaTheme="minorEastAsia"/>
                      <w:color w:val="auto"/>
                      <w:kern w:val="2"/>
                      <w:sz w:val="21"/>
                      <w:szCs w:val="21"/>
                    </w:rPr>
                  </w:pPr>
                  <w:r>
                    <w:rPr>
                      <w:rFonts w:ascii="Times New Roman" w:eastAsiaTheme="minorEastAsia"/>
                      <w:color w:val="auto"/>
                      <w:kern w:val="2"/>
                      <w:sz w:val="21"/>
                      <w:szCs w:val="21"/>
                    </w:rPr>
                    <w:t>5</w:t>
                  </w:r>
                </w:p>
              </w:tc>
              <w:tc>
                <w:tcPr>
                  <w:tcW w:w="2921" w:type="dxa"/>
                  <w:vAlign w:val="center"/>
                </w:tcPr>
                <w:p>
                  <w:pPr>
                    <w:pStyle w:val="12"/>
                    <w:ind w:firstLine="420" w:firstLineChars="200"/>
                    <w:jc w:val="left"/>
                    <w:rPr>
                      <w:rFonts w:ascii="Times New Roman" w:hAnsi="Times New Roman" w:eastAsiaTheme="minorEastAsia"/>
                      <w:szCs w:val="21"/>
                    </w:rPr>
                  </w:pPr>
                  <w:r>
                    <w:rPr>
                      <w:rFonts w:ascii="Times New Roman" w:hAnsi="Times New Roman" w:eastAsiaTheme="minorEastAsia"/>
                      <w:szCs w:val="21"/>
                    </w:rPr>
                    <w:t>五、加强河道运行管理。</w:t>
                  </w:r>
                </w:p>
                <w:p>
                  <w:pPr>
                    <w:pStyle w:val="12"/>
                    <w:ind w:firstLine="420" w:firstLineChars="200"/>
                    <w:jc w:val="left"/>
                    <w:rPr>
                      <w:rFonts w:ascii="Times New Roman" w:hAnsi="Times New Roman" w:eastAsiaTheme="minorEastAsia"/>
                      <w:szCs w:val="21"/>
                    </w:rPr>
                  </w:pPr>
                  <w:r>
                    <w:rPr>
                      <w:rFonts w:ascii="Times New Roman" w:hAnsi="Times New Roman" w:eastAsiaTheme="minorEastAsia"/>
                      <w:szCs w:val="21"/>
                    </w:rPr>
                    <w:t>进一步加大开展河道采砂专项治理，加大巡查力度、及时发现非法采砂问题严厉打击非法采砂行为，着力规范河道采砂管理。同时，加快中小河流治理工程建设，持续修复河道生态功能和提升河道防洪能力。</w:t>
                  </w:r>
                </w:p>
              </w:tc>
              <w:tc>
                <w:tcPr>
                  <w:tcW w:w="2629" w:type="dxa"/>
                  <w:vAlign w:val="center"/>
                </w:tcPr>
                <w:p>
                  <w:pPr>
                    <w:pStyle w:val="12"/>
                    <w:ind w:firstLine="420" w:firstLineChars="200"/>
                    <w:jc w:val="left"/>
                    <w:rPr>
                      <w:rFonts w:ascii="Times New Roman" w:hAnsi="Times New Roman" w:eastAsiaTheme="minorEastAsia"/>
                      <w:szCs w:val="21"/>
                    </w:rPr>
                  </w:pPr>
                  <w:r>
                    <w:rPr>
                      <w:rFonts w:ascii="Times New Roman" w:hAnsi="Times New Roman" w:eastAsiaTheme="minorEastAsia"/>
                      <w:szCs w:val="21"/>
                    </w:rPr>
                    <w:t>该项目是属于花卉栽培及热力供应项目，加强河道运行管理。</w:t>
                  </w:r>
                </w:p>
                <w:p>
                  <w:pPr>
                    <w:pStyle w:val="13"/>
                    <w:jc w:val="left"/>
                    <w:rPr>
                      <w:rFonts w:ascii="Times New Roman" w:eastAsiaTheme="minorEastAsia"/>
                      <w:color w:val="auto"/>
                      <w:kern w:val="2"/>
                      <w:sz w:val="21"/>
                      <w:szCs w:val="21"/>
                    </w:rPr>
                  </w:pPr>
                </w:p>
              </w:tc>
              <w:tc>
                <w:tcPr>
                  <w:tcW w:w="742" w:type="dxa"/>
                  <w:vAlign w:val="center"/>
                </w:tcPr>
                <w:p>
                  <w:pPr>
                    <w:pStyle w:val="13"/>
                    <w:jc w:val="center"/>
                    <w:rPr>
                      <w:rFonts w:ascii="Times New Roman" w:eastAsiaTheme="minorEastAsia"/>
                      <w:color w:val="auto"/>
                      <w:kern w:val="2"/>
                      <w:sz w:val="21"/>
                      <w:szCs w:val="21"/>
                    </w:rPr>
                  </w:pPr>
                  <w:r>
                    <w:rPr>
                      <w:rFonts w:ascii="Times New Roman" w:eastAsiaTheme="minorEastAsia"/>
                      <w:color w:val="auto"/>
                      <w:kern w:val="2"/>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pStyle w:val="13"/>
                    <w:jc w:val="left"/>
                    <w:rPr>
                      <w:rFonts w:ascii="Times New Roman" w:eastAsiaTheme="minorEastAsia"/>
                      <w:color w:val="auto"/>
                      <w:kern w:val="2"/>
                      <w:sz w:val="21"/>
                      <w:szCs w:val="21"/>
                    </w:rPr>
                  </w:pPr>
                  <w:r>
                    <w:rPr>
                      <w:rFonts w:ascii="Times New Roman" w:eastAsiaTheme="minorEastAsia"/>
                      <w:color w:val="auto"/>
                      <w:kern w:val="2"/>
                      <w:sz w:val="21"/>
                      <w:szCs w:val="21"/>
                    </w:rPr>
                    <w:t>6</w:t>
                  </w:r>
                </w:p>
              </w:tc>
              <w:tc>
                <w:tcPr>
                  <w:tcW w:w="2921" w:type="dxa"/>
                  <w:vAlign w:val="center"/>
                </w:tcPr>
                <w:p>
                  <w:pPr>
                    <w:pStyle w:val="12"/>
                    <w:ind w:firstLine="420" w:firstLineChars="200"/>
                    <w:jc w:val="left"/>
                    <w:rPr>
                      <w:rFonts w:ascii="Times New Roman" w:hAnsi="Times New Roman" w:eastAsiaTheme="minorEastAsia"/>
                      <w:szCs w:val="21"/>
                    </w:rPr>
                  </w:pPr>
                  <w:r>
                    <w:rPr>
                      <w:rFonts w:ascii="Times New Roman" w:hAnsi="Times New Roman" w:eastAsiaTheme="minorEastAsia"/>
                      <w:szCs w:val="21"/>
                    </w:rPr>
                    <w:t>六、加大污水</w:t>
                  </w:r>
                  <w:r>
                    <w:rPr>
                      <w:rFonts w:hint="eastAsia" w:ascii="Times New Roman" w:hAnsi="Times New Roman" w:eastAsiaTheme="minorEastAsia"/>
                      <w:szCs w:val="21"/>
                      <w:lang w:val="en-US" w:eastAsia="zh-CN"/>
                    </w:rPr>
                    <w:t>处理</w:t>
                  </w:r>
                  <w:r>
                    <w:rPr>
                      <w:rFonts w:ascii="Times New Roman" w:hAnsi="Times New Roman" w:eastAsiaTheme="minorEastAsia"/>
                      <w:szCs w:val="21"/>
                    </w:rPr>
                    <w:t>厂提标改造和管网建设力度。</w:t>
                  </w:r>
                </w:p>
                <w:p>
                  <w:pPr>
                    <w:pStyle w:val="12"/>
                    <w:ind w:firstLine="420" w:firstLineChars="200"/>
                    <w:jc w:val="left"/>
                    <w:rPr>
                      <w:rFonts w:ascii="Times New Roman" w:hAnsi="Times New Roman" w:eastAsiaTheme="minorEastAsia"/>
                      <w:szCs w:val="21"/>
                    </w:rPr>
                  </w:pPr>
                  <w:r>
                    <w:rPr>
                      <w:rFonts w:ascii="Times New Roman" w:hAnsi="Times New Roman" w:eastAsiaTheme="minorEastAsia"/>
                      <w:szCs w:val="21"/>
                    </w:rPr>
                    <w:t>快推进牟定县、元谋县、大姚县、永仁县污水处理厂提标改造试运行工作，争取出厂水质早日稳定在一级A标。加大污水管网建设改造力度，全面完成2022年省下达楚雄州新建污水管网70公里、改造38公里的目标任务，其中：涉及龙川江流域新建、改造城市（县城）污水管网99.86公里（包含新建64.55公里、改造35.31公里）。</w:t>
                  </w:r>
                </w:p>
              </w:tc>
              <w:tc>
                <w:tcPr>
                  <w:tcW w:w="2629" w:type="dxa"/>
                  <w:vAlign w:val="center"/>
                </w:tcPr>
                <w:p>
                  <w:pPr>
                    <w:snapToGrid w:val="0"/>
                    <w:ind w:firstLine="420" w:firstLineChars="200"/>
                    <w:jc w:val="left"/>
                    <w:rPr>
                      <w:rFonts w:eastAsiaTheme="minorEastAsia"/>
                      <w:szCs w:val="21"/>
                    </w:rPr>
                  </w:pPr>
                  <w:r>
                    <w:rPr>
                      <w:rFonts w:eastAsiaTheme="minorEastAsia"/>
                      <w:szCs w:val="21"/>
                    </w:rPr>
                    <w:t>姚安县第二污水处理厂处理位于光禄镇与姚安工业园区间的最低位置，占地面积27818m</w:t>
                  </w:r>
                  <w:r>
                    <w:rPr>
                      <w:rFonts w:eastAsiaTheme="minorEastAsia"/>
                      <w:szCs w:val="21"/>
                      <w:vertAlign w:val="superscript"/>
                    </w:rPr>
                    <w:t>2</w:t>
                  </w:r>
                  <w:r>
                    <w:rPr>
                      <w:rFonts w:eastAsiaTheme="minorEastAsia"/>
                      <w:szCs w:val="21"/>
                    </w:rPr>
                    <w:t>，项目接纳光禄镇居民生活污水和姚安工业园区污水。污水处理厂设计规模近期为5000m</w:t>
                  </w:r>
                  <w:r>
                    <w:rPr>
                      <w:rFonts w:eastAsiaTheme="minorEastAsia"/>
                      <w:szCs w:val="21"/>
                      <w:vertAlign w:val="superscript"/>
                    </w:rPr>
                    <w:t>3</w:t>
                  </w:r>
                  <w:r>
                    <w:rPr>
                      <w:rFonts w:eastAsiaTheme="minorEastAsia"/>
                      <w:szCs w:val="21"/>
                    </w:rPr>
                    <w:t>/d（工艺A</w:t>
                  </w:r>
                  <w:r>
                    <w:rPr>
                      <w:rFonts w:eastAsiaTheme="minorEastAsia"/>
                      <w:szCs w:val="21"/>
                      <w:vertAlign w:val="superscript"/>
                    </w:rPr>
                    <w:t>2</w:t>
                  </w:r>
                  <w:r>
                    <w:rPr>
                      <w:rFonts w:eastAsiaTheme="minorEastAsia"/>
                      <w:szCs w:val="21"/>
                    </w:rPr>
                    <w:t>/O+MBBR），远期为10000m</w:t>
                  </w:r>
                  <w:r>
                    <w:rPr>
                      <w:rFonts w:eastAsiaTheme="minorEastAsia"/>
                      <w:szCs w:val="21"/>
                      <w:vertAlign w:val="superscript"/>
                    </w:rPr>
                    <w:t>3</w:t>
                  </w:r>
                  <w:r>
                    <w:rPr>
                      <w:rFonts w:eastAsiaTheme="minorEastAsia"/>
                      <w:szCs w:val="21"/>
                    </w:rPr>
                    <w:t>/d，出水水质已达一级A标。</w:t>
                  </w:r>
                </w:p>
              </w:tc>
              <w:tc>
                <w:tcPr>
                  <w:tcW w:w="742" w:type="dxa"/>
                  <w:vAlign w:val="center"/>
                </w:tcPr>
                <w:p>
                  <w:pPr>
                    <w:pStyle w:val="13"/>
                    <w:jc w:val="center"/>
                    <w:rPr>
                      <w:rFonts w:ascii="Times New Roman" w:eastAsiaTheme="minorEastAsia"/>
                      <w:color w:val="auto"/>
                      <w:kern w:val="2"/>
                      <w:sz w:val="21"/>
                      <w:szCs w:val="21"/>
                    </w:rPr>
                  </w:pPr>
                  <w:r>
                    <w:rPr>
                      <w:rFonts w:ascii="Times New Roman" w:eastAsiaTheme="minorEastAsia"/>
                      <w:color w:val="auto"/>
                      <w:kern w:val="2"/>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pStyle w:val="13"/>
                    <w:jc w:val="left"/>
                    <w:rPr>
                      <w:rFonts w:ascii="Times New Roman" w:eastAsiaTheme="minorEastAsia"/>
                      <w:color w:val="auto"/>
                      <w:kern w:val="2"/>
                      <w:sz w:val="21"/>
                      <w:szCs w:val="21"/>
                    </w:rPr>
                  </w:pPr>
                  <w:r>
                    <w:rPr>
                      <w:rFonts w:ascii="Times New Roman" w:eastAsiaTheme="minorEastAsia"/>
                      <w:color w:val="auto"/>
                      <w:kern w:val="2"/>
                      <w:sz w:val="21"/>
                      <w:szCs w:val="21"/>
                    </w:rPr>
                    <w:t>7</w:t>
                  </w:r>
                </w:p>
              </w:tc>
              <w:tc>
                <w:tcPr>
                  <w:tcW w:w="2921" w:type="dxa"/>
                  <w:vAlign w:val="center"/>
                </w:tcPr>
                <w:p>
                  <w:pPr>
                    <w:pStyle w:val="12"/>
                    <w:ind w:firstLine="420" w:firstLineChars="200"/>
                    <w:jc w:val="left"/>
                    <w:rPr>
                      <w:rFonts w:ascii="Times New Roman" w:hAnsi="Times New Roman" w:eastAsiaTheme="minorEastAsia"/>
                      <w:szCs w:val="21"/>
                    </w:rPr>
                  </w:pPr>
                  <w:r>
                    <w:rPr>
                      <w:rFonts w:ascii="Times New Roman" w:hAnsi="Times New Roman" w:eastAsiaTheme="minorEastAsia"/>
                      <w:szCs w:val="21"/>
                    </w:rPr>
                    <w:t>七、推进镇村污水垃圾收集处理。</w:t>
                  </w:r>
                </w:p>
                <w:p>
                  <w:pPr>
                    <w:pStyle w:val="12"/>
                    <w:ind w:firstLine="420" w:firstLineChars="200"/>
                    <w:jc w:val="left"/>
                    <w:rPr>
                      <w:rFonts w:ascii="Times New Roman" w:hAnsi="Times New Roman" w:eastAsiaTheme="minorEastAsia"/>
                      <w:szCs w:val="21"/>
                    </w:rPr>
                  </w:pPr>
                  <w:r>
                    <w:rPr>
                      <w:rFonts w:ascii="Times New Roman" w:hAnsi="Times New Roman" w:eastAsiaTheme="minorEastAsia"/>
                      <w:szCs w:val="21"/>
                    </w:rPr>
                    <w:t>加快推进城镇污水管网向周边村庄延伸覆盖，加大乡镇镇区生活污水处理设施建设力度，年底实现流域内镇区生活污水处理设施覆盖率达到50%以上。建立健全农村生活垃圾收运处置体系，支持农村垃圾分类和回收利用，开展农村垃圾分类减量试点示范，2022年底，流域内乡镇镇区、村庄生活垃圾处理设施覆盖率分别达到70%、50%以上。</w:t>
                  </w:r>
                </w:p>
              </w:tc>
              <w:tc>
                <w:tcPr>
                  <w:tcW w:w="2629" w:type="dxa"/>
                  <w:vAlign w:val="center"/>
                </w:tcPr>
                <w:p>
                  <w:pPr>
                    <w:pStyle w:val="13"/>
                    <w:jc w:val="left"/>
                    <w:rPr>
                      <w:rFonts w:ascii="Times New Roman" w:eastAsiaTheme="minorEastAsia"/>
                      <w:color w:val="auto"/>
                      <w:kern w:val="2"/>
                      <w:sz w:val="21"/>
                      <w:szCs w:val="21"/>
                    </w:rPr>
                  </w:pPr>
                  <w:r>
                    <w:rPr>
                      <w:rFonts w:ascii="Times New Roman" w:eastAsiaTheme="minorEastAsia"/>
                      <w:color w:val="auto"/>
                      <w:kern w:val="2"/>
                      <w:sz w:val="21"/>
                      <w:szCs w:val="21"/>
                    </w:rPr>
                    <w:t>该项目是属于花卉栽培及热力供应项目，日常生产的产生的垃圾为废包材，不合格玫瑰花和枯萎玫瑰花枝、废渗透膜，生活垃圾，其中一般固废能回收利用的都回用，不能回用的都委托环卫工人统一清运，危险固废则是由有资质的相关单位负责处理，因此该项目垃圾收集处理率为100%。</w:t>
                  </w:r>
                </w:p>
              </w:tc>
              <w:tc>
                <w:tcPr>
                  <w:tcW w:w="742" w:type="dxa"/>
                  <w:vAlign w:val="center"/>
                </w:tcPr>
                <w:p>
                  <w:pPr>
                    <w:pStyle w:val="13"/>
                    <w:jc w:val="center"/>
                    <w:rPr>
                      <w:rFonts w:ascii="Times New Roman" w:eastAsiaTheme="minorEastAsia"/>
                      <w:color w:val="auto"/>
                      <w:kern w:val="2"/>
                      <w:sz w:val="21"/>
                      <w:szCs w:val="21"/>
                    </w:rPr>
                  </w:pPr>
                  <w:r>
                    <w:rPr>
                      <w:rFonts w:ascii="Times New Roman" w:eastAsiaTheme="minorEastAsia"/>
                      <w:color w:val="auto"/>
                      <w:kern w:val="2"/>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pStyle w:val="13"/>
                    <w:jc w:val="left"/>
                    <w:rPr>
                      <w:rFonts w:ascii="Times New Roman" w:eastAsiaTheme="minorEastAsia"/>
                      <w:color w:val="auto"/>
                      <w:kern w:val="2"/>
                      <w:sz w:val="21"/>
                      <w:szCs w:val="21"/>
                    </w:rPr>
                  </w:pPr>
                  <w:r>
                    <w:rPr>
                      <w:rFonts w:ascii="Times New Roman" w:eastAsiaTheme="minorEastAsia"/>
                      <w:color w:val="auto"/>
                      <w:kern w:val="2"/>
                      <w:sz w:val="21"/>
                      <w:szCs w:val="21"/>
                    </w:rPr>
                    <w:t>8</w:t>
                  </w:r>
                </w:p>
              </w:tc>
              <w:tc>
                <w:tcPr>
                  <w:tcW w:w="2921" w:type="dxa"/>
                  <w:vAlign w:val="center"/>
                </w:tcPr>
                <w:p>
                  <w:pPr>
                    <w:pStyle w:val="12"/>
                    <w:ind w:firstLine="420" w:firstLineChars="200"/>
                    <w:jc w:val="left"/>
                    <w:rPr>
                      <w:rFonts w:ascii="Times New Roman" w:hAnsi="Times New Roman" w:eastAsiaTheme="minorEastAsia"/>
                      <w:szCs w:val="21"/>
                    </w:rPr>
                  </w:pPr>
                  <w:r>
                    <w:rPr>
                      <w:rFonts w:ascii="Times New Roman" w:hAnsi="Times New Roman" w:eastAsiaTheme="minorEastAsia"/>
                      <w:szCs w:val="21"/>
                    </w:rPr>
                    <w:t>八、扎实开展农村人居环境整治提升行动。</w:t>
                  </w:r>
                </w:p>
                <w:p>
                  <w:pPr>
                    <w:pStyle w:val="13"/>
                    <w:jc w:val="left"/>
                    <w:rPr>
                      <w:rFonts w:ascii="Times New Roman" w:eastAsiaTheme="minorEastAsia"/>
                      <w:color w:val="auto"/>
                      <w:kern w:val="2"/>
                      <w:sz w:val="21"/>
                      <w:szCs w:val="21"/>
                    </w:rPr>
                  </w:pPr>
                  <w:r>
                    <w:rPr>
                      <w:rFonts w:ascii="Times New Roman" w:eastAsiaTheme="minorEastAsia"/>
                      <w:color w:val="auto"/>
                      <w:kern w:val="2"/>
                      <w:sz w:val="21"/>
                      <w:szCs w:val="21"/>
                    </w:rPr>
                    <w:t>接续推进农村人居环境整治提升五年行动，编制印发《楚雄州农村人居环境整治提升五年行动方案（2021—2025年）》《楚雄州2022年农村人居环境整治提升工作计划》。同时，高质量谋划实施好项目建设，强化项目包装，积极争取农业面源污染、农村人居环境整治、畜禽粪污利用、种养结合建设、秸秆示范县创建等项目，加大资金投入和科技投入，进一步提高秸秆、农膜、畜禽粪污综合</w:t>
                  </w:r>
                </w:p>
              </w:tc>
              <w:tc>
                <w:tcPr>
                  <w:tcW w:w="2629" w:type="dxa"/>
                  <w:vAlign w:val="center"/>
                </w:tcPr>
                <w:p>
                  <w:pPr>
                    <w:pStyle w:val="13"/>
                    <w:jc w:val="left"/>
                    <w:rPr>
                      <w:rFonts w:ascii="Times New Roman" w:eastAsiaTheme="minorEastAsia"/>
                      <w:color w:val="auto"/>
                      <w:kern w:val="2"/>
                      <w:sz w:val="21"/>
                      <w:szCs w:val="21"/>
                    </w:rPr>
                  </w:pPr>
                  <w:r>
                    <w:rPr>
                      <w:rFonts w:ascii="Times New Roman" w:eastAsiaTheme="minorEastAsia"/>
                      <w:color w:val="auto"/>
                      <w:kern w:val="2"/>
                      <w:sz w:val="21"/>
                      <w:szCs w:val="21"/>
                    </w:rPr>
                    <w:t>该项目是属于花卉栽培及热力供应项目，不涉及开展农村人居环境整治提升行动。</w:t>
                  </w:r>
                </w:p>
              </w:tc>
              <w:tc>
                <w:tcPr>
                  <w:tcW w:w="742" w:type="dxa"/>
                  <w:vAlign w:val="center"/>
                </w:tcPr>
                <w:p>
                  <w:pPr>
                    <w:pStyle w:val="13"/>
                    <w:jc w:val="center"/>
                    <w:rPr>
                      <w:rFonts w:ascii="Times New Roman" w:eastAsiaTheme="minorEastAsia"/>
                      <w:color w:val="auto"/>
                      <w:kern w:val="2"/>
                      <w:sz w:val="21"/>
                      <w:szCs w:val="21"/>
                    </w:rPr>
                  </w:pPr>
                  <w:r>
                    <w:rPr>
                      <w:rFonts w:ascii="Times New Roman" w:eastAsiaTheme="minorEastAsia"/>
                      <w:color w:val="auto"/>
                      <w:kern w:val="2"/>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pStyle w:val="13"/>
                    <w:jc w:val="left"/>
                    <w:rPr>
                      <w:rFonts w:ascii="Times New Roman" w:eastAsiaTheme="minorEastAsia"/>
                      <w:color w:val="auto"/>
                      <w:kern w:val="2"/>
                      <w:sz w:val="21"/>
                      <w:szCs w:val="21"/>
                    </w:rPr>
                  </w:pPr>
                  <w:r>
                    <w:rPr>
                      <w:rFonts w:ascii="Times New Roman" w:eastAsiaTheme="minorEastAsia"/>
                      <w:color w:val="auto"/>
                      <w:kern w:val="2"/>
                      <w:sz w:val="21"/>
                      <w:szCs w:val="21"/>
                    </w:rPr>
                    <w:t>9</w:t>
                  </w:r>
                </w:p>
              </w:tc>
              <w:tc>
                <w:tcPr>
                  <w:tcW w:w="2921" w:type="dxa"/>
                  <w:vAlign w:val="center"/>
                </w:tcPr>
                <w:p>
                  <w:pPr>
                    <w:pStyle w:val="12"/>
                    <w:jc w:val="left"/>
                    <w:rPr>
                      <w:rFonts w:ascii="Times New Roman" w:hAnsi="Times New Roman" w:eastAsiaTheme="minorEastAsia"/>
                      <w:szCs w:val="21"/>
                    </w:rPr>
                  </w:pPr>
                  <w:r>
                    <w:rPr>
                      <w:rFonts w:ascii="Times New Roman" w:hAnsi="Times New Roman" w:eastAsiaTheme="minorEastAsia"/>
                      <w:szCs w:val="21"/>
                    </w:rPr>
                    <w:t>九、加大宣传教育力度。</w:t>
                  </w:r>
                </w:p>
                <w:p>
                  <w:pPr>
                    <w:pStyle w:val="13"/>
                    <w:jc w:val="left"/>
                    <w:rPr>
                      <w:rFonts w:ascii="Times New Roman" w:eastAsiaTheme="minorEastAsia"/>
                      <w:color w:val="auto"/>
                      <w:kern w:val="2"/>
                      <w:sz w:val="21"/>
                      <w:szCs w:val="21"/>
                    </w:rPr>
                  </w:pPr>
                  <w:r>
                    <w:rPr>
                      <w:rFonts w:ascii="Times New Roman" w:eastAsiaTheme="minorEastAsia"/>
                      <w:color w:val="auto"/>
                      <w:kern w:val="2"/>
                      <w:sz w:val="21"/>
                      <w:szCs w:val="21"/>
                    </w:rPr>
                    <w:t>保护河湖、实现良好生态是每个公民应尽的义务，采取广播、电视、报纸等新闻媒介多种形式开展龙川江流域综合治理工作宣传教育引导，通过经常开展活动、经常发动群众参与活动，推动整个社会层面动起来，不断提升社会公众对龙川江水生态、水环境的保护意识，让龙川江流域综合治理工作深入人心、家喻户晓、深得民心，营造全社会关心龙川江、关爱龙川江、保护龙川江的浓厚氛围。</w:t>
                  </w:r>
                </w:p>
              </w:tc>
              <w:tc>
                <w:tcPr>
                  <w:tcW w:w="2629" w:type="dxa"/>
                  <w:vAlign w:val="center"/>
                </w:tcPr>
                <w:p>
                  <w:pPr>
                    <w:pStyle w:val="13"/>
                    <w:jc w:val="left"/>
                    <w:rPr>
                      <w:rFonts w:ascii="Times New Roman" w:eastAsiaTheme="minorEastAsia"/>
                      <w:color w:val="auto"/>
                      <w:kern w:val="2"/>
                      <w:sz w:val="21"/>
                      <w:szCs w:val="21"/>
                    </w:rPr>
                  </w:pPr>
                  <w:r>
                    <w:rPr>
                      <w:rFonts w:ascii="Times New Roman" w:eastAsiaTheme="minorEastAsia"/>
                      <w:color w:val="auto"/>
                      <w:kern w:val="2"/>
                      <w:sz w:val="21"/>
                      <w:szCs w:val="21"/>
                    </w:rPr>
                    <w:t>该项目是属于花卉栽培及热力供应项目，不涉及宣传教育方面。</w:t>
                  </w:r>
                </w:p>
              </w:tc>
              <w:tc>
                <w:tcPr>
                  <w:tcW w:w="742" w:type="dxa"/>
                  <w:vAlign w:val="center"/>
                </w:tcPr>
                <w:p>
                  <w:pPr>
                    <w:pStyle w:val="13"/>
                    <w:jc w:val="center"/>
                    <w:rPr>
                      <w:rFonts w:ascii="Times New Roman" w:eastAsiaTheme="minorEastAsia"/>
                      <w:color w:val="auto"/>
                      <w:kern w:val="2"/>
                      <w:sz w:val="21"/>
                      <w:szCs w:val="21"/>
                    </w:rPr>
                  </w:pPr>
                  <w:r>
                    <w:rPr>
                      <w:rFonts w:ascii="Times New Roman" w:eastAsiaTheme="minorEastAsia"/>
                      <w:color w:val="auto"/>
                      <w:kern w:val="2"/>
                      <w:sz w:val="21"/>
                      <w:szCs w:val="21"/>
                    </w:rPr>
                    <w:t>符合</w:t>
                  </w:r>
                </w:p>
              </w:tc>
            </w:tr>
          </w:tbl>
          <w:p>
            <w:pPr>
              <w:pStyle w:val="12"/>
              <w:spacing w:line="360" w:lineRule="auto"/>
              <w:ind w:firstLine="480" w:firstLineChars="200"/>
              <w:rPr>
                <w:rFonts w:ascii="Times New Roman" w:hAnsi="Times New Roman"/>
                <w:sz w:val="24"/>
              </w:rPr>
            </w:pPr>
            <w:r>
              <w:rPr>
                <w:rFonts w:ascii="Times New Roman" w:hAnsi="Times New Roman"/>
                <w:sz w:val="24"/>
              </w:rPr>
              <w:t>综上，项目建设符合楚雄州人民政府办公室关于印发《楚雄州龙川江流域综合整治提升三年行动实施方案（2022—2024年）》（楚政办函〔2022〕16号）的通知。</w:t>
            </w:r>
          </w:p>
          <w:p>
            <w:pPr>
              <w:pStyle w:val="12"/>
              <w:spacing w:line="360" w:lineRule="auto"/>
              <w:rPr>
                <w:rFonts w:ascii="Times New Roman" w:hAnsi="Times New Roman"/>
                <w:kern w:val="0"/>
                <w:sz w:val="24"/>
              </w:rPr>
            </w:pPr>
          </w:p>
          <w:p>
            <w:pPr>
              <w:pStyle w:val="13"/>
              <w:rPr>
                <w:rFonts w:ascii="Times New Roman"/>
                <w:color w:val="auto"/>
              </w:rPr>
            </w:pPr>
          </w:p>
          <w:p>
            <w:pPr>
              <w:pStyle w:val="13"/>
              <w:rPr>
                <w:rFonts w:ascii="Times New Roman"/>
                <w:color w:val="auto"/>
              </w:rPr>
            </w:pPr>
          </w:p>
          <w:p>
            <w:pPr>
              <w:pStyle w:val="13"/>
              <w:rPr>
                <w:rFonts w:ascii="Times New Roman"/>
                <w:color w:val="auto"/>
              </w:rPr>
            </w:pPr>
          </w:p>
          <w:p>
            <w:pPr>
              <w:pStyle w:val="13"/>
              <w:rPr>
                <w:rFonts w:hint="eastAsia" w:ascii="Times New Roman"/>
                <w:color w:val="auto"/>
              </w:rPr>
            </w:pPr>
          </w:p>
        </w:tc>
      </w:tr>
    </w:tbl>
    <w:p>
      <w:pPr>
        <w:pStyle w:val="23"/>
        <w:spacing w:line="360" w:lineRule="auto"/>
        <w:rPr>
          <w:rFonts w:ascii="Times New Roman" w:hAnsi="Times New Roman"/>
          <w:snapToGrid w:val="0"/>
          <w:szCs w:val="24"/>
        </w:rPr>
        <w:sectPr>
          <w:footerReference r:id="rId3" w:type="default"/>
          <w:pgSz w:w="11906" w:h="16838"/>
          <w:pgMar w:top="1247" w:right="1247" w:bottom="1247" w:left="1247" w:header="851" w:footer="992" w:gutter="0"/>
          <w:pgNumType w:start="1"/>
          <w:cols w:space="425" w:num="1"/>
          <w:docGrid w:type="lines" w:linePitch="312" w:charSpace="0"/>
        </w:sectPr>
      </w:pPr>
    </w:p>
    <w:p>
      <w:pPr>
        <w:pStyle w:val="23"/>
        <w:spacing w:line="360" w:lineRule="auto"/>
        <w:jc w:val="center"/>
        <w:outlineLvl w:val="0"/>
        <w:rPr>
          <w:rFonts w:ascii="Times New Roman" w:hAnsi="Times New Roman" w:eastAsiaTheme="majorEastAsia"/>
          <w:b/>
          <w:bCs/>
          <w:snapToGrid w:val="0"/>
          <w:sz w:val="30"/>
          <w:szCs w:val="30"/>
        </w:rPr>
      </w:pPr>
      <w:bookmarkStart w:id="8" w:name="_Toc144233167"/>
      <w:bookmarkStart w:id="9" w:name="_Toc27011"/>
      <w:bookmarkStart w:id="10" w:name="_Toc6998"/>
      <w:r>
        <w:rPr>
          <w:rFonts w:ascii="Times New Roman" w:hAnsi="Times New Roman" w:eastAsiaTheme="majorEastAsia"/>
          <w:b/>
          <w:bCs/>
          <w:snapToGrid w:val="0"/>
          <w:sz w:val="30"/>
          <w:szCs w:val="30"/>
        </w:rPr>
        <w:t>二、建设项目工程分析</w:t>
      </w:r>
      <w:bookmarkEnd w:id="8"/>
      <w:bookmarkEnd w:id="9"/>
      <w:bookmarkEnd w:id="10"/>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9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709" w:type="dxa"/>
            <w:vAlign w:val="center"/>
          </w:tcPr>
          <w:p>
            <w:pPr>
              <w:pStyle w:val="23"/>
              <w:adjustRightInd w:val="0"/>
              <w:snapToGrid w:val="0"/>
              <w:spacing w:before="0" w:beforeAutospacing="0" w:after="0" w:afterAutospacing="0" w:line="360" w:lineRule="auto"/>
              <w:jc w:val="center"/>
              <w:rPr>
                <w:rFonts w:ascii="Times New Roman" w:hAnsi="Times New Roman"/>
                <w:szCs w:val="24"/>
              </w:rPr>
            </w:pPr>
            <w:r>
              <w:rPr>
                <w:rFonts w:ascii="Times New Roman" w:hAnsi="Times New Roman"/>
                <w:szCs w:val="24"/>
              </w:rPr>
              <w:t>建设内容</w:t>
            </w:r>
          </w:p>
        </w:tc>
        <w:tc>
          <w:tcPr>
            <w:tcW w:w="8953" w:type="dxa"/>
          </w:tcPr>
          <w:p>
            <w:pPr>
              <w:spacing w:before="156" w:beforeLines="50" w:line="360" w:lineRule="auto"/>
              <w:rPr>
                <w:rFonts w:eastAsiaTheme="minorEastAsia"/>
                <w:b/>
                <w:bCs/>
                <w:sz w:val="24"/>
              </w:rPr>
            </w:pPr>
            <w:r>
              <w:rPr>
                <w:rFonts w:eastAsiaTheme="minorEastAsia"/>
                <w:b/>
                <w:bCs/>
                <w:sz w:val="24"/>
              </w:rPr>
              <w:t>1、项目由来</w:t>
            </w:r>
          </w:p>
          <w:p>
            <w:pPr>
              <w:spacing w:line="360" w:lineRule="auto"/>
              <w:ind w:firstLine="480" w:firstLineChars="200"/>
              <w:rPr>
                <w:rFonts w:eastAsiaTheme="minorEastAsia"/>
                <w:sz w:val="24"/>
              </w:rPr>
            </w:pPr>
            <w:r>
              <w:rPr>
                <w:rFonts w:eastAsiaTheme="minorEastAsia"/>
                <w:sz w:val="24"/>
              </w:rPr>
              <w:t>我国花卉业与发达国家相比还存在较大差距，随着经济的发展，人民生活水平提高，市场玫瑰花需求量提高，而目前我国玫瑰栽培面积较少，多属于自发、分散种植，规模化、产业化程度很低。为此姚安宇锦花卉有限公司将在姚安县光禄镇福光村委会建设玫瑰种植基地建设项目。由于温度是影响花卉生长发育的重要因素，花卉的同化、吸收、呼吸等生理活动，都必须在一定的温度条件下才能正常进行。如果没有适合其生长发育的温度，就会直接影响生长和开花。科学试验表明，一般花卉在其生长适温范围内，温度越高，光合作用越强，制造的有机物质越多，同时呼吸作用也越旺盛。在一定温度范围内温度升高，能促进花卉细胞分裂和细胞伸长，花卉的生长就快。温度变化是引起花卉休眠的原因之一。因此本项目在温度较低的冬季将采用生物质锅炉进行供暖。</w:t>
            </w:r>
          </w:p>
          <w:p>
            <w:pPr>
              <w:spacing w:line="360" w:lineRule="auto"/>
              <w:ind w:firstLine="480" w:firstLineChars="200"/>
              <w:rPr>
                <w:rFonts w:eastAsiaTheme="minorEastAsia"/>
                <w:sz w:val="24"/>
              </w:rPr>
            </w:pPr>
            <w:r>
              <w:rPr>
                <w:rFonts w:eastAsiaTheme="minorEastAsia"/>
                <w:sz w:val="24"/>
              </w:rPr>
              <w:t>该项目于2023年5月在姚安县发展和改革局备案（附件2 备案证、附件3 营业执照）。根据《中华人民共和国环境保护法》《中华人民共和国环境影响评价法》《建设项目环境保护管理条例》（国务院令第682号令）和《云南省建设项目环境保护管理规定》，建设项目应履行环境影响评价制度。依据《建设项目环境影响评价分类管理名录》（2021年版），本项目花卉种植属于名录中一、农业01、林业02中1农产品基地项目（含药材基地），不涉及环境敏感区，属于登记表范畴；同时根据《建设项目环境影响评价分类管理名录（2021年版）》（生态环境部令第16号，以下简称《名录》）的“91热力生产和供应工程（包括建设单位自建自用的供热工程）”规定“使用其他高污染燃料的”编制环境影响报告表，本项目属于四十一、电力、热力生产和供应业中91热力生产和供应工程（包括建设单位自建自用的供热工程）中燃煤、燃油锅炉总容量65吨/ 小时（45.5兆瓦）及以下的，属于报告表范畴。综上所述，本项目应编制“环境影响报告表”。姚安宇锦花卉有限公司委托我司编制该项目的环评报告表（附件1 委托书）。</w:t>
            </w:r>
          </w:p>
          <w:p>
            <w:pPr>
              <w:spacing w:line="360" w:lineRule="auto"/>
              <w:ind w:firstLine="480" w:firstLineChars="200"/>
              <w:rPr>
                <w:rFonts w:eastAsiaTheme="minorEastAsia"/>
                <w:sz w:val="24"/>
              </w:rPr>
            </w:pPr>
            <w:r>
              <w:rPr>
                <w:rFonts w:eastAsiaTheme="minorEastAsia"/>
                <w:sz w:val="24"/>
              </w:rPr>
              <w:t xml:space="preserve">项目总体建设用地54700平方米，总投资400万元。水肥车间和设施设备占地面积600平方米，加温车间及设施设备占地600平方米，其中两台生物质锅炉占地200平方米，燃料储存房占地300平方米。新建项目包括水肥车间和设施设备、2台6t的生物质锅炉及其附属设施、加工车间、食堂、宿舍。 </w:t>
            </w:r>
          </w:p>
          <w:p>
            <w:pPr>
              <w:spacing w:line="360" w:lineRule="auto"/>
              <w:ind w:firstLine="480" w:firstLineChars="200"/>
              <w:rPr>
                <w:rFonts w:eastAsiaTheme="minorEastAsia"/>
                <w:sz w:val="24"/>
              </w:rPr>
            </w:pPr>
            <w:r>
              <w:rPr>
                <w:rFonts w:eastAsiaTheme="minorEastAsia"/>
                <w:sz w:val="24"/>
              </w:rPr>
              <w:t>我方接受委托后，进行了现场踏勘、资料收集，在初步工程分析的基础上，编制了该项目的环境影响报告表。作为建设项目环境保护文件上报环境保护行政管理部门审批。</w:t>
            </w:r>
          </w:p>
          <w:p>
            <w:pPr>
              <w:spacing w:before="156" w:beforeLines="50" w:line="360" w:lineRule="auto"/>
              <w:rPr>
                <w:rFonts w:eastAsiaTheme="minorEastAsia"/>
                <w:b/>
                <w:bCs/>
                <w:sz w:val="24"/>
              </w:rPr>
            </w:pPr>
            <w:r>
              <w:rPr>
                <w:rFonts w:eastAsiaTheme="minorEastAsia"/>
                <w:b/>
                <w:bCs/>
                <w:sz w:val="24"/>
              </w:rPr>
              <w:t>2、基本概况</w:t>
            </w:r>
          </w:p>
          <w:p>
            <w:pPr>
              <w:spacing w:line="360" w:lineRule="auto"/>
              <w:ind w:firstLine="480" w:firstLineChars="200"/>
              <w:rPr>
                <w:rFonts w:eastAsiaTheme="minorEastAsia"/>
                <w:sz w:val="24"/>
              </w:rPr>
            </w:pPr>
            <w:r>
              <w:rPr>
                <w:rFonts w:eastAsiaTheme="minorEastAsia"/>
                <w:sz w:val="24"/>
              </w:rPr>
              <w:t>项目名称：姚安县光禄镇特色农业生产种植示范基地及配套锅炉建设项目</w:t>
            </w:r>
          </w:p>
          <w:p>
            <w:pPr>
              <w:spacing w:line="360" w:lineRule="auto"/>
              <w:ind w:firstLine="480" w:firstLineChars="200"/>
              <w:rPr>
                <w:rFonts w:eastAsiaTheme="minorEastAsia"/>
                <w:sz w:val="24"/>
              </w:rPr>
            </w:pPr>
            <w:r>
              <w:rPr>
                <w:rFonts w:eastAsiaTheme="minorEastAsia"/>
                <w:sz w:val="24"/>
              </w:rPr>
              <w:t>建设单位：姚安宇锦花卉有限公司</w:t>
            </w:r>
          </w:p>
          <w:p>
            <w:pPr>
              <w:spacing w:line="360" w:lineRule="auto"/>
              <w:ind w:firstLine="480" w:firstLineChars="200"/>
              <w:rPr>
                <w:rFonts w:eastAsiaTheme="minorEastAsia"/>
                <w:sz w:val="24"/>
              </w:rPr>
            </w:pPr>
            <w:r>
              <w:rPr>
                <w:rFonts w:eastAsiaTheme="minorEastAsia"/>
                <w:sz w:val="24"/>
              </w:rPr>
              <w:t>建设地点：云南省楚雄州姚安县光禄镇福光村委会</w:t>
            </w:r>
          </w:p>
          <w:p>
            <w:pPr>
              <w:spacing w:line="360" w:lineRule="auto"/>
              <w:ind w:firstLine="480" w:firstLineChars="200"/>
              <w:rPr>
                <w:rFonts w:eastAsiaTheme="minorEastAsia"/>
                <w:sz w:val="24"/>
              </w:rPr>
            </w:pPr>
            <w:r>
              <w:rPr>
                <w:rFonts w:eastAsiaTheme="minorEastAsia"/>
                <w:sz w:val="24"/>
              </w:rPr>
              <w:t>建设性质：新建</w:t>
            </w:r>
          </w:p>
          <w:p>
            <w:pPr>
              <w:spacing w:line="360" w:lineRule="auto"/>
              <w:ind w:firstLine="480" w:firstLineChars="200"/>
              <w:rPr>
                <w:rFonts w:eastAsiaTheme="minorEastAsia"/>
                <w:sz w:val="24"/>
              </w:rPr>
            </w:pPr>
            <w:r>
              <w:rPr>
                <w:rFonts w:eastAsiaTheme="minorEastAsia"/>
                <w:sz w:val="24"/>
              </w:rPr>
              <w:t>项目总投资：400万元</w:t>
            </w:r>
          </w:p>
          <w:p>
            <w:pPr>
              <w:spacing w:line="360" w:lineRule="auto"/>
              <w:ind w:firstLine="480" w:firstLineChars="200"/>
              <w:rPr>
                <w:rFonts w:eastAsiaTheme="minorEastAsia"/>
                <w:sz w:val="24"/>
              </w:rPr>
            </w:pPr>
            <w:r>
              <w:rPr>
                <w:rFonts w:eastAsiaTheme="minorEastAsia"/>
                <w:sz w:val="24"/>
              </w:rPr>
              <w:t>占地面积：54700平方米</w:t>
            </w:r>
          </w:p>
          <w:p>
            <w:pPr>
              <w:spacing w:line="360" w:lineRule="auto"/>
              <w:ind w:firstLine="480" w:firstLineChars="200"/>
              <w:rPr>
                <w:rFonts w:eastAsiaTheme="minorEastAsia"/>
                <w:sz w:val="24"/>
              </w:rPr>
            </w:pPr>
            <w:r>
              <w:rPr>
                <w:rFonts w:eastAsiaTheme="minorEastAsia"/>
                <w:sz w:val="24"/>
              </w:rPr>
              <w:t>建设内容：温室大棚占地46573.8平方米，水肥车间和设施设备占地面积600平方米，加温车间及设施设备占地600平方米，其中两台生物质锅炉占地200平方米，燃料储存房占地300平方米。</w:t>
            </w:r>
          </w:p>
          <w:p>
            <w:pPr>
              <w:spacing w:line="360" w:lineRule="auto"/>
              <w:ind w:firstLine="480" w:firstLineChars="200"/>
              <w:rPr>
                <w:rFonts w:eastAsiaTheme="minorEastAsia"/>
                <w:sz w:val="24"/>
              </w:rPr>
            </w:pPr>
            <w:r>
              <w:rPr>
                <w:rFonts w:eastAsiaTheme="minorEastAsia"/>
                <w:sz w:val="24"/>
              </w:rPr>
              <w:t>建设规模：建设后年产892吨玫瑰花。包括水肥车间和设施设备占地面积600平方米，加温车间及设施设备占地600平方米，其中两台生物质锅炉占地200平方米，燃料储存房占地300平方米。新建项目包括水肥车间和设施设备、2台6t的生物质锅炉及其附属设施、加工车间、食堂、宿舍。</w:t>
            </w:r>
          </w:p>
          <w:p>
            <w:pPr>
              <w:spacing w:line="360" w:lineRule="auto"/>
              <w:ind w:firstLine="480" w:firstLineChars="200"/>
              <w:rPr>
                <w:rFonts w:eastAsiaTheme="minorEastAsia"/>
                <w:sz w:val="24"/>
              </w:rPr>
            </w:pPr>
            <w:r>
              <w:rPr>
                <w:rFonts w:eastAsiaTheme="minorEastAsia"/>
                <w:sz w:val="24"/>
              </w:rPr>
              <w:t>建设进度：项目拟于2023年7月开工，2023年12月完工。</w:t>
            </w:r>
          </w:p>
          <w:p>
            <w:pPr>
              <w:spacing w:line="360" w:lineRule="auto"/>
              <w:ind w:firstLine="480" w:firstLineChars="200"/>
              <w:rPr>
                <w:rFonts w:eastAsiaTheme="minorEastAsia"/>
                <w:sz w:val="24"/>
              </w:rPr>
            </w:pPr>
            <w:r>
              <w:rPr>
                <w:rFonts w:eastAsiaTheme="minorEastAsia"/>
                <w:sz w:val="24"/>
              </w:rPr>
              <w:t>本项目为新建项目，水肥车间和设施设备占地面积600平方米，加温车间及设施设备占地600平方米，其中两台生物质锅炉占地200平方米，燃料储存房占地300平方米。新建项目包括水肥车间和设施设备、2台6t的生物质锅炉及其附属设施、加工车间、食堂、宿舍。由主体工程、储运工程、公用工程、环保工程等组成。</w:t>
            </w:r>
          </w:p>
          <w:p>
            <w:pPr>
              <w:spacing w:line="360" w:lineRule="auto"/>
              <w:jc w:val="center"/>
              <w:rPr>
                <w:rFonts w:eastAsiaTheme="minorEastAsia"/>
                <w:b/>
                <w:sz w:val="24"/>
              </w:rPr>
            </w:pPr>
            <w:r>
              <w:rPr>
                <w:rFonts w:eastAsiaTheme="minorEastAsia"/>
                <w:b/>
                <w:sz w:val="24"/>
              </w:rPr>
              <w:t>表2-1  项目组成一览表</w:t>
            </w:r>
          </w:p>
          <w:tbl>
            <w:tblPr>
              <w:tblStyle w:val="27"/>
              <w:tblW w:w="8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375"/>
              <w:gridCol w:w="851"/>
              <w:gridCol w:w="4927"/>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697" w:type="dxa"/>
                  <w:vAlign w:val="center"/>
                </w:tcPr>
                <w:p>
                  <w:pPr>
                    <w:jc w:val="center"/>
                    <w:rPr>
                      <w:rFonts w:eastAsiaTheme="minorEastAsia"/>
                      <w:b/>
                      <w:szCs w:val="21"/>
                    </w:rPr>
                  </w:pPr>
                  <w:r>
                    <w:rPr>
                      <w:rFonts w:eastAsiaTheme="minorEastAsia"/>
                      <w:b/>
                      <w:szCs w:val="21"/>
                    </w:rPr>
                    <w:t>工程分类</w:t>
                  </w:r>
                </w:p>
              </w:tc>
              <w:tc>
                <w:tcPr>
                  <w:tcW w:w="1375" w:type="dxa"/>
                  <w:vAlign w:val="center"/>
                </w:tcPr>
                <w:p>
                  <w:pPr>
                    <w:jc w:val="center"/>
                    <w:rPr>
                      <w:rFonts w:eastAsiaTheme="minorEastAsia"/>
                      <w:b/>
                      <w:szCs w:val="21"/>
                    </w:rPr>
                  </w:pPr>
                  <w:r>
                    <w:rPr>
                      <w:rFonts w:eastAsiaTheme="minorEastAsia"/>
                      <w:b/>
                      <w:szCs w:val="21"/>
                    </w:rPr>
                    <w:t>工程名称</w:t>
                  </w:r>
                </w:p>
              </w:tc>
              <w:tc>
                <w:tcPr>
                  <w:tcW w:w="5778" w:type="dxa"/>
                  <w:gridSpan w:val="2"/>
                  <w:vAlign w:val="center"/>
                </w:tcPr>
                <w:p>
                  <w:pPr>
                    <w:jc w:val="center"/>
                    <w:rPr>
                      <w:rFonts w:eastAsiaTheme="minorEastAsia"/>
                      <w:b/>
                      <w:szCs w:val="21"/>
                    </w:rPr>
                  </w:pPr>
                  <w:r>
                    <w:rPr>
                      <w:rFonts w:eastAsiaTheme="minorEastAsia"/>
                      <w:b/>
                      <w:szCs w:val="21"/>
                    </w:rPr>
                    <w:t>建设内容</w:t>
                  </w:r>
                </w:p>
              </w:tc>
              <w:tc>
                <w:tcPr>
                  <w:tcW w:w="748" w:type="dxa"/>
                  <w:vAlign w:val="center"/>
                </w:tcPr>
                <w:p>
                  <w:pPr>
                    <w:jc w:val="center"/>
                    <w:rPr>
                      <w:rFonts w:eastAsiaTheme="minorEastAsia"/>
                      <w:b/>
                      <w:szCs w:val="21"/>
                    </w:rPr>
                  </w:pPr>
                  <w:r>
                    <w:rPr>
                      <w:rFonts w:eastAsiaTheme="min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97" w:type="dxa"/>
                  <w:vMerge w:val="restart"/>
                  <w:vAlign w:val="center"/>
                </w:tcPr>
                <w:p>
                  <w:pPr>
                    <w:jc w:val="center"/>
                    <w:rPr>
                      <w:rFonts w:eastAsiaTheme="minorEastAsia"/>
                      <w:szCs w:val="21"/>
                    </w:rPr>
                  </w:pPr>
                  <w:r>
                    <w:rPr>
                      <w:rFonts w:eastAsiaTheme="minorEastAsia"/>
                      <w:szCs w:val="21"/>
                    </w:rPr>
                    <w:t>主体工程</w:t>
                  </w:r>
                </w:p>
              </w:tc>
              <w:tc>
                <w:tcPr>
                  <w:tcW w:w="1375" w:type="dxa"/>
                  <w:vAlign w:val="center"/>
                </w:tcPr>
                <w:p>
                  <w:pPr>
                    <w:jc w:val="center"/>
                    <w:rPr>
                      <w:rFonts w:eastAsiaTheme="minorEastAsia"/>
                      <w:szCs w:val="21"/>
                    </w:rPr>
                  </w:pPr>
                  <w:r>
                    <w:rPr>
                      <w:rFonts w:eastAsiaTheme="minorEastAsia"/>
                      <w:szCs w:val="21"/>
                    </w:rPr>
                    <w:t>1#温室大棚</w:t>
                  </w:r>
                </w:p>
              </w:tc>
              <w:tc>
                <w:tcPr>
                  <w:tcW w:w="5778" w:type="dxa"/>
                  <w:gridSpan w:val="2"/>
                  <w:vAlign w:val="center"/>
                </w:tcPr>
                <w:p>
                  <w:pPr>
                    <w:pStyle w:val="33"/>
                    <w:kinsoku w:val="0"/>
                    <w:overflowPunct w:val="0"/>
                    <w:spacing w:line="240" w:lineRule="auto"/>
                    <w:rPr>
                      <w:rFonts w:eastAsiaTheme="minorEastAsia"/>
                      <w:sz w:val="21"/>
                      <w:szCs w:val="21"/>
                    </w:rPr>
                  </w:pPr>
                  <w:r>
                    <w:rPr>
                      <w:rFonts w:eastAsiaTheme="minorEastAsia"/>
                      <w:sz w:val="21"/>
                      <w:szCs w:val="21"/>
                    </w:rPr>
                    <w:t>1#生产车间占地面积为22827.4m</w:t>
                  </w:r>
                  <w:r>
                    <w:rPr>
                      <w:rFonts w:eastAsiaTheme="minorEastAsia"/>
                      <w:sz w:val="21"/>
                      <w:szCs w:val="21"/>
                      <w:vertAlign w:val="superscript"/>
                    </w:rPr>
                    <w:t>2</w:t>
                  </w:r>
                  <w:r>
                    <w:rPr>
                      <w:rFonts w:eastAsiaTheme="minorEastAsia"/>
                      <w:sz w:val="21"/>
                      <w:szCs w:val="21"/>
                    </w:rPr>
                    <w:t>，采用热镀锌钢架覆盖薄膜的温室形式，单层结构，主要用于提高植株叶片的温度防止露水形成，从而使产量增加，并提高切花品质。</w:t>
                  </w:r>
                </w:p>
              </w:tc>
              <w:tc>
                <w:tcPr>
                  <w:tcW w:w="748" w:type="dxa"/>
                  <w:vAlign w:val="center"/>
                </w:tcPr>
                <w:p>
                  <w:pPr>
                    <w:pStyle w:val="33"/>
                    <w:kinsoku w:val="0"/>
                    <w:overflowPunct w:val="0"/>
                    <w:spacing w:line="240" w:lineRule="auto"/>
                    <w:jc w:val="center"/>
                    <w:rPr>
                      <w:rFonts w:eastAsiaTheme="minorEastAsia"/>
                      <w:sz w:val="21"/>
                      <w:szCs w:val="21"/>
                    </w:rPr>
                  </w:pPr>
                  <w:r>
                    <w:rPr>
                      <w:rFonts w:eastAsiaTheme="minorEastAsia"/>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97" w:type="dxa"/>
                  <w:vMerge w:val="continue"/>
                  <w:vAlign w:val="center"/>
                </w:tcPr>
                <w:p>
                  <w:pPr>
                    <w:jc w:val="center"/>
                    <w:rPr>
                      <w:rFonts w:eastAsiaTheme="minorEastAsia"/>
                      <w:szCs w:val="21"/>
                    </w:rPr>
                  </w:pPr>
                </w:p>
              </w:tc>
              <w:tc>
                <w:tcPr>
                  <w:tcW w:w="1375" w:type="dxa"/>
                  <w:vAlign w:val="center"/>
                </w:tcPr>
                <w:p>
                  <w:pPr>
                    <w:jc w:val="center"/>
                    <w:rPr>
                      <w:rFonts w:eastAsiaTheme="minorEastAsia"/>
                      <w:szCs w:val="21"/>
                    </w:rPr>
                  </w:pPr>
                  <w:r>
                    <w:rPr>
                      <w:rFonts w:eastAsiaTheme="minorEastAsia"/>
                      <w:szCs w:val="21"/>
                    </w:rPr>
                    <w:t>2#温室大棚</w:t>
                  </w:r>
                </w:p>
              </w:tc>
              <w:tc>
                <w:tcPr>
                  <w:tcW w:w="5778" w:type="dxa"/>
                  <w:gridSpan w:val="2"/>
                  <w:vAlign w:val="center"/>
                </w:tcPr>
                <w:p>
                  <w:pPr>
                    <w:pStyle w:val="33"/>
                    <w:kinsoku w:val="0"/>
                    <w:overflowPunct w:val="0"/>
                    <w:spacing w:line="240" w:lineRule="auto"/>
                    <w:rPr>
                      <w:rFonts w:eastAsiaTheme="minorEastAsia"/>
                      <w:sz w:val="21"/>
                      <w:szCs w:val="21"/>
                    </w:rPr>
                  </w:pPr>
                  <w:r>
                    <w:rPr>
                      <w:rFonts w:eastAsiaTheme="minorEastAsia"/>
                      <w:sz w:val="21"/>
                      <w:szCs w:val="21"/>
                    </w:rPr>
                    <w:t>2#生产车间占地面积为 11496.7m</w:t>
                  </w:r>
                  <w:r>
                    <w:rPr>
                      <w:rFonts w:eastAsiaTheme="minorEastAsia"/>
                      <w:sz w:val="21"/>
                      <w:szCs w:val="21"/>
                      <w:vertAlign w:val="superscript"/>
                    </w:rPr>
                    <w:t>2</w:t>
                  </w:r>
                  <w:r>
                    <w:rPr>
                      <w:rFonts w:eastAsiaTheme="minorEastAsia"/>
                      <w:sz w:val="21"/>
                      <w:szCs w:val="21"/>
                    </w:rPr>
                    <w:t>，采用热镀锌钢架覆盖薄膜的温室形式，单层结构，主要用于提高植株叶片的温度防止露水形成，从而使产量增加，并提高切花品质。</w:t>
                  </w:r>
                </w:p>
              </w:tc>
              <w:tc>
                <w:tcPr>
                  <w:tcW w:w="748" w:type="dxa"/>
                  <w:vAlign w:val="center"/>
                </w:tcPr>
                <w:p>
                  <w:pPr>
                    <w:jc w:val="center"/>
                    <w:rPr>
                      <w:rFonts w:eastAsiaTheme="minorEastAsia"/>
                      <w:szCs w:val="21"/>
                    </w:rPr>
                  </w:pPr>
                  <w:r>
                    <w:rPr>
                      <w:rFonts w:eastAsiaTheme="minorEastAsia"/>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697" w:type="dxa"/>
                  <w:vMerge w:val="continue"/>
                  <w:vAlign w:val="center"/>
                </w:tcPr>
                <w:p>
                  <w:pPr>
                    <w:jc w:val="center"/>
                    <w:rPr>
                      <w:rFonts w:eastAsiaTheme="minorEastAsia"/>
                      <w:szCs w:val="21"/>
                    </w:rPr>
                  </w:pPr>
                </w:p>
              </w:tc>
              <w:tc>
                <w:tcPr>
                  <w:tcW w:w="1375" w:type="dxa"/>
                  <w:vAlign w:val="center"/>
                </w:tcPr>
                <w:p>
                  <w:pPr>
                    <w:jc w:val="center"/>
                    <w:rPr>
                      <w:rFonts w:eastAsiaTheme="minorEastAsia"/>
                      <w:szCs w:val="21"/>
                    </w:rPr>
                  </w:pPr>
                  <w:r>
                    <w:rPr>
                      <w:rFonts w:eastAsiaTheme="minorEastAsia"/>
                      <w:szCs w:val="21"/>
                    </w:rPr>
                    <w:t>3#温室大棚</w:t>
                  </w:r>
                </w:p>
              </w:tc>
              <w:tc>
                <w:tcPr>
                  <w:tcW w:w="5778" w:type="dxa"/>
                  <w:gridSpan w:val="2"/>
                  <w:vAlign w:val="center"/>
                </w:tcPr>
                <w:p>
                  <w:pPr>
                    <w:pStyle w:val="33"/>
                    <w:kinsoku w:val="0"/>
                    <w:overflowPunct w:val="0"/>
                    <w:spacing w:line="240" w:lineRule="auto"/>
                    <w:rPr>
                      <w:rFonts w:eastAsiaTheme="minorEastAsia"/>
                      <w:sz w:val="21"/>
                      <w:szCs w:val="21"/>
                    </w:rPr>
                  </w:pPr>
                  <w:r>
                    <w:rPr>
                      <w:rFonts w:eastAsiaTheme="minorEastAsia"/>
                      <w:sz w:val="21"/>
                      <w:szCs w:val="21"/>
                    </w:rPr>
                    <w:t>3#生产车间占地面积为12249.7m</w:t>
                  </w:r>
                  <w:r>
                    <w:rPr>
                      <w:rFonts w:eastAsiaTheme="minorEastAsia"/>
                      <w:sz w:val="21"/>
                      <w:szCs w:val="21"/>
                      <w:vertAlign w:val="superscript"/>
                    </w:rPr>
                    <w:t>2</w:t>
                  </w:r>
                  <w:r>
                    <w:rPr>
                      <w:rFonts w:eastAsiaTheme="minorEastAsia"/>
                      <w:sz w:val="21"/>
                      <w:szCs w:val="21"/>
                    </w:rPr>
                    <w:t>，采用热镀锌钢架覆盖薄膜的温室形式，单层结构，主要用于提高植株叶片的温度防止露水形成，从而使产量增加，并提高切花品质。</w:t>
                  </w:r>
                </w:p>
              </w:tc>
              <w:tc>
                <w:tcPr>
                  <w:tcW w:w="748" w:type="dxa"/>
                  <w:vAlign w:val="center"/>
                </w:tcPr>
                <w:p>
                  <w:pPr>
                    <w:jc w:val="center"/>
                    <w:rPr>
                      <w:rFonts w:eastAsiaTheme="minorEastAsia"/>
                      <w:szCs w:val="21"/>
                    </w:rPr>
                  </w:pPr>
                  <w:r>
                    <w:rPr>
                      <w:rFonts w:eastAsiaTheme="minorEastAsia"/>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697" w:type="dxa"/>
                  <w:vMerge w:val="continue"/>
                  <w:vAlign w:val="center"/>
                </w:tcPr>
                <w:p>
                  <w:pPr>
                    <w:jc w:val="center"/>
                    <w:rPr>
                      <w:rFonts w:eastAsiaTheme="minorEastAsia"/>
                      <w:szCs w:val="21"/>
                    </w:rPr>
                  </w:pPr>
                </w:p>
              </w:tc>
              <w:tc>
                <w:tcPr>
                  <w:tcW w:w="1375" w:type="dxa"/>
                  <w:vAlign w:val="center"/>
                </w:tcPr>
                <w:p>
                  <w:pPr>
                    <w:jc w:val="center"/>
                    <w:rPr>
                      <w:rFonts w:eastAsiaTheme="minorEastAsia"/>
                      <w:szCs w:val="21"/>
                    </w:rPr>
                  </w:pPr>
                  <w:r>
                    <w:rPr>
                      <w:rFonts w:eastAsiaTheme="minorEastAsia"/>
                      <w:szCs w:val="21"/>
                    </w:rPr>
                    <w:t>加工车间</w:t>
                  </w:r>
                </w:p>
              </w:tc>
              <w:tc>
                <w:tcPr>
                  <w:tcW w:w="5778" w:type="dxa"/>
                  <w:gridSpan w:val="2"/>
                  <w:vAlign w:val="center"/>
                </w:tcPr>
                <w:p>
                  <w:pPr>
                    <w:pStyle w:val="33"/>
                    <w:kinsoku w:val="0"/>
                    <w:overflowPunct w:val="0"/>
                    <w:spacing w:line="240" w:lineRule="auto"/>
                    <w:rPr>
                      <w:rFonts w:eastAsiaTheme="minorEastAsia"/>
                      <w:sz w:val="21"/>
                      <w:szCs w:val="21"/>
                    </w:rPr>
                  </w:pPr>
                  <w:r>
                    <w:rPr>
                      <w:rFonts w:eastAsiaTheme="minorEastAsia"/>
                      <w:sz w:val="21"/>
                      <w:szCs w:val="21"/>
                    </w:rPr>
                    <w:t>包装车间占地面积为1808.7m</w:t>
                  </w:r>
                  <w:r>
                    <w:rPr>
                      <w:rFonts w:eastAsiaTheme="minorEastAsia"/>
                      <w:sz w:val="21"/>
                      <w:szCs w:val="21"/>
                      <w:vertAlign w:val="superscript"/>
                    </w:rPr>
                    <w:t>2</w:t>
                  </w:r>
                  <w:r>
                    <w:rPr>
                      <w:rFonts w:eastAsiaTheme="minorEastAsia"/>
                      <w:sz w:val="21"/>
                      <w:szCs w:val="21"/>
                    </w:rPr>
                    <w:t>，采用钢结构厂房形式，单层结构，厂房内主要布设包花工作设备。</w:t>
                  </w:r>
                </w:p>
              </w:tc>
              <w:tc>
                <w:tcPr>
                  <w:tcW w:w="748" w:type="dxa"/>
                  <w:vAlign w:val="center"/>
                </w:tcPr>
                <w:p>
                  <w:pPr>
                    <w:jc w:val="center"/>
                    <w:rPr>
                      <w:rFonts w:eastAsiaTheme="minorEastAsia"/>
                      <w:szCs w:val="21"/>
                    </w:rPr>
                  </w:pPr>
                  <w:r>
                    <w:rPr>
                      <w:rFonts w:eastAsiaTheme="minorEastAsia"/>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697" w:type="dxa"/>
                  <w:vMerge w:val="restart"/>
                  <w:vAlign w:val="center"/>
                </w:tcPr>
                <w:p>
                  <w:pPr>
                    <w:jc w:val="center"/>
                    <w:rPr>
                      <w:rFonts w:eastAsiaTheme="minorEastAsia"/>
                      <w:szCs w:val="21"/>
                    </w:rPr>
                  </w:pPr>
                  <w:r>
                    <w:rPr>
                      <w:rFonts w:eastAsiaTheme="minorEastAsia"/>
                      <w:szCs w:val="21"/>
                    </w:rPr>
                    <w:t>辅助工程</w:t>
                  </w:r>
                </w:p>
              </w:tc>
              <w:tc>
                <w:tcPr>
                  <w:tcW w:w="1375" w:type="dxa"/>
                  <w:vAlign w:val="center"/>
                </w:tcPr>
                <w:p>
                  <w:pPr>
                    <w:jc w:val="center"/>
                    <w:rPr>
                      <w:rFonts w:eastAsiaTheme="minorEastAsia"/>
                      <w:szCs w:val="21"/>
                    </w:rPr>
                  </w:pPr>
                  <w:r>
                    <w:rPr>
                      <w:rFonts w:eastAsiaTheme="minorEastAsia"/>
                      <w:szCs w:val="21"/>
                    </w:rPr>
                    <w:t>办公室</w:t>
                  </w:r>
                </w:p>
              </w:tc>
              <w:tc>
                <w:tcPr>
                  <w:tcW w:w="5778" w:type="dxa"/>
                  <w:gridSpan w:val="2"/>
                  <w:vAlign w:val="center"/>
                </w:tcPr>
                <w:p>
                  <w:pPr>
                    <w:rPr>
                      <w:rFonts w:eastAsiaTheme="minorEastAsia"/>
                      <w:szCs w:val="21"/>
                    </w:rPr>
                  </w:pPr>
                  <w:r>
                    <w:rPr>
                      <w:rFonts w:eastAsiaTheme="minorEastAsia"/>
                      <w:szCs w:val="21"/>
                    </w:rPr>
                    <w:t>建筑面积203.8m</w:t>
                  </w:r>
                  <w:r>
                    <w:rPr>
                      <w:rFonts w:eastAsiaTheme="minorEastAsia"/>
                      <w:szCs w:val="21"/>
                      <w:vertAlign w:val="superscript"/>
                    </w:rPr>
                    <w:t>2</w:t>
                  </w:r>
                  <w:r>
                    <w:rPr>
                      <w:rFonts w:eastAsiaTheme="minorEastAsia"/>
                      <w:szCs w:val="21"/>
                    </w:rPr>
                    <w:t>，单层，为项目办公区域。</w:t>
                  </w:r>
                </w:p>
              </w:tc>
              <w:tc>
                <w:tcPr>
                  <w:tcW w:w="748" w:type="dxa"/>
                  <w:vAlign w:val="center"/>
                </w:tcPr>
                <w:p>
                  <w:pPr>
                    <w:pStyle w:val="33"/>
                    <w:kinsoku w:val="0"/>
                    <w:overflowPunct w:val="0"/>
                    <w:spacing w:line="240" w:lineRule="auto"/>
                    <w:jc w:val="center"/>
                    <w:rPr>
                      <w:rFonts w:eastAsiaTheme="minorEastAsia"/>
                      <w:sz w:val="21"/>
                      <w:szCs w:val="21"/>
                    </w:rPr>
                  </w:pPr>
                  <w:r>
                    <w:rPr>
                      <w:rFonts w:eastAsiaTheme="minorEastAsia"/>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697" w:type="dxa"/>
                  <w:vMerge w:val="continue"/>
                  <w:vAlign w:val="center"/>
                </w:tcPr>
                <w:p>
                  <w:pPr>
                    <w:jc w:val="center"/>
                    <w:rPr>
                      <w:rFonts w:eastAsiaTheme="minorEastAsia"/>
                      <w:szCs w:val="21"/>
                    </w:rPr>
                  </w:pPr>
                </w:p>
              </w:tc>
              <w:tc>
                <w:tcPr>
                  <w:tcW w:w="1375" w:type="dxa"/>
                  <w:vAlign w:val="center"/>
                </w:tcPr>
                <w:p>
                  <w:pPr>
                    <w:jc w:val="center"/>
                    <w:rPr>
                      <w:rFonts w:eastAsiaTheme="minorEastAsia"/>
                      <w:szCs w:val="21"/>
                    </w:rPr>
                  </w:pPr>
                  <w:r>
                    <w:rPr>
                      <w:rFonts w:eastAsiaTheme="minorEastAsia"/>
                      <w:szCs w:val="21"/>
                    </w:rPr>
                    <w:t>回水罐</w:t>
                  </w:r>
                </w:p>
              </w:tc>
              <w:tc>
                <w:tcPr>
                  <w:tcW w:w="5778" w:type="dxa"/>
                  <w:gridSpan w:val="2"/>
                  <w:vAlign w:val="center"/>
                </w:tcPr>
                <w:p>
                  <w:pPr>
                    <w:rPr>
                      <w:rFonts w:eastAsiaTheme="minorEastAsia"/>
                      <w:szCs w:val="21"/>
                    </w:rPr>
                  </w:pPr>
                  <w:r>
                    <w:rPr>
                      <w:rFonts w:eastAsiaTheme="minorEastAsia"/>
                      <w:szCs w:val="21"/>
                    </w:rPr>
                    <w:t>回水罐为2个，容积为222m</w:t>
                  </w:r>
                  <w:r>
                    <w:rPr>
                      <w:rFonts w:eastAsiaTheme="minorEastAsia"/>
                      <w:szCs w:val="21"/>
                      <w:vertAlign w:val="superscript"/>
                    </w:rPr>
                    <w:t>3</w:t>
                  </w:r>
                  <w:r>
                    <w:rPr>
                      <w:rFonts w:eastAsiaTheme="minorEastAsia"/>
                      <w:szCs w:val="21"/>
                    </w:rPr>
                    <w:t>，分别用于储存未消毒的水和已消毒的水</w:t>
                  </w:r>
                </w:p>
              </w:tc>
              <w:tc>
                <w:tcPr>
                  <w:tcW w:w="748" w:type="dxa"/>
                  <w:vAlign w:val="center"/>
                </w:tcPr>
                <w:p>
                  <w:pPr>
                    <w:jc w:val="center"/>
                    <w:rPr>
                      <w:rFonts w:eastAsiaTheme="minorEastAsia"/>
                      <w:szCs w:val="21"/>
                    </w:rPr>
                  </w:pPr>
                  <w:r>
                    <w:rPr>
                      <w:rFonts w:eastAsiaTheme="minorEastAsia"/>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697" w:type="dxa"/>
                  <w:vMerge w:val="continue"/>
                  <w:vAlign w:val="center"/>
                </w:tcPr>
                <w:p>
                  <w:pPr>
                    <w:jc w:val="center"/>
                    <w:rPr>
                      <w:rFonts w:eastAsiaTheme="minorEastAsia"/>
                      <w:szCs w:val="21"/>
                    </w:rPr>
                  </w:pPr>
                </w:p>
              </w:tc>
              <w:tc>
                <w:tcPr>
                  <w:tcW w:w="1375" w:type="dxa"/>
                  <w:vAlign w:val="center"/>
                </w:tcPr>
                <w:p>
                  <w:pPr>
                    <w:jc w:val="center"/>
                    <w:rPr>
                      <w:rFonts w:eastAsiaTheme="minorEastAsia"/>
                      <w:szCs w:val="21"/>
                    </w:rPr>
                  </w:pPr>
                  <w:r>
                    <w:rPr>
                      <w:rFonts w:eastAsiaTheme="minorEastAsia"/>
                      <w:szCs w:val="21"/>
                    </w:rPr>
                    <w:t>锅炉房</w:t>
                  </w:r>
                </w:p>
              </w:tc>
              <w:tc>
                <w:tcPr>
                  <w:tcW w:w="5778" w:type="dxa"/>
                  <w:gridSpan w:val="2"/>
                  <w:vAlign w:val="center"/>
                </w:tcPr>
                <w:p>
                  <w:pPr>
                    <w:rPr>
                      <w:rFonts w:eastAsiaTheme="minorEastAsia"/>
                      <w:szCs w:val="21"/>
                    </w:rPr>
                  </w:pPr>
                  <w:r>
                    <w:rPr>
                      <w:rFonts w:eastAsiaTheme="minorEastAsia"/>
                      <w:szCs w:val="21"/>
                    </w:rPr>
                    <w:t>建筑面积200m</w:t>
                  </w:r>
                  <w:r>
                    <w:rPr>
                      <w:rFonts w:eastAsiaTheme="minorEastAsia"/>
                      <w:szCs w:val="21"/>
                      <w:vertAlign w:val="superscript"/>
                    </w:rPr>
                    <w:t>2</w:t>
                  </w:r>
                  <w:r>
                    <w:rPr>
                      <w:rFonts w:eastAsiaTheme="minorEastAsia"/>
                      <w:szCs w:val="21"/>
                    </w:rPr>
                    <w:t xml:space="preserve">，单层，为项目生物质锅炉。    </w:t>
                  </w:r>
                </w:p>
              </w:tc>
              <w:tc>
                <w:tcPr>
                  <w:tcW w:w="748" w:type="dxa"/>
                  <w:vAlign w:val="center"/>
                </w:tcPr>
                <w:p>
                  <w:pPr>
                    <w:jc w:val="center"/>
                    <w:rPr>
                      <w:rFonts w:eastAsiaTheme="minorEastAsia"/>
                      <w:szCs w:val="21"/>
                    </w:rPr>
                  </w:pPr>
                  <w:r>
                    <w:rPr>
                      <w:rFonts w:eastAsiaTheme="minorEastAsia"/>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97" w:type="dxa"/>
                  <w:vMerge w:val="continue"/>
                  <w:vAlign w:val="center"/>
                </w:tcPr>
                <w:p>
                  <w:pPr>
                    <w:jc w:val="center"/>
                    <w:rPr>
                      <w:rFonts w:eastAsiaTheme="minorEastAsia"/>
                      <w:szCs w:val="21"/>
                    </w:rPr>
                  </w:pPr>
                </w:p>
              </w:tc>
              <w:tc>
                <w:tcPr>
                  <w:tcW w:w="1375" w:type="dxa"/>
                  <w:vAlign w:val="center"/>
                </w:tcPr>
                <w:p>
                  <w:pPr>
                    <w:jc w:val="center"/>
                    <w:rPr>
                      <w:rFonts w:eastAsiaTheme="minorEastAsia"/>
                      <w:szCs w:val="21"/>
                    </w:rPr>
                  </w:pPr>
                  <w:r>
                    <w:rPr>
                      <w:rFonts w:eastAsiaTheme="minorEastAsia"/>
                      <w:szCs w:val="21"/>
                    </w:rPr>
                    <w:t>燃料储存房</w:t>
                  </w:r>
                </w:p>
              </w:tc>
              <w:tc>
                <w:tcPr>
                  <w:tcW w:w="5778" w:type="dxa"/>
                  <w:gridSpan w:val="2"/>
                  <w:vAlign w:val="center"/>
                </w:tcPr>
                <w:p>
                  <w:pPr>
                    <w:rPr>
                      <w:rFonts w:eastAsiaTheme="minorEastAsia"/>
                      <w:szCs w:val="21"/>
                    </w:rPr>
                  </w:pPr>
                  <w:r>
                    <w:rPr>
                      <w:rFonts w:eastAsiaTheme="minorEastAsia"/>
                      <w:szCs w:val="21"/>
                    </w:rPr>
                    <w:t>建筑面积300m</w:t>
                  </w:r>
                  <w:r>
                    <w:rPr>
                      <w:rFonts w:eastAsiaTheme="minorEastAsia"/>
                      <w:szCs w:val="21"/>
                      <w:vertAlign w:val="superscript"/>
                    </w:rPr>
                    <w:t>2</w:t>
                  </w:r>
                  <w:r>
                    <w:rPr>
                      <w:rFonts w:eastAsiaTheme="minorEastAsia"/>
                      <w:szCs w:val="21"/>
                    </w:rPr>
                    <w:t>，单层，为储存生物质锅炉燃料。</w:t>
                  </w:r>
                </w:p>
              </w:tc>
              <w:tc>
                <w:tcPr>
                  <w:tcW w:w="748" w:type="dxa"/>
                  <w:vAlign w:val="center"/>
                </w:tcPr>
                <w:p>
                  <w:pPr>
                    <w:jc w:val="center"/>
                    <w:rPr>
                      <w:rFonts w:eastAsiaTheme="minorEastAsia"/>
                      <w:szCs w:val="21"/>
                    </w:rPr>
                  </w:pPr>
                  <w:r>
                    <w:rPr>
                      <w:rFonts w:eastAsiaTheme="minorEastAsia"/>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97" w:type="dxa"/>
                  <w:vMerge w:val="continue"/>
                  <w:vAlign w:val="center"/>
                </w:tcPr>
                <w:p>
                  <w:pPr>
                    <w:jc w:val="center"/>
                    <w:rPr>
                      <w:rFonts w:eastAsiaTheme="minorEastAsia"/>
                      <w:szCs w:val="21"/>
                    </w:rPr>
                  </w:pPr>
                </w:p>
              </w:tc>
              <w:tc>
                <w:tcPr>
                  <w:tcW w:w="1375" w:type="dxa"/>
                  <w:vAlign w:val="center"/>
                </w:tcPr>
                <w:p>
                  <w:pPr>
                    <w:jc w:val="center"/>
                    <w:rPr>
                      <w:rFonts w:eastAsiaTheme="minorEastAsia"/>
                      <w:szCs w:val="21"/>
                    </w:rPr>
                  </w:pPr>
                  <w:r>
                    <w:rPr>
                      <w:rFonts w:eastAsiaTheme="minorEastAsia"/>
                      <w:szCs w:val="21"/>
                    </w:rPr>
                    <w:t>肥料储存罐</w:t>
                  </w:r>
                </w:p>
              </w:tc>
              <w:tc>
                <w:tcPr>
                  <w:tcW w:w="5778" w:type="dxa"/>
                  <w:gridSpan w:val="2"/>
                  <w:vAlign w:val="center"/>
                </w:tcPr>
                <w:p>
                  <w:pPr>
                    <w:rPr>
                      <w:rFonts w:eastAsiaTheme="minorEastAsia"/>
                      <w:szCs w:val="21"/>
                    </w:rPr>
                  </w:pPr>
                  <w:r>
                    <w:rPr>
                      <w:rFonts w:eastAsiaTheme="minorEastAsia"/>
                      <w:szCs w:val="21"/>
                    </w:rPr>
                    <w:t>用于储存肥料，位于项目容积为222m</w:t>
                  </w:r>
                  <w:r>
                    <w:rPr>
                      <w:rFonts w:eastAsiaTheme="minorEastAsia"/>
                      <w:szCs w:val="21"/>
                      <w:vertAlign w:val="superscript"/>
                    </w:rPr>
                    <w:t>3</w:t>
                  </w:r>
                  <w:r>
                    <w:rPr>
                      <w:rFonts w:eastAsiaTheme="minorEastAsia"/>
                      <w:szCs w:val="21"/>
                    </w:rPr>
                    <w:t>。</w:t>
                  </w:r>
                </w:p>
              </w:tc>
              <w:tc>
                <w:tcPr>
                  <w:tcW w:w="748" w:type="dxa"/>
                  <w:vAlign w:val="center"/>
                </w:tcPr>
                <w:p>
                  <w:pPr>
                    <w:jc w:val="center"/>
                    <w:rPr>
                      <w:rFonts w:eastAsiaTheme="minorEastAsia"/>
                      <w:szCs w:val="21"/>
                    </w:rPr>
                  </w:pPr>
                  <w:r>
                    <w:rPr>
                      <w:rFonts w:eastAsiaTheme="minorEastAsia"/>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697" w:type="dxa"/>
                  <w:vMerge w:val="continue"/>
                  <w:vAlign w:val="center"/>
                </w:tcPr>
                <w:p>
                  <w:pPr>
                    <w:jc w:val="center"/>
                    <w:rPr>
                      <w:rFonts w:eastAsiaTheme="minorEastAsia"/>
                      <w:szCs w:val="21"/>
                    </w:rPr>
                  </w:pPr>
                </w:p>
              </w:tc>
              <w:tc>
                <w:tcPr>
                  <w:tcW w:w="1375" w:type="dxa"/>
                  <w:vAlign w:val="center"/>
                </w:tcPr>
                <w:p>
                  <w:pPr>
                    <w:jc w:val="center"/>
                    <w:rPr>
                      <w:rFonts w:eastAsiaTheme="minorEastAsia"/>
                      <w:szCs w:val="21"/>
                    </w:rPr>
                  </w:pPr>
                  <w:r>
                    <w:rPr>
                      <w:rFonts w:eastAsiaTheme="minorEastAsia"/>
                      <w:szCs w:val="21"/>
                    </w:rPr>
                    <w:t>水肥间</w:t>
                  </w:r>
                </w:p>
              </w:tc>
              <w:tc>
                <w:tcPr>
                  <w:tcW w:w="5778" w:type="dxa"/>
                  <w:gridSpan w:val="2"/>
                  <w:vAlign w:val="center"/>
                </w:tcPr>
                <w:p>
                  <w:pPr>
                    <w:rPr>
                      <w:rFonts w:eastAsiaTheme="minorEastAsia"/>
                      <w:szCs w:val="21"/>
                    </w:rPr>
                  </w:pPr>
                  <w:r>
                    <w:rPr>
                      <w:rFonts w:eastAsiaTheme="minorEastAsia"/>
                      <w:szCs w:val="21"/>
                    </w:rPr>
                    <w:t>位于项目东北侧，建筑面积为300m</w:t>
                  </w:r>
                  <w:r>
                    <w:rPr>
                      <w:rFonts w:eastAsiaTheme="minorEastAsia"/>
                      <w:szCs w:val="21"/>
                      <w:vertAlign w:val="superscript"/>
                    </w:rPr>
                    <w:t>2</w:t>
                  </w:r>
                  <w:r>
                    <w:rPr>
                      <w:rFonts w:eastAsiaTheme="minorEastAsia"/>
                      <w:szCs w:val="21"/>
                    </w:rPr>
                    <w:t>用于临时储存肥料及配肥。</w:t>
                  </w:r>
                </w:p>
              </w:tc>
              <w:tc>
                <w:tcPr>
                  <w:tcW w:w="748" w:type="dxa"/>
                  <w:vAlign w:val="center"/>
                </w:tcPr>
                <w:p>
                  <w:pPr>
                    <w:jc w:val="center"/>
                    <w:rPr>
                      <w:rFonts w:eastAsiaTheme="minorEastAsia"/>
                      <w:szCs w:val="21"/>
                    </w:rPr>
                  </w:pPr>
                  <w:r>
                    <w:rPr>
                      <w:rFonts w:eastAsiaTheme="minorEastAsia"/>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697" w:type="dxa"/>
                  <w:vMerge w:val="continue"/>
                  <w:vAlign w:val="center"/>
                </w:tcPr>
                <w:p>
                  <w:pPr>
                    <w:jc w:val="center"/>
                    <w:rPr>
                      <w:rFonts w:eastAsiaTheme="minorEastAsia"/>
                      <w:szCs w:val="21"/>
                    </w:rPr>
                  </w:pPr>
                </w:p>
              </w:tc>
              <w:tc>
                <w:tcPr>
                  <w:tcW w:w="1375" w:type="dxa"/>
                  <w:vAlign w:val="center"/>
                </w:tcPr>
                <w:p>
                  <w:pPr>
                    <w:jc w:val="center"/>
                    <w:rPr>
                      <w:rFonts w:eastAsiaTheme="minorEastAsia"/>
                      <w:szCs w:val="21"/>
                    </w:rPr>
                  </w:pPr>
                  <w:r>
                    <w:rPr>
                      <w:rFonts w:eastAsiaTheme="minorEastAsia"/>
                      <w:szCs w:val="21"/>
                    </w:rPr>
                    <w:t>农药间</w:t>
                  </w:r>
                </w:p>
              </w:tc>
              <w:tc>
                <w:tcPr>
                  <w:tcW w:w="5778" w:type="dxa"/>
                  <w:gridSpan w:val="2"/>
                  <w:vAlign w:val="center"/>
                </w:tcPr>
                <w:p>
                  <w:pPr>
                    <w:rPr>
                      <w:rFonts w:eastAsiaTheme="minorEastAsia"/>
                      <w:szCs w:val="21"/>
                    </w:rPr>
                  </w:pPr>
                  <w:r>
                    <w:rPr>
                      <w:rFonts w:eastAsiaTheme="minorEastAsia"/>
                      <w:szCs w:val="21"/>
                    </w:rPr>
                    <w:t>位于项目西侧，建筑面积68.3m</w:t>
                  </w:r>
                  <w:r>
                    <w:rPr>
                      <w:rFonts w:eastAsiaTheme="minorEastAsia"/>
                      <w:szCs w:val="21"/>
                      <w:vertAlign w:val="superscript"/>
                    </w:rPr>
                    <w:t>2</w:t>
                  </w:r>
                  <w:r>
                    <w:rPr>
                      <w:rFonts w:eastAsiaTheme="minorEastAsia"/>
                      <w:szCs w:val="21"/>
                    </w:rPr>
                    <w:t>用于储存农药</w:t>
                  </w:r>
                </w:p>
              </w:tc>
              <w:tc>
                <w:tcPr>
                  <w:tcW w:w="748" w:type="dxa"/>
                  <w:vAlign w:val="center"/>
                </w:tcPr>
                <w:p>
                  <w:pPr>
                    <w:jc w:val="center"/>
                    <w:rPr>
                      <w:rFonts w:eastAsiaTheme="minorEastAsia"/>
                      <w:szCs w:val="21"/>
                    </w:rPr>
                  </w:pPr>
                  <w:r>
                    <w:rPr>
                      <w:rFonts w:eastAsiaTheme="minorEastAsia"/>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97" w:type="dxa"/>
                  <w:vMerge w:val="continue"/>
                  <w:vAlign w:val="center"/>
                </w:tcPr>
                <w:p>
                  <w:pPr>
                    <w:jc w:val="center"/>
                    <w:rPr>
                      <w:rFonts w:eastAsiaTheme="minorEastAsia"/>
                      <w:szCs w:val="21"/>
                    </w:rPr>
                  </w:pPr>
                </w:p>
              </w:tc>
              <w:tc>
                <w:tcPr>
                  <w:tcW w:w="1375" w:type="dxa"/>
                  <w:vAlign w:val="center"/>
                </w:tcPr>
                <w:p>
                  <w:pPr>
                    <w:jc w:val="center"/>
                    <w:rPr>
                      <w:rFonts w:eastAsiaTheme="minorEastAsia"/>
                      <w:szCs w:val="21"/>
                    </w:rPr>
                  </w:pPr>
                  <w:r>
                    <w:rPr>
                      <w:rFonts w:eastAsiaTheme="minorEastAsia"/>
                      <w:szCs w:val="21"/>
                    </w:rPr>
                    <w:t>原料储存仓库</w:t>
                  </w:r>
                </w:p>
              </w:tc>
              <w:tc>
                <w:tcPr>
                  <w:tcW w:w="5778" w:type="dxa"/>
                  <w:gridSpan w:val="2"/>
                  <w:vAlign w:val="center"/>
                </w:tcPr>
                <w:p>
                  <w:pPr>
                    <w:rPr>
                      <w:rFonts w:eastAsiaTheme="minorEastAsia"/>
                      <w:szCs w:val="21"/>
                    </w:rPr>
                  </w:pPr>
                  <w:r>
                    <w:rPr>
                      <w:rFonts w:eastAsiaTheme="minorEastAsia"/>
                      <w:szCs w:val="21"/>
                    </w:rPr>
                    <w:t>位于项目西侧，建筑面积为180.4m</w:t>
                  </w:r>
                  <w:r>
                    <w:rPr>
                      <w:rFonts w:eastAsiaTheme="minorEastAsia"/>
                      <w:szCs w:val="21"/>
                      <w:vertAlign w:val="superscript"/>
                    </w:rPr>
                    <w:t>2</w:t>
                  </w:r>
                  <w:r>
                    <w:rPr>
                      <w:rFonts w:eastAsiaTheme="minorEastAsia"/>
                      <w:szCs w:val="21"/>
                    </w:rPr>
                    <w:t>，主要用于储存花束包装纸，打包袋等，以及暂存养花所需肥料。</w:t>
                  </w:r>
                </w:p>
              </w:tc>
              <w:tc>
                <w:tcPr>
                  <w:tcW w:w="748" w:type="dxa"/>
                  <w:vAlign w:val="center"/>
                </w:tcPr>
                <w:p>
                  <w:pPr>
                    <w:jc w:val="center"/>
                    <w:rPr>
                      <w:rFonts w:eastAsiaTheme="minorEastAsia"/>
                      <w:szCs w:val="21"/>
                    </w:rPr>
                  </w:pPr>
                  <w:r>
                    <w:rPr>
                      <w:rFonts w:eastAsiaTheme="minorEastAsia"/>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697" w:type="dxa"/>
                  <w:vMerge w:val="continue"/>
                  <w:vAlign w:val="center"/>
                </w:tcPr>
                <w:p>
                  <w:pPr>
                    <w:jc w:val="center"/>
                    <w:rPr>
                      <w:rFonts w:eastAsiaTheme="minorEastAsia"/>
                      <w:szCs w:val="21"/>
                    </w:rPr>
                  </w:pPr>
                </w:p>
              </w:tc>
              <w:tc>
                <w:tcPr>
                  <w:tcW w:w="1375" w:type="dxa"/>
                  <w:vAlign w:val="center"/>
                </w:tcPr>
                <w:p>
                  <w:pPr>
                    <w:jc w:val="center"/>
                    <w:rPr>
                      <w:rFonts w:eastAsiaTheme="minorEastAsia"/>
                      <w:szCs w:val="21"/>
                    </w:rPr>
                  </w:pPr>
                  <w:r>
                    <w:rPr>
                      <w:rFonts w:eastAsiaTheme="minorEastAsia"/>
                      <w:szCs w:val="21"/>
                    </w:rPr>
                    <w:t>毛花冷库</w:t>
                  </w:r>
                </w:p>
              </w:tc>
              <w:tc>
                <w:tcPr>
                  <w:tcW w:w="5778" w:type="dxa"/>
                  <w:gridSpan w:val="2"/>
                  <w:vAlign w:val="center"/>
                </w:tcPr>
                <w:p>
                  <w:pPr>
                    <w:rPr>
                      <w:rFonts w:eastAsiaTheme="minorEastAsia"/>
                      <w:szCs w:val="21"/>
                    </w:rPr>
                  </w:pPr>
                  <w:r>
                    <w:rPr>
                      <w:rFonts w:eastAsiaTheme="minorEastAsia"/>
                      <w:szCs w:val="21"/>
                    </w:rPr>
                    <w:t>主要用于储存从温室中剪切出的鲜花，位于项目西侧，建筑面积135m</w:t>
                  </w:r>
                  <w:r>
                    <w:rPr>
                      <w:rFonts w:eastAsiaTheme="minorEastAsia"/>
                      <w:szCs w:val="21"/>
                      <w:vertAlign w:val="superscript"/>
                    </w:rPr>
                    <w:t>2</w:t>
                  </w:r>
                </w:p>
              </w:tc>
              <w:tc>
                <w:tcPr>
                  <w:tcW w:w="748" w:type="dxa"/>
                  <w:vAlign w:val="center"/>
                </w:tcPr>
                <w:p>
                  <w:pPr>
                    <w:jc w:val="center"/>
                    <w:rPr>
                      <w:rFonts w:eastAsiaTheme="minorEastAsia"/>
                      <w:szCs w:val="21"/>
                    </w:rPr>
                  </w:pPr>
                  <w:r>
                    <w:rPr>
                      <w:rFonts w:eastAsiaTheme="minorEastAsia"/>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697" w:type="dxa"/>
                  <w:vMerge w:val="continue"/>
                  <w:vAlign w:val="center"/>
                </w:tcPr>
                <w:p>
                  <w:pPr>
                    <w:jc w:val="center"/>
                    <w:rPr>
                      <w:rFonts w:eastAsiaTheme="minorEastAsia"/>
                      <w:szCs w:val="21"/>
                    </w:rPr>
                  </w:pPr>
                </w:p>
              </w:tc>
              <w:tc>
                <w:tcPr>
                  <w:tcW w:w="1375" w:type="dxa"/>
                  <w:vAlign w:val="center"/>
                </w:tcPr>
                <w:p>
                  <w:pPr>
                    <w:jc w:val="center"/>
                    <w:rPr>
                      <w:rFonts w:eastAsiaTheme="minorEastAsia"/>
                      <w:szCs w:val="21"/>
                    </w:rPr>
                  </w:pPr>
                  <w:r>
                    <w:rPr>
                      <w:rFonts w:eastAsiaTheme="minorEastAsia"/>
                      <w:szCs w:val="21"/>
                    </w:rPr>
                    <w:t>回用水池</w:t>
                  </w:r>
                </w:p>
              </w:tc>
              <w:tc>
                <w:tcPr>
                  <w:tcW w:w="5778" w:type="dxa"/>
                  <w:gridSpan w:val="2"/>
                  <w:vAlign w:val="center"/>
                </w:tcPr>
                <w:p>
                  <w:pPr>
                    <w:rPr>
                      <w:rFonts w:eastAsiaTheme="minorEastAsia"/>
                      <w:szCs w:val="21"/>
                    </w:rPr>
                  </w:pPr>
                  <w:r>
                    <w:rPr>
                      <w:rFonts w:eastAsiaTheme="minorEastAsia"/>
                      <w:szCs w:val="21"/>
                    </w:rPr>
                    <w:t>主要用于回用清洗花的脏水，容积为9m</w:t>
                  </w:r>
                  <w:r>
                    <w:rPr>
                      <w:rFonts w:eastAsiaTheme="minorEastAsia"/>
                      <w:szCs w:val="21"/>
                      <w:vertAlign w:val="superscript"/>
                    </w:rPr>
                    <w:t>3</w:t>
                  </w:r>
                  <w:r>
                    <w:rPr>
                      <w:rFonts w:eastAsiaTheme="minorEastAsia"/>
                      <w:szCs w:val="21"/>
                    </w:rPr>
                    <w:t>。</w:t>
                  </w:r>
                </w:p>
              </w:tc>
              <w:tc>
                <w:tcPr>
                  <w:tcW w:w="748" w:type="dxa"/>
                  <w:vAlign w:val="center"/>
                </w:tcPr>
                <w:p>
                  <w:pPr>
                    <w:jc w:val="center"/>
                    <w:rPr>
                      <w:rFonts w:eastAsiaTheme="minorEastAsia"/>
                      <w:szCs w:val="21"/>
                    </w:rPr>
                  </w:pPr>
                  <w:r>
                    <w:rPr>
                      <w:rFonts w:eastAsiaTheme="minorEastAsia"/>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697" w:type="dxa"/>
                  <w:vMerge w:val="continue"/>
                  <w:vAlign w:val="center"/>
                </w:tcPr>
                <w:p>
                  <w:pPr>
                    <w:jc w:val="center"/>
                    <w:rPr>
                      <w:rFonts w:eastAsiaTheme="minorEastAsia"/>
                      <w:szCs w:val="21"/>
                    </w:rPr>
                  </w:pPr>
                </w:p>
              </w:tc>
              <w:tc>
                <w:tcPr>
                  <w:tcW w:w="1375" w:type="dxa"/>
                  <w:vAlign w:val="center"/>
                </w:tcPr>
                <w:p>
                  <w:pPr>
                    <w:jc w:val="center"/>
                    <w:rPr>
                      <w:rFonts w:eastAsiaTheme="minorEastAsia"/>
                      <w:szCs w:val="21"/>
                    </w:rPr>
                  </w:pPr>
                  <w:r>
                    <w:rPr>
                      <w:rFonts w:eastAsiaTheme="minorEastAsia"/>
                      <w:szCs w:val="21"/>
                    </w:rPr>
                    <w:t>危险化学品储存间</w:t>
                  </w:r>
                </w:p>
              </w:tc>
              <w:tc>
                <w:tcPr>
                  <w:tcW w:w="5778" w:type="dxa"/>
                  <w:gridSpan w:val="2"/>
                  <w:vAlign w:val="center"/>
                </w:tcPr>
                <w:p>
                  <w:pPr>
                    <w:rPr>
                      <w:rFonts w:eastAsiaTheme="minorEastAsia"/>
                      <w:szCs w:val="21"/>
                    </w:rPr>
                  </w:pPr>
                  <w:r>
                    <w:rPr>
                      <w:rFonts w:eastAsiaTheme="minorEastAsia"/>
                      <w:szCs w:val="21"/>
                    </w:rPr>
                    <w:t>位于项目东北侧，建筑面积为53.3m</w:t>
                  </w:r>
                  <w:r>
                    <w:rPr>
                      <w:rFonts w:eastAsiaTheme="minorEastAsia"/>
                      <w:szCs w:val="21"/>
                      <w:vertAlign w:val="superscript"/>
                    </w:rPr>
                    <w:t>2</w:t>
                  </w:r>
                  <w:r>
                    <w:rPr>
                      <w:rFonts w:eastAsiaTheme="minorEastAsia"/>
                      <w:szCs w:val="21"/>
                    </w:rPr>
                    <w:t>用于储存危险化学品。</w:t>
                  </w:r>
                </w:p>
              </w:tc>
              <w:tc>
                <w:tcPr>
                  <w:tcW w:w="748" w:type="dxa"/>
                  <w:vAlign w:val="center"/>
                </w:tcPr>
                <w:p>
                  <w:pPr>
                    <w:jc w:val="center"/>
                    <w:rPr>
                      <w:rFonts w:eastAsiaTheme="minorEastAsia"/>
                      <w:szCs w:val="21"/>
                    </w:rPr>
                  </w:pPr>
                  <w:r>
                    <w:rPr>
                      <w:rFonts w:eastAsiaTheme="minorEastAsia"/>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697" w:type="dxa"/>
                  <w:vMerge w:val="continue"/>
                  <w:vAlign w:val="center"/>
                </w:tcPr>
                <w:p>
                  <w:pPr>
                    <w:jc w:val="center"/>
                    <w:rPr>
                      <w:rFonts w:eastAsiaTheme="minorEastAsia"/>
                      <w:szCs w:val="21"/>
                    </w:rPr>
                  </w:pPr>
                </w:p>
              </w:tc>
              <w:tc>
                <w:tcPr>
                  <w:tcW w:w="1375" w:type="dxa"/>
                  <w:vAlign w:val="center"/>
                </w:tcPr>
                <w:p>
                  <w:pPr>
                    <w:jc w:val="center"/>
                    <w:rPr>
                      <w:rFonts w:eastAsiaTheme="minorEastAsia"/>
                      <w:szCs w:val="21"/>
                    </w:rPr>
                  </w:pPr>
                  <w:r>
                    <w:rPr>
                      <w:rFonts w:eastAsiaTheme="minorEastAsia"/>
                      <w:szCs w:val="21"/>
                    </w:rPr>
                    <w:t>卫生间</w:t>
                  </w:r>
                </w:p>
              </w:tc>
              <w:tc>
                <w:tcPr>
                  <w:tcW w:w="5778" w:type="dxa"/>
                  <w:gridSpan w:val="2"/>
                  <w:vAlign w:val="center"/>
                </w:tcPr>
                <w:p>
                  <w:pPr>
                    <w:rPr>
                      <w:rFonts w:eastAsiaTheme="minorEastAsia"/>
                      <w:szCs w:val="21"/>
                    </w:rPr>
                  </w:pPr>
                  <w:r>
                    <w:rPr>
                      <w:rFonts w:eastAsiaTheme="minorEastAsia"/>
                      <w:szCs w:val="21"/>
                    </w:rPr>
                    <w:t>位于办公室旁，建筑面积约40m</w:t>
                  </w:r>
                  <w:r>
                    <w:rPr>
                      <w:rFonts w:eastAsiaTheme="minorEastAsia"/>
                      <w:szCs w:val="21"/>
                      <w:vertAlign w:val="superscript"/>
                    </w:rPr>
                    <w:t>2</w:t>
                  </w:r>
                  <w:r>
                    <w:rPr>
                      <w:rFonts w:eastAsiaTheme="minorEastAsia"/>
                      <w:szCs w:val="21"/>
                    </w:rPr>
                    <w:t>，单层结构。</w:t>
                  </w:r>
                </w:p>
              </w:tc>
              <w:tc>
                <w:tcPr>
                  <w:tcW w:w="748" w:type="dxa"/>
                  <w:vAlign w:val="center"/>
                </w:tcPr>
                <w:p>
                  <w:pPr>
                    <w:jc w:val="center"/>
                    <w:rPr>
                      <w:rFonts w:eastAsiaTheme="minorEastAsia"/>
                      <w:szCs w:val="21"/>
                    </w:rPr>
                  </w:pPr>
                  <w:r>
                    <w:rPr>
                      <w:rFonts w:eastAsiaTheme="minorEastAsia"/>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697" w:type="dxa"/>
                  <w:vMerge w:val="continue"/>
                  <w:vAlign w:val="center"/>
                </w:tcPr>
                <w:p>
                  <w:pPr>
                    <w:jc w:val="center"/>
                    <w:rPr>
                      <w:rFonts w:eastAsiaTheme="minorEastAsia"/>
                      <w:szCs w:val="21"/>
                    </w:rPr>
                  </w:pPr>
                </w:p>
              </w:tc>
              <w:tc>
                <w:tcPr>
                  <w:tcW w:w="1375" w:type="dxa"/>
                  <w:vAlign w:val="center"/>
                </w:tcPr>
                <w:p>
                  <w:pPr>
                    <w:jc w:val="center"/>
                    <w:rPr>
                      <w:rFonts w:eastAsiaTheme="minorEastAsia"/>
                      <w:szCs w:val="21"/>
                    </w:rPr>
                  </w:pPr>
                  <w:r>
                    <w:rPr>
                      <w:rFonts w:eastAsiaTheme="minorEastAsia"/>
                      <w:szCs w:val="21"/>
                    </w:rPr>
                    <w:t>食堂</w:t>
                  </w:r>
                </w:p>
              </w:tc>
              <w:tc>
                <w:tcPr>
                  <w:tcW w:w="5778" w:type="dxa"/>
                  <w:gridSpan w:val="2"/>
                  <w:vAlign w:val="center"/>
                </w:tcPr>
                <w:p>
                  <w:pPr>
                    <w:rPr>
                      <w:rFonts w:eastAsiaTheme="minorEastAsia"/>
                      <w:szCs w:val="21"/>
                    </w:rPr>
                  </w:pPr>
                  <w:r>
                    <w:rPr>
                      <w:rFonts w:eastAsiaTheme="minorEastAsia"/>
                      <w:szCs w:val="21"/>
                    </w:rPr>
                    <w:t>位于项目南侧，建筑面积为134.8m</w:t>
                  </w:r>
                  <w:r>
                    <w:rPr>
                      <w:rFonts w:eastAsiaTheme="minorEastAsia"/>
                      <w:szCs w:val="21"/>
                      <w:vertAlign w:val="superscript"/>
                    </w:rPr>
                    <w:t>2</w:t>
                  </w:r>
                  <w:r>
                    <w:rPr>
                      <w:rFonts w:eastAsiaTheme="minorEastAsia"/>
                      <w:szCs w:val="21"/>
                    </w:rPr>
                    <w:t>，单层结构</w:t>
                  </w:r>
                </w:p>
              </w:tc>
              <w:tc>
                <w:tcPr>
                  <w:tcW w:w="748" w:type="dxa"/>
                  <w:vAlign w:val="center"/>
                </w:tcPr>
                <w:p>
                  <w:pPr>
                    <w:jc w:val="center"/>
                    <w:rPr>
                      <w:rFonts w:eastAsiaTheme="minorEastAsia"/>
                      <w:szCs w:val="21"/>
                    </w:rPr>
                  </w:pPr>
                  <w:r>
                    <w:rPr>
                      <w:rFonts w:eastAsiaTheme="minorEastAsia"/>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697" w:type="dxa"/>
                  <w:vMerge w:val="restart"/>
                  <w:vAlign w:val="center"/>
                </w:tcPr>
                <w:p>
                  <w:pPr>
                    <w:jc w:val="center"/>
                    <w:rPr>
                      <w:rFonts w:eastAsiaTheme="minorEastAsia"/>
                      <w:szCs w:val="21"/>
                    </w:rPr>
                  </w:pPr>
                  <w:r>
                    <w:rPr>
                      <w:rFonts w:eastAsiaTheme="minorEastAsia"/>
                      <w:szCs w:val="21"/>
                    </w:rPr>
                    <w:t>公用工程</w:t>
                  </w:r>
                </w:p>
              </w:tc>
              <w:tc>
                <w:tcPr>
                  <w:tcW w:w="1375" w:type="dxa"/>
                  <w:vAlign w:val="center"/>
                </w:tcPr>
                <w:p>
                  <w:pPr>
                    <w:jc w:val="center"/>
                    <w:rPr>
                      <w:rFonts w:eastAsiaTheme="minorEastAsia"/>
                      <w:szCs w:val="21"/>
                    </w:rPr>
                  </w:pPr>
                  <w:r>
                    <w:rPr>
                      <w:rFonts w:eastAsiaTheme="minorEastAsia"/>
                      <w:szCs w:val="21"/>
                    </w:rPr>
                    <w:t>供水</w:t>
                  </w:r>
                </w:p>
              </w:tc>
              <w:tc>
                <w:tcPr>
                  <w:tcW w:w="5778" w:type="dxa"/>
                  <w:gridSpan w:val="2"/>
                  <w:vAlign w:val="center"/>
                </w:tcPr>
                <w:p>
                  <w:pPr>
                    <w:rPr>
                      <w:rFonts w:eastAsiaTheme="minorEastAsia"/>
                      <w:szCs w:val="21"/>
                    </w:rPr>
                  </w:pPr>
                  <w:r>
                    <w:rPr>
                      <w:rFonts w:eastAsiaTheme="minorEastAsia"/>
                      <w:szCs w:val="21"/>
                    </w:rPr>
                    <w:t>依托市政自来水管网。</w:t>
                  </w:r>
                </w:p>
              </w:tc>
              <w:tc>
                <w:tcPr>
                  <w:tcW w:w="748" w:type="dxa"/>
                  <w:vAlign w:val="center"/>
                </w:tcPr>
                <w:p>
                  <w:pPr>
                    <w:jc w:val="center"/>
                    <w:rPr>
                      <w:rFonts w:eastAsiaTheme="minorEastAsia"/>
                      <w:szCs w:val="21"/>
                    </w:rPr>
                  </w:pPr>
                  <w:r>
                    <w:rPr>
                      <w:rFonts w:eastAsiaTheme="minorEastAsia"/>
                      <w:szCs w:val="2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97" w:type="dxa"/>
                  <w:vMerge w:val="continue"/>
                  <w:vAlign w:val="center"/>
                </w:tcPr>
                <w:p>
                  <w:pPr>
                    <w:jc w:val="center"/>
                    <w:rPr>
                      <w:rFonts w:eastAsiaTheme="minorEastAsia"/>
                      <w:szCs w:val="21"/>
                    </w:rPr>
                  </w:pPr>
                </w:p>
              </w:tc>
              <w:tc>
                <w:tcPr>
                  <w:tcW w:w="1375" w:type="dxa"/>
                  <w:vAlign w:val="center"/>
                </w:tcPr>
                <w:p>
                  <w:pPr>
                    <w:jc w:val="center"/>
                    <w:rPr>
                      <w:rFonts w:eastAsiaTheme="minorEastAsia"/>
                      <w:szCs w:val="21"/>
                    </w:rPr>
                  </w:pPr>
                  <w:r>
                    <w:rPr>
                      <w:rFonts w:eastAsiaTheme="minorEastAsia"/>
                      <w:szCs w:val="21"/>
                    </w:rPr>
                    <w:t>排水</w:t>
                  </w:r>
                </w:p>
              </w:tc>
              <w:tc>
                <w:tcPr>
                  <w:tcW w:w="5778" w:type="dxa"/>
                  <w:gridSpan w:val="2"/>
                  <w:vAlign w:val="center"/>
                </w:tcPr>
                <w:p>
                  <w:pPr>
                    <w:pStyle w:val="6"/>
                    <w:rPr>
                      <w:rFonts w:eastAsiaTheme="minorEastAsia"/>
                      <w:kern w:val="2"/>
                      <w:sz w:val="21"/>
                      <w:szCs w:val="21"/>
                    </w:rPr>
                  </w:pPr>
                  <w:r>
                    <w:rPr>
                      <w:rFonts w:eastAsiaTheme="minorEastAsia"/>
                      <w:kern w:val="2"/>
                      <w:sz w:val="21"/>
                      <w:szCs w:val="21"/>
                    </w:rPr>
                    <w:t>园区污水管网未接通时，由厂区自建污水处理站处理回用。园区污水管网接通时，废水经化粪池初步处理后排入污水管网，进入姚安县第二污水处理厂进行处理。</w:t>
                  </w:r>
                </w:p>
              </w:tc>
              <w:tc>
                <w:tcPr>
                  <w:tcW w:w="748" w:type="dxa"/>
                  <w:vAlign w:val="center"/>
                </w:tcPr>
                <w:p>
                  <w:pPr>
                    <w:jc w:val="center"/>
                    <w:rPr>
                      <w:rFonts w:eastAsiaTheme="minorEastAsia"/>
                      <w:szCs w:val="21"/>
                    </w:rPr>
                  </w:pPr>
                  <w:r>
                    <w:rPr>
                      <w:rFonts w:eastAsiaTheme="minorEastAsia"/>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697" w:type="dxa"/>
                  <w:vMerge w:val="continue"/>
                  <w:vAlign w:val="center"/>
                </w:tcPr>
                <w:p>
                  <w:pPr>
                    <w:jc w:val="center"/>
                    <w:rPr>
                      <w:rFonts w:eastAsiaTheme="minorEastAsia"/>
                      <w:szCs w:val="21"/>
                    </w:rPr>
                  </w:pPr>
                </w:p>
              </w:tc>
              <w:tc>
                <w:tcPr>
                  <w:tcW w:w="1375" w:type="dxa"/>
                  <w:vAlign w:val="center"/>
                </w:tcPr>
                <w:p>
                  <w:pPr>
                    <w:jc w:val="center"/>
                    <w:rPr>
                      <w:rFonts w:eastAsiaTheme="minorEastAsia"/>
                      <w:szCs w:val="21"/>
                    </w:rPr>
                  </w:pPr>
                  <w:r>
                    <w:rPr>
                      <w:rFonts w:eastAsiaTheme="minorEastAsia"/>
                      <w:szCs w:val="21"/>
                    </w:rPr>
                    <w:t>供电</w:t>
                  </w:r>
                </w:p>
              </w:tc>
              <w:tc>
                <w:tcPr>
                  <w:tcW w:w="5778" w:type="dxa"/>
                  <w:gridSpan w:val="2"/>
                  <w:vAlign w:val="center"/>
                </w:tcPr>
                <w:p>
                  <w:pPr>
                    <w:rPr>
                      <w:rFonts w:eastAsiaTheme="minorEastAsia"/>
                      <w:szCs w:val="21"/>
                    </w:rPr>
                  </w:pPr>
                  <w:r>
                    <w:rPr>
                      <w:rFonts w:eastAsiaTheme="minorEastAsia"/>
                      <w:szCs w:val="21"/>
                    </w:rPr>
                    <w:t>项目供电由市政电网供给。</w:t>
                  </w:r>
                </w:p>
              </w:tc>
              <w:tc>
                <w:tcPr>
                  <w:tcW w:w="748" w:type="dxa"/>
                  <w:vAlign w:val="center"/>
                </w:tcPr>
                <w:p>
                  <w:pPr>
                    <w:jc w:val="center"/>
                    <w:rPr>
                      <w:rFonts w:eastAsiaTheme="minorEastAsia"/>
                      <w:szCs w:val="21"/>
                    </w:rPr>
                  </w:pPr>
                  <w:r>
                    <w:rPr>
                      <w:rFonts w:eastAsiaTheme="minorEastAsia"/>
                      <w:szCs w:val="2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697" w:type="dxa"/>
                  <w:vMerge w:val="restart"/>
                  <w:vAlign w:val="center"/>
                </w:tcPr>
                <w:p>
                  <w:pPr>
                    <w:jc w:val="center"/>
                    <w:rPr>
                      <w:rFonts w:eastAsiaTheme="minorEastAsia"/>
                      <w:szCs w:val="21"/>
                    </w:rPr>
                  </w:pPr>
                  <w:r>
                    <w:rPr>
                      <w:rFonts w:eastAsiaTheme="minorEastAsia"/>
                      <w:szCs w:val="21"/>
                    </w:rPr>
                    <w:t>环保工程</w:t>
                  </w:r>
                </w:p>
              </w:tc>
              <w:tc>
                <w:tcPr>
                  <w:tcW w:w="1375" w:type="dxa"/>
                  <w:vMerge w:val="restart"/>
                  <w:vAlign w:val="center"/>
                </w:tcPr>
                <w:p>
                  <w:pPr>
                    <w:jc w:val="center"/>
                    <w:rPr>
                      <w:rFonts w:eastAsiaTheme="minorEastAsia"/>
                      <w:szCs w:val="21"/>
                    </w:rPr>
                  </w:pPr>
                  <w:r>
                    <w:rPr>
                      <w:rFonts w:eastAsiaTheme="minorEastAsia"/>
                      <w:szCs w:val="21"/>
                    </w:rPr>
                    <w:t>废气治理</w:t>
                  </w:r>
                </w:p>
              </w:tc>
              <w:tc>
                <w:tcPr>
                  <w:tcW w:w="851" w:type="dxa"/>
                  <w:vAlign w:val="center"/>
                </w:tcPr>
                <w:p>
                  <w:pPr>
                    <w:jc w:val="center"/>
                    <w:rPr>
                      <w:rFonts w:eastAsiaTheme="minorEastAsia"/>
                      <w:szCs w:val="21"/>
                    </w:rPr>
                  </w:pPr>
                  <w:r>
                    <w:rPr>
                      <w:rFonts w:eastAsiaTheme="minorEastAsia"/>
                      <w:szCs w:val="21"/>
                    </w:rPr>
                    <w:t>锅炉废气</w:t>
                  </w:r>
                </w:p>
              </w:tc>
              <w:tc>
                <w:tcPr>
                  <w:tcW w:w="4927" w:type="dxa"/>
                  <w:vAlign w:val="center"/>
                </w:tcPr>
                <w:p>
                  <w:pPr>
                    <w:rPr>
                      <w:rFonts w:eastAsiaTheme="minorEastAsia"/>
                      <w:szCs w:val="21"/>
                    </w:rPr>
                  </w:pPr>
                  <w:r>
                    <w:rPr>
                      <w:rFonts w:eastAsiaTheme="minorEastAsia"/>
                      <w:szCs w:val="21"/>
                    </w:rPr>
                    <w:t>项目产生的废气主要为锅炉废气以及食堂油烟，</w:t>
                  </w:r>
                  <w:r>
                    <w:rPr>
                      <w:szCs w:val="21"/>
                    </w:rPr>
                    <w:t>生物质锅炉烟气通过</w:t>
                  </w:r>
                  <w:r>
                    <w:rPr>
                      <w:sz w:val="24"/>
                      <w:lang w:bidi="ar"/>
                    </w:rPr>
                    <w:t>“湿式脱硫+布袋除尘”</w:t>
                  </w:r>
                  <w:r>
                    <w:rPr>
                      <w:rFonts w:eastAsiaTheme="minorEastAsia"/>
                      <w:szCs w:val="21"/>
                    </w:rPr>
                    <w:t>处理后，通过40m高的排气筒排放。</w:t>
                  </w:r>
                </w:p>
              </w:tc>
              <w:tc>
                <w:tcPr>
                  <w:tcW w:w="748" w:type="dxa"/>
                  <w:vMerge w:val="restart"/>
                  <w:vAlign w:val="center"/>
                </w:tcPr>
                <w:p>
                  <w:pPr>
                    <w:jc w:val="center"/>
                    <w:rPr>
                      <w:rFonts w:eastAsiaTheme="minorEastAsia"/>
                      <w:szCs w:val="21"/>
                    </w:rPr>
                  </w:pPr>
                  <w:r>
                    <w:rPr>
                      <w:rFonts w:eastAsiaTheme="minorEastAsia"/>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697" w:type="dxa"/>
                  <w:vMerge w:val="continue"/>
                  <w:vAlign w:val="center"/>
                </w:tcPr>
                <w:p>
                  <w:pPr>
                    <w:rPr>
                      <w:rFonts w:eastAsiaTheme="minorEastAsia"/>
                      <w:szCs w:val="21"/>
                    </w:rPr>
                  </w:pPr>
                </w:p>
              </w:tc>
              <w:tc>
                <w:tcPr>
                  <w:tcW w:w="1375" w:type="dxa"/>
                  <w:vMerge w:val="continue"/>
                  <w:vAlign w:val="center"/>
                </w:tcPr>
                <w:p>
                  <w:pPr>
                    <w:rPr>
                      <w:rFonts w:eastAsiaTheme="minorEastAsia"/>
                      <w:szCs w:val="21"/>
                    </w:rPr>
                  </w:pPr>
                </w:p>
              </w:tc>
              <w:tc>
                <w:tcPr>
                  <w:tcW w:w="851" w:type="dxa"/>
                  <w:vAlign w:val="center"/>
                </w:tcPr>
                <w:p>
                  <w:pPr>
                    <w:jc w:val="center"/>
                    <w:rPr>
                      <w:rFonts w:eastAsiaTheme="minorEastAsia"/>
                      <w:szCs w:val="21"/>
                    </w:rPr>
                  </w:pPr>
                  <w:r>
                    <w:rPr>
                      <w:rFonts w:eastAsiaTheme="minorEastAsia"/>
                      <w:szCs w:val="21"/>
                    </w:rPr>
                    <w:t>食堂油烟</w:t>
                  </w:r>
                </w:p>
              </w:tc>
              <w:tc>
                <w:tcPr>
                  <w:tcW w:w="4927" w:type="dxa"/>
                  <w:vAlign w:val="center"/>
                </w:tcPr>
                <w:p>
                  <w:pPr>
                    <w:rPr>
                      <w:rFonts w:eastAsiaTheme="minorEastAsia"/>
                      <w:szCs w:val="21"/>
                    </w:rPr>
                  </w:pPr>
                  <w:r>
                    <w:rPr>
                      <w:rFonts w:eastAsiaTheme="minorEastAsia"/>
                      <w:szCs w:val="21"/>
                    </w:rPr>
                    <w:t>食堂内设置油烟净化器。</w:t>
                  </w:r>
                </w:p>
              </w:tc>
              <w:tc>
                <w:tcPr>
                  <w:tcW w:w="748" w:type="dxa"/>
                  <w:vMerge w:val="continue"/>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697" w:type="dxa"/>
                  <w:vMerge w:val="continue"/>
                  <w:vAlign w:val="center"/>
                </w:tcPr>
                <w:p>
                  <w:pPr>
                    <w:jc w:val="center"/>
                    <w:rPr>
                      <w:rFonts w:eastAsiaTheme="minorEastAsia"/>
                      <w:szCs w:val="21"/>
                    </w:rPr>
                  </w:pPr>
                </w:p>
              </w:tc>
              <w:tc>
                <w:tcPr>
                  <w:tcW w:w="1375" w:type="dxa"/>
                  <w:vMerge w:val="restart"/>
                  <w:vAlign w:val="center"/>
                </w:tcPr>
                <w:p>
                  <w:pPr>
                    <w:jc w:val="center"/>
                    <w:rPr>
                      <w:rFonts w:eastAsiaTheme="minorEastAsia"/>
                      <w:szCs w:val="21"/>
                    </w:rPr>
                  </w:pPr>
                  <w:r>
                    <w:rPr>
                      <w:rFonts w:eastAsiaTheme="minorEastAsia"/>
                      <w:szCs w:val="21"/>
                    </w:rPr>
                    <w:t>废水治理</w:t>
                  </w:r>
                </w:p>
              </w:tc>
              <w:tc>
                <w:tcPr>
                  <w:tcW w:w="851" w:type="dxa"/>
                  <w:vAlign w:val="center"/>
                </w:tcPr>
                <w:p>
                  <w:pPr>
                    <w:jc w:val="center"/>
                    <w:rPr>
                      <w:rFonts w:eastAsiaTheme="minorEastAsia"/>
                      <w:szCs w:val="21"/>
                    </w:rPr>
                  </w:pPr>
                  <w:r>
                    <w:rPr>
                      <w:rFonts w:eastAsiaTheme="minorEastAsia"/>
                      <w:szCs w:val="21"/>
                    </w:rPr>
                    <w:t>隔油池</w:t>
                  </w:r>
                </w:p>
              </w:tc>
              <w:tc>
                <w:tcPr>
                  <w:tcW w:w="4927" w:type="dxa"/>
                  <w:vAlign w:val="center"/>
                </w:tcPr>
                <w:p>
                  <w:pPr>
                    <w:rPr>
                      <w:rFonts w:eastAsiaTheme="minorEastAsia"/>
                      <w:szCs w:val="21"/>
                    </w:rPr>
                  </w:pPr>
                  <w:r>
                    <w:rPr>
                      <w:rFonts w:eastAsiaTheme="minorEastAsia"/>
                      <w:szCs w:val="21"/>
                    </w:rPr>
                    <w:t>设有一座1.5m</w:t>
                  </w:r>
                  <w:r>
                    <w:rPr>
                      <w:rFonts w:eastAsiaTheme="minorEastAsia"/>
                      <w:szCs w:val="21"/>
                      <w:vertAlign w:val="superscript"/>
                    </w:rPr>
                    <w:t>3</w:t>
                  </w:r>
                  <w:r>
                    <w:rPr>
                      <w:rFonts w:eastAsiaTheme="minorEastAsia"/>
                      <w:szCs w:val="21"/>
                    </w:rPr>
                    <w:t>的隔油池用于处理食堂废水。</w:t>
                  </w:r>
                </w:p>
              </w:tc>
              <w:tc>
                <w:tcPr>
                  <w:tcW w:w="748" w:type="dxa"/>
                  <w:vAlign w:val="center"/>
                </w:tcPr>
                <w:p>
                  <w:pPr>
                    <w:jc w:val="center"/>
                    <w:rPr>
                      <w:rFonts w:eastAsiaTheme="minorEastAsia"/>
                      <w:szCs w:val="21"/>
                    </w:rPr>
                  </w:pPr>
                  <w:r>
                    <w:rPr>
                      <w:rFonts w:eastAsiaTheme="minorEastAsia"/>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697" w:type="dxa"/>
                  <w:vMerge w:val="continue"/>
                  <w:vAlign w:val="center"/>
                </w:tcPr>
                <w:p>
                  <w:pPr>
                    <w:rPr>
                      <w:rFonts w:eastAsiaTheme="minorEastAsia"/>
                      <w:szCs w:val="21"/>
                    </w:rPr>
                  </w:pPr>
                </w:p>
              </w:tc>
              <w:tc>
                <w:tcPr>
                  <w:tcW w:w="1375" w:type="dxa"/>
                  <w:vMerge w:val="continue"/>
                  <w:vAlign w:val="center"/>
                </w:tcPr>
                <w:p>
                  <w:pPr>
                    <w:rPr>
                      <w:rFonts w:eastAsiaTheme="minorEastAsia"/>
                      <w:szCs w:val="21"/>
                    </w:rPr>
                  </w:pPr>
                </w:p>
              </w:tc>
              <w:tc>
                <w:tcPr>
                  <w:tcW w:w="851" w:type="dxa"/>
                  <w:vAlign w:val="center"/>
                </w:tcPr>
                <w:p>
                  <w:pPr>
                    <w:jc w:val="center"/>
                    <w:rPr>
                      <w:rFonts w:eastAsiaTheme="minorEastAsia"/>
                      <w:szCs w:val="21"/>
                    </w:rPr>
                  </w:pPr>
                  <w:r>
                    <w:rPr>
                      <w:rFonts w:eastAsiaTheme="minorEastAsia"/>
                      <w:szCs w:val="21"/>
                    </w:rPr>
                    <w:t>化粪池</w:t>
                  </w:r>
                </w:p>
              </w:tc>
              <w:tc>
                <w:tcPr>
                  <w:tcW w:w="4927" w:type="dxa"/>
                  <w:vAlign w:val="center"/>
                </w:tcPr>
                <w:p>
                  <w:pPr>
                    <w:rPr>
                      <w:rFonts w:eastAsiaTheme="minorEastAsia"/>
                      <w:szCs w:val="21"/>
                    </w:rPr>
                  </w:pPr>
                  <w:r>
                    <w:rPr>
                      <w:rFonts w:eastAsiaTheme="minorEastAsia"/>
                      <w:szCs w:val="21"/>
                    </w:rPr>
                    <w:t>设有一座6m</w:t>
                  </w:r>
                  <w:r>
                    <w:rPr>
                      <w:rFonts w:eastAsiaTheme="minorEastAsia"/>
                      <w:szCs w:val="21"/>
                      <w:vertAlign w:val="superscript"/>
                    </w:rPr>
                    <w:t>3</w:t>
                  </w:r>
                  <w:r>
                    <w:rPr>
                      <w:rFonts w:eastAsiaTheme="minorEastAsia"/>
                      <w:szCs w:val="21"/>
                    </w:rPr>
                    <w:t>化粪池用于处理生活污水和经隔油池处理后的食堂污水。</w:t>
                  </w:r>
                </w:p>
              </w:tc>
              <w:tc>
                <w:tcPr>
                  <w:tcW w:w="748" w:type="dxa"/>
                  <w:vAlign w:val="center"/>
                </w:tcPr>
                <w:p>
                  <w:pPr>
                    <w:jc w:val="center"/>
                    <w:rPr>
                      <w:rFonts w:eastAsiaTheme="minorEastAsia"/>
                      <w:szCs w:val="21"/>
                    </w:rPr>
                  </w:pPr>
                  <w:r>
                    <w:rPr>
                      <w:rFonts w:eastAsiaTheme="minorEastAsia"/>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697" w:type="dxa"/>
                  <w:vMerge w:val="continue"/>
                  <w:vAlign w:val="center"/>
                </w:tcPr>
                <w:p>
                  <w:pPr>
                    <w:rPr>
                      <w:rFonts w:eastAsiaTheme="minorEastAsia"/>
                      <w:szCs w:val="21"/>
                    </w:rPr>
                  </w:pPr>
                </w:p>
              </w:tc>
              <w:tc>
                <w:tcPr>
                  <w:tcW w:w="1375" w:type="dxa"/>
                  <w:vMerge w:val="continue"/>
                  <w:vAlign w:val="center"/>
                </w:tcPr>
                <w:p>
                  <w:pPr>
                    <w:rPr>
                      <w:rFonts w:eastAsiaTheme="minorEastAsia"/>
                      <w:szCs w:val="21"/>
                    </w:rPr>
                  </w:pPr>
                </w:p>
              </w:tc>
              <w:tc>
                <w:tcPr>
                  <w:tcW w:w="851" w:type="dxa"/>
                  <w:vAlign w:val="center"/>
                </w:tcPr>
                <w:p>
                  <w:pPr>
                    <w:jc w:val="center"/>
                    <w:rPr>
                      <w:rFonts w:eastAsiaTheme="minorEastAsia"/>
                      <w:szCs w:val="21"/>
                    </w:rPr>
                  </w:pPr>
                  <w:r>
                    <w:rPr>
                      <w:rFonts w:eastAsiaTheme="minorEastAsia"/>
                      <w:szCs w:val="21"/>
                    </w:rPr>
                    <w:t>回用水池</w:t>
                  </w:r>
                </w:p>
              </w:tc>
              <w:tc>
                <w:tcPr>
                  <w:tcW w:w="4927" w:type="dxa"/>
                  <w:vAlign w:val="center"/>
                </w:tcPr>
                <w:p>
                  <w:pPr>
                    <w:rPr>
                      <w:rFonts w:eastAsiaTheme="minorEastAsia"/>
                      <w:szCs w:val="21"/>
                    </w:rPr>
                  </w:pPr>
                  <w:r>
                    <w:rPr>
                      <w:rFonts w:eastAsiaTheme="minorEastAsia"/>
                      <w:szCs w:val="21"/>
                    </w:rPr>
                    <w:t>设有一个10m</w:t>
                  </w:r>
                  <w:r>
                    <w:rPr>
                      <w:rFonts w:eastAsiaTheme="minorEastAsia"/>
                      <w:szCs w:val="21"/>
                      <w:vertAlign w:val="superscript"/>
                    </w:rPr>
                    <w:t>3</w:t>
                  </w:r>
                  <w:r>
                    <w:rPr>
                      <w:rFonts w:eastAsiaTheme="minorEastAsia"/>
                      <w:szCs w:val="21"/>
                    </w:rPr>
                    <w:t>的回用水池，用于回用包花预清洗水，种植渗出水后回用。</w:t>
                  </w:r>
                </w:p>
              </w:tc>
              <w:tc>
                <w:tcPr>
                  <w:tcW w:w="748" w:type="dxa"/>
                  <w:vAlign w:val="center"/>
                </w:tcPr>
                <w:p>
                  <w:pPr>
                    <w:jc w:val="center"/>
                    <w:rPr>
                      <w:rFonts w:eastAsiaTheme="minorEastAsia"/>
                      <w:szCs w:val="21"/>
                    </w:rPr>
                  </w:pPr>
                  <w:r>
                    <w:rPr>
                      <w:rFonts w:eastAsiaTheme="minorEastAsia"/>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97" w:type="dxa"/>
                  <w:vMerge w:val="continue"/>
                  <w:vAlign w:val="center"/>
                </w:tcPr>
                <w:p>
                  <w:pPr>
                    <w:jc w:val="center"/>
                    <w:rPr>
                      <w:rFonts w:eastAsiaTheme="minorEastAsia"/>
                      <w:szCs w:val="21"/>
                    </w:rPr>
                  </w:pPr>
                </w:p>
              </w:tc>
              <w:tc>
                <w:tcPr>
                  <w:tcW w:w="1375" w:type="dxa"/>
                  <w:vMerge w:val="continue"/>
                  <w:vAlign w:val="center"/>
                </w:tcPr>
                <w:p>
                  <w:pPr>
                    <w:jc w:val="center"/>
                    <w:rPr>
                      <w:rFonts w:eastAsiaTheme="minorEastAsia"/>
                      <w:szCs w:val="21"/>
                    </w:rPr>
                  </w:pPr>
                </w:p>
              </w:tc>
              <w:tc>
                <w:tcPr>
                  <w:tcW w:w="851" w:type="dxa"/>
                  <w:vAlign w:val="center"/>
                </w:tcPr>
                <w:p>
                  <w:pPr>
                    <w:jc w:val="center"/>
                    <w:rPr>
                      <w:rFonts w:eastAsiaTheme="minorEastAsia"/>
                      <w:szCs w:val="21"/>
                    </w:rPr>
                  </w:pPr>
                  <w:r>
                    <w:rPr>
                      <w:rFonts w:eastAsiaTheme="minorEastAsia"/>
                      <w:szCs w:val="21"/>
                    </w:rPr>
                    <w:t>雨水沉淀池</w:t>
                  </w:r>
                </w:p>
              </w:tc>
              <w:tc>
                <w:tcPr>
                  <w:tcW w:w="4927" w:type="dxa"/>
                  <w:vAlign w:val="center"/>
                </w:tcPr>
                <w:p>
                  <w:pPr>
                    <w:jc w:val="left"/>
                    <w:rPr>
                      <w:rFonts w:eastAsiaTheme="minorEastAsia"/>
                      <w:szCs w:val="21"/>
                    </w:rPr>
                  </w:pPr>
                  <w:r>
                    <w:rPr>
                      <w:rFonts w:eastAsiaTheme="minorEastAsia"/>
                      <w:szCs w:val="21"/>
                    </w:rPr>
                    <w:t>建一个760m</w:t>
                  </w:r>
                  <w:r>
                    <w:rPr>
                      <w:rFonts w:eastAsiaTheme="minorEastAsia"/>
                      <w:szCs w:val="21"/>
                      <w:vertAlign w:val="superscript"/>
                    </w:rPr>
                    <w:t>3</w:t>
                  </w:r>
                  <w:r>
                    <w:rPr>
                      <w:rFonts w:eastAsiaTheme="minorEastAsia"/>
                      <w:szCs w:val="21"/>
                    </w:rPr>
                    <w:t>的初期雨水沉淀池，收集初期雨水。</w:t>
                  </w:r>
                </w:p>
              </w:tc>
              <w:tc>
                <w:tcPr>
                  <w:tcW w:w="748" w:type="dxa"/>
                  <w:vAlign w:val="center"/>
                </w:tcPr>
                <w:p>
                  <w:pPr>
                    <w:jc w:val="center"/>
                    <w:rPr>
                      <w:rFonts w:eastAsiaTheme="minorEastAsia"/>
                      <w:szCs w:val="21"/>
                    </w:rPr>
                  </w:pPr>
                  <w:r>
                    <w:rPr>
                      <w:rFonts w:eastAsiaTheme="minorEastAsia"/>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697" w:type="dxa"/>
                  <w:vMerge w:val="continue"/>
                  <w:vAlign w:val="center"/>
                </w:tcPr>
                <w:p>
                  <w:pPr>
                    <w:jc w:val="center"/>
                    <w:rPr>
                      <w:rFonts w:eastAsiaTheme="minorEastAsia"/>
                      <w:szCs w:val="21"/>
                    </w:rPr>
                  </w:pPr>
                </w:p>
              </w:tc>
              <w:tc>
                <w:tcPr>
                  <w:tcW w:w="1375" w:type="dxa"/>
                  <w:vMerge w:val="continue"/>
                  <w:vAlign w:val="center"/>
                </w:tcPr>
                <w:p>
                  <w:pPr>
                    <w:jc w:val="center"/>
                    <w:rPr>
                      <w:rFonts w:eastAsiaTheme="minorEastAsia"/>
                      <w:szCs w:val="21"/>
                    </w:rPr>
                  </w:pPr>
                </w:p>
              </w:tc>
              <w:tc>
                <w:tcPr>
                  <w:tcW w:w="851" w:type="dxa"/>
                  <w:vAlign w:val="center"/>
                </w:tcPr>
                <w:p>
                  <w:pPr>
                    <w:jc w:val="center"/>
                    <w:rPr>
                      <w:rFonts w:eastAsiaTheme="minorEastAsia"/>
                      <w:szCs w:val="21"/>
                    </w:rPr>
                  </w:pPr>
                  <w:r>
                    <w:rPr>
                      <w:rFonts w:eastAsiaTheme="minorEastAsia"/>
                      <w:szCs w:val="21"/>
                    </w:rPr>
                    <w:t>污水处理站</w:t>
                  </w:r>
                </w:p>
              </w:tc>
              <w:tc>
                <w:tcPr>
                  <w:tcW w:w="4927" w:type="dxa"/>
                  <w:vAlign w:val="center"/>
                </w:tcPr>
                <w:p>
                  <w:pPr>
                    <w:jc w:val="left"/>
                    <w:rPr>
                      <w:rFonts w:eastAsiaTheme="minorEastAsia"/>
                      <w:szCs w:val="21"/>
                    </w:rPr>
                  </w:pPr>
                  <w:r>
                    <w:rPr>
                      <w:rFonts w:eastAsiaTheme="minorEastAsia"/>
                      <w:szCs w:val="21"/>
                    </w:rPr>
                    <w:t>建立一座处理规模为5m</w:t>
                  </w:r>
                  <w:r>
                    <w:rPr>
                      <w:rFonts w:eastAsiaTheme="minorEastAsia"/>
                      <w:szCs w:val="21"/>
                      <w:vertAlign w:val="superscript"/>
                    </w:rPr>
                    <w:t>3</w:t>
                  </w:r>
                  <w:r>
                    <w:rPr>
                      <w:rFonts w:eastAsiaTheme="minorEastAsia"/>
                      <w:szCs w:val="21"/>
                    </w:rPr>
                    <w:t>/d的</w:t>
                  </w:r>
                  <w:r>
                    <w:rPr>
                      <w:rFonts w:hint="eastAsia" w:eastAsiaTheme="minorEastAsia"/>
                      <w:szCs w:val="21"/>
                    </w:rPr>
                    <w:t>一体化</w:t>
                  </w:r>
                  <w:r>
                    <w:rPr>
                      <w:rFonts w:eastAsiaTheme="minorEastAsia"/>
                      <w:szCs w:val="21"/>
                    </w:rPr>
                    <w:t>污水</w:t>
                  </w:r>
                  <w:r>
                    <w:rPr>
                      <w:rFonts w:hint="eastAsia" w:eastAsiaTheme="minorEastAsia"/>
                      <w:szCs w:val="21"/>
                    </w:rPr>
                    <w:t>处理</w:t>
                  </w:r>
                  <w:r>
                    <w:rPr>
                      <w:rFonts w:eastAsiaTheme="minorEastAsia"/>
                      <w:szCs w:val="21"/>
                    </w:rPr>
                    <w:t>站，在项目区未接通污水管网前，产生的废水收集后通过自建污水处理站处理达到《城市污水再生利用-农田灌溉用水水质》（GB/T20922-2007）后回用。接入污水管网后，废水经收集通过自建污水站处理后排入污水管网，进入姚安县第二污水处理厂进行处理。</w:t>
                  </w:r>
                </w:p>
              </w:tc>
              <w:tc>
                <w:tcPr>
                  <w:tcW w:w="748" w:type="dxa"/>
                  <w:vAlign w:val="center"/>
                </w:tcPr>
                <w:p>
                  <w:pPr>
                    <w:jc w:val="center"/>
                    <w:rPr>
                      <w:rFonts w:eastAsiaTheme="minorEastAsia"/>
                      <w:szCs w:val="21"/>
                    </w:rPr>
                  </w:pPr>
                  <w:r>
                    <w:rPr>
                      <w:rFonts w:eastAsiaTheme="minorEastAsia"/>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697" w:type="dxa"/>
                  <w:vMerge w:val="continue"/>
                  <w:vAlign w:val="center"/>
                </w:tcPr>
                <w:p>
                  <w:pPr>
                    <w:jc w:val="center"/>
                    <w:rPr>
                      <w:rFonts w:eastAsiaTheme="minorEastAsia"/>
                      <w:szCs w:val="21"/>
                    </w:rPr>
                  </w:pPr>
                </w:p>
              </w:tc>
              <w:tc>
                <w:tcPr>
                  <w:tcW w:w="1375" w:type="dxa"/>
                  <w:vAlign w:val="center"/>
                </w:tcPr>
                <w:p>
                  <w:pPr>
                    <w:jc w:val="center"/>
                    <w:rPr>
                      <w:rFonts w:eastAsiaTheme="minorEastAsia"/>
                      <w:szCs w:val="21"/>
                    </w:rPr>
                  </w:pPr>
                  <w:r>
                    <w:rPr>
                      <w:rFonts w:eastAsiaTheme="minorEastAsia"/>
                      <w:szCs w:val="21"/>
                    </w:rPr>
                    <w:t>噪声治理</w:t>
                  </w:r>
                </w:p>
              </w:tc>
              <w:tc>
                <w:tcPr>
                  <w:tcW w:w="5778" w:type="dxa"/>
                  <w:gridSpan w:val="2"/>
                  <w:vAlign w:val="center"/>
                </w:tcPr>
                <w:p>
                  <w:pPr>
                    <w:rPr>
                      <w:rFonts w:eastAsiaTheme="minorEastAsia"/>
                      <w:szCs w:val="21"/>
                    </w:rPr>
                  </w:pPr>
                  <w:r>
                    <w:rPr>
                      <w:rFonts w:eastAsiaTheme="minorEastAsia"/>
                      <w:szCs w:val="21"/>
                    </w:rPr>
                    <w:t>设备安装减振设施、隔声设施。</w:t>
                  </w:r>
                </w:p>
              </w:tc>
              <w:tc>
                <w:tcPr>
                  <w:tcW w:w="748" w:type="dxa"/>
                  <w:vAlign w:val="center"/>
                </w:tcPr>
                <w:p>
                  <w:pPr>
                    <w:jc w:val="center"/>
                    <w:rPr>
                      <w:rFonts w:eastAsiaTheme="minorEastAsia"/>
                      <w:szCs w:val="21"/>
                    </w:rPr>
                  </w:pPr>
                  <w:r>
                    <w:rPr>
                      <w:rFonts w:eastAsiaTheme="minorEastAsia"/>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697" w:type="dxa"/>
                  <w:vMerge w:val="continue"/>
                  <w:vAlign w:val="center"/>
                </w:tcPr>
                <w:p>
                  <w:pPr>
                    <w:jc w:val="center"/>
                    <w:rPr>
                      <w:rFonts w:eastAsiaTheme="minorEastAsia"/>
                      <w:szCs w:val="21"/>
                    </w:rPr>
                  </w:pPr>
                </w:p>
              </w:tc>
              <w:tc>
                <w:tcPr>
                  <w:tcW w:w="1375" w:type="dxa"/>
                  <w:vMerge w:val="restart"/>
                  <w:vAlign w:val="center"/>
                </w:tcPr>
                <w:p>
                  <w:pPr>
                    <w:jc w:val="center"/>
                    <w:rPr>
                      <w:rFonts w:eastAsiaTheme="minorEastAsia"/>
                      <w:szCs w:val="21"/>
                    </w:rPr>
                  </w:pPr>
                  <w:r>
                    <w:rPr>
                      <w:rFonts w:eastAsiaTheme="minorEastAsia"/>
                      <w:szCs w:val="21"/>
                    </w:rPr>
                    <w:t>固废治理</w:t>
                  </w:r>
                </w:p>
              </w:tc>
              <w:tc>
                <w:tcPr>
                  <w:tcW w:w="851" w:type="dxa"/>
                  <w:vAlign w:val="center"/>
                </w:tcPr>
                <w:p>
                  <w:pPr>
                    <w:jc w:val="center"/>
                    <w:rPr>
                      <w:rFonts w:eastAsiaTheme="minorEastAsia"/>
                      <w:szCs w:val="21"/>
                    </w:rPr>
                  </w:pPr>
                  <w:r>
                    <w:rPr>
                      <w:rFonts w:eastAsiaTheme="minorEastAsia"/>
                      <w:szCs w:val="21"/>
                    </w:rPr>
                    <w:t xml:space="preserve">危险废物贮存库 </w:t>
                  </w:r>
                </w:p>
              </w:tc>
              <w:tc>
                <w:tcPr>
                  <w:tcW w:w="4927" w:type="dxa"/>
                  <w:vAlign w:val="center"/>
                </w:tcPr>
                <w:p>
                  <w:pPr>
                    <w:rPr>
                      <w:rFonts w:eastAsiaTheme="minorEastAsia"/>
                      <w:szCs w:val="21"/>
                    </w:rPr>
                  </w:pPr>
                  <w:r>
                    <w:rPr>
                      <w:rFonts w:eastAsiaTheme="minorEastAsia"/>
                      <w:szCs w:val="21"/>
                    </w:rPr>
                    <w:t>建筑面积为28.2m</w:t>
                  </w:r>
                  <w:r>
                    <w:rPr>
                      <w:rFonts w:eastAsiaTheme="minorEastAsia"/>
                      <w:szCs w:val="21"/>
                      <w:vertAlign w:val="superscript"/>
                    </w:rPr>
                    <w:t>2</w:t>
                  </w:r>
                  <w:r>
                    <w:rPr>
                      <w:rFonts w:eastAsiaTheme="minorEastAsia"/>
                      <w:szCs w:val="21"/>
                    </w:rPr>
                    <w:t>，位于锅炉房旁，用于暂存废农药包装瓶和废包装桶以及废机油。等效黏土防渗层Mb≥6.0m，K≤1×10</w:t>
                  </w:r>
                  <w:r>
                    <w:rPr>
                      <w:rFonts w:eastAsiaTheme="minorEastAsia"/>
                      <w:szCs w:val="21"/>
                      <w:vertAlign w:val="superscript"/>
                    </w:rPr>
                    <w:t>-7</w:t>
                  </w:r>
                  <w:r>
                    <w:rPr>
                      <w:rFonts w:eastAsiaTheme="minorEastAsia"/>
                      <w:szCs w:val="21"/>
                    </w:rPr>
                    <w:t>cm/s；或参照GB18598执行。</w:t>
                  </w:r>
                </w:p>
              </w:tc>
              <w:tc>
                <w:tcPr>
                  <w:tcW w:w="748" w:type="dxa"/>
                  <w:vAlign w:val="center"/>
                </w:tcPr>
                <w:p>
                  <w:pPr>
                    <w:jc w:val="center"/>
                    <w:rPr>
                      <w:rFonts w:eastAsiaTheme="minorEastAsia"/>
                      <w:szCs w:val="21"/>
                    </w:rPr>
                  </w:pPr>
                  <w:r>
                    <w:rPr>
                      <w:rFonts w:eastAsiaTheme="minorEastAsia"/>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697" w:type="dxa"/>
                  <w:vMerge w:val="continue"/>
                  <w:vAlign w:val="center"/>
                </w:tcPr>
                <w:p>
                  <w:pPr>
                    <w:jc w:val="center"/>
                    <w:rPr>
                      <w:rFonts w:eastAsiaTheme="minorEastAsia"/>
                      <w:szCs w:val="21"/>
                    </w:rPr>
                  </w:pPr>
                </w:p>
              </w:tc>
              <w:tc>
                <w:tcPr>
                  <w:tcW w:w="1375" w:type="dxa"/>
                  <w:vMerge w:val="continue"/>
                  <w:vAlign w:val="center"/>
                </w:tcPr>
                <w:p>
                  <w:pPr>
                    <w:jc w:val="center"/>
                    <w:rPr>
                      <w:rFonts w:eastAsiaTheme="minorEastAsia"/>
                      <w:szCs w:val="21"/>
                    </w:rPr>
                  </w:pPr>
                </w:p>
              </w:tc>
              <w:tc>
                <w:tcPr>
                  <w:tcW w:w="851" w:type="dxa"/>
                  <w:vAlign w:val="center"/>
                </w:tcPr>
                <w:p>
                  <w:pPr>
                    <w:jc w:val="center"/>
                    <w:rPr>
                      <w:rFonts w:eastAsiaTheme="minorEastAsia"/>
                      <w:szCs w:val="21"/>
                    </w:rPr>
                  </w:pPr>
                  <w:r>
                    <w:rPr>
                      <w:rFonts w:eastAsiaTheme="minorEastAsia"/>
                      <w:szCs w:val="21"/>
                    </w:rPr>
                    <w:t>收集池</w:t>
                  </w:r>
                </w:p>
              </w:tc>
              <w:tc>
                <w:tcPr>
                  <w:tcW w:w="4927" w:type="dxa"/>
                  <w:vAlign w:val="center"/>
                </w:tcPr>
                <w:p>
                  <w:pPr>
                    <w:pStyle w:val="6"/>
                    <w:rPr>
                      <w:rFonts w:eastAsiaTheme="minorEastAsia"/>
                      <w:kern w:val="2"/>
                      <w:sz w:val="21"/>
                      <w:szCs w:val="21"/>
                    </w:rPr>
                  </w:pPr>
                  <w:r>
                    <w:rPr>
                      <w:rFonts w:eastAsiaTheme="minorEastAsia"/>
                      <w:kern w:val="2"/>
                      <w:sz w:val="21"/>
                      <w:szCs w:val="21"/>
                    </w:rPr>
                    <w:t>拟建收集池（10m</w:t>
                  </w:r>
                  <w:r>
                    <w:rPr>
                      <w:rFonts w:eastAsiaTheme="minorEastAsia"/>
                      <w:kern w:val="2"/>
                      <w:sz w:val="21"/>
                      <w:szCs w:val="21"/>
                      <w:vertAlign w:val="superscript"/>
                    </w:rPr>
                    <w:t>3</w:t>
                  </w:r>
                  <w:r>
                    <w:rPr>
                      <w:rFonts w:eastAsiaTheme="minorEastAsia"/>
                      <w:kern w:val="2"/>
                      <w:sz w:val="21"/>
                      <w:szCs w:val="21"/>
                    </w:rPr>
                    <w:t>），用于收集尘灰及燃料灰渣。</w:t>
                  </w:r>
                </w:p>
              </w:tc>
              <w:tc>
                <w:tcPr>
                  <w:tcW w:w="748" w:type="dxa"/>
                  <w:vAlign w:val="center"/>
                </w:tcPr>
                <w:p>
                  <w:pPr>
                    <w:jc w:val="center"/>
                    <w:rPr>
                      <w:rFonts w:eastAsiaTheme="minorEastAsia"/>
                      <w:szCs w:val="21"/>
                    </w:rPr>
                  </w:pPr>
                  <w:r>
                    <w:rPr>
                      <w:rFonts w:eastAsiaTheme="minorEastAsia"/>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697" w:type="dxa"/>
                  <w:vMerge w:val="continue"/>
                  <w:vAlign w:val="center"/>
                </w:tcPr>
                <w:p>
                  <w:pPr>
                    <w:jc w:val="center"/>
                    <w:rPr>
                      <w:rFonts w:eastAsiaTheme="minorEastAsia"/>
                      <w:szCs w:val="21"/>
                    </w:rPr>
                  </w:pPr>
                </w:p>
              </w:tc>
              <w:tc>
                <w:tcPr>
                  <w:tcW w:w="1375" w:type="dxa"/>
                  <w:vMerge w:val="continue"/>
                  <w:vAlign w:val="center"/>
                </w:tcPr>
                <w:p>
                  <w:pPr>
                    <w:jc w:val="center"/>
                    <w:rPr>
                      <w:rFonts w:eastAsiaTheme="minorEastAsia"/>
                      <w:szCs w:val="21"/>
                    </w:rPr>
                  </w:pPr>
                </w:p>
              </w:tc>
              <w:tc>
                <w:tcPr>
                  <w:tcW w:w="851" w:type="dxa"/>
                  <w:vAlign w:val="center"/>
                </w:tcPr>
                <w:p>
                  <w:pPr>
                    <w:jc w:val="center"/>
                    <w:rPr>
                      <w:rFonts w:eastAsiaTheme="minorEastAsia"/>
                      <w:szCs w:val="21"/>
                    </w:rPr>
                  </w:pPr>
                  <w:r>
                    <w:rPr>
                      <w:rFonts w:eastAsiaTheme="minorEastAsia"/>
                      <w:szCs w:val="21"/>
                    </w:rPr>
                    <w:t>垃圾桶</w:t>
                  </w:r>
                </w:p>
              </w:tc>
              <w:tc>
                <w:tcPr>
                  <w:tcW w:w="4927" w:type="dxa"/>
                  <w:vAlign w:val="center"/>
                </w:tcPr>
                <w:p>
                  <w:pPr>
                    <w:rPr>
                      <w:rFonts w:eastAsiaTheme="minorEastAsia"/>
                      <w:szCs w:val="21"/>
                    </w:rPr>
                  </w:pPr>
                  <w:r>
                    <w:rPr>
                      <w:rFonts w:eastAsiaTheme="minorEastAsia"/>
                      <w:szCs w:val="21"/>
                    </w:rPr>
                    <w:t>若干只垃圾桶，用于收集员工产生的生活垃圾。</w:t>
                  </w:r>
                </w:p>
              </w:tc>
              <w:tc>
                <w:tcPr>
                  <w:tcW w:w="748" w:type="dxa"/>
                  <w:vAlign w:val="center"/>
                </w:tcPr>
                <w:p>
                  <w:pPr>
                    <w:jc w:val="center"/>
                    <w:rPr>
                      <w:rFonts w:eastAsiaTheme="minorEastAsia"/>
                      <w:szCs w:val="21"/>
                    </w:rPr>
                  </w:pPr>
                  <w:r>
                    <w:rPr>
                      <w:rFonts w:eastAsiaTheme="minorEastAsia"/>
                      <w:szCs w:val="21"/>
                    </w:rPr>
                    <w:t>新建</w:t>
                  </w:r>
                </w:p>
              </w:tc>
            </w:tr>
          </w:tbl>
          <w:p>
            <w:pPr>
              <w:spacing w:before="156" w:beforeLines="50" w:line="360" w:lineRule="auto"/>
              <w:rPr>
                <w:rFonts w:eastAsiaTheme="minorEastAsia"/>
                <w:b/>
                <w:bCs/>
                <w:sz w:val="24"/>
              </w:rPr>
            </w:pPr>
            <w:r>
              <w:rPr>
                <w:rFonts w:eastAsiaTheme="minorEastAsia"/>
                <w:b/>
                <w:bCs/>
                <w:sz w:val="24"/>
              </w:rPr>
              <w:t>3、主要生产设备</w:t>
            </w:r>
          </w:p>
          <w:p>
            <w:pPr>
              <w:spacing w:line="360" w:lineRule="auto"/>
              <w:rPr>
                <w:rFonts w:eastAsiaTheme="minorEastAsia"/>
                <w:sz w:val="24"/>
              </w:rPr>
            </w:pPr>
            <w:bookmarkStart w:id="11" w:name="_Toc4838"/>
            <w:bookmarkStart w:id="12" w:name="_Toc7544"/>
            <w:bookmarkStart w:id="13" w:name="_Toc10666"/>
            <w:r>
              <w:rPr>
                <w:rFonts w:eastAsiaTheme="minorEastAsia"/>
                <w:sz w:val="24"/>
              </w:rPr>
              <w:t>主要生产设备见表2-2。</w:t>
            </w:r>
            <w:bookmarkEnd w:id="11"/>
            <w:bookmarkEnd w:id="12"/>
            <w:bookmarkEnd w:id="13"/>
          </w:p>
          <w:p>
            <w:pPr>
              <w:spacing w:line="360" w:lineRule="auto"/>
              <w:jc w:val="center"/>
              <w:rPr>
                <w:rFonts w:eastAsiaTheme="minorEastAsia"/>
                <w:b/>
                <w:bCs/>
                <w:sz w:val="24"/>
              </w:rPr>
            </w:pPr>
            <w:r>
              <w:rPr>
                <w:rFonts w:eastAsiaTheme="minorEastAsia"/>
                <w:b/>
                <w:bCs/>
                <w:sz w:val="24"/>
              </w:rPr>
              <w:t>表2-2  生产设备一览表</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3067"/>
              <w:gridCol w:w="2952"/>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11" w:type="pct"/>
                  <w:vAlign w:val="center"/>
                </w:tcPr>
                <w:p>
                  <w:pPr>
                    <w:jc w:val="center"/>
                    <w:outlineLvl w:val="0"/>
                    <w:rPr>
                      <w:rFonts w:eastAsiaTheme="minorEastAsia"/>
                      <w:b/>
                      <w:szCs w:val="21"/>
                    </w:rPr>
                  </w:pPr>
                  <w:bookmarkStart w:id="14" w:name="_Toc144233168"/>
                  <w:bookmarkStart w:id="15" w:name="_Toc8395"/>
                  <w:bookmarkStart w:id="16" w:name="_Toc1571"/>
                  <w:bookmarkStart w:id="17" w:name="_Toc24737"/>
                  <w:r>
                    <w:rPr>
                      <w:rFonts w:eastAsiaTheme="minorEastAsia"/>
                      <w:b/>
                      <w:szCs w:val="21"/>
                    </w:rPr>
                    <w:t>序号</w:t>
                  </w:r>
                  <w:bookmarkEnd w:id="14"/>
                </w:p>
              </w:tc>
              <w:tc>
                <w:tcPr>
                  <w:tcW w:w="1757" w:type="pct"/>
                  <w:vAlign w:val="center"/>
                </w:tcPr>
                <w:p>
                  <w:pPr>
                    <w:jc w:val="center"/>
                    <w:outlineLvl w:val="0"/>
                    <w:rPr>
                      <w:rFonts w:eastAsiaTheme="minorEastAsia"/>
                      <w:b/>
                      <w:szCs w:val="21"/>
                    </w:rPr>
                  </w:pPr>
                  <w:bookmarkStart w:id="18" w:name="_Toc144233169"/>
                  <w:r>
                    <w:rPr>
                      <w:rFonts w:eastAsiaTheme="minorEastAsia"/>
                      <w:b/>
                      <w:szCs w:val="21"/>
                    </w:rPr>
                    <w:t>设备名称</w:t>
                  </w:r>
                  <w:bookmarkEnd w:id="18"/>
                </w:p>
              </w:tc>
              <w:tc>
                <w:tcPr>
                  <w:tcW w:w="1691" w:type="pct"/>
                  <w:vAlign w:val="center"/>
                </w:tcPr>
                <w:p>
                  <w:pPr>
                    <w:jc w:val="center"/>
                    <w:outlineLvl w:val="0"/>
                    <w:rPr>
                      <w:rFonts w:eastAsiaTheme="minorEastAsia"/>
                      <w:b/>
                      <w:szCs w:val="21"/>
                    </w:rPr>
                  </w:pPr>
                  <w:bookmarkStart w:id="19" w:name="_Toc144233170"/>
                  <w:r>
                    <w:rPr>
                      <w:rFonts w:eastAsiaTheme="minorEastAsia"/>
                      <w:b/>
                      <w:szCs w:val="21"/>
                    </w:rPr>
                    <w:t>规格型号</w:t>
                  </w:r>
                  <w:bookmarkEnd w:id="19"/>
                </w:p>
              </w:tc>
              <w:tc>
                <w:tcPr>
                  <w:tcW w:w="538" w:type="pct"/>
                  <w:vAlign w:val="center"/>
                </w:tcPr>
                <w:p>
                  <w:pPr>
                    <w:jc w:val="center"/>
                    <w:outlineLvl w:val="0"/>
                    <w:rPr>
                      <w:rFonts w:eastAsiaTheme="minorEastAsia"/>
                      <w:b/>
                      <w:szCs w:val="21"/>
                    </w:rPr>
                  </w:pPr>
                  <w:bookmarkStart w:id="20" w:name="_Toc144233171"/>
                  <w:r>
                    <w:rPr>
                      <w:rFonts w:eastAsiaTheme="minorEastAsia"/>
                      <w:b/>
                      <w:szCs w:val="21"/>
                    </w:rPr>
                    <w:t>数量</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11" w:type="pct"/>
                  <w:vAlign w:val="center"/>
                </w:tcPr>
                <w:p>
                  <w:pPr>
                    <w:jc w:val="center"/>
                    <w:outlineLvl w:val="0"/>
                    <w:rPr>
                      <w:rFonts w:eastAsiaTheme="minorEastAsia"/>
                      <w:szCs w:val="21"/>
                    </w:rPr>
                  </w:pPr>
                  <w:bookmarkStart w:id="21" w:name="_Toc144233172"/>
                  <w:bookmarkStart w:id="22" w:name="_Toc22578"/>
                  <w:r>
                    <w:rPr>
                      <w:rFonts w:eastAsiaTheme="minorEastAsia"/>
                      <w:szCs w:val="21"/>
                    </w:rPr>
                    <w:t>1</w:t>
                  </w:r>
                  <w:bookmarkEnd w:id="21"/>
                  <w:bookmarkEnd w:id="22"/>
                </w:p>
              </w:tc>
              <w:tc>
                <w:tcPr>
                  <w:tcW w:w="1757" w:type="pct"/>
                  <w:vAlign w:val="center"/>
                </w:tcPr>
                <w:p>
                  <w:pPr>
                    <w:jc w:val="center"/>
                    <w:rPr>
                      <w:rFonts w:eastAsiaTheme="minorEastAsia"/>
                      <w:szCs w:val="21"/>
                    </w:rPr>
                  </w:pPr>
                  <w:r>
                    <w:rPr>
                      <w:rFonts w:eastAsiaTheme="minorEastAsia"/>
                      <w:szCs w:val="21"/>
                    </w:rPr>
                    <w:t>补水泵 （原水）</w:t>
                  </w:r>
                </w:p>
              </w:tc>
              <w:tc>
                <w:tcPr>
                  <w:tcW w:w="1691" w:type="pct"/>
                  <w:vAlign w:val="center"/>
                </w:tcPr>
                <w:p>
                  <w:pPr>
                    <w:jc w:val="center"/>
                    <w:rPr>
                      <w:rFonts w:eastAsiaTheme="minorEastAsia"/>
                      <w:szCs w:val="21"/>
                    </w:rPr>
                  </w:pPr>
                  <w:r>
                    <w:rPr>
                      <w:rFonts w:eastAsiaTheme="minorEastAsia"/>
                      <w:szCs w:val="21"/>
                    </w:rPr>
                    <w:t>流量80m</w:t>
                  </w:r>
                  <w:r>
                    <w:rPr>
                      <w:rFonts w:eastAsiaTheme="minorEastAsia"/>
                      <w:szCs w:val="21"/>
                      <w:vertAlign w:val="superscript"/>
                    </w:rPr>
                    <w:t>3</w:t>
                  </w:r>
                  <w:r>
                    <w:rPr>
                      <w:rFonts w:eastAsiaTheme="minorEastAsia"/>
                      <w:szCs w:val="21"/>
                    </w:rPr>
                    <w:t>/h、扬程38M、15kw</w:t>
                  </w:r>
                </w:p>
              </w:tc>
              <w:tc>
                <w:tcPr>
                  <w:tcW w:w="538" w:type="pct"/>
                  <w:vAlign w:val="center"/>
                </w:tcPr>
                <w:p>
                  <w:pPr>
                    <w:spacing w:before="99"/>
                    <w:jc w:val="center"/>
                    <w:rPr>
                      <w:rFonts w:eastAsiaTheme="minorEastAsia"/>
                      <w:szCs w:val="21"/>
                    </w:rPr>
                  </w:pPr>
                  <w:r>
                    <w:rPr>
                      <w:rFonts w:eastAsiaTheme="minorEastAsia"/>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1" w:type="pct"/>
                  <w:vAlign w:val="center"/>
                </w:tcPr>
                <w:p>
                  <w:pPr>
                    <w:jc w:val="center"/>
                    <w:outlineLvl w:val="0"/>
                    <w:rPr>
                      <w:rFonts w:eastAsiaTheme="minorEastAsia"/>
                      <w:szCs w:val="21"/>
                    </w:rPr>
                  </w:pPr>
                  <w:bookmarkStart w:id="23" w:name="_Toc144233173"/>
                  <w:r>
                    <w:rPr>
                      <w:rFonts w:eastAsiaTheme="minorEastAsia"/>
                      <w:szCs w:val="21"/>
                    </w:rPr>
                    <w:t>2</w:t>
                  </w:r>
                  <w:bookmarkEnd w:id="23"/>
                </w:p>
              </w:tc>
              <w:tc>
                <w:tcPr>
                  <w:tcW w:w="1757" w:type="pct"/>
                  <w:vAlign w:val="center"/>
                </w:tcPr>
                <w:p>
                  <w:pPr>
                    <w:jc w:val="center"/>
                    <w:rPr>
                      <w:rFonts w:eastAsiaTheme="minorEastAsia"/>
                      <w:szCs w:val="21"/>
                    </w:rPr>
                  </w:pPr>
                  <w:r>
                    <w:rPr>
                      <w:rFonts w:eastAsiaTheme="minorEastAsia"/>
                      <w:szCs w:val="21"/>
                    </w:rPr>
                    <w:t>灌溉电机（清水）</w:t>
                  </w:r>
                </w:p>
              </w:tc>
              <w:tc>
                <w:tcPr>
                  <w:tcW w:w="1691" w:type="pct"/>
                  <w:vAlign w:val="center"/>
                </w:tcPr>
                <w:p>
                  <w:pPr>
                    <w:jc w:val="center"/>
                    <w:rPr>
                      <w:rFonts w:eastAsiaTheme="minorEastAsia"/>
                      <w:szCs w:val="21"/>
                    </w:rPr>
                  </w:pPr>
                  <w:r>
                    <w:rPr>
                      <w:rFonts w:eastAsiaTheme="minorEastAsia"/>
                      <w:szCs w:val="21"/>
                    </w:rPr>
                    <w:t>流量25m</w:t>
                  </w:r>
                  <w:r>
                    <w:rPr>
                      <w:rFonts w:eastAsiaTheme="minorEastAsia"/>
                      <w:szCs w:val="21"/>
                      <w:vertAlign w:val="superscript"/>
                    </w:rPr>
                    <w:t>3</w:t>
                  </w:r>
                  <w:r>
                    <w:rPr>
                      <w:rFonts w:eastAsiaTheme="minorEastAsia"/>
                      <w:szCs w:val="21"/>
                    </w:rPr>
                    <w:t>/h、扬程48M、7.5kw</w:t>
                  </w:r>
                </w:p>
              </w:tc>
              <w:tc>
                <w:tcPr>
                  <w:tcW w:w="538" w:type="pct"/>
                  <w:vAlign w:val="center"/>
                </w:tcPr>
                <w:p>
                  <w:pPr>
                    <w:spacing w:before="105"/>
                    <w:jc w:val="center"/>
                    <w:rPr>
                      <w:rFonts w:eastAsiaTheme="minorEastAsia"/>
                      <w:szCs w:val="21"/>
                    </w:rPr>
                  </w:pPr>
                  <w:r>
                    <w:rPr>
                      <w:rFonts w:eastAsiaTheme="minorEastAsia"/>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1" w:type="pct"/>
                  <w:vAlign w:val="center"/>
                </w:tcPr>
                <w:p>
                  <w:pPr>
                    <w:jc w:val="center"/>
                    <w:outlineLvl w:val="0"/>
                    <w:rPr>
                      <w:rFonts w:eastAsiaTheme="minorEastAsia"/>
                      <w:szCs w:val="21"/>
                    </w:rPr>
                  </w:pPr>
                  <w:bookmarkStart w:id="24" w:name="_Toc144233174"/>
                  <w:bookmarkStart w:id="25" w:name="_Toc20714"/>
                  <w:r>
                    <w:rPr>
                      <w:rFonts w:eastAsiaTheme="minorEastAsia"/>
                      <w:szCs w:val="21"/>
                    </w:rPr>
                    <w:t>3</w:t>
                  </w:r>
                  <w:bookmarkEnd w:id="24"/>
                  <w:bookmarkEnd w:id="25"/>
                </w:p>
              </w:tc>
              <w:tc>
                <w:tcPr>
                  <w:tcW w:w="1757" w:type="pct"/>
                  <w:vAlign w:val="center"/>
                </w:tcPr>
                <w:p>
                  <w:pPr>
                    <w:jc w:val="center"/>
                    <w:rPr>
                      <w:rFonts w:hint="eastAsia" w:eastAsiaTheme="minorEastAsia"/>
                      <w:szCs w:val="21"/>
                    </w:rPr>
                  </w:pPr>
                  <w:r>
                    <w:rPr>
                      <w:rFonts w:eastAsiaTheme="minorEastAsia"/>
                      <w:szCs w:val="21"/>
                    </w:rPr>
                    <w:t>迷雾电机（清水）</w:t>
                  </w:r>
                </w:p>
              </w:tc>
              <w:tc>
                <w:tcPr>
                  <w:tcW w:w="1691" w:type="pct"/>
                  <w:vAlign w:val="center"/>
                </w:tcPr>
                <w:p>
                  <w:pPr>
                    <w:jc w:val="center"/>
                    <w:rPr>
                      <w:rFonts w:eastAsiaTheme="minorEastAsia"/>
                      <w:szCs w:val="21"/>
                    </w:rPr>
                  </w:pPr>
                  <w:r>
                    <w:rPr>
                      <w:rFonts w:eastAsiaTheme="minorEastAsia"/>
                      <w:szCs w:val="21"/>
                    </w:rPr>
                    <w:t>流量50m</w:t>
                  </w:r>
                  <w:r>
                    <w:rPr>
                      <w:rFonts w:eastAsiaTheme="minorEastAsia"/>
                      <w:szCs w:val="21"/>
                      <w:vertAlign w:val="superscript"/>
                    </w:rPr>
                    <w:t>3</w:t>
                  </w:r>
                  <w:r>
                    <w:rPr>
                      <w:rFonts w:eastAsiaTheme="minorEastAsia"/>
                      <w:szCs w:val="21"/>
                    </w:rPr>
                    <w:t>/h、扬程51M、15kw</w:t>
                  </w:r>
                </w:p>
              </w:tc>
              <w:tc>
                <w:tcPr>
                  <w:tcW w:w="538" w:type="pct"/>
                  <w:vAlign w:val="center"/>
                </w:tcPr>
                <w:p>
                  <w:pPr>
                    <w:spacing w:before="108"/>
                    <w:jc w:val="center"/>
                    <w:rPr>
                      <w:rFonts w:eastAsiaTheme="minorEastAsia"/>
                      <w:szCs w:val="21"/>
                    </w:rPr>
                  </w:pPr>
                  <w:r>
                    <w:rPr>
                      <w:rFonts w:eastAsiaTheme="minorEastAsia"/>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1" w:type="pct"/>
                  <w:vAlign w:val="center"/>
                </w:tcPr>
                <w:p>
                  <w:pPr>
                    <w:jc w:val="center"/>
                    <w:outlineLvl w:val="0"/>
                    <w:rPr>
                      <w:rFonts w:eastAsiaTheme="minorEastAsia"/>
                      <w:szCs w:val="21"/>
                    </w:rPr>
                  </w:pPr>
                  <w:bookmarkStart w:id="26" w:name="_Toc6902"/>
                  <w:bookmarkStart w:id="27" w:name="_Toc144233175"/>
                  <w:r>
                    <w:rPr>
                      <w:rFonts w:eastAsiaTheme="minorEastAsia"/>
                      <w:szCs w:val="21"/>
                    </w:rPr>
                    <w:t>4</w:t>
                  </w:r>
                  <w:bookmarkEnd w:id="26"/>
                  <w:bookmarkEnd w:id="27"/>
                </w:p>
              </w:tc>
              <w:tc>
                <w:tcPr>
                  <w:tcW w:w="1757" w:type="pct"/>
                  <w:vAlign w:val="center"/>
                </w:tcPr>
                <w:p>
                  <w:pPr>
                    <w:jc w:val="center"/>
                    <w:rPr>
                      <w:rFonts w:eastAsiaTheme="minorEastAsia"/>
                      <w:szCs w:val="21"/>
                    </w:rPr>
                  </w:pPr>
                  <w:r>
                    <w:rPr>
                      <w:rFonts w:eastAsiaTheme="minorEastAsia"/>
                      <w:szCs w:val="21"/>
                    </w:rPr>
                    <w:t>迷雾电机压力缓存罐</w:t>
                  </w:r>
                </w:p>
              </w:tc>
              <w:tc>
                <w:tcPr>
                  <w:tcW w:w="1691" w:type="pct"/>
                  <w:vAlign w:val="center"/>
                </w:tcPr>
                <w:p>
                  <w:pPr>
                    <w:jc w:val="center"/>
                    <w:rPr>
                      <w:rFonts w:eastAsiaTheme="minorEastAsia"/>
                      <w:szCs w:val="21"/>
                    </w:rPr>
                  </w:pPr>
                  <w:r>
                    <w:rPr>
                      <w:rFonts w:eastAsiaTheme="minorEastAsia"/>
                      <w:szCs w:val="21"/>
                    </w:rPr>
                    <w:t>300L</w:t>
                  </w:r>
                </w:p>
              </w:tc>
              <w:tc>
                <w:tcPr>
                  <w:tcW w:w="538" w:type="pct"/>
                  <w:vAlign w:val="center"/>
                </w:tcPr>
                <w:p>
                  <w:pPr>
                    <w:spacing w:before="111"/>
                    <w:jc w:val="center"/>
                    <w:rPr>
                      <w:rFonts w:eastAsiaTheme="minorEastAsia"/>
                      <w:szCs w:val="21"/>
                    </w:rPr>
                  </w:pPr>
                  <w:r>
                    <w:rPr>
                      <w:rFonts w:eastAsiaTheme="minorEastAsia"/>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1" w:type="pct"/>
                  <w:vAlign w:val="center"/>
                </w:tcPr>
                <w:p>
                  <w:pPr>
                    <w:jc w:val="center"/>
                    <w:outlineLvl w:val="0"/>
                    <w:rPr>
                      <w:rFonts w:eastAsiaTheme="minorEastAsia"/>
                      <w:szCs w:val="21"/>
                    </w:rPr>
                  </w:pPr>
                  <w:bookmarkStart w:id="28" w:name="_Toc144233176"/>
                  <w:bookmarkStart w:id="29" w:name="_Toc32540"/>
                  <w:r>
                    <w:rPr>
                      <w:rFonts w:eastAsiaTheme="minorEastAsia"/>
                      <w:szCs w:val="21"/>
                    </w:rPr>
                    <w:t>5</w:t>
                  </w:r>
                  <w:bookmarkEnd w:id="28"/>
                  <w:bookmarkEnd w:id="29"/>
                </w:p>
              </w:tc>
              <w:tc>
                <w:tcPr>
                  <w:tcW w:w="1757" w:type="pct"/>
                  <w:vAlign w:val="center"/>
                </w:tcPr>
                <w:p>
                  <w:pPr>
                    <w:jc w:val="center"/>
                    <w:rPr>
                      <w:rFonts w:eastAsiaTheme="minorEastAsia"/>
                      <w:szCs w:val="21"/>
                    </w:rPr>
                  </w:pPr>
                  <w:r>
                    <w:rPr>
                      <w:rFonts w:eastAsiaTheme="minorEastAsia"/>
                      <w:szCs w:val="21"/>
                    </w:rPr>
                    <w:t>不锈钢施肥电机（肥水）</w:t>
                  </w:r>
                </w:p>
              </w:tc>
              <w:tc>
                <w:tcPr>
                  <w:tcW w:w="1691" w:type="pct"/>
                  <w:vAlign w:val="center"/>
                </w:tcPr>
                <w:p>
                  <w:pPr>
                    <w:jc w:val="center"/>
                    <w:rPr>
                      <w:rFonts w:eastAsiaTheme="minorEastAsia"/>
                      <w:szCs w:val="21"/>
                    </w:rPr>
                  </w:pPr>
                  <w:r>
                    <w:rPr>
                      <w:rFonts w:eastAsiaTheme="minorEastAsia"/>
                      <w:szCs w:val="21"/>
                    </w:rPr>
                    <w:t>流量85m/h、扬程41M、15kw</w:t>
                  </w:r>
                </w:p>
              </w:tc>
              <w:tc>
                <w:tcPr>
                  <w:tcW w:w="538" w:type="pct"/>
                  <w:vAlign w:val="center"/>
                </w:tcPr>
                <w:p>
                  <w:pPr>
                    <w:spacing w:before="113"/>
                    <w:jc w:val="center"/>
                    <w:rPr>
                      <w:rFonts w:eastAsiaTheme="minorEastAsia"/>
                      <w:szCs w:val="21"/>
                    </w:rPr>
                  </w:pPr>
                  <w:r>
                    <w:rPr>
                      <w:rFonts w:eastAsiaTheme="minorEastAsia"/>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1" w:type="pct"/>
                  <w:vAlign w:val="center"/>
                </w:tcPr>
                <w:p>
                  <w:pPr>
                    <w:jc w:val="center"/>
                    <w:outlineLvl w:val="0"/>
                    <w:rPr>
                      <w:rFonts w:eastAsiaTheme="minorEastAsia"/>
                      <w:szCs w:val="21"/>
                    </w:rPr>
                  </w:pPr>
                  <w:bookmarkStart w:id="30" w:name="_Toc2147"/>
                  <w:bookmarkStart w:id="31" w:name="_Toc144233177"/>
                  <w:r>
                    <w:rPr>
                      <w:rFonts w:eastAsiaTheme="minorEastAsia"/>
                      <w:szCs w:val="21"/>
                    </w:rPr>
                    <w:t>6</w:t>
                  </w:r>
                  <w:bookmarkEnd w:id="30"/>
                  <w:bookmarkEnd w:id="31"/>
                </w:p>
              </w:tc>
              <w:tc>
                <w:tcPr>
                  <w:tcW w:w="1757" w:type="pct"/>
                  <w:vAlign w:val="center"/>
                </w:tcPr>
                <w:p>
                  <w:pPr>
                    <w:jc w:val="center"/>
                    <w:rPr>
                      <w:rFonts w:eastAsiaTheme="minorEastAsia"/>
                      <w:szCs w:val="21"/>
                    </w:rPr>
                  </w:pPr>
                  <w:r>
                    <w:rPr>
                      <w:rFonts w:eastAsiaTheme="minorEastAsia"/>
                      <w:szCs w:val="21"/>
                    </w:rPr>
                    <w:t>配肥电机</w:t>
                  </w:r>
                </w:p>
              </w:tc>
              <w:tc>
                <w:tcPr>
                  <w:tcW w:w="1691" w:type="pct"/>
                  <w:vAlign w:val="center"/>
                </w:tcPr>
                <w:p>
                  <w:pPr>
                    <w:jc w:val="center"/>
                    <w:rPr>
                      <w:rFonts w:eastAsiaTheme="minorEastAsia"/>
                      <w:szCs w:val="21"/>
                    </w:rPr>
                  </w:pPr>
                  <w:r>
                    <w:rPr>
                      <w:rFonts w:eastAsiaTheme="minorEastAsia"/>
                      <w:szCs w:val="21"/>
                    </w:rPr>
                    <w:t>流量80m</w:t>
                  </w:r>
                  <w:r>
                    <w:rPr>
                      <w:rFonts w:eastAsiaTheme="minorEastAsia"/>
                      <w:szCs w:val="21"/>
                      <w:vertAlign w:val="superscript"/>
                    </w:rPr>
                    <w:t>3</w:t>
                  </w:r>
                  <w:r>
                    <w:rPr>
                      <w:rFonts w:eastAsiaTheme="minorEastAsia"/>
                      <w:szCs w:val="21"/>
                    </w:rPr>
                    <w:t>/h、扬程38M、15kw</w:t>
                  </w:r>
                </w:p>
              </w:tc>
              <w:tc>
                <w:tcPr>
                  <w:tcW w:w="538" w:type="pct"/>
                  <w:vAlign w:val="center"/>
                </w:tcPr>
                <w:p>
                  <w:pPr>
                    <w:spacing w:before="116"/>
                    <w:jc w:val="center"/>
                    <w:rPr>
                      <w:rFonts w:eastAsiaTheme="minorEastAsia"/>
                      <w:szCs w:val="21"/>
                    </w:rPr>
                  </w:pPr>
                  <w:r>
                    <w:rPr>
                      <w:rFonts w:eastAsiaTheme="minorEastAsia"/>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1" w:type="pct"/>
                  <w:vAlign w:val="center"/>
                </w:tcPr>
                <w:p>
                  <w:pPr>
                    <w:jc w:val="center"/>
                    <w:outlineLvl w:val="0"/>
                    <w:rPr>
                      <w:rFonts w:eastAsiaTheme="minorEastAsia"/>
                      <w:szCs w:val="21"/>
                    </w:rPr>
                  </w:pPr>
                  <w:bookmarkStart w:id="32" w:name="_Toc144233178"/>
                  <w:bookmarkStart w:id="33" w:name="_Toc26695"/>
                  <w:r>
                    <w:rPr>
                      <w:rFonts w:eastAsiaTheme="minorEastAsia"/>
                      <w:szCs w:val="21"/>
                    </w:rPr>
                    <w:t>7</w:t>
                  </w:r>
                  <w:bookmarkEnd w:id="32"/>
                  <w:bookmarkEnd w:id="33"/>
                </w:p>
              </w:tc>
              <w:tc>
                <w:tcPr>
                  <w:tcW w:w="1757" w:type="pct"/>
                  <w:vAlign w:val="center"/>
                </w:tcPr>
                <w:p>
                  <w:pPr>
                    <w:jc w:val="center"/>
                    <w:rPr>
                      <w:rFonts w:eastAsiaTheme="minorEastAsia"/>
                      <w:szCs w:val="21"/>
                    </w:rPr>
                  </w:pPr>
                  <w:r>
                    <w:rPr>
                      <w:rFonts w:eastAsiaTheme="minorEastAsia"/>
                      <w:szCs w:val="21"/>
                    </w:rPr>
                    <w:t>水力筛30方</w:t>
                  </w:r>
                </w:p>
              </w:tc>
              <w:tc>
                <w:tcPr>
                  <w:tcW w:w="1691" w:type="pct"/>
                  <w:vAlign w:val="center"/>
                </w:tcPr>
                <w:p>
                  <w:pPr>
                    <w:jc w:val="center"/>
                    <w:rPr>
                      <w:rFonts w:eastAsiaTheme="minorEastAsia"/>
                      <w:szCs w:val="21"/>
                    </w:rPr>
                  </w:pPr>
                  <w:r>
                    <w:rPr>
                      <w:rFonts w:eastAsiaTheme="minorEastAsia"/>
                      <w:szCs w:val="21"/>
                    </w:rPr>
                    <w:t>0.5mm滤孔</w:t>
                  </w:r>
                </w:p>
              </w:tc>
              <w:tc>
                <w:tcPr>
                  <w:tcW w:w="538" w:type="pct"/>
                  <w:vAlign w:val="center"/>
                </w:tcPr>
                <w:p>
                  <w:pPr>
                    <w:spacing w:before="119"/>
                    <w:jc w:val="center"/>
                    <w:rPr>
                      <w:rFonts w:eastAsiaTheme="minorEastAsia"/>
                      <w:szCs w:val="21"/>
                    </w:rPr>
                  </w:pPr>
                  <w:r>
                    <w:rPr>
                      <w:rFonts w:eastAsiaTheme="minorEastAsia"/>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1011" w:type="pct"/>
                  <w:vAlign w:val="center"/>
                </w:tcPr>
                <w:p>
                  <w:pPr>
                    <w:jc w:val="center"/>
                    <w:outlineLvl w:val="0"/>
                    <w:rPr>
                      <w:rFonts w:eastAsiaTheme="minorEastAsia"/>
                      <w:szCs w:val="21"/>
                    </w:rPr>
                  </w:pPr>
                  <w:bookmarkStart w:id="34" w:name="_Toc144233179"/>
                  <w:bookmarkStart w:id="35" w:name="_Toc32057"/>
                  <w:r>
                    <w:rPr>
                      <w:rFonts w:eastAsiaTheme="minorEastAsia"/>
                      <w:szCs w:val="21"/>
                    </w:rPr>
                    <w:t>8</w:t>
                  </w:r>
                  <w:bookmarkEnd w:id="34"/>
                  <w:bookmarkEnd w:id="35"/>
                </w:p>
              </w:tc>
              <w:tc>
                <w:tcPr>
                  <w:tcW w:w="1757" w:type="pct"/>
                  <w:vAlign w:val="center"/>
                </w:tcPr>
                <w:p>
                  <w:pPr>
                    <w:jc w:val="center"/>
                    <w:rPr>
                      <w:rFonts w:eastAsiaTheme="minorEastAsia"/>
                      <w:szCs w:val="21"/>
                    </w:rPr>
                  </w:pPr>
                  <w:r>
                    <w:rPr>
                      <w:rFonts w:eastAsiaTheme="minorEastAsia"/>
                      <w:szCs w:val="21"/>
                    </w:rPr>
                    <w:t>过滤桶</w:t>
                  </w:r>
                </w:p>
              </w:tc>
              <w:tc>
                <w:tcPr>
                  <w:tcW w:w="1691" w:type="pct"/>
                  <w:vAlign w:val="center"/>
                </w:tcPr>
                <w:p>
                  <w:pPr>
                    <w:jc w:val="center"/>
                    <w:rPr>
                      <w:rFonts w:eastAsiaTheme="minorEastAsia"/>
                      <w:szCs w:val="21"/>
                    </w:rPr>
                  </w:pPr>
                  <w:r>
                    <w:rPr>
                      <w:rFonts w:eastAsiaTheme="minorEastAsia"/>
                      <w:szCs w:val="21"/>
                    </w:rPr>
                    <w:t>1000L</w:t>
                  </w:r>
                </w:p>
              </w:tc>
              <w:tc>
                <w:tcPr>
                  <w:tcW w:w="538" w:type="pct"/>
                  <w:vAlign w:val="center"/>
                </w:tcPr>
                <w:p>
                  <w:pPr>
                    <w:spacing w:before="121"/>
                    <w:jc w:val="center"/>
                    <w:rPr>
                      <w:rFonts w:eastAsiaTheme="minorEastAsia"/>
                      <w:szCs w:val="21"/>
                    </w:rPr>
                  </w:pPr>
                  <w:r>
                    <w:rPr>
                      <w:rFonts w:eastAsiaTheme="minorEastAsia"/>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1" w:type="pct"/>
                  <w:vAlign w:val="center"/>
                </w:tcPr>
                <w:p>
                  <w:pPr>
                    <w:jc w:val="center"/>
                    <w:outlineLvl w:val="0"/>
                    <w:rPr>
                      <w:rFonts w:eastAsiaTheme="minorEastAsia"/>
                      <w:szCs w:val="21"/>
                    </w:rPr>
                  </w:pPr>
                  <w:bookmarkStart w:id="36" w:name="_Toc144233180"/>
                  <w:bookmarkStart w:id="37" w:name="_Toc12095"/>
                  <w:r>
                    <w:rPr>
                      <w:rFonts w:eastAsiaTheme="minorEastAsia"/>
                      <w:szCs w:val="21"/>
                    </w:rPr>
                    <w:t>9</w:t>
                  </w:r>
                  <w:bookmarkEnd w:id="36"/>
                  <w:bookmarkEnd w:id="37"/>
                </w:p>
              </w:tc>
              <w:tc>
                <w:tcPr>
                  <w:tcW w:w="1757" w:type="pct"/>
                  <w:vAlign w:val="center"/>
                </w:tcPr>
                <w:p>
                  <w:pPr>
                    <w:jc w:val="center"/>
                    <w:rPr>
                      <w:rFonts w:eastAsiaTheme="minorEastAsia"/>
                      <w:szCs w:val="21"/>
                    </w:rPr>
                  </w:pPr>
                  <w:r>
                    <w:rPr>
                      <w:rFonts w:eastAsiaTheme="minorEastAsia"/>
                      <w:szCs w:val="21"/>
                    </w:rPr>
                    <w:t>过滤电机</w:t>
                  </w:r>
                </w:p>
              </w:tc>
              <w:tc>
                <w:tcPr>
                  <w:tcW w:w="1691" w:type="pct"/>
                  <w:vAlign w:val="center"/>
                </w:tcPr>
                <w:p>
                  <w:pPr>
                    <w:jc w:val="center"/>
                    <w:rPr>
                      <w:rFonts w:eastAsiaTheme="minorEastAsia"/>
                      <w:szCs w:val="21"/>
                    </w:rPr>
                  </w:pPr>
                  <w:r>
                    <w:rPr>
                      <w:rFonts w:eastAsiaTheme="minorEastAsia"/>
                      <w:szCs w:val="21"/>
                    </w:rPr>
                    <w:t>流量50m</w:t>
                  </w:r>
                  <w:r>
                    <w:rPr>
                      <w:rFonts w:eastAsiaTheme="minorEastAsia"/>
                      <w:szCs w:val="21"/>
                      <w:vertAlign w:val="superscript"/>
                    </w:rPr>
                    <w:t>3</w:t>
                  </w:r>
                  <w:r>
                    <w:rPr>
                      <w:rFonts w:eastAsiaTheme="minorEastAsia"/>
                      <w:szCs w:val="21"/>
                    </w:rPr>
                    <w:t>/h、扬程20M、7.5kw</w:t>
                  </w:r>
                </w:p>
              </w:tc>
              <w:tc>
                <w:tcPr>
                  <w:tcW w:w="538" w:type="pct"/>
                  <w:vAlign w:val="center"/>
                </w:tcPr>
                <w:p>
                  <w:pPr>
                    <w:spacing w:before="126"/>
                    <w:jc w:val="center"/>
                    <w:rPr>
                      <w:rFonts w:eastAsiaTheme="minorEastAsia"/>
                      <w:szCs w:val="21"/>
                    </w:rPr>
                  </w:pPr>
                  <w:r>
                    <w:rPr>
                      <w:rFonts w:eastAsiaTheme="minorEastAsia"/>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1" w:type="pct"/>
                  <w:vAlign w:val="center"/>
                </w:tcPr>
                <w:p>
                  <w:pPr>
                    <w:jc w:val="center"/>
                    <w:outlineLvl w:val="0"/>
                    <w:rPr>
                      <w:rFonts w:eastAsiaTheme="minorEastAsia"/>
                      <w:szCs w:val="21"/>
                    </w:rPr>
                  </w:pPr>
                  <w:bookmarkStart w:id="38" w:name="_Toc144233181"/>
                  <w:bookmarkStart w:id="39" w:name="_Toc23949"/>
                  <w:r>
                    <w:rPr>
                      <w:rFonts w:eastAsiaTheme="minorEastAsia"/>
                      <w:szCs w:val="21"/>
                    </w:rPr>
                    <w:t>10</w:t>
                  </w:r>
                  <w:bookmarkEnd w:id="38"/>
                  <w:bookmarkEnd w:id="39"/>
                </w:p>
              </w:tc>
              <w:tc>
                <w:tcPr>
                  <w:tcW w:w="1757" w:type="pct"/>
                  <w:vAlign w:val="center"/>
                </w:tcPr>
                <w:p>
                  <w:pPr>
                    <w:jc w:val="center"/>
                    <w:rPr>
                      <w:rFonts w:eastAsiaTheme="minorEastAsia"/>
                      <w:szCs w:val="21"/>
                    </w:rPr>
                  </w:pPr>
                  <w:r>
                    <w:rPr>
                      <w:rFonts w:eastAsiaTheme="minorEastAsia"/>
                      <w:szCs w:val="21"/>
                    </w:rPr>
                    <w:t>全自动反冲洗砂石过滤器</w:t>
                  </w:r>
                </w:p>
              </w:tc>
              <w:tc>
                <w:tcPr>
                  <w:tcW w:w="1691" w:type="pct"/>
                  <w:vAlign w:val="center"/>
                </w:tcPr>
                <w:p>
                  <w:pPr>
                    <w:jc w:val="center"/>
                    <w:rPr>
                      <w:rFonts w:eastAsiaTheme="minorEastAsia"/>
                      <w:szCs w:val="21"/>
                    </w:rPr>
                  </w:pPr>
                  <w:r>
                    <w:rPr>
                      <w:rFonts w:eastAsiaTheme="minorEastAsia"/>
                      <w:szCs w:val="21"/>
                    </w:rPr>
                    <w:t>FN-SF100</w:t>
                  </w:r>
                </w:p>
              </w:tc>
              <w:tc>
                <w:tcPr>
                  <w:tcW w:w="538" w:type="pct"/>
                  <w:vAlign w:val="center"/>
                </w:tcPr>
                <w:p>
                  <w:pPr>
                    <w:spacing w:before="128"/>
                    <w:jc w:val="center"/>
                    <w:rPr>
                      <w:rFonts w:eastAsiaTheme="minorEastAsia"/>
                      <w:szCs w:val="21"/>
                    </w:rPr>
                  </w:pPr>
                  <w:r>
                    <w:rPr>
                      <w:rFonts w:eastAsiaTheme="minorEastAsia"/>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011" w:type="pct"/>
                  <w:vAlign w:val="center"/>
                </w:tcPr>
                <w:p>
                  <w:pPr>
                    <w:jc w:val="center"/>
                    <w:outlineLvl w:val="0"/>
                    <w:rPr>
                      <w:rFonts w:eastAsiaTheme="minorEastAsia"/>
                      <w:szCs w:val="21"/>
                    </w:rPr>
                  </w:pPr>
                  <w:bookmarkStart w:id="40" w:name="_Toc27035"/>
                  <w:bookmarkStart w:id="41" w:name="_Toc144233182"/>
                  <w:r>
                    <w:rPr>
                      <w:rFonts w:eastAsiaTheme="minorEastAsia"/>
                      <w:szCs w:val="21"/>
                    </w:rPr>
                    <w:t>11</w:t>
                  </w:r>
                  <w:bookmarkEnd w:id="40"/>
                  <w:bookmarkEnd w:id="41"/>
                </w:p>
              </w:tc>
              <w:tc>
                <w:tcPr>
                  <w:tcW w:w="1757" w:type="pct"/>
                  <w:vAlign w:val="center"/>
                </w:tcPr>
                <w:p>
                  <w:pPr>
                    <w:jc w:val="center"/>
                    <w:rPr>
                      <w:rFonts w:eastAsiaTheme="minorEastAsia"/>
                      <w:szCs w:val="21"/>
                    </w:rPr>
                  </w:pPr>
                  <w:r>
                    <w:rPr>
                      <w:rFonts w:eastAsiaTheme="minorEastAsia"/>
                      <w:szCs w:val="21"/>
                    </w:rPr>
                    <w:t>全自动反冲洗碟片过滤器</w:t>
                  </w:r>
                </w:p>
              </w:tc>
              <w:tc>
                <w:tcPr>
                  <w:tcW w:w="1691" w:type="pct"/>
                  <w:vAlign w:val="center"/>
                </w:tcPr>
                <w:p>
                  <w:pPr>
                    <w:jc w:val="center"/>
                    <w:rPr>
                      <w:rFonts w:eastAsiaTheme="minorEastAsia"/>
                      <w:szCs w:val="21"/>
                    </w:rPr>
                  </w:pPr>
                  <w:r>
                    <w:rPr>
                      <w:rFonts w:eastAsiaTheme="minorEastAsia"/>
                      <w:szCs w:val="21"/>
                    </w:rPr>
                    <w:t>FN-DF90</w:t>
                  </w:r>
                </w:p>
              </w:tc>
              <w:tc>
                <w:tcPr>
                  <w:tcW w:w="538" w:type="pct"/>
                  <w:vAlign w:val="center"/>
                </w:tcPr>
                <w:p>
                  <w:pPr>
                    <w:spacing w:before="130"/>
                    <w:jc w:val="center"/>
                    <w:rPr>
                      <w:rFonts w:eastAsiaTheme="minorEastAsia"/>
                      <w:szCs w:val="21"/>
                    </w:rPr>
                  </w:pPr>
                  <w:r>
                    <w:rPr>
                      <w:rFonts w:eastAsiaTheme="minorEastAsia"/>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11" w:type="pct"/>
                  <w:vAlign w:val="center"/>
                </w:tcPr>
                <w:p>
                  <w:pPr>
                    <w:jc w:val="center"/>
                    <w:outlineLvl w:val="0"/>
                    <w:rPr>
                      <w:rFonts w:eastAsiaTheme="minorEastAsia"/>
                      <w:szCs w:val="21"/>
                    </w:rPr>
                  </w:pPr>
                  <w:bookmarkStart w:id="42" w:name="_Toc11880"/>
                  <w:bookmarkStart w:id="43" w:name="_Toc144233183"/>
                  <w:r>
                    <w:rPr>
                      <w:rFonts w:eastAsiaTheme="minorEastAsia"/>
                      <w:szCs w:val="21"/>
                    </w:rPr>
                    <w:t>12</w:t>
                  </w:r>
                  <w:bookmarkEnd w:id="42"/>
                  <w:bookmarkEnd w:id="43"/>
                </w:p>
              </w:tc>
              <w:tc>
                <w:tcPr>
                  <w:tcW w:w="1757" w:type="pct"/>
                  <w:vAlign w:val="center"/>
                </w:tcPr>
                <w:p>
                  <w:pPr>
                    <w:jc w:val="center"/>
                    <w:rPr>
                      <w:rFonts w:eastAsiaTheme="minorEastAsia"/>
                      <w:szCs w:val="21"/>
                    </w:rPr>
                  </w:pPr>
                  <w:r>
                    <w:rPr>
                      <w:rFonts w:eastAsiaTheme="minorEastAsia"/>
                      <w:szCs w:val="21"/>
                    </w:rPr>
                    <w:t>总控柜</w:t>
                  </w:r>
                </w:p>
              </w:tc>
              <w:tc>
                <w:tcPr>
                  <w:tcW w:w="1691" w:type="pct"/>
                  <w:vAlign w:val="center"/>
                </w:tcPr>
                <w:p>
                  <w:pPr>
                    <w:jc w:val="center"/>
                    <w:rPr>
                      <w:rFonts w:eastAsiaTheme="minorEastAsia"/>
                      <w:szCs w:val="21"/>
                    </w:rPr>
                  </w:pPr>
                  <w:r>
                    <w:rPr>
                      <w:rFonts w:eastAsiaTheme="minorEastAsia"/>
                      <w:szCs w:val="21"/>
                    </w:rPr>
                    <w:t>/</w:t>
                  </w:r>
                </w:p>
              </w:tc>
              <w:tc>
                <w:tcPr>
                  <w:tcW w:w="538" w:type="pct"/>
                  <w:vAlign w:val="center"/>
                </w:tcPr>
                <w:p>
                  <w:pPr>
                    <w:spacing w:before="134"/>
                    <w:jc w:val="center"/>
                    <w:rPr>
                      <w:rFonts w:eastAsiaTheme="minorEastAsia"/>
                      <w:szCs w:val="21"/>
                    </w:rPr>
                  </w:pPr>
                  <w:r>
                    <w:rPr>
                      <w:rFonts w:eastAsiaTheme="minorEastAsia"/>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1" w:type="pct"/>
                  <w:vAlign w:val="center"/>
                </w:tcPr>
                <w:p>
                  <w:pPr>
                    <w:jc w:val="center"/>
                    <w:outlineLvl w:val="0"/>
                    <w:rPr>
                      <w:rFonts w:eastAsiaTheme="minorEastAsia"/>
                      <w:szCs w:val="21"/>
                    </w:rPr>
                  </w:pPr>
                  <w:bookmarkStart w:id="44" w:name="_Toc144233184"/>
                  <w:bookmarkStart w:id="45" w:name="_Toc23237"/>
                  <w:r>
                    <w:rPr>
                      <w:rFonts w:eastAsiaTheme="minorEastAsia"/>
                      <w:szCs w:val="21"/>
                    </w:rPr>
                    <w:t>13</w:t>
                  </w:r>
                  <w:bookmarkEnd w:id="44"/>
                  <w:bookmarkEnd w:id="45"/>
                </w:p>
              </w:tc>
              <w:tc>
                <w:tcPr>
                  <w:tcW w:w="1757" w:type="pct"/>
                  <w:vAlign w:val="center"/>
                </w:tcPr>
                <w:p>
                  <w:pPr>
                    <w:jc w:val="center"/>
                    <w:rPr>
                      <w:rFonts w:eastAsiaTheme="minorEastAsia"/>
                      <w:szCs w:val="21"/>
                    </w:rPr>
                  </w:pPr>
                  <w:r>
                    <w:rPr>
                      <w:rFonts w:eastAsiaTheme="minorEastAsia"/>
                      <w:szCs w:val="21"/>
                    </w:rPr>
                    <w:t>变频控制箱</w:t>
                  </w:r>
                </w:p>
              </w:tc>
              <w:tc>
                <w:tcPr>
                  <w:tcW w:w="1691" w:type="pct"/>
                  <w:vAlign w:val="center"/>
                </w:tcPr>
                <w:p>
                  <w:pPr>
                    <w:jc w:val="center"/>
                    <w:rPr>
                      <w:rFonts w:eastAsiaTheme="minorEastAsia"/>
                      <w:szCs w:val="21"/>
                    </w:rPr>
                  </w:pPr>
                  <w:r>
                    <w:rPr>
                      <w:rFonts w:eastAsiaTheme="minorEastAsia"/>
                      <w:szCs w:val="21"/>
                    </w:rPr>
                    <w:t>清水变频</w:t>
                  </w:r>
                </w:p>
              </w:tc>
              <w:tc>
                <w:tcPr>
                  <w:tcW w:w="538" w:type="pct"/>
                  <w:vAlign w:val="center"/>
                </w:tcPr>
                <w:p>
                  <w:pPr>
                    <w:spacing w:before="138"/>
                    <w:jc w:val="center"/>
                    <w:rPr>
                      <w:rFonts w:eastAsiaTheme="minorEastAsia"/>
                      <w:szCs w:val="21"/>
                    </w:rPr>
                  </w:pPr>
                  <w:r>
                    <w:rPr>
                      <w:rFonts w:eastAsiaTheme="minorEastAsia"/>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1" w:type="pct"/>
                  <w:vAlign w:val="center"/>
                </w:tcPr>
                <w:p>
                  <w:pPr>
                    <w:jc w:val="center"/>
                    <w:outlineLvl w:val="0"/>
                    <w:rPr>
                      <w:rFonts w:eastAsiaTheme="minorEastAsia"/>
                      <w:szCs w:val="21"/>
                    </w:rPr>
                  </w:pPr>
                  <w:bookmarkStart w:id="46" w:name="_Toc144233185"/>
                  <w:r>
                    <w:rPr>
                      <w:rFonts w:eastAsiaTheme="minorEastAsia"/>
                      <w:szCs w:val="21"/>
                    </w:rPr>
                    <w:t>14</w:t>
                  </w:r>
                  <w:bookmarkEnd w:id="46"/>
                </w:p>
              </w:tc>
              <w:tc>
                <w:tcPr>
                  <w:tcW w:w="1757" w:type="pct"/>
                  <w:vAlign w:val="center"/>
                </w:tcPr>
                <w:p>
                  <w:pPr>
                    <w:jc w:val="center"/>
                    <w:rPr>
                      <w:rFonts w:eastAsiaTheme="minorEastAsia"/>
                      <w:szCs w:val="21"/>
                    </w:rPr>
                  </w:pPr>
                  <w:r>
                    <w:rPr>
                      <w:rFonts w:eastAsiaTheme="minorEastAsia"/>
                      <w:szCs w:val="21"/>
                    </w:rPr>
                    <w:t>变频控制箱</w:t>
                  </w:r>
                </w:p>
              </w:tc>
              <w:tc>
                <w:tcPr>
                  <w:tcW w:w="1691" w:type="pct"/>
                  <w:vAlign w:val="center"/>
                </w:tcPr>
                <w:p>
                  <w:pPr>
                    <w:jc w:val="center"/>
                    <w:rPr>
                      <w:rFonts w:eastAsiaTheme="minorEastAsia"/>
                      <w:szCs w:val="21"/>
                    </w:rPr>
                  </w:pPr>
                  <w:r>
                    <w:rPr>
                      <w:rFonts w:eastAsiaTheme="minorEastAsia"/>
                      <w:szCs w:val="21"/>
                    </w:rPr>
                    <w:t>迷雾变频</w:t>
                  </w:r>
                </w:p>
              </w:tc>
              <w:tc>
                <w:tcPr>
                  <w:tcW w:w="538" w:type="pct"/>
                  <w:vAlign w:val="center"/>
                </w:tcPr>
                <w:p>
                  <w:pPr>
                    <w:spacing w:before="138"/>
                    <w:jc w:val="center"/>
                    <w:rPr>
                      <w:rFonts w:eastAsiaTheme="minorEastAsia"/>
                      <w:szCs w:val="21"/>
                    </w:rPr>
                  </w:pPr>
                  <w:r>
                    <w:rPr>
                      <w:rFonts w:eastAsiaTheme="minorEastAsia"/>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1" w:type="pct"/>
                  <w:vAlign w:val="center"/>
                </w:tcPr>
                <w:p>
                  <w:pPr>
                    <w:jc w:val="center"/>
                    <w:outlineLvl w:val="0"/>
                    <w:rPr>
                      <w:rFonts w:eastAsiaTheme="minorEastAsia"/>
                      <w:szCs w:val="21"/>
                    </w:rPr>
                  </w:pPr>
                  <w:bookmarkStart w:id="47" w:name="_Toc144233186"/>
                  <w:bookmarkStart w:id="48" w:name="_Toc3870"/>
                  <w:bookmarkStart w:id="49" w:name="_Toc12808"/>
                  <w:bookmarkStart w:id="50" w:name="_Toc32533"/>
                  <w:r>
                    <w:rPr>
                      <w:rFonts w:eastAsiaTheme="minorEastAsia"/>
                      <w:szCs w:val="21"/>
                    </w:rPr>
                    <w:t>15</w:t>
                  </w:r>
                  <w:bookmarkEnd w:id="47"/>
                </w:p>
              </w:tc>
              <w:tc>
                <w:tcPr>
                  <w:tcW w:w="1757" w:type="pct"/>
                  <w:vAlign w:val="center"/>
                </w:tcPr>
                <w:p>
                  <w:pPr>
                    <w:jc w:val="center"/>
                    <w:rPr>
                      <w:rFonts w:eastAsiaTheme="minorEastAsia"/>
                      <w:szCs w:val="21"/>
                    </w:rPr>
                  </w:pPr>
                  <w:r>
                    <w:rPr>
                      <w:rFonts w:eastAsiaTheme="minorEastAsia"/>
                      <w:szCs w:val="21"/>
                    </w:rPr>
                    <w:t>变频控制箱</w:t>
                  </w:r>
                </w:p>
              </w:tc>
              <w:tc>
                <w:tcPr>
                  <w:tcW w:w="1691" w:type="pct"/>
                  <w:vAlign w:val="center"/>
                </w:tcPr>
                <w:p>
                  <w:pPr>
                    <w:jc w:val="center"/>
                    <w:rPr>
                      <w:rFonts w:eastAsiaTheme="minorEastAsia"/>
                      <w:szCs w:val="21"/>
                    </w:rPr>
                  </w:pPr>
                  <w:r>
                    <w:rPr>
                      <w:rFonts w:eastAsiaTheme="minorEastAsia"/>
                      <w:szCs w:val="21"/>
                    </w:rPr>
                    <w:t>肥水变频</w:t>
                  </w:r>
                </w:p>
              </w:tc>
              <w:tc>
                <w:tcPr>
                  <w:tcW w:w="538" w:type="pct"/>
                  <w:vAlign w:val="center"/>
                </w:tcPr>
                <w:p>
                  <w:pPr>
                    <w:spacing w:before="138"/>
                    <w:jc w:val="center"/>
                    <w:rPr>
                      <w:rFonts w:eastAsiaTheme="minorEastAsia"/>
                      <w:szCs w:val="21"/>
                    </w:rPr>
                  </w:pPr>
                  <w:r>
                    <w:rPr>
                      <w:rFonts w:eastAsiaTheme="minorEastAsia"/>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1" w:type="pct"/>
                  <w:vAlign w:val="center"/>
                </w:tcPr>
                <w:p>
                  <w:pPr>
                    <w:jc w:val="center"/>
                    <w:outlineLvl w:val="0"/>
                    <w:rPr>
                      <w:rFonts w:eastAsiaTheme="minorEastAsia"/>
                      <w:szCs w:val="21"/>
                    </w:rPr>
                  </w:pPr>
                  <w:bookmarkStart w:id="51" w:name="_Toc144233187"/>
                  <w:r>
                    <w:rPr>
                      <w:rFonts w:eastAsiaTheme="minorEastAsia"/>
                      <w:szCs w:val="21"/>
                    </w:rPr>
                    <w:t>16</w:t>
                  </w:r>
                  <w:bookmarkEnd w:id="51"/>
                </w:p>
              </w:tc>
              <w:tc>
                <w:tcPr>
                  <w:tcW w:w="1757" w:type="pct"/>
                  <w:vAlign w:val="center"/>
                </w:tcPr>
                <w:p>
                  <w:pPr>
                    <w:jc w:val="center"/>
                    <w:rPr>
                      <w:rFonts w:eastAsiaTheme="minorEastAsia"/>
                      <w:szCs w:val="21"/>
                    </w:rPr>
                  </w:pPr>
                  <w:r>
                    <w:rPr>
                      <w:rFonts w:eastAsiaTheme="minorEastAsia"/>
                      <w:szCs w:val="21"/>
                    </w:rPr>
                    <w:t>母液桶</w:t>
                  </w:r>
                </w:p>
              </w:tc>
              <w:tc>
                <w:tcPr>
                  <w:tcW w:w="1691" w:type="pct"/>
                  <w:vAlign w:val="center"/>
                </w:tcPr>
                <w:p>
                  <w:pPr>
                    <w:jc w:val="center"/>
                    <w:rPr>
                      <w:rFonts w:eastAsiaTheme="minorEastAsia"/>
                      <w:szCs w:val="21"/>
                    </w:rPr>
                  </w:pPr>
                  <w:r>
                    <w:rPr>
                      <w:rFonts w:eastAsiaTheme="minorEastAsia"/>
                      <w:szCs w:val="21"/>
                    </w:rPr>
                    <w:t>HK-1000L带搅拌、1000L</w:t>
                  </w:r>
                </w:p>
              </w:tc>
              <w:tc>
                <w:tcPr>
                  <w:tcW w:w="538" w:type="pct"/>
                  <w:vAlign w:val="center"/>
                </w:tcPr>
                <w:p>
                  <w:pPr>
                    <w:spacing w:before="138"/>
                    <w:jc w:val="center"/>
                    <w:rPr>
                      <w:rFonts w:eastAsiaTheme="minorEastAsia"/>
                      <w:szCs w:val="21"/>
                    </w:rPr>
                  </w:pPr>
                  <w:r>
                    <w:rPr>
                      <w:rFonts w:eastAsiaTheme="minorEastAsia"/>
                      <w:szCs w:val="21"/>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1" w:type="pct"/>
                  <w:vAlign w:val="center"/>
                </w:tcPr>
                <w:p>
                  <w:pPr>
                    <w:jc w:val="center"/>
                    <w:outlineLvl w:val="0"/>
                    <w:rPr>
                      <w:rFonts w:eastAsiaTheme="minorEastAsia"/>
                      <w:szCs w:val="21"/>
                    </w:rPr>
                  </w:pPr>
                  <w:bookmarkStart w:id="52" w:name="_Toc144233188"/>
                  <w:r>
                    <w:rPr>
                      <w:rFonts w:eastAsiaTheme="minorEastAsia"/>
                      <w:szCs w:val="21"/>
                    </w:rPr>
                    <w:t>17</w:t>
                  </w:r>
                  <w:bookmarkEnd w:id="52"/>
                </w:p>
              </w:tc>
              <w:tc>
                <w:tcPr>
                  <w:tcW w:w="1757" w:type="pct"/>
                  <w:vAlign w:val="center"/>
                </w:tcPr>
                <w:p>
                  <w:pPr>
                    <w:jc w:val="center"/>
                    <w:rPr>
                      <w:rFonts w:eastAsiaTheme="minorEastAsia"/>
                      <w:szCs w:val="21"/>
                    </w:rPr>
                  </w:pPr>
                  <w:r>
                    <w:rPr>
                      <w:rFonts w:eastAsiaTheme="minorEastAsia"/>
                      <w:szCs w:val="21"/>
                    </w:rPr>
                    <w:t>手动叠片过滤器</w:t>
                  </w:r>
                </w:p>
              </w:tc>
              <w:tc>
                <w:tcPr>
                  <w:tcW w:w="1691" w:type="pct"/>
                  <w:vAlign w:val="center"/>
                </w:tcPr>
                <w:p>
                  <w:pPr>
                    <w:jc w:val="center"/>
                    <w:rPr>
                      <w:rFonts w:eastAsiaTheme="minorEastAsia"/>
                      <w:szCs w:val="21"/>
                    </w:rPr>
                  </w:pPr>
                  <w:r>
                    <w:rPr>
                      <w:rFonts w:eastAsiaTheme="minorEastAsia"/>
                      <w:szCs w:val="21"/>
                    </w:rPr>
                    <w:t>DE110</w:t>
                  </w:r>
                </w:p>
              </w:tc>
              <w:tc>
                <w:tcPr>
                  <w:tcW w:w="538" w:type="pct"/>
                  <w:vAlign w:val="center"/>
                </w:tcPr>
                <w:p>
                  <w:pPr>
                    <w:spacing w:before="138"/>
                    <w:jc w:val="center"/>
                    <w:rPr>
                      <w:rFonts w:eastAsiaTheme="minorEastAsia"/>
                      <w:szCs w:val="21"/>
                    </w:rPr>
                  </w:pPr>
                  <w:r>
                    <w:rPr>
                      <w:rFonts w:eastAsiaTheme="minorEastAsia"/>
                      <w:szCs w:val="21"/>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1" w:type="pct"/>
                  <w:vAlign w:val="center"/>
                </w:tcPr>
                <w:p>
                  <w:pPr>
                    <w:jc w:val="center"/>
                    <w:outlineLvl w:val="0"/>
                    <w:rPr>
                      <w:rFonts w:eastAsiaTheme="minorEastAsia"/>
                      <w:szCs w:val="21"/>
                    </w:rPr>
                  </w:pPr>
                  <w:bookmarkStart w:id="53" w:name="_Toc144233189"/>
                  <w:r>
                    <w:rPr>
                      <w:rFonts w:eastAsiaTheme="minorEastAsia"/>
                      <w:szCs w:val="21"/>
                    </w:rPr>
                    <w:t>18</w:t>
                  </w:r>
                  <w:bookmarkEnd w:id="53"/>
                </w:p>
              </w:tc>
              <w:tc>
                <w:tcPr>
                  <w:tcW w:w="1757" w:type="pct"/>
                  <w:vAlign w:val="center"/>
                </w:tcPr>
                <w:p>
                  <w:pPr>
                    <w:jc w:val="center"/>
                    <w:rPr>
                      <w:rFonts w:eastAsiaTheme="minorEastAsia"/>
                      <w:szCs w:val="21"/>
                    </w:rPr>
                  </w:pPr>
                  <w:r>
                    <w:rPr>
                      <w:rFonts w:eastAsiaTheme="minorEastAsia"/>
                      <w:szCs w:val="21"/>
                    </w:rPr>
                    <w:t>调酸机</w:t>
                  </w:r>
                </w:p>
              </w:tc>
              <w:tc>
                <w:tcPr>
                  <w:tcW w:w="1691" w:type="pct"/>
                  <w:vAlign w:val="center"/>
                </w:tcPr>
                <w:p>
                  <w:pPr>
                    <w:jc w:val="center"/>
                    <w:rPr>
                      <w:rFonts w:eastAsiaTheme="minorEastAsia"/>
                      <w:szCs w:val="21"/>
                    </w:rPr>
                  </w:pPr>
                  <w:r>
                    <w:rPr>
                      <w:rFonts w:eastAsiaTheme="minorEastAsia"/>
                      <w:szCs w:val="21"/>
                    </w:rPr>
                    <w:t>流量80m</w:t>
                  </w:r>
                  <w:r>
                    <w:rPr>
                      <w:rFonts w:eastAsiaTheme="minorEastAsia"/>
                      <w:szCs w:val="21"/>
                      <w:vertAlign w:val="superscript"/>
                    </w:rPr>
                    <w:t>3</w:t>
                  </w:r>
                  <w:r>
                    <w:rPr>
                      <w:rFonts w:eastAsiaTheme="minorEastAsia"/>
                      <w:szCs w:val="21"/>
                    </w:rPr>
                    <w:t>/h</w:t>
                  </w:r>
                </w:p>
              </w:tc>
              <w:tc>
                <w:tcPr>
                  <w:tcW w:w="538" w:type="pct"/>
                  <w:vAlign w:val="center"/>
                </w:tcPr>
                <w:p>
                  <w:pPr>
                    <w:spacing w:before="138"/>
                    <w:jc w:val="center"/>
                    <w:rPr>
                      <w:rFonts w:eastAsiaTheme="minorEastAsia"/>
                      <w:szCs w:val="21"/>
                    </w:rPr>
                  </w:pPr>
                  <w:r>
                    <w:rPr>
                      <w:rFonts w:eastAsiaTheme="minorEastAsia"/>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1" w:type="pct"/>
                  <w:vAlign w:val="center"/>
                </w:tcPr>
                <w:p>
                  <w:pPr>
                    <w:jc w:val="center"/>
                    <w:outlineLvl w:val="0"/>
                    <w:rPr>
                      <w:rFonts w:eastAsiaTheme="minorEastAsia"/>
                      <w:szCs w:val="21"/>
                    </w:rPr>
                  </w:pPr>
                  <w:bookmarkStart w:id="54" w:name="_Toc144233190"/>
                  <w:r>
                    <w:rPr>
                      <w:rFonts w:eastAsiaTheme="minorEastAsia"/>
                      <w:szCs w:val="21"/>
                    </w:rPr>
                    <w:t>19</w:t>
                  </w:r>
                  <w:bookmarkEnd w:id="54"/>
                </w:p>
              </w:tc>
              <w:tc>
                <w:tcPr>
                  <w:tcW w:w="1757" w:type="pct"/>
                  <w:vAlign w:val="center"/>
                </w:tcPr>
                <w:p>
                  <w:pPr>
                    <w:jc w:val="center"/>
                    <w:rPr>
                      <w:rFonts w:eastAsiaTheme="minorEastAsia"/>
                      <w:szCs w:val="21"/>
                    </w:rPr>
                  </w:pPr>
                  <w:r>
                    <w:rPr>
                      <w:rFonts w:eastAsiaTheme="minorEastAsia"/>
                      <w:szCs w:val="21"/>
                    </w:rPr>
                    <w:t>原水罐</w:t>
                  </w:r>
                </w:p>
              </w:tc>
              <w:tc>
                <w:tcPr>
                  <w:tcW w:w="1691" w:type="pct"/>
                  <w:vAlign w:val="center"/>
                </w:tcPr>
                <w:p>
                  <w:pPr>
                    <w:jc w:val="center"/>
                    <w:rPr>
                      <w:rFonts w:eastAsiaTheme="minorEastAsia"/>
                      <w:szCs w:val="21"/>
                    </w:rPr>
                  </w:pPr>
                  <w:r>
                    <w:rPr>
                      <w:rFonts w:eastAsiaTheme="minorEastAsia"/>
                      <w:szCs w:val="21"/>
                    </w:rPr>
                    <w:t>260m</w:t>
                  </w:r>
                  <w:r>
                    <w:rPr>
                      <w:rFonts w:eastAsiaTheme="minorEastAsia"/>
                      <w:szCs w:val="21"/>
                      <w:vertAlign w:val="superscript"/>
                    </w:rPr>
                    <w:t>3</w:t>
                  </w:r>
                </w:p>
              </w:tc>
              <w:tc>
                <w:tcPr>
                  <w:tcW w:w="538" w:type="pct"/>
                  <w:vAlign w:val="center"/>
                </w:tcPr>
                <w:p>
                  <w:pPr>
                    <w:spacing w:before="138"/>
                    <w:jc w:val="center"/>
                    <w:rPr>
                      <w:rFonts w:eastAsiaTheme="minorEastAsia"/>
                      <w:szCs w:val="21"/>
                    </w:rPr>
                  </w:pPr>
                  <w:r>
                    <w:rPr>
                      <w:rFonts w:eastAsiaTheme="minorEastAsia"/>
                      <w:szCs w:val="21"/>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1" w:type="pct"/>
                  <w:vAlign w:val="center"/>
                </w:tcPr>
                <w:p>
                  <w:pPr>
                    <w:jc w:val="center"/>
                    <w:outlineLvl w:val="0"/>
                    <w:rPr>
                      <w:rFonts w:eastAsiaTheme="minorEastAsia"/>
                      <w:szCs w:val="21"/>
                    </w:rPr>
                  </w:pPr>
                  <w:bookmarkStart w:id="55" w:name="_Toc144233191"/>
                  <w:r>
                    <w:rPr>
                      <w:rFonts w:eastAsiaTheme="minorEastAsia"/>
                      <w:szCs w:val="21"/>
                    </w:rPr>
                    <w:t>20</w:t>
                  </w:r>
                  <w:bookmarkEnd w:id="55"/>
                </w:p>
              </w:tc>
              <w:tc>
                <w:tcPr>
                  <w:tcW w:w="1757" w:type="pct"/>
                  <w:vAlign w:val="center"/>
                </w:tcPr>
                <w:p>
                  <w:pPr>
                    <w:jc w:val="center"/>
                    <w:rPr>
                      <w:rFonts w:eastAsiaTheme="minorEastAsia"/>
                      <w:szCs w:val="21"/>
                    </w:rPr>
                  </w:pPr>
                  <w:r>
                    <w:rPr>
                      <w:rFonts w:eastAsiaTheme="minorEastAsia"/>
                      <w:szCs w:val="21"/>
                    </w:rPr>
                    <w:t>肥水罐</w:t>
                  </w:r>
                </w:p>
              </w:tc>
              <w:tc>
                <w:tcPr>
                  <w:tcW w:w="1691" w:type="pct"/>
                  <w:vAlign w:val="center"/>
                </w:tcPr>
                <w:p>
                  <w:pPr>
                    <w:jc w:val="center"/>
                    <w:rPr>
                      <w:rFonts w:eastAsiaTheme="minorEastAsia"/>
                      <w:szCs w:val="21"/>
                    </w:rPr>
                  </w:pPr>
                  <w:r>
                    <w:rPr>
                      <w:rFonts w:eastAsiaTheme="minorEastAsia"/>
                      <w:szCs w:val="21"/>
                    </w:rPr>
                    <w:t>222m</w:t>
                  </w:r>
                  <w:r>
                    <w:rPr>
                      <w:rFonts w:eastAsiaTheme="minorEastAsia"/>
                      <w:szCs w:val="21"/>
                      <w:vertAlign w:val="superscript"/>
                    </w:rPr>
                    <w:t>3</w:t>
                  </w:r>
                </w:p>
              </w:tc>
              <w:tc>
                <w:tcPr>
                  <w:tcW w:w="538" w:type="pct"/>
                  <w:vAlign w:val="center"/>
                </w:tcPr>
                <w:p>
                  <w:pPr>
                    <w:spacing w:before="138"/>
                    <w:jc w:val="center"/>
                    <w:rPr>
                      <w:rFonts w:eastAsiaTheme="minorEastAsia"/>
                      <w:szCs w:val="21"/>
                    </w:rPr>
                  </w:pPr>
                  <w:r>
                    <w:rPr>
                      <w:rFonts w:eastAsiaTheme="minorEastAsia"/>
                      <w:szCs w:val="21"/>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1" w:type="pct"/>
                  <w:vAlign w:val="center"/>
                </w:tcPr>
                <w:p>
                  <w:pPr>
                    <w:jc w:val="center"/>
                    <w:outlineLvl w:val="0"/>
                    <w:rPr>
                      <w:rFonts w:eastAsiaTheme="minorEastAsia"/>
                      <w:szCs w:val="21"/>
                    </w:rPr>
                  </w:pPr>
                  <w:bookmarkStart w:id="56" w:name="_Toc144233192"/>
                  <w:r>
                    <w:rPr>
                      <w:rFonts w:eastAsiaTheme="minorEastAsia"/>
                      <w:szCs w:val="21"/>
                    </w:rPr>
                    <w:t>21</w:t>
                  </w:r>
                  <w:bookmarkEnd w:id="56"/>
                </w:p>
              </w:tc>
              <w:tc>
                <w:tcPr>
                  <w:tcW w:w="1757" w:type="pct"/>
                  <w:vAlign w:val="center"/>
                </w:tcPr>
                <w:p>
                  <w:pPr>
                    <w:jc w:val="center"/>
                    <w:rPr>
                      <w:rFonts w:eastAsiaTheme="minorEastAsia"/>
                      <w:szCs w:val="21"/>
                    </w:rPr>
                  </w:pPr>
                  <w:r>
                    <w:rPr>
                      <w:rFonts w:eastAsiaTheme="minorEastAsia"/>
                      <w:szCs w:val="21"/>
                    </w:rPr>
                    <w:t>回水罐（已消毒&amp;未消毒）</w:t>
                  </w:r>
                </w:p>
              </w:tc>
              <w:tc>
                <w:tcPr>
                  <w:tcW w:w="1691" w:type="pct"/>
                  <w:vAlign w:val="center"/>
                </w:tcPr>
                <w:p>
                  <w:pPr>
                    <w:jc w:val="center"/>
                    <w:rPr>
                      <w:rFonts w:eastAsiaTheme="minorEastAsia"/>
                      <w:szCs w:val="21"/>
                    </w:rPr>
                  </w:pPr>
                  <w:r>
                    <w:rPr>
                      <w:rFonts w:eastAsiaTheme="minorEastAsia"/>
                      <w:szCs w:val="21"/>
                    </w:rPr>
                    <w:t>222m</w:t>
                  </w:r>
                  <w:r>
                    <w:rPr>
                      <w:rFonts w:eastAsiaTheme="minorEastAsia"/>
                      <w:szCs w:val="21"/>
                      <w:vertAlign w:val="superscript"/>
                    </w:rPr>
                    <w:t>3</w:t>
                  </w:r>
                </w:p>
              </w:tc>
              <w:tc>
                <w:tcPr>
                  <w:tcW w:w="538" w:type="pct"/>
                  <w:vAlign w:val="center"/>
                </w:tcPr>
                <w:p>
                  <w:pPr>
                    <w:spacing w:before="138"/>
                    <w:jc w:val="center"/>
                    <w:rPr>
                      <w:rFonts w:eastAsiaTheme="minorEastAsia"/>
                      <w:szCs w:val="21"/>
                    </w:rPr>
                  </w:pPr>
                  <w:r>
                    <w:rPr>
                      <w:rFonts w:eastAsiaTheme="minorEastAsia"/>
                      <w:szCs w:val="21"/>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1" w:type="pct"/>
                  <w:vAlign w:val="center"/>
                </w:tcPr>
                <w:p>
                  <w:pPr>
                    <w:jc w:val="center"/>
                    <w:outlineLvl w:val="0"/>
                    <w:rPr>
                      <w:rFonts w:eastAsiaTheme="minorEastAsia"/>
                      <w:szCs w:val="21"/>
                    </w:rPr>
                  </w:pPr>
                  <w:bookmarkStart w:id="57" w:name="_Toc144233193"/>
                  <w:r>
                    <w:rPr>
                      <w:rFonts w:eastAsiaTheme="minorEastAsia"/>
                      <w:szCs w:val="21"/>
                    </w:rPr>
                    <w:t>22</w:t>
                  </w:r>
                  <w:bookmarkEnd w:id="57"/>
                </w:p>
              </w:tc>
              <w:tc>
                <w:tcPr>
                  <w:tcW w:w="1757" w:type="pct"/>
                  <w:vAlign w:val="center"/>
                </w:tcPr>
                <w:p>
                  <w:pPr>
                    <w:jc w:val="center"/>
                    <w:rPr>
                      <w:rFonts w:eastAsiaTheme="minorEastAsia"/>
                      <w:szCs w:val="21"/>
                    </w:rPr>
                  </w:pPr>
                  <w:r>
                    <w:rPr>
                      <w:rFonts w:eastAsiaTheme="minorEastAsia"/>
                      <w:szCs w:val="21"/>
                    </w:rPr>
                    <w:t>流量计监测</w:t>
                  </w:r>
                </w:p>
              </w:tc>
              <w:tc>
                <w:tcPr>
                  <w:tcW w:w="1691" w:type="pct"/>
                  <w:vAlign w:val="center"/>
                </w:tcPr>
                <w:p>
                  <w:pPr>
                    <w:jc w:val="center"/>
                    <w:rPr>
                      <w:rFonts w:eastAsiaTheme="minorEastAsia"/>
                      <w:szCs w:val="21"/>
                    </w:rPr>
                  </w:pPr>
                  <w:r>
                    <w:rPr>
                      <w:rFonts w:eastAsiaTheme="minorEastAsia"/>
                      <w:szCs w:val="21"/>
                    </w:rPr>
                    <w:t>DN100</w:t>
                  </w:r>
                </w:p>
              </w:tc>
              <w:tc>
                <w:tcPr>
                  <w:tcW w:w="538" w:type="pct"/>
                  <w:vAlign w:val="center"/>
                </w:tcPr>
                <w:p>
                  <w:pPr>
                    <w:spacing w:before="138"/>
                    <w:jc w:val="center"/>
                    <w:rPr>
                      <w:rFonts w:eastAsiaTheme="minorEastAsia"/>
                      <w:szCs w:val="21"/>
                    </w:rPr>
                  </w:pPr>
                  <w:r>
                    <w:rPr>
                      <w:rFonts w:eastAsiaTheme="minorEastAsia"/>
                      <w:szCs w:val="21"/>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1" w:type="pct"/>
                  <w:vAlign w:val="center"/>
                </w:tcPr>
                <w:p>
                  <w:pPr>
                    <w:jc w:val="center"/>
                    <w:outlineLvl w:val="0"/>
                    <w:rPr>
                      <w:rFonts w:eastAsiaTheme="minorEastAsia"/>
                      <w:szCs w:val="21"/>
                    </w:rPr>
                  </w:pPr>
                  <w:bookmarkStart w:id="58" w:name="_Toc144233194"/>
                  <w:r>
                    <w:rPr>
                      <w:rFonts w:eastAsiaTheme="minorEastAsia"/>
                      <w:szCs w:val="21"/>
                    </w:rPr>
                    <w:t>23</w:t>
                  </w:r>
                  <w:bookmarkEnd w:id="58"/>
                </w:p>
              </w:tc>
              <w:tc>
                <w:tcPr>
                  <w:tcW w:w="1757" w:type="pct"/>
                  <w:vAlign w:val="center"/>
                </w:tcPr>
                <w:p>
                  <w:pPr>
                    <w:jc w:val="center"/>
                    <w:rPr>
                      <w:rFonts w:eastAsiaTheme="minorEastAsia"/>
                      <w:szCs w:val="21"/>
                    </w:rPr>
                  </w:pPr>
                  <w:r>
                    <w:rPr>
                      <w:rFonts w:eastAsiaTheme="minorEastAsia"/>
                      <w:szCs w:val="21"/>
                    </w:rPr>
                    <w:t>EC、PH监测</w:t>
                  </w:r>
                </w:p>
              </w:tc>
              <w:tc>
                <w:tcPr>
                  <w:tcW w:w="1691" w:type="pct"/>
                  <w:vAlign w:val="center"/>
                </w:tcPr>
                <w:p>
                  <w:pPr>
                    <w:jc w:val="center"/>
                    <w:rPr>
                      <w:rFonts w:eastAsiaTheme="minorEastAsia"/>
                      <w:szCs w:val="21"/>
                    </w:rPr>
                  </w:pPr>
                  <w:r>
                    <w:rPr>
                      <w:rFonts w:eastAsiaTheme="minorEastAsia"/>
                      <w:szCs w:val="21"/>
                    </w:rPr>
                    <w:t>/</w:t>
                  </w:r>
                </w:p>
              </w:tc>
              <w:tc>
                <w:tcPr>
                  <w:tcW w:w="538" w:type="pct"/>
                  <w:vAlign w:val="center"/>
                </w:tcPr>
                <w:p>
                  <w:pPr>
                    <w:spacing w:before="138"/>
                    <w:jc w:val="center"/>
                    <w:rPr>
                      <w:rFonts w:eastAsiaTheme="minorEastAsia"/>
                      <w:szCs w:val="21"/>
                    </w:rPr>
                  </w:pPr>
                  <w:r>
                    <w:rPr>
                      <w:rFonts w:eastAsiaTheme="minorEastAsia"/>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11" w:type="pct"/>
                  <w:vAlign w:val="center"/>
                </w:tcPr>
                <w:p>
                  <w:pPr>
                    <w:jc w:val="center"/>
                    <w:outlineLvl w:val="0"/>
                    <w:rPr>
                      <w:rFonts w:eastAsiaTheme="minorEastAsia"/>
                      <w:szCs w:val="21"/>
                    </w:rPr>
                  </w:pPr>
                  <w:bookmarkStart w:id="59" w:name="_Toc144233195"/>
                  <w:r>
                    <w:rPr>
                      <w:rFonts w:eastAsiaTheme="minorEastAsia"/>
                      <w:szCs w:val="21"/>
                    </w:rPr>
                    <w:t>24</w:t>
                  </w:r>
                  <w:bookmarkEnd w:id="59"/>
                </w:p>
              </w:tc>
              <w:tc>
                <w:tcPr>
                  <w:tcW w:w="1757" w:type="pct"/>
                  <w:vAlign w:val="center"/>
                </w:tcPr>
                <w:p>
                  <w:pPr>
                    <w:jc w:val="center"/>
                    <w:rPr>
                      <w:rFonts w:eastAsiaTheme="minorEastAsia"/>
                      <w:szCs w:val="21"/>
                    </w:rPr>
                  </w:pPr>
                  <w:r>
                    <w:rPr>
                      <w:rFonts w:eastAsiaTheme="minorEastAsia"/>
                      <w:szCs w:val="21"/>
                    </w:rPr>
                    <w:t>肥水灌溉控制</w:t>
                  </w:r>
                </w:p>
              </w:tc>
              <w:tc>
                <w:tcPr>
                  <w:tcW w:w="1691" w:type="pct"/>
                  <w:vAlign w:val="center"/>
                </w:tcPr>
                <w:p>
                  <w:pPr>
                    <w:jc w:val="center"/>
                    <w:rPr>
                      <w:rFonts w:eastAsiaTheme="minorEastAsia"/>
                      <w:szCs w:val="21"/>
                    </w:rPr>
                  </w:pPr>
                  <w:r>
                    <w:rPr>
                      <w:rFonts w:eastAsiaTheme="minorEastAsia"/>
                      <w:szCs w:val="21"/>
                    </w:rPr>
                    <w:t>/</w:t>
                  </w:r>
                </w:p>
              </w:tc>
              <w:tc>
                <w:tcPr>
                  <w:tcW w:w="538" w:type="pct"/>
                  <w:vAlign w:val="center"/>
                </w:tcPr>
                <w:p>
                  <w:pPr>
                    <w:spacing w:before="138"/>
                    <w:jc w:val="center"/>
                    <w:rPr>
                      <w:rFonts w:eastAsiaTheme="minorEastAsia"/>
                      <w:szCs w:val="21"/>
                    </w:rPr>
                  </w:pPr>
                  <w:r>
                    <w:rPr>
                      <w:rFonts w:eastAsiaTheme="minorEastAsia"/>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1" w:type="pct"/>
                  <w:vAlign w:val="center"/>
                </w:tcPr>
                <w:p>
                  <w:pPr>
                    <w:jc w:val="center"/>
                    <w:outlineLvl w:val="0"/>
                    <w:rPr>
                      <w:rFonts w:eastAsiaTheme="minorEastAsia"/>
                      <w:szCs w:val="21"/>
                    </w:rPr>
                  </w:pPr>
                  <w:bookmarkStart w:id="60" w:name="_Toc144233196"/>
                  <w:r>
                    <w:rPr>
                      <w:rFonts w:eastAsiaTheme="minorEastAsia"/>
                      <w:szCs w:val="21"/>
                    </w:rPr>
                    <w:t>25</w:t>
                  </w:r>
                  <w:bookmarkEnd w:id="60"/>
                </w:p>
              </w:tc>
              <w:tc>
                <w:tcPr>
                  <w:tcW w:w="1757" w:type="pct"/>
                  <w:vAlign w:val="center"/>
                </w:tcPr>
                <w:p>
                  <w:pPr>
                    <w:jc w:val="center"/>
                    <w:rPr>
                      <w:rFonts w:eastAsiaTheme="minorEastAsia"/>
                      <w:szCs w:val="21"/>
                    </w:rPr>
                  </w:pPr>
                  <w:r>
                    <w:rPr>
                      <w:rFonts w:eastAsiaTheme="minorEastAsia"/>
                      <w:szCs w:val="21"/>
                    </w:rPr>
                    <w:t>灌溉控制器</w:t>
                  </w:r>
                </w:p>
              </w:tc>
              <w:tc>
                <w:tcPr>
                  <w:tcW w:w="1691" w:type="pct"/>
                  <w:vAlign w:val="center"/>
                </w:tcPr>
                <w:p>
                  <w:pPr>
                    <w:jc w:val="center"/>
                    <w:rPr>
                      <w:rFonts w:eastAsiaTheme="minorEastAsia"/>
                      <w:szCs w:val="21"/>
                    </w:rPr>
                  </w:pPr>
                  <w:r>
                    <w:rPr>
                      <w:rFonts w:eastAsiaTheme="minorEastAsia"/>
                      <w:szCs w:val="21"/>
                    </w:rPr>
                    <w:t>/</w:t>
                  </w:r>
                </w:p>
              </w:tc>
              <w:tc>
                <w:tcPr>
                  <w:tcW w:w="538" w:type="pct"/>
                  <w:vAlign w:val="center"/>
                </w:tcPr>
                <w:p>
                  <w:pPr>
                    <w:spacing w:before="138"/>
                    <w:jc w:val="center"/>
                    <w:rPr>
                      <w:rFonts w:eastAsiaTheme="minorEastAsia"/>
                      <w:szCs w:val="21"/>
                    </w:rPr>
                  </w:pPr>
                  <w:r>
                    <w:rPr>
                      <w:rFonts w:eastAsiaTheme="minorEastAsia"/>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1" w:type="pct"/>
                  <w:vAlign w:val="center"/>
                </w:tcPr>
                <w:p>
                  <w:pPr>
                    <w:jc w:val="center"/>
                    <w:outlineLvl w:val="0"/>
                    <w:rPr>
                      <w:rFonts w:eastAsiaTheme="minorEastAsia"/>
                      <w:szCs w:val="21"/>
                    </w:rPr>
                  </w:pPr>
                  <w:bookmarkStart w:id="61" w:name="_Toc144233197"/>
                  <w:r>
                    <w:rPr>
                      <w:rFonts w:eastAsiaTheme="minorEastAsia"/>
                      <w:szCs w:val="21"/>
                    </w:rPr>
                    <w:t>26</w:t>
                  </w:r>
                  <w:bookmarkEnd w:id="61"/>
                </w:p>
              </w:tc>
              <w:tc>
                <w:tcPr>
                  <w:tcW w:w="1757" w:type="pct"/>
                  <w:vAlign w:val="center"/>
                </w:tcPr>
                <w:p>
                  <w:pPr>
                    <w:jc w:val="center"/>
                    <w:rPr>
                      <w:rFonts w:eastAsiaTheme="minorEastAsia"/>
                      <w:szCs w:val="21"/>
                    </w:rPr>
                  </w:pPr>
                  <w:r>
                    <w:rPr>
                      <w:rFonts w:eastAsiaTheme="minorEastAsia"/>
                      <w:szCs w:val="21"/>
                    </w:rPr>
                    <w:t>进口AC24电磁阀（灌）</w:t>
                  </w:r>
                </w:p>
              </w:tc>
              <w:tc>
                <w:tcPr>
                  <w:tcW w:w="1691" w:type="pct"/>
                  <w:vAlign w:val="center"/>
                </w:tcPr>
                <w:p>
                  <w:pPr>
                    <w:jc w:val="center"/>
                    <w:rPr>
                      <w:rFonts w:eastAsiaTheme="minorEastAsia"/>
                      <w:szCs w:val="21"/>
                    </w:rPr>
                  </w:pPr>
                  <w:r>
                    <w:rPr>
                      <w:rFonts w:eastAsiaTheme="minorEastAsia"/>
                      <w:szCs w:val="21"/>
                    </w:rPr>
                    <w:t>3寸</w:t>
                  </w:r>
                </w:p>
              </w:tc>
              <w:tc>
                <w:tcPr>
                  <w:tcW w:w="538" w:type="pct"/>
                  <w:vAlign w:val="center"/>
                </w:tcPr>
                <w:p>
                  <w:pPr>
                    <w:spacing w:before="138"/>
                    <w:jc w:val="center"/>
                    <w:rPr>
                      <w:rFonts w:eastAsiaTheme="minorEastAsia"/>
                      <w:szCs w:val="21"/>
                    </w:rPr>
                  </w:pPr>
                  <w:r>
                    <w:rPr>
                      <w:rFonts w:eastAsiaTheme="minorEastAsia"/>
                      <w:szCs w:val="21"/>
                    </w:rPr>
                    <w:t>24个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1" w:type="pct"/>
                  <w:vAlign w:val="center"/>
                </w:tcPr>
                <w:p>
                  <w:pPr>
                    <w:jc w:val="center"/>
                    <w:outlineLvl w:val="0"/>
                    <w:rPr>
                      <w:rFonts w:eastAsiaTheme="minorEastAsia"/>
                      <w:szCs w:val="21"/>
                    </w:rPr>
                  </w:pPr>
                  <w:bookmarkStart w:id="62" w:name="_Toc144233198"/>
                  <w:r>
                    <w:rPr>
                      <w:rFonts w:eastAsiaTheme="minorEastAsia"/>
                      <w:szCs w:val="21"/>
                    </w:rPr>
                    <w:t>27</w:t>
                  </w:r>
                  <w:bookmarkEnd w:id="62"/>
                </w:p>
              </w:tc>
              <w:tc>
                <w:tcPr>
                  <w:tcW w:w="1757" w:type="pct"/>
                  <w:vAlign w:val="center"/>
                </w:tcPr>
                <w:p>
                  <w:pPr>
                    <w:jc w:val="center"/>
                    <w:rPr>
                      <w:rFonts w:eastAsiaTheme="minorEastAsia"/>
                      <w:szCs w:val="21"/>
                    </w:rPr>
                  </w:pPr>
                  <w:r>
                    <w:rPr>
                      <w:rFonts w:eastAsiaTheme="minorEastAsia"/>
                      <w:szCs w:val="21"/>
                    </w:rPr>
                    <w:t>进口AC24电磁阀（喷灌）</w:t>
                  </w:r>
                </w:p>
              </w:tc>
              <w:tc>
                <w:tcPr>
                  <w:tcW w:w="1691" w:type="pct"/>
                  <w:vAlign w:val="center"/>
                </w:tcPr>
                <w:p>
                  <w:pPr>
                    <w:jc w:val="center"/>
                    <w:rPr>
                      <w:rFonts w:eastAsiaTheme="minorEastAsia"/>
                      <w:szCs w:val="21"/>
                    </w:rPr>
                  </w:pPr>
                  <w:r>
                    <w:rPr>
                      <w:rFonts w:eastAsiaTheme="minorEastAsia"/>
                      <w:szCs w:val="21"/>
                    </w:rPr>
                    <w:t>3寸</w:t>
                  </w:r>
                </w:p>
              </w:tc>
              <w:tc>
                <w:tcPr>
                  <w:tcW w:w="538" w:type="pct"/>
                  <w:vAlign w:val="center"/>
                </w:tcPr>
                <w:p>
                  <w:pPr>
                    <w:spacing w:before="138"/>
                    <w:jc w:val="center"/>
                    <w:rPr>
                      <w:rFonts w:eastAsiaTheme="minorEastAsia"/>
                      <w:szCs w:val="21"/>
                    </w:rPr>
                  </w:pPr>
                  <w:r>
                    <w:rPr>
                      <w:rFonts w:eastAsiaTheme="minorEastAsia"/>
                      <w:szCs w:val="21"/>
                    </w:rPr>
                    <w:t>16个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1" w:type="pct"/>
                  <w:vAlign w:val="center"/>
                </w:tcPr>
                <w:p>
                  <w:pPr>
                    <w:jc w:val="center"/>
                    <w:outlineLvl w:val="0"/>
                    <w:rPr>
                      <w:rFonts w:eastAsiaTheme="minorEastAsia"/>
                      <w:szCs w:val="21"/>
                    </w:rPr>
                  </w:pPr>
                  <w:bookmarkStart w:id="63" w:name="_Toc144233199"/>
                  <w:r>
                    <w:rPr>
                      <w:rFonts w:eastAsiaTheme="minorEastAsia"/>
                      <w:szCs w:val="21"/>
                    </w:rPr>
                    <w:t>28</w:t>
                  </w:r>
                  <w:bookmarkEnd w:id="63"/>
                </w:p>
              </w:tc>
              <w:tc>
                <w:tcPr>
                  <w:tcW w:w="1757" w:type="pct"/>
                  <w:vAlign w:val="center"/>
                </w:tcPr>
                <w:p>
                  <w:pPr>
                    <w:jc w:val="center"/>
                    <w:rPr>
                      <w:rFonts w:eastAsiaTheme="minorEastAsia"/>
                      <w:szCs w:val="21"/>
                    </w:rPr>
                  </w:pPr>
                  <w:r>
                    <w:rPr>
                      <w:rFonts w:eastAsiaTheme="minorEastAsia"/>
                      <w:szCs w:val="21"/>
                    </w:rPr>
                    <w:t>进口排气阀</w:t>
                  </w:r>
                </w:p>
              </w:tc>
              <w:tc>
                <w:tcPr>
                  <w:tcW w:w="1691" w:type="pct"/>
                  <w:vAlign w:val="center"/>
                </w:tcPr>
                <w:p>
                  <w:pPr>
                    <w:jc w:val="center"/>
                    <w:rPr>
                      <w:rFonts w:eastAsiaTheme="minorEastAsia"/>
                      <w:szCs w:val="21"/>
                    </w:rPr>
                  </w:pPr>
                  <w:r>
                    <w:rPr>
                      <w:rFonts w:eastAsiaTheme="minorEastAsia"/>
                      <w:szCs w:val="21"/>
                    </w:rPr>
                    <w:t>1寸</w:t>
                  </w:r>
                </w:p>
              </w:tc>
              <w:tc>
                <w:tcPr>
                  <w:tcW w:w="538" w:type="pct"/>
                  <w:vAlign w:val="center"/>
                </w:tcPr>
                <w:p>
                  <w:pPr>
                    <w:spacing w:before="138"/>
                    <w:jc w:val="center"/>
                    <w:rPr>
                      <w:rFonts w:eastAsiaTheme="minorEastAsia"/>
                      <w:szCs w:val="21"/>
                    </w:rPr>
                  </w:pPr>
                  <w:r>
                    <w:rPr>
                      <w:rFonts w:eastAsiaTheme="minorEastAsia"/>
                      <w:szCs w:val="21"/>
                    </w:rPr>
                    <w:t>40个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1" w:type="pct"/>
                  <w:vAlign w:val="center"/>
                </w:tcPr>
                <w:p>
                  <w:pPr>
                    <w:jc w:val="center"/>
                    <w:outlineLvl w:val="0"/>
                    <w:rPr>
                      <w:rFonts w:eastAsiaTheme="minorEastAsia"/>
                      <w:szCs w:val="21"/>
                    </w:rPr>
                  </w:pPr>
                  <w:bookmarkStart w:id="64" w:name="_Toc144233200"/>
                  <w:r>
                    <w:rPr>
                      <w:rFonts w:eastAsiaTheme="minorEastAsia"/>
                      <w:szCs w:val="21"/>
                    </w:rPr>
                    <w:t>29</w:t>
                  </w:r>
                  <w:bookmarkEnd w:id="64"/>
                </w:p>
              </w:tc>
              <w:tc>
                <w:tcPr>
                  <w:tcW w:w="1757" w:type="pct"/>
                  <w:vAlign w:val="center"/>
                </w:tcPr>
                <w:p>
                  <w:pPr>
                    <w:jc w:val="center"/>
                    <w:rPr>
                      <w:rFonts w:eastAsiaTheme="minorEastAsia"/>
                      <w:szCs w:val="21"/>
                    </w:rPr>
                  </w:pPr>
                  <w:r>
                    <w:rPr>
                      <w:rFonts w:eastAsiaTheme="minorEastAsia"/>
                      <w:szCs w:val="21"/>
                    </w:rPr>
                    <w:t>主阀</w:t>
                  </w:r>
                </w:p>
              </w:tc>
              <w:tc>
                <w:tcPr>
                  <w:tcW w:w="1691" w:type="pct"/>
                  <w:vAlign w:val="center"/>
                </w:tcPr>
                <w:p>
                  <w:pPr>
                    <w:jc w:val="center"/>
                    <w:rPr>
                      <w:rFonts w:eastAsiaTheme="minorEastAsia"/>
                      <w:szCs w:val="21"/>
                    </w:rPr>
                  </w:pPr>
                  <w:r>
                    <w:rPr>
                      <w:rFonts w:eastAsiaTheme="minorEastAsia"/>
                      <w:szCs w:val="21"/>
                    </w:rPr>
                    <w:t>4寸</w:t>
                  </w:r>
                </w:p>
              </w:tc>
              <w:tc>
                <w:tcPr>
                  <w:tcW w:w="538" w:type="pct"/>
                  <w:vAlign w:val="center"/>
                </w:tcPr>
                <w:p>
                  <w:pPr>
                    <w:spacing w:before="138"/>
                    <w:jc w:val="center"/>
                    <w:rPr>
                      <w:rFonts w:eastAsiaTheme="minorEastAsia"/>
                      <w:szCs w:val="21"/>
                    </w:rPr>
                  </w:pPr>
                  <w:r>
                    <w:rPr>
                      <w:rFonts w:eastAsiaTheme="minorEastAsia"/>
                      <w:szCs w:val="21"/>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1" w:type="pct"/>
                  <w:vAlign w:val="center"/>
                </w:tcPr>
                <w:p>
                  <w:pPr>
                    <w:jc w:val="center"/>
                    <w:outlineLvl w:val="0"/>
                    <w:rPr>
                      <w:rFonts w:eastAsiaTheme="minorEastAsia"/>
                      <w:szCs w:val="21"/>
                    </w:rPr>
                  </w:pPr>
                  <w:bookmarkStart w:id="65" w:name="_Toc144233201"/>
                  <w:r>
                    <w:rPr>
                      <w:rFonts w:eastAsiaTheme="minorEastAsia"/>
                      <w:szCs w:val="21"/>
                    </w:rPr>
                    <w:t>30</w:t>
                  </w:r>
                  <w:bookmarkEnd w:id="65"/>
                </w:p>
              </w:tc>
              <w:tc>
                <w:tcPr>
                  <w:tcW w:w="1757" w:type="pct"/>
                  <w:vAlign w:val="center"/>
                </w:tcPr>
                <w:p>
                  <w:pPr>
                    <w:jc w:val="center"/>
                    <w:rPr>
                      <w:rFonts w:eastAsiaTheme="minorEastAsia"/>
                      <w:szCs w:val="21"/>
                    </w:rPr>
                  </w:pPr>
                  <w:r>
                    <w:rPr>
                      <w:rFonts w:eastAsiaTheme="minorEastAsia"/>
                      <w:szCs w:val="21"/>
                    </w:rPr>
                    <w:t>FARMNET软件平台（PC端）</w:t>
                  </w:r>
                </w:p>
              </w:tc>
              <w:tc>
                <w:tcPr>
                  <w:tcW w:w="1691" w:type="pct"/>
                  <w:vAlign w:val="center"/>
                </w:tcPr>
                <w:p>
                  <w:pPr>
                    <w:jc w:val="center"/>
                    <w:rPr>
                      <w:rFonts w:eastAsiaTheme="minorEastAsia"/>
                      <w:szCs w:val="21"/>
                    </w:rPr>
                  </w:pPr>
                  <w:r>
                    <w:rPr>
                      <w:rFonts w:eastAsiaTheme="minorEastAsia"/>
                      <w:szCs w:val="21"/>
                    </w:rPr>
                    <w:t>FNPC</w:t>
                  </w:r>
                </w:p>
              </w:tc>
              <w:tc>
                <w:tcPr>
                  <w:tcW w:w="538" w:type="pct"/>
                  <w:vAlign w:val="center"/>
                </w:tcPr>
                <w:p>
                  <w:pPr>
                    <w:spacing w:before="138"/>
                    <w:jc w:val="center"/>
                    <w:rPr>
                      <w:rFonts w:eastAsiaTheme="minorEastAsia"/>
                      <w:szCs w:val="21"/>
                    </w:rPr>
                  </w:pPr>
                  <w:r>
                    <w:rPr>
                      <w:rFonts w:eastAsiaTheme="minorEastAsia"/>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1" w:type="pct"/>
                  <w:vAlign w:val="center"/>
                </w:tcPr>
                <w:p>
                  <w:pPr>
                    <w:jc w:val="center"/>
                    <w:outlineLvl w:val="0"/>
                    <w:rPr>
                      <w:rFonts w:eastAsiaTheme="minorEastAsia"/>
                      <w:szCs w:val="21"/>
                    </w:rPr>
                  </w:pPr>
                  <w:bookmarkStart w:id="66" w:name="_Toc144233202"/>
                  <w:r>
                    <w:rPr>
                      <w:rFonts w:eastAsiaTheme="minorEastAsia"/>
                      <w:szCs w:val="21"/>
                    </w:rPr>
                    <w:t>31</w:t>
                  </w:r>
                  <w:bookmarkEnd w:id="66"/>
                </w:p>
              </w:tc>
              <w:tc>
                <w:tcPr>
                  <w:tcW w:w="1757" w:type="pct"/>
                  <w:vAlign w:val="center"/>
                </w:tcPr>
                <w:p>
                  <w:pPr>
                    <w:jc w:val="center"/>
                    <w:rPr>
                      <w:rFonts w:eastAsiaTheme="minorEastAsia"/>
                      <w:szCs w:val="21"/>
                    </w:rPr>
                  </w:pPr>
                  <w:r>
                    <w:rPr>
                      <w:rFonts w:eastAsiaTheme="minorEastAsia"/>
                      <w:szCs w:val="21"/>
                    </w:rPr>
                    <w:t>FARMNET软件平台（APP端）</w:t>
                  </w:r>
                </w:p>
              </w:tc>
              <w:tc>
                <w:tcPr>
                  <w:tcW w:w="1691" w:type="pct"/>
                  <w:vAlign w:val="center"/>
                </w:tcPr>
                <w:p>
                  <w:pPr>
                    <w:jc w:val="center"/>
                    <w:rPr>
                      <w:rFonts w:eastAsiaTheme="minorEastAsia"/>
                      <w:szCs w:val="21"/>
                    </w:rPr>
                  </w:pPr>
                  <w:r>
                    <w:rPr>
                      <w:rFonts w:eastAsiaTheme="minorEastAsia"/>
                      <w:szCs w:val="21"/>
                    </w:rPr>
                    <w:t>FN-APP</w:t>
                  </w:r>
                </w:p>
              </w:tc>
              <w:tc>
                <w:tcPr>
                  <w:tcW w:w="538" w:type="pct"/>
                  <w:vAlign w:val="center"/>
                </w:tcPr>
                <w:p>
                  <w:pPr>
                    <w:spacing w:before="138"/>
                    <w:jc w:val="center"/>
                    <w:rPr>
                      <w:rFonts w:eastAsiaTheme="minorEastAsia"/>
                      <w:szCs w:val="21"/>
                    </w:rPr>
                  </w:pPr>
                  <w:r>
                    <w:rPr>
                      <w:rFonts w:eastAsiaTheme="minorEastAsia"/>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1" w:type="pct"/>
                  <w:vAlign w:val="center"/>
                </w:tcPr>
                <w:p>
                  <w:pPr>
                    <w:jc w:val="center"/>
                    <w:outlineLvl w:val="0"/>
                    <w:rPr>
                      <w:rFonts w:eastAsiaTheme="minorEastAsia"/>
                      <w:szCs w:val="21"/>
                    </w:rPr>
                  </w:pPr>
                  <w:bookmarkStart w:id="67" w:name="_Toc144233203"/>
                  <w:r>
                    <w:rPr>
                      <w:rFonts w:eastAsiaTheme="minorEastAsia"/>
                      <w:szCs w:val="21"/>
                    </w:rPr>
                    <w:t>32</w:t>
                  </w:r>
                  <w:bookmarkEnd w:id="67"/>
                </w:p>
              </w:tc>
              <w:tc>
                <w:tcPr>
                  <w:tcW w:w="1757" w:type="pct"/>
                  <w:vAlign w:val="center"/>
                </w:tcPr>
                <w:p>
                  <w:pPr>
                    <w:pStyle w:val="6"/>
                    <w:jc w:val="center"/>
                    <w:rPr>
                      <w:rFonts w:eastAsiaTheme="minorEastAsia"/>
                      <w:kern w:val="2"/>
                      <w:sz w:val="21"/>
                      <w:szCs w:val="21"/>
                    </w:rPr>
                  </w:pPr>
                  <w:r>
                    <w:rPr>
                      <w:rFonts w:eastAsiaTheme="minorEastAsia"/>
                      <w:kern w:val="2"/>
                      <w:sz w:val="21"/>
                      <w:szCs w:val="21"/>
                    </w:rPr>
                    <w:t>生物质成型燃料锅炉</w:t>
                  </w:r>
                </w:p>
              </w:tc>
              <w:tc>
                <w:tcPr>
                  <w:tcW w:w="1691" w:type="pct"/>
                  <w:vAlign w:val="center"/>
                </w:tcPr>
                <w:p>
                  <w:pPr>
                    <w:jc w:val="center"/>
                    <w:rPr>
                      <w:rFonts w:eastAsiaTheme="minorEastAsia"/>
                      <w:szCs w:val="21"/>
                    </w:rPr>
                  </w:pPr>
                  <w:r>
                    <w:rPr>
                      <w:rFonts w:eastAsiaTheme="minorEastAsia"/>
                      <w:szCs w:val="21"/>
                    </w:rPr>
                    <w:t>MXRS-18000 -4.20(S/M)6t/h</w:t>
                  </w:r>
                </w:p>
              </w:tc>
              <w:tc>
                <w:tcPr>
                  <w:tcW w:w="538" w:type="pct"/>
                  <w:vAlign w:val="center"/>
                </w:tcPr>
                <w:p>
                  <w:pPr>
                    <w:spacing w:before="138"/>
                    <w:jc w:val="center"/>
                    <w:rPr>
                      <w:rFonts w:eastAsiaTheme="minorEastAsia"/>
                      <w:szCs w:val="21"/>
                    </w:rPr>
                  </w:pPr>
                  <w:r>
                    <w:rPr>
                      <w:rFonts w:eastAsiaTheme="minorEastAsia"/>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1" w:type="pct"/>
                  <w:vAlign w:val="center"/>
                </w:tcPr>
                <w:p>
                  <w:pPr>
                    <w:jc w:val="center"/>
                    <w:outlineLvl w:val="0"/>
                    <w:rPr>
                      <w:rFonts w:eastAsiaTheme="minorEastAsia"/>
                      <w:szCs w:val="21"/>
                    </w:rPr>
                  </w:pPr>
                  <w:bookmarkStart w:id="68" w:name="_Toc144233204"/>
                  <w:r>
                    <w:rPr>
                      <w:rFonts w:eastAsiaTheme="minorEastAsia"/>
                      <w:szCs w:val="21"/>
                    </w:rPr>
                    <w:t>33</w:t>
                  </w:r>
                  <w:bookmarkEnd w:id="68"/>
                </w:p>
              </w:tc>
              <w:tc>
                <w:tcPr>
                  <w:tcW w:w="1757" w:type="pct"/>
                  <w:vAlign w:val="center"/>
                </w:tcPr>
                <w:p>
                  <w:pPr>
                    <w:jc w:val="center"/>
                    <w:rPr>
                      <w:rFonts w:eastAsiaTheme="minorEastAsia"/>
                      <w:szCs w:val="21"/>
                    </w:rPr>
                  </w:pPr>
                  <w:r>
                    <w:rPr>
                      <w:rFonts w:eastAsiaTheme="minorEastAsia"/>
                      <w:szCs w:val="21"/>
                    </w:rPr>
                    <w:t>软化水制备设施</w:t>
                  </w:r>
                </w:p>
              </w:tc>
              <w:tc>
                <w:tcPr>
                  <w:tcW w:w="1691" w:type="pct"/>
                  <w:vAlign w:val="center"/>
                </w:tcPr>
                <w:p>
                  <w:pPr>
                    <w:jc w:val="center"/>
                    <w:rPr>
                      <w:rFonts w:eastAsiaTheme="minorEastAsia"/>
                      <w:szCs w:val="21"/>
                    </w:rPr>
                  </w:pPr>
                  <w:r>
                    <w:rPr>
                      <w:rFonts w:eastAsiaTheme="minorEastAsia"/>
                      <w:szCs w:val="21"/>
                    </w:rPr>
                    <w:t>/</w:t>
                  </w:r>
                </w:p>
              </w:tc>
              <w:tc>
                <w:tcPr>
                  <w:tcW w:w="538" w:type="pct"/>
                  <w:vAlign w:val="center"/>
                </w:tcPr>
                <w:p>
                  <w:pPr>
                    <w:spacing w:before="138"/>
                    <w:jc w:val="center"/>
                    <w:rPr>
                      <w:rFonts w:eastAsiaTheme="minorEastAsia"/>
                      <w:szCs w:val="21"/>
                    </w:rPr>
                  </w:pPr>
                  <w:r>
                    <w:rPr>
                      <w:rFonts w:eastAsiaTheme="minorEastAsia"/>
                      <w:szCs w:val="21"/>
                    </w:rPr>
                    <w:t>1台</w:t>
                  </w:r>
                </w:p>
              </w:tc>
            </w:tr>
            <w:bookmarkEnd w:id="15"/>
            <w:bookmarkEnd w:id="16"/>
            <w:bookmarkEnd w:id="17"/>
          </w:tbl>
          <w:p>
            <w:pPr>
              <w:spacing w:before="156" w:beforeLines="50" w:line="360" w:lineRule="auto"/>
              <w:rPr>
                <w:b/>
                <w:bCs/>
                <w:sz w:val="24"/>
              </w:rPr>
            </w:pPr>
            <w:r>
              <w:rPr>
                <w:b/>
                <w:bCs/>
                <w:sz w:val="24"/>
              </w:rPr>
              <w:t>4、主要原辅材料及燃料</w:t>
            </w:r>
            <w:bookmarkEnd w:id="48"/>
            <w:bookmarkEnd w:id="49"/>
            <w:bookmarkEnd w:id="50"/>
          </w:p>
          <w:p>
            <w:pPr>
              <w:adjustRightInd w:val="0"/>
              <w:snapToGrid w:val="0"/>
              <w:spacing w:line="360" w:lineRule="auto"/>
              <w:ind w:firstLine="480" w:firstLineChars="200"/>
              <w:jc w:val="left"/>
              <w:rPr>
                <w:sz w:val="24"/>
              </w:rPr>
            </w:pPr>
            <w:r>
              <w:rPr>
                <w:sz w:val="24"/>
              </w:rPr>
              <w:t>项目主要原辅材料见表2-3、表2-4。</w:t>
            </w:r>
          </w:p>
          <w:p>
            <w:pPr>
              <w:spacing w:line="360" w:lineRule="auto"/>
              <w:jc w:val="center"/>
              <w:rPr>
                <w:rFonts w:eastAsiaTheme="minorEastAsia"/>
                <w:b/>
                <w:bCs/>
                <w:sz w:val="24"/>
              </w:rPr>
            </w:pPr>
            <w:bookmarkStart w:id="69" w:name="_Toc1667"/>
            <w:bookmarkStart w:id="70" w:name="_Toc29111"/>
            <w:bookmarkStart w:id="71" w:name="_Toc11276"/>
            <w:r>
              <w:rPr>
                <w:rFonts w:eastAsiaTheme="minorEastAsia"/>
                <w:b/>
                <w:bCs/>
                <w:sz w:val="24"/>
              </w:rPr>
              <w:t>表2-3  主要原辅料及消耗一览表</w:t>
            </w:r>
            <w:bookmarkEnd w:id="69"/>
            <w:bookmarkEnd w:id="70"/>
            <w:bookmarkEnd w:id="71"/>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410"/>
              <w:gridCol w:w="1559"/>
              <w:gridCol w:w="1276"/>
              <w:gridCol w:w="1276"/>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04" w:type="dxa"/>
                  <w:vAlign w:val="center"/>
                </w:tcPr>
                <w:p>
                  <w:pPr>
                    <w:jc w:val="center"/>
                    <w:outlineLvl w:val="0"/>
                    <w:rPr>
                      <w:rFonts w:eastAsiaTheme="minorEastAsia"/>
                      <w:b/>
                      <w:szCs w:val="21"/>
                    </w:rPr>
                  </w:pPr>
                  <w:bookmarkStart w:id="72" w:name="_Toc144233205"/>
                  <w:bookmarkStart w:id="73" w:name="_Toc25173"/>
                  <w:bookmarkStart w:id="74" w:name="_Toc17506"/>
                  <w:bookmarkStart w:id="75" w:name="_Toc18011"/>
                  <w:bookmarkStart w:id="76" w:name="_Toc30864"/>
                  <w:r>
                    <w:rPr>
                      <w:rFonts w:eastAsiaTheme="minorEastAsia"/>
                      <w:b/>
                      <w:szCs w:val="21"/>
                    </w:rPr>
                    <w:t>序号</w:t>
                  </w:r>
                  <w:bookmarkEnd w:id="72"/>
                  <w:bookmarkEnd w:id="73"/>
                </w:p>
              </w:tc>
              <w:tc>
                <w:tcPr>
                  <w:tcW w:w="2410" w:type="dxa"/>
                  <w:vAlign w:val="center"/>
                </w:tcPr>
                <w:p>
                  <w:pPr>
                    <w:jc w:val="center"/>
                    <w:outlineLvl w:val="0"/>
                    <w:rPr>
                      <w:rFonts w:eastAsiaTheme="minorEastAsia"/>
                      <w:b/>
                      <w:szCs w:val="21"/>
                    </w:rPr>
                  </w:pPr>
                  <w:bookmarkStart w:id="77" w:name="_Toc13296"/>
                  <w:bookmarkStart w:id="78" w:name="_Toc144233206"/>
                  <w:r>
                    <w:rPr>
                      <w:rFonts w:eastAsiaTheme="minorEastAsia"/>
                      <w:b/>
                      <w:szCs w:val="21"/>
                    </w:rPr>
                    <w:t>名称</w:t>
                  </w:r>
                  <w:bookmarkEnd w:id="77"/>
                  <w:bookmarkEnd w:id="78"/>
                </w:p>
              </w:tc>
              <w:tc>
                <w:tcPr>
                  <w:tcW w:w="1559" w:type="dxa"/>
                  <w:vAlign w:val="center"/>
                </w:tcPr>
                <w:p>
                  <w:pPr>
                    <w:jc w:val="center"/>
                    <w:outlineLvl w:val="0"/>
                    <w:rPr>
                      <w:rFonts w:eastAsiaTheme="minorEastAsia"/>
                      <w:b/>
                      <w:szCs w:val="21"/>
                    </w:rPr>
                  </w:pPr>
                  <w:bookmarkStart w:id="79" w:name="_Toc144233207"/>
                  <w:r>
                    <w:rPr>
                      <w:rFonts w:eastAsiaTheme="minorEastAsia"/>
                      <w:b/>
                      <w:szCs w:val="21"/>
                    </w:rPr>
                    <w:t>年用量（t/a）</w:t>
                  </w:r>
                  <w:bookmarkEnd w:id="79"/>
                </w:p>
              </w:tc>
              <w:tc>
                <w:tcPr>
                  <w:tcW w:w="1276" w:type="dxa"/>
                  <w:vAlign w:val="center"/>
                </w:tcPr>
                <w:p>
                  <w:pPr>
                    <w:jc w:val="center"/>
                    <w:outlineLvl w:val="0"/>
                    <w:rPr>
                      <w:rFonts w:eastAsiaTheme="minorEastAsia"/>
                      <w:b/>
                      <w:szCs w:val="21"/>
                    </w:rPr>
                  </w:pPr>
                  <w:bookmarkStart w:id="80" w:name="_Toc30331"/>
                  <w:bookmarkStart w:id="81" w:name="_Toc144233208"/>
                  <w:r>
                    <w:rPr>
                      <w:rFonts w:eastAsiaTheme="minorEastAsia"/>
                      <w:b/>
                      <w:szCs w:val="21"/>
                    </w:rPr>
                    <w:t>储存量（t</w:t>
                  </w:r>
                  <w:bookmarkEnd w:id="80"/>
                  <w:r>
                    <w:rPr>
                      <w:rFonts w:eastAsiaTheme="minorEastAsia"/>
                      <w:b/>
                      <w:szCs w:val="21"/>
                    </w:rPr>
                    <w:t>）</w:t>
                  </w:r>
                  <w:bookmarkEnd w:id="81"/>
                </w:p>
              </w:tc>
              <w:tc>
                <w:tcPr>
                  <w:tcW w:w="1276" w:type="dxa"/>
                  <w:vAlign w:val="center"/>
                </w:tcPr>
                <w:p>
                  <w:pPr>
                    <w:jc w:val="center"/>
                    <w:outlineLvl w:val="0"/>
                    <w:rPr>
                      <w:rFonts w:eastAsiaTheme="minorEastAsia"/>
                      <w:b/>
                      <w:szCs w:val="21"/>
                    </w:rPr>
                  </w:pPr>
                  <w:bookmarkStart w:id="82" w:name="_Toc144233209"/>
                  <w:r>
                    <w:rPr>
                      <w:rFonts w:eastAsiaTheme="minorEastAsia"/>
                      <w:b/>
                      <w:szCs w:val="21"/>
                    </w:rPr>
                    <w:t>来源</w:t>
                  </w:r>
                  <w:bookmarkEnd w:id="82"/>
                </w:p>
              </w:tc>
              <w:tc>
                <w:tcPr>
                  <w:tcW w:w="1725" w:type="dxa"/>
                  <w:vAlign w:val="center"/>
                </w:tcPr>
                <w:p>
                  <w:pPr>
                    <w:jc w:val="center"/>
                    <w:outlineLvl w:val="0"/>
                    <w:rPr>
                      <w:rFonts w:eastAsiaTheme="minorEastAsia"/>
                      <w:b/>
                      <w:szCs w:val="21"/>
                    </w:rPr>
                  </w:pPr>
                  <w:bookmarkStart w:id="83" w:name="_Toc144233210"/>
                  <w:r>
                    <w:rPr>
                      <w:rFonts w:eastAsiaTheme="minorEastAsia"/>
                      <w:b/>
                      <w:szCs w:val="21"/>
                    </w:rPr>
                    <w:t>用途</w:t>
                  </w:r>
                  <w:bookmarkEnd w:id="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04" w:type="dxa"/>
                  <w:vAlign w:val="center"/>
                </w:tcPr>
                <w:p>
                  <w:pPr>
                    <w:jc w:val="center"/>
                    <w:outlineLvl w:val="0"/>
                    <w:rPr>
                      <w:rFonts w:eastAsiaTheme="minorEastAsia"/>
                      <w:szCs w:val="21"/>
                    </w:rPr>
                  </w:pPr>
                  <w:bookmarkStart w:id="84" w:name="_Toc144233211"/>
                  <w:r>
                    <w:rPr>
                      <w:rFonts w:eastAsiaTheme="minorEastAsia"/>
                      <w:szCs w:val="21"/>
                    </w:rPr>
                    <w:t>1</w:t>
                  </w:r>
                  <w:bookmarkEnd w:id="84"/>
                </w:p>
              </w:tc>
              <w:tc>
                <w:tcPr>
                  <w:tcW w:w="2410" w:type="dxa"/>
                  <w:vAlign w:val="center"/>
                </w:tcPr>
                <w:p>
                  <w:pPr>
                    <w:widowControl/>
                    <w:jc w:val="center"/>
                    <w:textAlignment w:val="center"/>
                    <w:rPr>
                      <w:rFonts w:eastAsiaTheme="minorEastAsia"/>
                      <w:szCs w:val="21"/>
                    </w:rPr>
                  </w:pPr>
                  <w:r>
                    <w:rPr>
                      <w:rFonts w:eastAsiaTheme="minorEastAsia"/>
                      <w:szCs w:val="21"/>
                    </w:rPr>
                    <w:t>螯合铁</w:t>
                  </w:r>
                </w:p>
              </w:tc>
              <w:tc>
                <w:tcPr>
                  <w:tcW w:w="1559" w:type="dxa"/>
                  <w:vAlign w:val="center"/>
                </w:tcPr>
                <w:p>
                  <w:pPr>
                    <w:widowControl/>
                    <w:jc w:val="center"/>
                    <w:textAlignment w:val="center"/>
                    <w:rPr>
                      <w:rFonts w:eastAsiaTheme="minorEastAsia"/>
                      <w:szCs w:val="21"/>
                    </w:rPr>
                  </w:pPr>
                  <w:r>
                    <w:rPr>
                      <w:rFonts w:eastAsiaTheme="minorEastAsia"/>
                      <w:szCs w:val="21"/>
                    </w:rPr>
                    <w:t>1.5</w:t>
                  </w:r>
                </w:p>
              </w:tc>
              <w:tc>
                <w:tcPr>
                  <w:tcW w:w="1276" w:type="dxa"/>
                  <w:vAlign w:val="center"/>
                </w:tcPr>
                <w:p>
                  <w:pPr>
                    <w:widowControl/>
                    <w:jc w:val="center"/>
                    <w:textAlignment w:val="center"/>
                    <w:rPr>
                      <w:rFonts w:eastAsiaTheme="minorEastAsia"/>
                      <w:szCs w:val="21"/>
                    </w:rPr>
                  </w:pPr>
                  <w:r>
                    <w:rPr>
                      <w:rFonts w:eastAsiaTheme="minorEastAsia"/>
                      <w:szCs w:val="21"/>
                    </w:rPr>
                    <w:t>0.15</w:t>
                  </w:r>
                </w:p>
              </w:tc>
              <w:tc>
                <w:tcPr>
                  <w:tcW w:w="1276" w:type="dxa"/>
                  <w:vAlign w:val="center"/>
                </w:tcPr>
                <w:p>
                  <w:pPr>
                    <w:widowControl/>
                    <w:jc w:val="center"/>
                    <w:textAlignment w:val="center"/>
                    <w:rPr>
                      <w:rFonts w:eastAsiaTheme="minorEastAsia"/>
                      <w:szCs w:val="21"/>
                    </w:rPr>
                  </w:pPr>
                  <w:r>
                    <w:rPr>
                      <w:rFonts w:eastAsiaTheme="minorEastAsia"/>
                      <w:szCs w:val="21"/>
                    </w:rPr>
                    <w:t>外购</w:t>
                  </w:r>
                </w:p>
              </w:tc>
              <w:tc>
                <w:tcPr>
                  <w:tcW w:w="1725" w:type="dxa"/>
                  <w:vAlign w:val="center"/>
                </w:tcPr>
                <w:p>
                  <w:pPr>
                    <w:widowControl/>
                    <w:jc w:val="center"/>
                    <w:textAlignment w:val="center"/>
                    <w:rPr>
                      <w:rFonts w:eastAsiaTheme="minorEastAsia"/>
                      <w:szCs w:val="21"/>
                    </w:rPr>
                  </w:pPr>
                  <w:r>
                    <w:rPr>
                      <w:rFonts w:eastAsiaTheme="minorEastAsia"/>
                      <w:szCs w:val="21"/>
                    </w:rPr>
                    <w:t>配肥原料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04" w:type="dxa"/>
                  <w:vAlign w:val="center"/>
                </w:tcPr>
                <w:p>
                  <w:pPr>
                    <w:jc w:val="center"/>
                    <w:outlineLvl w:val="0"/>
                    <w:rPr>
                      <w:rFonts w:eastAsiaTheme="minorEastAsia"/>
                      <w:szCs w:val="21"/>
                    </w:rPr>
                  </w:pPr>
                  <w:bookmarkStart w:id="85" w:name="_Toc144233212"/>
                  <w:r>
                    <w:rPr>
                      <w:rFonts w:eastAsiaTheme="minorEastAsia"/>
                      <w:szCs w:val="21"/>
                    </w:rPr>
                    <w:t>2</w:t>
                  </w:r>
                  <w:bookmarkEnd w:id="85"/>
                </w:p>
              </w:tc>
              <w:tc>
                <w:tcPr>
                  <w:tcW w:w="2410" w:type="dxa"/>
                  <w:vAlign w:val="center"/>
                </w:tcPr>
                <w:p>
                  <w:pPr>
                    <w:widowControl/>
                    <w:jc w:val="center"/>
                    <w:textAlignment w:val="center"/>
                    <w:rPr>
                      <w:rFonts w:eastAsiaTheme="minorEastAsia"/>
                      <w:szCs w:val="21"/>
                    </w:rPr>
                  </w:pPr>
                  <w:r>
                    <w:fldChar w:fldCharType="begin"/>
                  </w:r>
                  <w:r>
                    <w:instrText xml:space="preserve"> HYPERLINK \l "RANGE!A1" </w:instrText>
                  </w:r>
                  <w:r>
                    <w:fldChar w:fldCharType="separate"/>
                  </w:r>
                  <w:r>
                    <w:rPr>
                      <w:rFonts w:eastAsiaTheme="minorEastAsia"/>
                      <w:szCs w:val="21"/>
                    </w:rPr>
                    <w:t>硝酸</w:t>
                  </w:r>
                  <w:r>
                    <w:rPr>
                      <w:rFonts w:eastAsiaTheme="minorEastAsia"/>
                      <w:szCs w:val="21"/>
                    </w:rPr>
                    <w:fldChar w:fldCharType="end"/>
                  </w:r>
                </w:p>
              </w:tc>
              <w:tc>
                <w:tcPr>
                  <w:tcW w:w="1559" w:type="dxa"/>
                  <w:vAlign w:val="center"/>
                </w:tcPr>
                <w:p>
                  <w:pPr>
                    <w:widowControl/>
                    <w:jc w:val="center"/>
                    <w:textAlignment w:val="center"/>
                    <w:rPr>
                      <w:rFonts w:eastAsiaTheme="minorEastAsia"/>
                      <w:szCs w:val="21"/>
                    </w:rPr>
                  </w:pPr>
                  <w:r>
                    <w:rPr>
                      <w:rFonts w:eastAsiaTheme="minorEastAsia"/>
                      <w:szCs w:val="21"/>
                    </w:rPr>
                    <w:t>10</w:t>
                  </w:r>
                </w:p>
              </w:tc>
              <w:tc>
                <w:tcPr>
                  <w:tcW w:w="1276" w:type="dxa"/>
                  <w:vAlign w:val="center"/>
                </w:tcPr>
                <w:p>
                  <w:pPr>
                    <w:widowControl/>
                    <w:jc w:val="center"/>
                    <w:textAlignment w:val="center"/>
                    <w:rPr>
                      <w:rFonts w:eastAsiaTheme="minorEastAsia"/>
                      <w:szCs w:val="21"/>
                    </w:rPr>
                  </w:pPr>
                  <w:r>
                    <w:rPr>
                      <w:rFonts w:eastAsiaTheme="minorEastAsia"/>
                      <w:szCs w:val="21"/>
                    </w:rPr>
                    <w:t>1</w:t>
                  </w:r>
                </w:p>
              </w:tc>
              <w:tc>
                <w:tcPr>
                  <w:tcW w:w="1276" w:type="dxa"/>
                  <w:vAlign w:val="center"/>
                </w:tcPr>
                <w:p>
                  <w:pPr>
                    <w:widowControl/>
                    <w:jc w:val="center"/>
                    <w:textAlignment w:val="center"/>
                    <w:rPr>
                      <w:rFonts w:eastAsiaTheme="minorEastAsia"/>
                      <w:szCs w:val="21"/>
                    </w:rPr>
                  </w:pPr>
                  <w:r>
                    <w:rPr>
                      <w:rFonts w:eastAsiaTheme="minorEastAsia"/>
                      <w:szCs w:val="21"/>
                    </w:rPr>
                    <w:t>外购</w:t>
                  </w:r>
                </w:p>
              </w:tc>
              <w:tc>
                <w:tcPr>
                  <w:tcW w:w="1725" w:type="dxa"/>
                  <w:vAlign w:val="center"/>
                </w:tcPr>
                <w:p>
                  <w:pPr>
                    <w:widowControl/>
                    <w:jc w:val="center"/>
                    <w:textAlignment w:val="center"/>
                    <w:rPr>
                      <w:rFonts w:eastAsiaTheme="minorEastAsia"/>
                      <w:szCs w:val="21"/>
                    </w:rPr>
                  </w:pPr>
                  <w:r>
                    <w:rPr>
                      <w:rFonts w:eastAsiaTheme="minorEastAsia"/>
                      <w:szCs w:val="21"/>
                    </w:rPr>
                    <w:t>配肥原料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04" w:type="dxa"/>
                  <w:vAlign w:val="center"/>
                </w:tcPr>
                <w:p>
                  <w:pPr>
                    <w:jc w:val="center"/>
                    <w:outlineLvl w:val="0"/>
                    <w:rPr>
                      <w:rFonts w:eastAsiaTheme="minorEastAsia"/>
                      <w:szCs w:val="21"/>
                    </w:rPr>
                  </w:pPr>
                  <w:bookmarkStart w:id="86" w:name="_Toc144233213"/>
                  <w:r>
                    <w:rPr>
                      <w:rFonts w:eastAsiaTheme="minorEastAsia"/>
                      <w:szCs w:val="21"/>
                    </w:rPr>
                    <w:t>3</w:t>
                  </w:r>
                  <w:bookmarkEnd w:id="86"/>
                </w:p>
              </w:tc>
              <w:tc>
                <w:tcPr>
                  <w:tcW w:w="2410" w:type="dxa"/>
                  <w:vAlign w:val="center"/>
                </w:tcPr>
                <w:p>
                  <w:pPr>
                    <w:widowControl/>
                    <w:jc w:val="center"/>
                    <w:textAlignment w:val="center"/>
                    <w:rPr>
                      <w:rFonts w:eastAsiaTheme="minorEastAsia"/>
                      <w:szCs w:val="21"/>
                    </w:rPr>
                  </w:pPr>
                  <w:r>
                    <w:rPr>
                      <w:rFonts w:eastAsiaTheme="minorEastAsia"/>
                      <w:szCs w:val="21"/>
                    </w:rPr>
                    <w:t>硝酸钙</w:t>
                  </w:r>
                </w:p>
              </w:tc>
              <w:tc>
                <w:tcPr>
                  <w:tcW w:w="1559" w:type="dxa"/>
                  <w:vAlign w:val="center"/>
                </w:tcPr>
                <w:p>
                  <w:pPr>
                    <w:widowControl/>
                    <w:jc w:val="center"/>
                    <w:textAlignment w:val="center"/>
                    <w:rPr>
                      <w:rFonts w:eastAsiaTheme="minorEastAsia"/>
                      <w:szCs w:val="21"/>
                    </w:rPr>
                  </w:pPr>
                  <w:r>
                    <w:rPr>
                      <w:rFonts w:eastAsiaTheme="minorEastAsia"/>
                      <w:szCs w:val="21"/>
                    </w:rPr>
                    <w:t>36</w:t>
                  </w:r>
                </w:p>
              </w:tc>
              <w:tc>
                <w:tcPr>
                  <w:tcW w:w="1276" w:type="dxa"/>
                  <w:vAlign w:val="center"/>
                </w:tcPr>
                <w:p>
                  <w:pPr>
                    <w:widowControl/>
                    <w:jc w:val="center"/>
                    <w:textAlignment w:val="center"/>
                    <w:rPr>
                      <w:rFonts w:eastAsiaTheme="minorEastAsia"/>
                      <w:szCs w:val="21"/>
                    </w:rPr>
                  </w:pPr>
                  <w:r>
                    <w:rPr>
                      <w:rFonts w:eastAsiaTheme="minorEastAsia"/>
                      <w:szCs w:val="21"/>
                    </w:rPr>
                    <w:t>3.6</w:t>
                  </w:r>
                </w:p>
              </w:tc>
              <w:tc>
                <w:tcPr>
                  <w:tcW w:w="1276" w:type="dxa"/>
                  <w:vAlign w:val="center"/>
                </w:tcPr>
                <w:p>
                  <w:pPr>
                    <w:widowControl/>
                    <w:jc w:val="center"/>
                    <w:textAlignment w:val="center"/>
                    <w:rPr>
                      <w:rFonts w:eastAsiaTheme="minorEastAsia"/>
                      <w:szCs w:val="21"/>
                    </w:rPr>
                  </w:pPr>
                  <w:r>
                    <w:rPr>
                      <w:rFonts w:eastAsiaTheme="minorEastAsia"/>
                      <w:szCs w:val="21"/>
                    </w:rPr>
                    <w:t>外购</w:t>
                  </w:r>
                </w:p>
              </w:tc>
              <w:tc>
                <w:tcPr>
                  <w:tcW w:w="1725" w:type="dxa"/>
                  <w:vAlign w:val="center"/>
                </w:tcPr>
                <w:p>
                  <w:pPr>
                    <w:widowControl/>
                    <w:jc w:val="center"/>
                    <w:textAlignment w:val="center"/>
                    <w:rPr>
                      <w:rFonts w:eastAsiaTheme="minorEastAsia"/>
                      <w:szCs w:val="21"/>
                    </w:rPr>
                  </w:pPr>
                  <w:r>
                    <w:rPr>
                      <w:rFonts w:eastAsiaTheme="minorEastAsia"/>
                      <w:szCs w:val="21"/>
                    </w:rPr>
                    <w:t>配肥原料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04" w:type="dxa"/>
                  <w:vAlign w:val="center"/>
                </w:tcPr>
                <w:p>
                  <w:pPr>
                    <w:jc w:val="center"/>
                    <w:outlineLvl w:val="0"/>
                    <w:rPr>
                      <w:rFonts w:eastAsiaTheme="minorEastAsia"/>
                      <w:szCs w:val="21"/>
                    </w:rPr>
                  </w:pPr>
                  <w:bookmarkStart w:id="87" w:name="_Toc144233214"/>
                  <w:r>
                    <w:rPr>
                      <w:rFonts w:eastAsiaTheme="minorEastAsia"/>
                      <w:szCs w:val="21"/>
                    </w:rPr>
                    <w:t>4</w:t>
                  </w:r>
                  <w:bookmarkEnd w:id="87"/>
                </w:p>
              </w:tc>
              <w:tc>
                <w:tcPr>
                  <w:tcW w:w="2410" w:type="dxa"/>
                  <w:vAlign w:val="center"/>
                </w:tcPr>
                <w:p>
                  <w:pPr>
                    <w:widowControl/>
                    <w:jc w:val="center"/>
                    <w:textAlignment w:val="center"/>
                    <w:rPr>
                      <w:rFonts w:eastAsiaTheme="minorEastAsia"/>
                      <w:szCs w:val="21"/>
                    </w:rPr>
                  </w:pPr>
                  <w:r>
                    <w:fldChar w:fldCharType="begin"/>
                  </w:r>
                  <w:r>
                    <w:instrText xml:space="preserve"> HYPERLINK \l "RANGE!A1" </w:instrText>
                  </w:r>
                  <w:r>
                    <w:fldChar w:fldCharType="separate"/>
                  </w:r>
                  <w:r>
                    <w:rPr>
                      <w:rFonts w:eastAsiaTheme="minorEastAsia"/>
                      <w:szCs w:val="21"/>
                    </w:rPr>
                    <w:t>硝酸钾</w:t>
                  </w:r>
                  <w:r>
                    <w:rPr>
                      <w:rFonts w:eastAsiaTheme="minorEastAsia"/>
                      <w:szCs w:val="21"/>
                    </w:rPr>
                    <w:fldChar w:fldCharType="end"/>
                  </w:r>
                </w:p>
              </w:tc>
              <w:tc>
                <w:tcPr>
                  <w:tcW w:w="1559" w:type="dxa"/>
                  <w:vAlign w:val="center"/>
                </w:tcPr>
                <w:p>
                  <w:pPr>
                    <w:widowControl/>
                    <w:jc w:val="center"/>
                    <w:textAlignment w:val="center"/>
                    <w:rPr>
                      <w:rFonts w:eastAsiaTheme="minorEastAsia"/>
                      <w:szCs w:val="21"/>
                    </w:rPr>
                  </w:pPr>
                  <w:r>
                    <w:rPr>
                      <w:rFonts w:eastAsiaTheme="minorEastAsia"/>
                      <w:szCs w:val="21"/>
                    </w:rPr>
                    <w:t>18</w:t>
                  </w:r>
                </w:p>
              </w:tc>
              <w:tc>
                <w:tcPr>
                  <w:tcW w:w="1276" w:type="dxa"/>
                  <w:vAlign w:val="center"/>
                </w:tcPr>
                <w:p>
                  <w:pPr>
                    <w:widowControl/>
                    <w:jc w:val="center"/>
                    <w:textAlignment w:val="center"/>
                    <w:rPr>
                      <w:rFonts w:eastAsiaTheme="minorEastAsia"/>
                      <w:szCs w:val="21"/>
                    </w:rPr>
                  </w:pPr>
                  <w:r>
                    <w:rPr>
                      <w:rFonts w:eastAsiaTheme="minorEastAsia"/>
                      <w:szCs w:val="21"/>
                    </w:rPr>
                    <w:t>1.5</w:t>
                  </w:r>
                </w:p>
              </w:tc>
              <w:tc>
                <w:tcPr>
                  <w:tcW w:w="1276" w:type="dxa"/>
                  <w:vAlign w:val="center"/>
                </w:tcPr>
                <w:p>
                  <w:pPr>
                    <w:widowControl/>
                    <w:jc w:val="center"/>
                    <w:textAlignment w:val="center"/>
                    <w:rPr>
                      <w:rFonts w:eastAsiaTheme="minorEastAsia"/>
                      <w:szCs w:val="21"/>
                    </w:rPr>
                  </w:pPr>
                  <w:r>
                    <w:rPr>
                      <w:rFonts w:eastAsiaTheme="minorEastAsia"/>
                      <w:szCs w:val="21"/>
                    </w:rPr>
                    <w:t>外购</w:t>
                  </w:r>
                </w:p>
              </w:tc>
              <w:tc>
                <w:tcPr>
                  <w:tcW w:w="1725" w:type="dxa"/>
                  <w:vAlign w:val="center"/>
                </w:tcPr>
                <w:p>
                  <w:pPr>
                    <w:widowControl/>
                    <w:jc w:val="center"/>
                    <w:textAlignment w:val="center"/>
                    <w:rPr>
                      <w:rFonts w:eastAsiaTheme="minorEastAsia"/>
                      <w:szCs w:val="21"/>
                    </w:rPr>
                  </w:pPr>
                  <w:r>
                    <w:rPr>
                      <w:rFonts w:eastAsiaTheme="minorEastAsia"/>
                      <w:szCs w:val="21"/>
                    </w:rPr>
                    <w:t>配肥原料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04" w:type="dxa"/>
                  <w:vAlign w:val="center"/>
                </w:tcPr>
                <w:p>
                  <w:pPr>
                    <w:jc w:val="center"/>
                    <w:outlineLvl w:val="0"/>
                    <w:rPr>
                      <w:rFonts w:eastAsiaTheme="minorEastAsia"/>
                      <w:szCs w:val="21"/>
                    </w:rPr>
                  </w:pPr>
                  <w:bookmarkStart w:id="88" w:name="_Toc144233215"/>
                  <w:r>
                    <w:rPr>
                      <w:rFonts w:eastAsiaTheme="minorEastAsia"/>
                      <w:szCs w:val="21"/>
                    </w:rPr>
                    <w:t>5</w:t>
                  </w:r>
                  <w:bookmarkEnd w:id="88"/>
                </w:p>
              </w:tc>
              <w:tc>
                <w:tcPr>
                  <w:tcW w:w="2410" w:type="dxa"/>
                  <w:vAlign w:val="center"/>
                </w:tcPr>
                <w:p>
                  <w:pPr>
                    <w:widowControl/>
                    <w:jc w:val="center"/>
                    <w:textAlignment w:val="center"/>
                    <w:rPr>
                      <w:rFonts w:eastAsiaTheme="minorEastAsia"/>
                      <w:szCs w:val="21"/>
                    </w:rPr>
                  </w:pPr>
                  <w:r>
                    <w:rPr>
                      <w:rFonts w:eastAsiaTheme="minorEastAsia"/>
                      <w:szCs w:val="21"/>
                    </w:rPr>
                    <w:t>硝酸镁</w:t>
                  </w:r>
                </w:p>
              </w:tc>
              <w:tc>
                <w:tcPr>
                  <w:tcW w:w="1559" w:type="dxa"/>
                  <w:vAlign w:val="center"/>
                </w:tcPr>
                <w:p>
                  <w:pPr>
                    <w:widowControl/>
                    <w:jc w:val="center"/>
                    <w:textAlignment w:val="center"/>
                    <w:rPr>
                      <w:rFonts w:eastAsiaTheme="minorEastAsia"/>
                      <w:szCs w:val="21"/>
                    </w:rPr>
                  </w:pPr>
                  <w:r>
                    <w:rPr>
                      <w:rFonts w:eastAsiaTheme="minorEastAsia"/>
                      <w:szCs w:val="21"/>
                    </w:rPr>
                    <w:t>19</w:t>
                  </w:r>
                </w:p>
              </w:tc>
              <w:tc>
                <w:tcPr>
                  <w:tcW w:w="1276" w:type="dxa"/>
                  <w:vAlign w:val="center"/>
                </w:tcPr>
                <w:p>
                  <w:pPr>
                    <w:widowControl/>
                    <w:jc w:val="center"/>
                    <w:textAlignment w:val="center"/>
                    <w:rPr>
                      <w:rFonts w:eastAsiaTheme="minorEastAsia"/>
                      <w:szCs w:val="21"/>
                    </w:rPr>
                  </w:pPr>
                  <w:r>
                    <w:rPr>
                      <w:rFonts w:eastAsiaTheme="minorEastAsia"/>
                      <w:szCs w:val="21"/>
                    </w:rPr>
                    <w:t>1.58</w:t>
                  </w:r>
                </w:p>
              </w:tc>
              <w:tc>
                <w:tcPr>
                  <w:tcW w:w="1276" w:type="dxa"/>
                  <w:vAlign w:val="center"/>
                </w:tcPr>
                <w:p>
                  <w:pPr>
                    <w:widowControl/>
                    <w:jc w:val="center"/>
                    <w:textAlignment w:val="center"/>
                    <w:rPr>
                      <w:rFonts w:eastAsiaTheme="minorEastAsia"/>
                      <w:szCs w:val="21"/>
                    </w:rPr>
                  </w:pPr>
                  <w:r>
                    <w:rPr>
                      <w:rFonts w:eastAsiaTheme="minorEastAsia"/>
                      <w:szCs w:val="21"/>
                    </w:rPr>
                    <w:t>外购</w:t>
                  </w:r>
                </w:p>
              </w:tc>
              <w:tc>
                <w:tcPr>
                  <w:tcW w:w="1725" w:type="dxa"/>
                  <w:vAlign w:val="center"/>
                </w:tcPr>
                <w:p>
                  <w:pPr>
                    <w:widowControl/>
                    <w:jc w:val="center"/>
                    <w:textAlignment w:val="center"/>
                    <w:rPr>
                      <w:rFonts w:eastAsiaTheme="minorEastAsia"/>
                      <w:szCs w:val="21"/>
                    </w:rPr>
                  </w:pPr>
                  <w:r>
                    <w:rPr>
                      <w:rFonts w:eastAsiaTheme="minorEastAsia"/>
                      <w:szCs w:val="21"/>
                    </w:rPr>
                    <w:t>配肥原料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04" w:type="dxa"/>
                  <w:vAlign w:val="center"/>
                </w:tcPr>
                <w:p>
                  <w:pPr>
                    <w:jc w:val="center"/>
                    <w:outlineLvl w:val="0"/>
                    <w:rPr>
                      <w:rFonts w:eastAsiaTheme="minorEastAsia"/>
                      <w:szCs w:val="21"/>
                    </w:rPr>
                  </w:pPr>
                  <w:bookmarkStart w:id="89" w:name="_Toc144233216"/>
                  <w:r>
                    <w:rPr>
                      <w:rFonts w:eastAsiaTheme="minorEastAsia"/>
                      <w:szCs w:val="21"/>
                    </w:rPr>
                    <w:t>6</w:t>
                  </w:r>
                  <w:bookmarkEnd w:id="89"/>
                </w:p>
              </w:tc>
              <w:tc>
                <w:tcPr>
                  <w:tcW w:w="2410" w:type="dxa"/>
                  <w:vAlign w:val="center"/>
                </w:tcPr>
                <w:p>
                  <w:pPr>
                    <w:widowControl/>
                    <w:jc w:val="center"/>
                    <w:textAlignment w:val="center"/>
                    <w:rPr>
                      <w:rFonts w:eastAsiaTheme="minorEastAsia"/>
                      <w:szCs w:val="21"/>
                    </w:rPr>
                  </w:pPr>
                  <w:r>
                    <w:fldChar w:fldCharType="begin"/>
                  </w:r>
                  <w:r>
                    <w:instrText xml:space="preserve"> HYPERLINK \l "RANGE!A1" </w:instrText>
                  </w:r>
                  <w:r>
                    <w:fldChar w:fldCharType="separate"/>
                  </w:r>
                  <w:r>
                    <w:rPr>
                      <w:rFonts w:eastAsiaTheme="minorEastAsia"/>
                      <w:szCs w:val="21"/>
                    </w:rPr>
                    <w:t>硫酸镁</w:t>
                  </w:r>
                  <w:r>
                    <w:rPr>
                      <w:rFonts w:eastAsiaTheme="minorEastAsia"/>
                      <w:szCs w:val="21"/>
                    </w:rPr>
                    <w:fldChar w:fldCharType="end"/>
                  </w:r>
                </w:p>
              </w:tc>
              <w:tc>
                <w:tcPr>
                  <w:tcW w:w="1559" w:type="dxa"/>
                  <w:vAlign w:val="center"/>
                </w:tcPr>
                <w:p>
                  <w:pPr>
                    <w:widowControl/>
                    <w:jc w:val="center"/>
                    <w:textAlignment w:val="center"/>
                    <w:rPr>
                      <w:rFonts w:eastAsiaTheme="minorEastAsia"/>
                      <w:szCs w:val="21"/>
                    </w:rPr>
                  </w:pPr>
                  <w:r>
                    <w:rPr>
                      <w:rFonts w:eastAsiaTheme="minorEastAsia"/>
                      <w:szCs w:val="21"/>
                    </w:rPr>
                    <w:t>22</w:t>
                  </w:r>
                </w:p>
              </w:tc>
              <w:tc>
                <w:tcPr>
                  <w:tcW w:w="1276" w:type="dxa"/>
                  <w:vAlign w:val="center"/>
                </w:tcPr>
                <w:p>
                  <w:pPr>
                    <w:widowControl/>
                    <w:jc w:val="center"/>
                    <w:textAlignment w:val="center"/>
                    <w:rPr>
                      <w:rFonts w:eastAsiaTheme="minorEastAsia"/>
                      <w:szCs w:val="21"/>
                    </w:rPr>
                  </w:pPr>
                  <w:r>
                    <w:rPr>
                      <w:rFonts w:eastAsiaTheme="minorEastAsia"/>
                      <w:szCs w:val="21"/>
                    </w:rPr>
                    <w:t>1.83</w:t>
                  </w:r>
                </w:p>
              </w:tc>
              <w:tc>
                <w:tcPr>
                  <w:tcW w:w="1276" w:type="dxa"/>
                  <w:vAlign w:val="center"/>
                </w:tcPr>
                <w:p>
                  <w:pPr>
                    <w:widowControl/>
                    <w:jc w:val="center"/>
                    <w:textAlignment w:val="center"/>
                    <w:rPr>
                      <w:rFonts w:eastAsiaTheme="minorEastAsia"/>
                      <w:szCs w:val="21"/>
                    </w:rPr>
                  </w:pPr>
                  <w:r>
                    <w:rPr>
                      <w:rFonts w:eastAsiaTheme="minorEastAsia"/>
                      <w:szCs w:val="21"/>
                    </w:rPr>
                    <w:t>外购</w:t>
                  </w:r>
                </w:p>
              </w:tc>
              <w:tc>
                <w:tcPr>
                  <w:tcW w:w="1725" w:type="dxa"/>
                  <w:vAlign w:val="center"/>
                </w:tcPr>
                <w:p>
                  <w:pPr>
                    <w:widowControl/>
                    <w:jc w:val="center"/>
                    <w:textAlignment w:val="center"/>
                    <w:rPr>
                      <w:rFonts w:eastAsiaTheme="minorEastAsia"/>
                      <w:szCs w:val="21"/>
                    </w:rPr>
                  </w:pPr>
                  <w:r>
                    <w:rPr>
                      <w:rFonts w:eastAsiaTheme="minorEastAsia"/>
                      <w:szCs w:val="21"/>
                    </w:rPr>
                    <w:t>配肥原料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04" w:type="dxa"/>
                  <w:vAlign w:val="center"/>
                </w:tcPr>
                <w:p>
                  <w:pPr>
                    <w:jc w:val="center"/>
                    <w:outlineLvl w:val="0"/>
                    <w:rPr>
                      <w:rFonts w:eastAsiaTheme="minorEastAsia"/>
                      <w:szCs w:val="21"/>
                    </w:rPr>
                  </w:pPr>
                  <w:bookmarkStart w:id="90" w:name="_Toc144233217"/>
                  <w:r>
                    <w:rPr>
                      <w:rFonts w:eastAsiaTheme="minorEastAsia"/>
                      <w:szCs w:val="21"/>
                    </w:rPr>
                    <w:t>7</w:t>
                  </w:r>
                  <w:bookmarkEnd w:id="90"/>
                </w:p>
              </w:tc>
              <w:tc>
                <w:tcPr>
                  <w:tcW w:w="2410" w:type="dxa"/>
                  <w:vAlign w:val="center"/>
                </w:tcPr>
                <w:p>
                  <w:pPr>
                    <w:widowControl/>
                    <w:jc w:val="center"/>
                    <w:textAlignment w:val="center"/>
                    <w:rPr>
                      <w:rFonts w:eastAsiaTheme="minorEastAsia"/>
                      <w:szCs w:val="21"/>
                    </w:rPr>
                  </w:pPr>
                  <w:r>
                    <w:rPr>
                      <w:rFonts w:eastAsiaTheme="minorEastAsia"/>
                      <w:szCs w:val="21"/>
                    </w:rPr>
                    <w:t>硫酸锰</w:t>
                  </w:r>
                </w:p>
              </w:tc>
              <w:tc>
                <w:tcPr>
                  <w:tcW w:w="1559" w:type="dxa"/>
                  <w:vAlign w:val="center"/>
                </w:tcPr>
                <w:p>
                  <w:pPr>
                    <w:widowControl/>
                    <w:jc w:val="center"/>
                    <w:textAlignment w:val="center"/>
                    <w:rPr>
                      <w:rFonts w:eastAsiaTheme="minorEastAsia"/>
                      <w:szCs w:val="21"/>
                    </w:rPr>
                  </w:pPr>
                  <w:r>
                    <w:rPr>
                      <w:rFonts w:eastAsiaTheme="minorEastAsia"/>
                      <w:szCs w:val="21"/>
                    </w:rPr>
                    <w:t>0.12</w:t>
                  </w:r>
                </w:p>
              </w:tc>
              <w:tc>
                <w:tcPr>
                  <w:tcW w:w="1276" w:type="dxa"/>
                  <w:vAlign w:val="center"/>
                </w:tcPr>
                <w:p>
                  <w:pPr>
                    <w:widowControl/>
                    <w:jc w:val="center"/>
                    <w:textAlignment w:val="center"/>
                    <w:rPr>
                      <w:rFonts w:eastAsiaTheme="minorEastAsia"/>
                      <w:szCs w:val="21"/>
                    </w:rPr>
                  </w:pPr>
                  <w:r>
                    <w:rPr>
                      <w:rFonts w:eastAsiaTheme="minorEastAsia"/>
                      <w:szCs w:val="21"/>
                    </w:rPr>
                    <w:t>0.01</w:t>
                  </w:r>
                </w:p>
              </w:tc>
              <w:tc>
                <w:tcPr>
                  <w:tcW w:w="1276" w:type="dxa"/>
                  <w:vAlign w:val="center"/>
                </w:tcPr>
                <w:p>
                  <w:pPr>
                    <w:widowControl/>
                    <w:jc w:val="center"/>
                    <w:textAlignment w:val="center"/>
                    <w:rPr>
                      <w:rFonts w:eastAsiaTheme="minorEastAsia"/>
                      <w:szCs w:val="21"/>
                    </w:rPr>
                  </w:pPr>
                  <w:r>
                    <w:rPr>
                      <w:rFonts w:eastAsiaTheme="minorEastAsia"/>
                      <w:szCs w:val="21"/>
                    </w:rPr>
                    <w:t>外购</w:t>
                  </w:r>
                </w:p>
              </w:tc>
              <w:tc>
                <w:tcPr>
                  <w:tcW w:w="1725" w:type="dxa"/>
                  <w:vAlign w:val="center"/>
                </w:tcPr>
                <w:p>
                  <w:pPr>
                    <w:widowControl/>
                    <w:jc w:val="center"/>
                    <w:textAlignment w:val="center"/>
                    <w:rPr>
                      <w:rFonts w:eastAsiaTheme="minorEastAsia"/>
                      <w:szCs w:val="21"/>
                    </w:rPr>
                  </w:pPr>
                  <w:r>
                    <w:rPr>
                      <w:rFonts w:eastAsiaTheme="minorEastAsia"/>
                      <w:szCs w:val="21"/>
                    </w:rPr>
                    <w:t>配肥原料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04" w:type="dxa"/>
                  <w:vAlign w:val="center"/>
                </w:tcPr>
                <w:p>
                  <w:pPr>
                    <w:jc w:val="center"/>
                    <w:outlineLvl w:val="0"/>
                    <w:rPr>
                      <w:rFonts w:eastAsiaTheme="minorEastAsia"/>
                      <w:szCs w:val="21"/>
                    </w:rPr>
                  </w:pPr>
                  <w:bookmarkStart w:id="91" w:name="_Toc144233218"/>
                  <w:r>
                    <w:rPr>
                      <w:rFonts w:eastAsiaTheme="minorEastAsia"/>
                      <w:szCs w:val="21"/>
                    </w:rPr>
                    <w:t>8</w:t>
                  </w:r>
                  <w:bookmarkEnd w:id="91"/>
                </w:p>
              </w:tc>
              <w:tc>
                <w:tcPr>
                  <w:tcW w:w="2410" w:type="dxa"/>
                  <w:vAlign w:val="center"/>
                </w:tcPr>
                <w:p>
                  <w:pPr>
                    <w:widowControl/>
                    <w:jc w:val="center"/>
                    <w:textAlignment w:val="center"/>
                    <w:rPr>
                      <w:rFonts w:eastAsiaTheme="minorEastAsia"/>
                      <w:szCs w:val="21"/>
                    </w:rPr>
                  </w:pPr>
                  <w:r>
                    <w:fldChar w:fldCharType="begin"/>
                  </w:r>
                  <w:r>
                    <w:instrText xml:space="preserve"> HYPERLINK \l "RANGE!A1" </w:instrText>
                  </w:r>
                  <w:r>
                    <w:fldChar w:fldCharType="separate"/>
                  </w:r>
                  <w:r>
                    <w:rPr>
                      <w:rFonts w:eastAsiaTheme="minorEastAsia"/>
                      <w:szCs w:val="21"/>
                    </w:rPr>
                    <w:t>硫酸铜</w:t>
                  </w:r>
                  <w:r>
                    <w:rPr>
                      <w:rFonts w:eastAsiaTheme="minorEastAsia"/>
                      <w:szCs w:val="21"/>
                    </w:rPr>
                    <w:fldChar w:fldCharType="end"/>
                  </w:r>
                </w:p>
              </w:tc>
              <w:tc>
                <w:tcPr>
                  <w:tcW w:w="1559" w:type="dxa"/>
                  <w:vAlign w:val="center"/>
                </w:tcPr>
                <w:p>
                  <w:pPr>
                    <w:widowControl/>
                    <w:jc w:val="center"/>
                    <w:textAlignment w:val="center"/>
                    <w:rPr>
                      <w:rFonts w:eastAsiaTheme="minorEastAsia"/>
                      <w:szCs w:val="21"/>
                    </w:rPr>
                  </w:pPr>
                  <w:r>
                    <w:rPr>
                      <w:rFonts w:eastAsiaTheme="minorEastAsia"/>
                      <w:szCs w:val="21"/>
                    </w:rPr>
                    <w:t>0.05</w:t>
                  </w:r>
                </w:p>
              </w:tc>
              <w:tc>
                <w:tcPr>
                  <w:tcW w:w="1276" w:type="dxa"/>
                  <w:vAlign w:val="center"/>
                </w:tcPr>
                <w:p>
                  <w:pPr>
                    <w:widowControl/>
                    <w:jc w:val="center"/>
                    <w:textAlignment w:val="center"/>
                    <w:rPr>
                      <w:rFonts w:eastAsiaTheme="minorEastAsia"/>
                      <w:szCs w:val="21"/>
                    </w:rPr>
                  </w:pPr>
                  <w:r>
                    <w:rPr>
                      <w:rFonts w:eastAsiaTheme="minorEastAsia"/>
                      <w:szCs w:val="21"/>
                    </w:rPr>
                    <w:t>0.004</w:t>
                  </w:r>
                </w:p>
              </w:tc>
              <w:tc>
                <w:tcPr>
                  <w:tcW w:w="1276" w:type="dxa"/>
                  <w:vAlign w:val="center"/>
                </w:tcPr>
                <w:p>
                  <w:pPr>
                    <w:widowControl/>
                    <w:jc w:val="center"/>
                    <w:textAlignment w:val="center"/>
                    <w:rPr>
                      <w:rFonts w:eastAsiaTheme="minorEastAsia"/>
                      <w:szCs w:val="21"/>
                    </w:rPr>
                  </w:pPr>
                  <w:r>
                    <w:rPr>
                      <w:rFonts w:eastAsiaTheme="minorEastAsia"/>
                      <w:szCs w:val="21"/>
                    </w:rPr>
                    <w:t>外购</w:t>
                  </w:r>
                </w:p>
              </w:tc>
              <w:tc>
                <w:tcPr>
                  <w:tcW w:w="1725" w:type="dxa"/>
                  <w:vAlign w:val="center"/>
                </w:tcPr>
                <w:p>
                  <w:pPr>
                    <w:widowControl/>
                    <w:jc w:val="center"/>
                    <w:textAlignment w:val="center"/>
                    <w:rPr>
                      <w:rFonts w:eastAsiaTheme="minorEastAsia"/>
                      <w:szCs w:val="21"/>
                    </w:rPr>
                  </w:pPr>
                  <w:r>
                    <w:rPr>
                      <w:rFonts w:eastAsiaTheme="minorEastAsia"/>
                      <w:szCs w:val="21"/>
                    </w:rPr>
                    <w:t>配肥原料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04" w:type="dxa"/>
                  <w:vAlign w:val="center"/>
                </w:tcPr>
                <w:p>
                  <w:pPr>
                    <w:jc w:val="center"/>
                    <w:outlineLvl w:val="0"/>
                    <w:rPr>
                      <w:rFonts w:eastAsiaTheme="minorEastAsia"/>
                      <w:szCs w:val="21"/>
                    </w:rPr>
                  </w:pPr>
                  <w:bookmarkStart w:id="92" w:name="_Toc144233219"/>
                  <w:r>
                    <w:rPr>
                      <w:rFonts w:eastAsiaTheme="minorEastAsia"/>
                      <w:szCs w:val="21"/>
                    </w:rPr>
                    <w:t>9</w:t>
                  </w:r>
                  <w:bookmarkEnd w:id="92"/>
                </w:p>
              </w:tc>
              <w:tc>
                <w:tcPr>
                  <w:tcW w:w="2410" w:type="dxa"/>
                  <w:vAlign w:val="center"/>
                </w:tcPr>
                <w:p>
                  <w:pPr>
                    <w:widowControl/>
                    <w:jc w:val="center"/>
                    <w:textAlignment w:val="center"/>
                    <w:rPr>
                      <w:rFonts w:eastAsiaTheme="minorEastAsia"/>
                      <w:szCs w:val="21"/>
                    </w:rPr>
                  </w:pPr>
                  <w:r>
                    <w:fldChar w:fldCharType="begin"/>
                  </w:r>
                  <w:r>
                    <w:instrText xml:space="preserve"> HYPERLINK \l "RANGE!A1" </w:instrText>
                  </w:r>
                  <w:r>
                    <w:fldChar w:fldCharType="separate"/>
                  </w:r>
                  <w:r>
                    <w:rPr>
                      <w:rFonts w:eastAsiaTheme="minorEastAsia"/>
                      <w:szCs w:val="21"/>
                    </w:rPr>
                    <w:t>钼酸钠</w:t>
                  </w:r>
                  <w:r>
                    <w:rPr>
                      <w:rFonts w:eastAsiaTheme="minorEastAsia"/>
                      <w:szCs w:val="21"/>
                    </w:rPr>
                    <w:fldChar w:fldCharType="end"/>
                  </w:r>
                </w:p>
              </w:tc>
              <w:tc>
                <w:tcPr>
                  <w:tcW w:w="1559" w:type="dxa"/>
                  <w:vAlign w:val="center"/>
                </w:tcPr>
                <w:p>
                  <w:pPr>
                    <w:widowControl/>
                    <w:jc w:val="center"/>
                    <w:textAlignment w:val="center"/>
                    <w:rPr>
                      <w:rFonts w:eastAsiaTheme="minorEastAsia"/>
                      <w:szCs w:val="21"/>
                    </w:rPr>
                  </w:pPr>
                  <w:r>
                    <w:rPr>
                      <w:rFonts w:eastAsiaTheme="minorEastAsia"/>
                      <w:szCs w:val="21"/>
                    </w:rPr>
                    <w:t>3</w:t>
                  </w:r>
                </w:p>
              </w:tc>
              <w:tc>
                <w:tcPr>
                  <w:tcW w:w="1276" w:type="dxa"/>
                  <w:vAlign w:val="center"/>
                </w:tcPr>
                <w:p>
                  <w:pPr>
                    <w:widowControl/>
                    <w:jc w:val="center"/>
                    <w:textAlignment w:val="center"/>
                    <w:rPr>
                      <w:rFonts w:eastAsiaTheme="minorEastAsia"/>
                      <w:szCs w:val="21"/>
                    </w:rPr>
                  </w:pPr>
                  <w:r>
                    <w:rPr>
                      <w:rFonts w:eastAsiaTheme="minorEastAsia"/>
                      <w:szCs w:val="21"/>
                    </w:rPr>
                    <w:t>0.25</w:t>
                  </w:r>
                </w:p>
              </w:tc>
              <w:tc>
                <w:tcPr>
                  <w:tcW w:w="1276" w:type="dxa"/>
                  <w:vAlign w:val="center"/>
                </w:tcPr>
                <w:p>
                  <w:pPr>
                    <w:widowControl/>
                    <w:jc w:val="center"/>
                    <w:textAlignment w:val="center"/>
                    <w:rPr>
                      <w:rFonts w:eastAsiaTheme="minorEastAsia"/>
                      <w:szCs w:val="21"/>
                    </w:rPr>
                  </w:pPr>
                  <w:r>
                    <w:rPr>
                      <w:rFonts w:eastAsiaTheme="minorEastAsia"/>
                      <w:szCs w:val="21"/>
                    </w:rPr>
                    <w:t>外购</w:t>
                  </w:r>
                </w:p>
              </w:tc>
              <w:tc>
                <w:tcPr>
                  <w:tcW w:w="1725" w:type="dxa"/>
                  <w:vAlign w:val="center"/>
                </w:tcPr>
                <w:p>
                  <w:pPr>
                    <w:widowControl/>
                    <w:jc w:val="center"/>
                    <w:textAlignment w:val="center"/>
                    <w:rPr>
                      <w:rFonts w:eastAsiaTheme="minorEastAsia"/>
                      <w:szCs w:val="21"/>
                    </w:rPr>
                  </w:pPr>
                  <w:r>
                    <w:rPr>
                      <w:rFonts w:eastAsiaTheme="minorEastAsia"/>
                      <w:szCs w:val="21"/>
                    </w:rPr>
                    <w:t>配肥原料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04" w:type="dxa"/>
                  <w:vAlign w:val="center"/>
                </w:tcPr>
                <w:p>
                  <w:pPr>
                    <w:jc w:val="center"/>
                    <w:outlineLvl w:val="0"/>
                    <w:rPr>
                      <w:rFonts w:eastAsiaTheme="minorEastAsia"/>
                      <w:szCs w:val="21"/>
                    </w:rPr>
                  </w:pPr>
                  <w:bookmarkStart w:id="93" w:name="_Toc144233220"/>
                  <w:r>
                    <w:rPr>
                      <w:rFonts w:eastAsiaTheme="minorEastAsia"/>
                      <w:szCs w:val="21"/>
                    </w:rPr>
                    <w:t>10</w:t>
                  </w:r>
                  <w:bookmarkEnd w:id="93"/>
                </w:p>
              </w:tc>
              <w:tc>
                <w:tcPr>
                  <w:tcW w:w="2410" w:type="dxa"/>
                  <w:vAlign w:val="center"/>
                </w:tcPr>
                <w:p>
                  <w:pPr>
                    <w:widowControl/>
                    <w:jc w:val="center"/>
                    <w:textAlignment w:val="center"/>
                    <w:rPr>
                      <w:rFonts w:eastAsiaTheme="minorEastAsia"/>
                      <w:szCs w:val="21"/>
                    </w:rPr>
                  </w:pPr>
                  <w:r>
                    <w:fldChar w:fldCharType="begin"/>
                  </w:r>
                  <w:r>
                    <w:instrText xml:space="preserve"> HYPERLINK \l "RANGE!A1" </w:instrText>
                  </w:r>
                  <w:r>
                    <w:fldChar w:fldCharType="separate"/>
                  </w:r>
                  <w:r>
                    <w:rPr>
                      <w:rFonts w:eastAsiaTheme="minorEastAsia"/>
                      <w:szCs w:val="21"/>
                    </w:rPr>
                    <w:t>硫酸锌</w:t>
                  </w:r>
                  <w:r>
                    <w:rPr>
                      <w:rFonts w:eastAsiaTheme="minorEastAsia"/>
                      <w:szCs w:val="21"/>
                    </w:rPr>
                    <w:fldChar w:fldCharType="end"/>
                  </w:r>
                </w:p>
              </w:tc>
              <w:tc>
                <w:tcPr>
                  <w:tcW w:w="1559" w:type="dxa"/>
                  <w:vAlign w:val="center"/>
                </w:tcPr>
                <w:p>
                  <w:pPr>
                    <w:widowControl/>
                    <w:jc w:val="center"/>
                    <w:textAlignment w:val="center"/>
                    <w:rPr>
                      <w:rFonts w:eastAsiaTheme="minorEastAsia"/>
                      <w:szCs w:val="21"/>
                    </w:rPr>
                  </w:pPr>
                  <w:r>
                    <w:rPr>
                      <w:rFonts w:eastAsiaTheme="minorEastAsia"/>
                      <w:szCs w:val="21"/>
                    </w:rPr>
                    <w:t>0.02</w:t>
                  </w:r>
                </w:p>
              </w:tc>
              <w:tc>
                <w:tcPr>
                  <w:tcW w:w="1276" w:type="dxa"/>
                  <w:vAlign w:val="center"/>
                </w:tcPr>
                <w:p>
                  <w:pPr>
                    <w:widowControl/>
                    <w:jc w:val="center"/>
                    <w:textAlignment w:val="center"/>
                    <w:rPr>
                      <w:rFonts w:eastAsiaTheme="minorEastAsia"/>
                      <w:szCs w:val="21"/>
                    </w:rPr>
                  </w:pPr>
                  <w:r>
                    <w:rPr>
                      <w:rFonts w:eastAsiaTheme="minorEastAsia"/>
                      <w:szCs w:val="21"/>
                    </w:rPr>
                    <w:t>0.02</w:t>
                  </w:r>
                </w:p>
              </w:tc>
              <w:tc>
                <w:tcPr>
                  <w:tcW w:w="1276" w:type="dxa"/>
                  <w:vAlign w:val="center"/>
                </w:tcPr>
                <w:p>
                  <w:pPr>
                    <w:widowControl/>
                    <w:jc w:val="center"/>
                    <w:textAlignment w:val="center"/>
                    <w:rPr>
                      <w:rFonts w:eastAsiaTheme="minorEastAsia"/>
                      <w:szCs w:val="21"/>
                    </w:rPr>
                  </w:pPr>
                  <w:r>
                    <w:rPr>
                      <w:rFonts w:eastAsiaTheme="minorEastAsia"/>
                      <w:szCs w:val="21"/>
                    </w:rPr>
                    <w:t>外购</w:t>
                  </w:r>
                </w:p>
              </w:tc>
              <w:tc>
                <w:tcPr>
                  <w:tcW w:w="1725" w:type="dxa"/>
                  <w:vAlign w:val="center"/>
                </w:tcPr>
                <w:p>
                  <w:pPr>
                    <w:widowControl/>
                    <w:jc w:val="center"/>
                    <w:textAlignment w:val="center"/>
                    <w:rPr>
                      <w:rFonts w:eastAsiaTheme="minorEastAsia"/>
                      <w:szCs w:val="21"/>
                    </w:rPr>
                  </w:pPr>
                  <w:r>
                    <w:rPr>
                      <w:rFonts w:eastAsiaTheme="minorEastAsia"/>
                      <w:szCs w:val="21"/>
                    </w:rPr>
                    <w:t>配肥原料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04" w:type="dxa"/>
                  <w:vAlign w:val="center"/>
                </w:tcPr>
                <w:p>
                  <w:pPr>
                    <w:jc w:val="center"/>
                    <w:outlineLvl w:val="0"/>
                    <w:rPr>
                      <w:rFonts w:eastAsiaTheme="minorEastAsia"/>
                      <w:szCs w:val="21"/>
                    </w:rPr>
                  </w:pPr>
                  <w:bookmarkStart w:id="94" w:name="_Toc144233221"/>
                  <w:r>
                    <w:rPr>
                      <w:rFonts w:eastAsiaTheme="minorEastAsia"/>
                      <w:szCs w:val="21"/>
                    </w:rPr>
                    <w:t>11</w:t>
                  </w:r>
                  <w:bookmarkEnd w:id="94"/>
                </w:p>
              </w:tc>
              <w:tc>
                <w:tcPr>
                  <w:tcW w:w="2410" w:type="dxa"/>
                  <w:vAlign w:val="center"/>
                </w:tcPr>
                <w:p>
                  <w:pPr>
                    <w:widowControl/>
                    <w:jc w:val="center"/>
                    <w:textAlignment w:val="center"/>
                    <w:rPr>
                      <w:rFonts w:eastAsiaTheme="minorEastAsia"/>
                      <w:szCs w:val="21"/>
                    </w:rPr>
                  </w:pPr>
                  <w:r>
                    <w:rPr>
                      <w:rFonts w:eastAsiaTheme="minorEastAsia"/>
                      <w:szCs w:val="21"/>
                    </w:rPr>
                    <w:t>硼酸</w:t>
                  </w:r>
                </w:p>
              </w:tc>
              <w:tc>
                <w:tcPr>
                  <w:tcW w:w="1559" w:type="dxa"/>
                  <w:vAlign w:val="center"/>
                </w:tcPr>
                <w:p>
                  <w:pPr>
                    <w:widowControl/>
                    <w:jc w:val="center"/>
                    <w:textAlignment w:val="center"/>
                    <w:rPr>
                      <w:rFonts w:eastAsiaTheme="minorEastAsia"/>
                      <w:szCs w:val="21"/>
                    </w:rPr>
                  </w:pPr>
                  <w:r>
                    <w:rPr>
                      <w:rFonts w:eastAsiaTheme="minorEastAsia"/>
                      <w:szCs w:val="21"/>
                    </w:rPr>
                    <w:t>0.03</w:t>
                  </w:r>
                </w:p>
              </w:tc>
              <w:tc>
                <w:tcPr>
                  <w:tcW w:w="1276" w:type="dxa"/>
                  <w:vAlign w:val="center"/>
                </w:tcPr>
                <w:p>
                  <w:pPr>
                    <w:widowControl/>
                    <w:jc w:val="center"/>
                    <w:textAlignment w:val="center"/>
                    <w:rPr>
                      <w:rFonts w:eastAsiaTheme="minorEastAsia"/>
                      <w:szCs w:val="21"/>
                    </w:rPr>
                  </w:pPr>
                  <w:r>
                    <w:rPr>
                      <w:rFonts w:eastAsiaTheme="minorEastAsia"/>
                      <w:szCs w:val="21"/>
                    </w:rPr>
                    <w:t>0.025</w:t>
                  </w:r>
                </w:p>
              </w:tc>
              <w:tc>
                <w:tcPr>
                  <w:tcW w:w="1276" w:type="dxa"/>
                  <w:vAlign w:val="center"/>
                </w:tcPr>
                <w:p>
                  <w:pPr>
                    <w:widowControl/>
                    <w:jc w:val="center"/>
                    <w:textAlignment w:val="center"/>
                    <w:rPr>
                      <w:rFonts w:eastAsiaTheme="minorEastAsia"/>
                      <w:szCs w:val="21"/>
                    </w:rPr>
                  </w:pPr>
                  <w:r>
                    <w:rPr>
                      <w:rFonts w:eastAsiaTheme="minorEastAsia"/>
                      <w:szCs w:val="21"/>
                    </w:rPr>
                    <w:t>外购</w:t>
                  </w:r>
                </w:p>
              </w:tc>
              <w:tc>
                <w:tcPr>
                  <w:tcW w:w="1725" w:type="dxa"/>
                  <w:vAlign w:val="center"/>
                </w:tcPr>
                <w:p>
                  <w:pPr>
                    <w:widowControl/>
                    <w:jc w:val="center"/>
                    <w:textAlignment w:val="center"/>
                    <w:rPr>
                      <w:rFonts w:eastAsiaTheme="minorEastAsia"/>
                      <w:szCs w:val="21"/>
                    </w:rPr>
                  </w:pPr>
                  <w:r>
                    <w:rPr>
                      <w:rFonts w:eastAsiaTheme="minorEastAsia"/>
                      <w:szCs w:val="21"/>
                    </w:rPr>
                    <w:t>配肥原料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04" w:type="dxa"/>
                  <w:vAlign w:val="center"/>
                </w:tcPr>
                <w:p>
                  <w:pPr>
                    <w:jc w:val="center"/>
                    <w:outlineLvl w:val="0"/>
                    <w:rPr>
                      <w:rFonts w:eastAsiaTheme="minorEastAsia"/>
                      <w:szCs w:val="21"/>
                    </w:rPr>
                  </w:pPr>
                  <w:bookmarkStart w:id="95" w:name="_Toc144233222"/>
                  <w:r>
                    <w:rPr>
                      <w:rFonts w:eastAsiaTheme="minorEastAsia"/>
                      <w:szCs w:val="21"/>
                    </w:rPr>
                    <w:t>12</w:t>
                  </w:r>
                  <w:bookmarkEnd w:id="95"/>
                </w:p>
              </w:tc>
              <w:tc>
                <w:tcPr>
                  <w:tcW w:w="2410" w:type="dxa"/>
                  <w:vAlign w:val="center"/>
                </w:tcPr>
                <w:p>
                  <w:pPr>
                    <w:widowControl/>
                    <w:jc w:val="center"/>
                    <w:textAlignment w:val="center"/>
                    <w:rPr>
                      <w:rFonts w:eastAsiaTheme="minorEastAsia"/>
                      <w:szCs w:val="21"/>
                    </w:rPr>
                  </w:pPr>
                  <w:r>
                    <w:rPr>
                      <w:rFonts w:eastAsiaTheme="minorEastAsia"/>
                      <w:szCs w:val="21"/>
                    </w:rPr>
                    <w:t>磷酸二氢铝160</w:t>
                  </w:r>
                </w:p>
              </w:tc>
              <w:tc>
                <w:tcPr>
                  <w:tcW w:w="1559" w:type="dxa"/>
                  <w:vAlign w:val="center"/>
                </w:tcPr>
                <w:p>
                  <w:pPr>
                    <w:widowControl/>
                    <w:jc w:val="center"/>
                    <w:textAlignment w:val="center"/>
                    <w:rPr>
                      <w:rFonts w:eastAsiaTheme="minorEastAsia"/>
                      <w:szCs w:val="21"/>
                    </w:rPr>
                  </w:pPr>
                  <w:r>
                    <w:rPr>
                      <w:rFonts w:eastAsiaTheme="minorEastAsia"/>
                      <w:szCs w:val="21"/>
                    </w:rPr>
                    <w:t>19</w:t>
                  </w:r>
                </w:p>
              </w:tc>
              <w:tc>
                <w:tcPr>
                  <w:tcW w:w="1276" w:type="dxa"/>
                  <w:vAlign w:val="center"/>
                </w:tcPr>
                <w:p>
                  <w:pPr>
                    <w:widowControl/>
                    <w:jc w:val="center"/>
                    <w:textAlignment w:val="center"/>
                    <w:rPr>
                      <w:rFonts w:eastAsiaTheme="minorEastAsia"/>
                      <w:szCs w:val="21"/>
                    </w:rPr>
                  </w:pPr>
                  <w:r>
                    <w:rPr>
                      <w:rFonts w:eastAsiaTheme="minorEastAsia"/>
                      <w:szCs w:val="21"/>
                    </w:rPr>
                    <w:t>1.6</w:t>
                  </w:r>
                </w:p>
              </w:tc>
              <w:tc>
                <w:tcPr>
                  <w:tcW w:w="1276" w:type="dxa"/>
                  <w:vAlign w:val="center"/>
                </w:tcPr>
                <w:p>
                  <w:pPr>
                    <w:widowControl/>
                    <w:jc w:val="center"/>
                    <w:textAlignment w:val="center"/>
                    <w:rPr>
                      <w:rFonts w:eastAsiaTheme="minorEastAsia"/>
                      <w:szCs w:val="21"/>
                    </w:rPr>
                  </w:pPr>
                  <w:r>
                    <w:rPr>
                      <w:rFonts w:eastAsiaTheme="minorEastAsia"/>
                      <w:szCs w:val="21"/>
                    </w:rPr>
                    <w:t>外购</w:t>
                  </w:r>
                </w:p>
              </w:tc>
              <w:tc>
                <w:tcPr>
                  <w:tcW w:w="1725" w:type="dxa"/>
                  <w:vAlign w:val="center"/>
                </w:tcPr>
                <w:p>
                  <w:pPr>
                    <w:widowControl/>
                    <w:jc w:val="center"/>
                    <w:textAlignment w:val="center"/>
                    <w:rPr>
                      <w:rFonts w:eastAsiaTheme="minorEastAsia"/>
                      <w:szCs w:val="21"/>
                    </w:rPr>
                  </w:pPr>
                  <w:r>
                    <w:rPr>
                      <w:rFonts w:eastAsiaTheme="minorEastAsia"/>
                      <w:szCs w:val="21"/>
                    </w:rPr>
                    <w:t>配肥原料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04" w:type="dxa"/>
                  <w:vAlign w:val="center"/>
                </w:tcPr>
                <w:p>
                  <w:pPr>
                    <w:jc w:val="center"/>
                    <w:outlineLvl w:val="0"/>
                    <w:rPr>
                      <w:rFonts w:eastAsiaTheme="minorEastAsia"/>
                      <w:szCs w:val="21"/>
                    </w:rPr>
                  </w:pPr>
                  <w:bookmarkStart w:id="96" w:name="_Toc144233223"/>
                  <w:r>
                    <w:rPr>
                      <w:rFonts w:eastAsiaTheme="minorEastAsia"/>
                      <w:szCs w:val="21"/>
                    </w:rPr>
                    <w:t>13</w:t>
                  </w:r>
                  <w:bookmarkEnd w:id="96"/>
                </w:p>
              </w:tc>
              <w:tc>
                <w:tcPr>
                  <w:tcW w:w="2410" w:type="dxa"/>
                  <w:vAlign w:val="center"/>
                </w:tcPr>
                <w:p>
                  <w:pPr>
                    <w:widowControl/>
                    <w:jc w:val="center"/>
                    <w:textAlignment w:val="center"/>
                    <w:rPr>
                      <w:rFonts w:eastAsiaTheme="minorEastAsia"/>
                      <w:szCs w:val="21"/>
                    </w:rPr>
                  </w:pPr>
                  <w:r>
                    <w:rPr>
                      <w:rFonts w:eastAsiaTheme="minorEastAsia"/>
                      <w:szCs w:val="21"/>
                    </w:rPr>
                    <w:t>硫酸铵</w:t>
                  </w:r>
                </w:p>
              </w:tc>
              <w:tc>
                <w:tcPr>
                  <w:tcW w:w="1559" w:type="dxa"/>
                  <w:vAlign w:val="center"/>
                </w:tcPr>
                <w:p>
                  <w:pPr>
                    <w:widowControl/>
                    <w:jc w:val="center"/>
                    <w:textAlignment w:val="center"/>
                    <w:rPr>
                      <w:rFonts w:eastAsiaTheme="minorEastAsia"/>
                      <w:szCs w:val="21"/>
                    </w:rPr>
                  </w:pPr>
                  <w:r>
                    <w:rPr>
                      <w:rFonts w:eastAsiaTheme="minorEastAsia"/>
                      <w:szCs w:val="21"/>
                    </w:rPr>
                    <w:t>17</w:t>
                  </w:r>
                </w:p>
              </w:tc>
              <w:tc>
                <w:tcPr>
                  <w:tcW w:w="1276" w:type="dxa"/>
                  <w:vAlign w:val="center"/>
                </w:tcPr>
                <w:p>
                  <w:pPr>
                    <w:widowControl/>
                    <w:jc w:val="center"/>
                    <w:textAlignment w:val="center"/>
                    <w:rPr>
                      <w:rFonts w:eastAsiaTheme="minorEastAsia"/>
                      <w:szCs w:val="21"/>
                    </w:rPr>
                  </w:pPr>
                  <w:r>
                    <w:rPr>
                      <w:rFonts w:eastAsiaTheme="minorEastAsia"/>
                      <w:szCs w:val="21"/>
                    </w:rPr>
                    <w:t>1.4</w:t>
                  </w:r>
                </w:p>
              </w:tc>
              <w:tc>
                <w:tcPr>
                  <w:tcW w:w="1276" w:type="dxa"/>
                  <w:vAlign w:val="center"/>
                </w:tcPr>
                <w:p>
                  <w:pPr>
                    <w:widowControl/>
                    <w:jc w:val="center"/>
                    <w:textAlignment w:val="center"/>
                    <w:rPr>
                      <w:rFonts w:eastAsiaTheme="minorEastAsia"/>
                      <w:szCs w:val="21"/>
                    </w:rPr>
                  </w:pPr>
                  <w:r>
                    <w:rPr>
                      <w:rFonts w:eastAsiaTheme="minorEastAsia"/>
                      <w:szCs w:val="21"/>
                    </w:rPr>
                    <w:t>外购</w:t>
                  </w:r>
                </w:p>
              </w:tc>
              <w:tc>
                <w:tcPr>
                  <w:tcW w:w="1725" w:type="dxa"/>
                  <w:vAlign w:val="center"/>
                </w:tcPr>
                <w:p>
                  <w:pPr>
                    <w:widowControl/>
                    <w:jc w:val="center"/>
                    <w:textAlignment w:val="center"/>
                    <w:rPr>
                      <w:rFonts w:eastAsiaTheme="minorEastAsia"/>
                      <w:szCs w:val="21"/>
                    </w:rPr>
                  </w:pPr>
                  <w:r>
                    <w:rPr>
                      <w:rFonts w:eastAsiaTheme="minorEastAsia"/>
                      <w:szCs w:val="21"/>
                    </w:rPr>
                    <w:t>配肥原料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04" w:type="dxa"/>
                  <w:vAlign w:val="center"/>
                </w:tcPr>
                <w:p>
                  <w:pPr>
                    <w:jc w:val="center"/>
                    <w:outlineLvl w:val="0"/>
                    <w:rPr>
                      <w:rFonts w:eastAsiaTheme="minorEastAsia"/>
                      <w:szCs w:val="21"/>
                    </w:rPr>
                  </w:pPr>
                  <w:bookmarkStart w:id="97" w:name="_Toc144233224"/>
                  <w:r>
                    <w:rPr>
                      <w:rFonts w:eastAsiaTheme="minorEastAsia"/>
                      <w:szCs w:val="21"/>
                    </w:rPr>
                    <w:t>14</w:t>
                  </w:r>
                  <w:bookmarkEnd w:id="97"/>
                </w:p>
              </w:tc>
              <w:tc>
                <w:tcPr>
                  <w:tcW w:w="2410" w:type="dxa"/>
                  <w:vAlign w:val="center"/>
                </w:tcPr>
                <w:p>
                  <w:pPr>
                    <w:widowControl/>
                    <w:jc w:val="center"/>
                    <w:textAlignment w:val="center"/>
                    <w:rPr>
                      <w:rFonts w:eastAsiaTheme="minorEastAsia"/>
                      <w:szCs w:val="21"/>
                    </w:rPr>
                  </w:pPr>
                  <w:r>
                    <w:rPr>
                      <w:rFonts w:eastAsiaTheme="minorEastAsia"/>
                      <w:szCs w:val="21"/>
                    </w:rPr>
                    <w:t>硫酸钾</w:t>
                  </w:r>
                </w:p>
              </w:tc>
              <w:tc>
                <w:tcPr>
                  <w:tcW w:w="1559" w:type="dxa"/>
                  <w:vAlign w:val="center"/>
                </w:tcPr>
                <w:p>
                  <w:pPr>
                    <w:widowControl/>
                    <w:jc w:val="center"/>
                    <w:textAlignment w:val="center"/>
                    <w:rPr>
                      <w:rFonts w:eastAsiaTheme="minorEastAsia"/>
                      <w:szCs w:val="21"/>
                    </w:rPr>
                  </w:pPr>
                  <w:r>
                    <w:rPr>
                      <w:rFonts w:eastAsiaTheme="minorEastAsia"/>
                      <w:szCs w:val="21"/>
                    </w:rPr>
                    <w:t>14</w:t>
                  </w:r>
                </w:p>
              </w:tc>
              <w:tc>
                <w:tcPr>
                  <w:tcW w:w="1276" w:type="dxa"/>
                  <w:vAlign w:val="center"/>
                </w:tcPr>
                <w:p>
                  <w:pPr>
                    <w:widowControl/>
                    <w:jc w:val="center"/>
                    <w:textAlignment w:val="center"/>
                    <w:rPr>
                      <w:rFonts w:eastAsiaTheme="minorEastAsia"/>
                      <w:szCs w:val="21"/>
                    </w:rPr>
                  </w:pPr>
                  <w:r>
                    <w:rPr>
                      <w:rFonts w:eastAsiaTheme="minorEastAsia"/>
                      <w:szCs w:val="21"/>
                    </w:rPr>
                    <w:t>1.7</w:t>
                  </w:r>
                </w:p>
              </w:tc>
              <w:tc>
                <w:tcPr>
                  <w:tcW w:w="1276" w:type="dxa"/>
                  <w:vAlign w:val="center"/>
                </w:tcPr>
                <w:p>
                  <w:pPr>
                    <w:widowControl/>
                    <w:jc w:val="center"/>
                    <w:textAlignment w:val="center"/>
                    <w:rPr>
                      <w:rFonts w:eastAsiaTheme="minorEastAsia"/>
                      <w:szCs w:val="21"/>
                    </w:rPr>
                  </w:pPr>
                  <w:r>
                    <w:rPr>
                      <w:rFonts w:eastAsiaTheme="minorEastAsia"/>
                      <w:szCs w:val="21"/>
                    </w:rPr>
                    <w:t>外购</w:t>
                  </w:r>
                </w:p>
              </w:tc>
              <w:tc>
                <w:tcPr>
                  <w:tcW w:w="1725" w:type="dxa"/>
                  <w:vAlign w:val="center"/>
                </w:tcPr>
                <w:p>
                  <w:pPr>
                    <w:widowControl/>
                    <w:jc w:val="center"/>
                    <w:textAlignment w:val="center"/>
                    <w:rPr>
                      <w:rFonts w:eastAsiaTheme="minorEastAsia"/>
                      <w:szCs w:val="21"/>
                    </w:rPr>
                  </w:pPr>
                  <w:r>
                    <w:rPr>
                      <w:rFonts w:eastAsiaTheme="minorEastAsia"/>
                      <w:szCs w:val="21"/>
                    </w:rPr>
                    <w:t>配肥原料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04" w:type="dxa"/>
                  <w:vAlign w:val="center"/>
                </w:tcPr>
                <w:p>
                  <w:pPr>
                    <w:widowControl/>
                    <w:jc w:val="center"/>
                    <w:textAlignment w:val="center"/>
                    <w:rPr>
                      <w:rFonts w:eastAsiaTheme="minorEastAsia"/>
                      <w:szCs w:val="21"/>
                    </w:rPr>
                  </w:pPr>
                  <w:r>
                    <w:rPr>
                      <w:rFonts w:eastAsiaTheme="minorEastAsia"/>
                      <w:szCs w:val="21"/>
                    </w:rPr>
                    <w:t>15</w:t>
                  </w:r>
                </w:p>
              </w:tc>
              <w:tc>
                <w:tcPr>
                  <w:tcW w:w="2410" w:type="dxa"/>
                  <w:vAlign w:val="center"/>
                </w:tcPr>
                <w:p>
                  <w:pPr>
                    <w:widowControl/>
                    <w:jc w:val="center"/>
                    <w:textAlignment w:val="center"/>
                    <w:rPr>
                      <w:rFonts w:eastAsiaTheme="minorEastAsia"/>
                      <w:szCs w:val="21"/>
                    </w:rPr>
                  </w:pPr>
                  <w:r>
                    <w:rPr>
                      <w:rFonts w:eastAsiaTheme="minorEastAsia"/>
                      <w:szCs w:val="21"/>
                    </w:rPr>
                    <w:t>烯酰吗啉</w:t>
                  </w:r>
                </w:p>
              </w:tc>
              <w:tc>
                <w:tcPr>
                  <w:tcW w:w="1559" w:type="dxa"/>
                  <w:vAlign w:val="center"/>
                </w:tcPr>
                <w:p>
                  <w:pPr>
                    <w:widowControl/>
                    <w:jc w:val="center"/>
                    <w:textAlignment w:val="center"/>
                    <w:rPr>
                      <w:rFonts w:eastAsiaTheme="minorEastAsia"/>
                      <w:szCs w:val="21"/>
                    </w:rPr>
                  </w:pPr>
                  <w:r>
                    <w:rPr>
                      <w:rFonts w:eastAsiaTheme="minorEastAsia"/>
                      <w:szCs w:val="21"/>
                    </w:rPr>
                    <w:t>0.015</w:t>
                  </w:r>
                </w:p>
              </w:tc>
              <w:tc>
                <w:tcPr>
                  <w:tcW w:w="1276" w:type="dxa"/>
                  <w:vAlign w:val="center"/>
                </w:tcPr>
                <w:p>
                  <w:pPr>
                    <w:widowControl/>
                    <w:jc w:val="center"/>
                    <w:textAlignment w:val="center"/>
                    <w:rPr>
                      <w:rFonts w:eastAsiaTheme="minorEastAsia"/>
                      <w:szCs w:val="21"/>
                    </w:rPr>
                  </w:pPr>
                  <w:r>
                    <w:rPr>
                      <w:rFonts w:eastAsiaTheme="minorEastAsia"/>
                      <w:szCs w:val="21"/>
                    </w:rPr>
                    <w:t>0.0012</w:t>
                  </w:r>
                </w:p>
              </w:tc>
              <w:tc>
                <w:tcPr>
                  <w:tcW w:w="1276" w:type="dxa"/>
                  <w:vAlign w:val="center"/>
                </w:tcPr>
                <w:p>
                  <w:pPr>
                    <w:widowControl/>
                    <w:jc w:val="center"/>
                    <w:textAlignment w:val="center"/>
                    <w:rPr>
                      <w:rFonts w:eastAsiaTheme="minorEastAsia"/>
                      <w:szCs w:val="21"/>
                    </w:rPr>
                  </w:pPr>
                  <w:r>
                    <w:rPr>
                      <w:rFonts w:eastAsiaTheme="minorEastAsia"/>
                      <w:szCs w:val="21"/>
                    </w:rPr>
                    <w:t>外购</w:t>
                  </w:r>
                </w:p>
              </w:tc>
              <w:tc>
                <w:tcPr>
                  <w:tcW w:w="1725" w:type="dxa"/>
                  <w:vAlign w:val="center"/>
                </w:tcPr>
                <w:p>
                  <w:pPr>
                    <w:widowControl/>
                    <w:jc w:val="center"/>
                    <w:textAlignment w:val="center"/>
                    <w:rPr>
                      <w:rFonts w:eastAsiaTheme="minorEastAsia"/>
                      <w:szCs w:val="21"/>
                    </w:rPr>
                  </w:pPr>
                  <w:r>
                    <w:rPr>
                      <w:rFonts w:eastAsiaTheme="minorEastAsia"/>
                      <w:szCs w:val="21"/>
                    </w:rPr>
                    <w:t>防治病虫害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04" w:type="dxa"/>
                  <w:vAlign w:val="center"/>
                </w:tcPr>
                <w:p>
                  <w:pPr>
                    <w:widowControl/>
                    <w:jc w:val="center"/>
                    <w:textAlignment w:val="center"/>
                    <w:rPr>
                      <w:rFonts w:eastAsiaTheme="minorEastAsia"/>
                      <w:szCs w:val="21"/>
                    </w:rPr>
                  </w:pPr>
                  <w:r>
                    <w:rPr>
                      <w:rFonts w:eastAsiaTheme="minorEastAsia"/>
                      <w:szCs w:val="21"/>
                    </w:rPr>
                    <w:t>16</w:t>
                  </w:r>
                </w:p>
              </w:tc>
              <w:tc>
                <w:tcPr>
                  <w:tcW w:w="2410" w:type="dxa"/>
                  <w:vAlign w:val="center"/>
                </w:tcPr>
                <w:p>
                  <w:pPr>
                    <w:widowControl/>
                    <w:jc w:val="center"/>
                    <w:textAlignment w:val="center"/>
                    <w:rPr>
                      <w:rFonts w:eastAsiaTheme="minorEastAsia"/>
                      <w:szCs w:val="21"/>
                    </w:rPr>
                  </w:pPr>
                  <w:r>
                    <w:rPr>
                      <w:rFonts w:eastAsiaTheme="minorEastAsia"/>
                      <w:szCs w:val="21"/>
                    </w:rPr>
                    <w:t>银法利*氟菌霜霉威</w:t>
                  </w:r>
                </w:p>
              </w:tc>
              <w:tc>
                <w:tcPr>
                  <w:tcW w:w="1559" w:type="dxa"/>
                  <w:vAlign w:val="center"/>
                </w:tcPr>
                <w:p>
                  <w:pPr>
                    <w:widowControl/>
                    <w:jc w:val="center"/>
                    <w:textAlignment w:val="center"/>
                    <w:rPr>
                      <w:rFonts w:eastAsiaTheme="minorEastAsia"/>
                      <w:szCs w:val="21"/>
                    </w:rPr>
                  </w:pPr>
                  <w:r>
                    <w:rPr>
                      <w:rFonts w:eastAsiaTheme="minorEastAsia"/>
                      <w:szCs w:val="21"/>
                    </w:rPr>
                    <w:t>0.015</w:t>
                  </w:r>
                </w:p>
              </w:tc>
              <w:tc>
                <w:tcPr>
                  <w:tcW w:w="1276" w:type="dxa"/>
                  <w:vAlign w:val="center"/>
                </w:tcPr>
                <w:p>
                  <w:pPr>
                    <w:widowControl/>
                    <w:jc w:val="center"/>
                    <w:textAlignment w:val="center"/>
                    <w:rPr>
                      <w:rFonts w:eastAsiaTheme="minorEastAsia"/>
                      <w:szCs w:val="21"/>
                    </w:rPr>
                  </w:pPr>
                  <w:r>
                    <w:rPr>
                      <w:rFonts w:eastAsiaTheme="minorEastAsia"/>
                      <w:szCs w:val="21"/>
                    </w:rPr>
                    <w:t>0.0012</w:t>
                  </w:r>
                </w:p>
              </w:tc>
              <w:tc>
                <w:tcPr>
                  <w:tcW w:w="1276" w:type="dxa"/>
                  <w:vAlign w:val="center"/>
                </w:tcPr>
                <w:p>
                  <w:pPr>
                    <w:widowControl/>
                    <w:jc w:val="center"/>
                    <w:textAlignment w:val="center"/>
                    <w:rPr>
                      <w:rFonts w:eastAsiaTheme="minorEastAsia"/>
                      <w:szCs w:val="21"/>
                    </w:rPr>
                  </w:pPr>
                  <w:r>
                    <w:rPr>
                      <w:rFonts w:eastAsiaTheme="minorEastAsia"/>
                      <w:szCs w:val="21"/>
                    </w:rPr>
                    <w:t>外购</w:t>
                  </w:r>
                </w:p>
              </w:tc>
              <w:tc>
                <w:tcPr>
                  <w:tcW w:w="1725" w:type="dxa"/>
                  <w:vAlign w:val="center"/>
                </w:tcPr>
                <w:p>
                  <w:pPr>
                    <w:widowControl/>
                    <w:jc w:val="center"/>
                    <w:textAlignment w:val="center"/>
                    <w:rPr>
                      <w:rFonts w:eastAsiaTheme="minorEastAsia"/>
                      <w:szCs w:val="21"/>
                    </w:rPr>
                  </w:pPr>
                  <w:r>
                    <w:rPr>
                      <w:rFonts w:eastAsiaTheme="minorEastAsia"/>
                      <w:szCs w:val="21"/>
                    </w:rPr>
                    <w:t>防治病虫害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04" w:type="dxa"/>
                  <w:vAlign w:val="center"/>
                </w:tcPr>
                <w:p>
                  <w:pPr>
                    <w:widowControl/>
                    <w:jc w:val="center"/>
                    <w:textAlignment w:val="center"/>
                    <w:rPr>
                      <w:rFonts w:eastAsiaTheme="minorEastAsia"/>
                      <w:szCs w:val="21"/>
                    </w:rPr>
                  </w:pPr>
                  <w:r>
                    <w:rPr>
                      <w:rFonts w:eastAsiaTheme="minorEastAsia"/>
                      <w:szCs w:val="21"/>
                    </w:rPr>
                    <w:t>17</w:t>
                  </w:r>
                </w:p>
              </w:tc>
              <w:tc>
                <w:tcPr>
                  <w:tcW w:w="2410" w:type="dxa"/>
                  <w:vAlign w:val="center"/>
                </w:tcPr>
                <w:p>
                  <w:pPr>
                    <w:widowControl/>
                    <w:jc w:val="center"/>
                    <w:textAlignment w:val="center"/>
                    <w:rPr>
                      <w:rFonts w:eastAsiaTheme="minorEastAsia"/>
                      <w:szCs w:val="21"/>
                    </w:rPr>
                  </w:pPr>
                  <w:r>
                    <w:rPr>
                      <w:rFonts w:eastAsiaTheme="minorEastAsia"/>
                      <w:szCs w:val="21"/>
                    </w:rPr>
                    <w:t>抑快净*噁酮*霜脲氰</w:t>
                  </w:r>
                </w:p>
              </w:tc>
              <w:tc>
                <w:tcPr>
                  <w:tcW w:w="1559" w:type="dxa"/>
                  <w:vAlign w:val="center"/>
                </w:tcPr>
                <w:p>
                  <w:pPr>
                    <w:widowControl/>
                    <w:jc w:val="center"/>
                    <w:textAlignment w:val="center"/>
                    <w:rPr>
                      <w:rFonts w:eastAsiaTheme="minorEastAsia"/>
                      <w:szCs w:val="21"/>
                    </w:rPr>
                  </w:pPr>
                  <w:r>
                    <w:rPr>
                      <w:rFonts w:eastAsiaTheme="minorEastAsia"/>
                      <w:szCs w:val="21"/>
                    </w:rPr>
                    <w:t>0.012</w:t>
                  </w:r>
                </w:p>
              </w:tc>
              <w:tc>
                <w:tcPr>
                  <w:tcW w:w="1276" w:type="dxa"/>
                  <w:vAlign w:val="center"/>
                </w:tcPr>
                <w:p>
                  <w:pPr>
                    <w:widowControl/>
                    <w:jc w:val="center"/>
                    <w:textAlignment w:val="center"/>
                    <w:rPr>
                      <w:rFonts w:eastAsiaTheme="minorEastAsia"/>
                      <w:szCs w:val="21"/>
                    </w:rPr>
                  </w:pPr>
                  <w:r>
                    <w:rPr>
                      <w:rFonts w:eastAsiaTheme="minorEastAsia"/>
                      <w:szCs w:val="21"/>
                    </w:rPr>
                    <w:t>0.0012</w:t>
                  </w:r>
                </w:p>
              </w:tc>
              <w:tc>
                <w:tcPr>
                  <w:tcW w:w="1276" w:type="dxa"/>
                  <w:vAlign w:val="center"/>
                </w:tcPr>
                <w:p>
                  <w:pPr>
                    <w:widowControl/>
                    <w:jc w:val="center"/>
                    <w:textAlignment w:val="center"/>
                    <w:rPr>
                      <w:rFonts w:eastAsiaTheme="minorEastAsia"/>
                      <w:szCs w:val="21"/>
                    </w:rPr>
                  </w:pPr>
                  <w:r>
                    <w:rPr>
                      <w:rFonts w:eastAsiaTheme="minorEastAsia"/>
                      <w:szCs w:val="21"/>
                    </w:rPr>
                    <w:t>外购</w:t>
                  </w:r>
                </w:p>
              </w:tc>
              <w:tc>
                <w:tcPr>
                  <w:tcW w:w="1725" w:type="dxa"/>
                  <w:vAlign w:val="center"/>
                </w:tcPr>
                <w:p>
                  <w:pPr>
                    <w:widowControl/>
                    <w:jc w:val="center"/>
                    <w:textAlignment w:val="center"/>
                    <w:rPr>
                      <w:rFonts w:eastAsiaTheme="minorEastAsia"/>
                      <w:szCs w:val="21"/>
                    </w:rPr>
                  </w:pPr>
                  <w:r>
                    <w:rPr>
                      <w:rFonts w:eastAsiaTheme="minorEastAsia"/>
                      <w:szCs w:val="21"/>
                    </w:rPr>
                    <w:t>防治病虫害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04" w:type="dxa"/>
                  <w:vAlign w:val="center"/>
                </w:tcPr>
                <w:p>
                  <w:pPr>
                    <w:widowControl/>
                    <w:jc w:val="center"/>
                    <w:textAlignment w:val="center"/>
                    <w:rPr>
                      <w:rFonts w:eastAsiaTheme="minorEastAsia"/>
                      <w:szCs w:val="21"/>
                    </w:rPr>
                  </w:pPr>
                  <w:r>
                    <w:rPr>
                      <w:rFonts w:eastAsiaTheme="minorEastAsia"/>
                      <w:szCs w:val="21"/>
                    </w:rPr>
                    <w:t>18</w:t>
                  </w:r>
                </w:p>
              </w:tc>
              <w:tc>
                <w:tcPr>
                  <w:tcW w:w="2410" w:type="dxa"/>
                  <w:vAlign w:val="center"/>
                </w:tcPr>
                <w:p>
                  <w:pPr>
                    <w:widowControl/>
                    <w:jc w:val="center"/>
                    <w:textAlignment w:val="center"/>
                    <w:rPr>
                      <w:rFonts w:eastAsiaTheme="minorEastAsia"/>
                      <w:szCs w:val="21"/>
                    </w:rPr>
                  </w:pPr>
                  <w:r>
                    <w:rPr>
                      <w:rFonts w:eastAsiaTheme="minorEastAsia"/>
                      <w:szCs w:val="21"/>
                    </w:rPr>
                    <w:t>诺凡*霜脲嘧菌酯</w:t>
                  </w:r>
                </w:p>
              </w:tc>
              <w:tc>
                <w:tcPr>
                  <w:tcW w:w="1559" w:type="dxa"/>
                  <w:vAlign w:val="center"/>
                </w:tcPr>
                <w:p>
                  <w:pPr>
                    <w:widowControl/>
                    <w:jc w:val="center"/>
                    <w:textAlignment w:val="center"/>
                    <w:rPr>
                      <w:rFonts w:eastAsiaTheme="minorEastAsia"/>
                      <w:szCs w:val="21"/>
                    </w:rPr>
                  </w:pPr>
                  <w:r>
                    <w:rPr>
                      <w:rFonts w:eastAsiaTheme="minorEastAsia"/>
                      <w:szCs w:val="21"/>
                    </w:rPr>
                    <w:t>0.01</w:t>
                  </w:r>
                </w:p>
              </w:tc>
              <w:tc>
                <w:tcPr>
                  <w:tcW w:w="1276" w:type="dxa"/>
                  <w:vAlign w:val="center"/>
                </w:tcPr>
                <w:p>
                  <w:pPr>
                    <w:widowControl/>
                    <w:jc w:val="center"/>
                    <w:textAlignment w:val="center"/>
                    <w:rPr>
                      <w:rFonts w:eastAsiaTheme="minorEastAsia"/>
                      <w:szCs w:val="21"/>
                    </w:rPr>
                  </w:pPr>
                  <w:r>
                    <w:rPr>
                      <w:rFonts w:eastAsiaTheme="minorEastAsia"/>
                      <w:szCs w:val="21"/>
                    </w:rPr>
                    <w:t>0.0008</w:t>
                  </w:r>
                </w:p>
              </w:tc>
              <w:tc>
                <w:tcPr>
                  <w:tcW w:w="1276" w:type="dxa"/>
                  <w:vAlign w:val="center"/>
                </w:tcPr>
                <w:p>
                  <w:pPr>
                    <w:widowControl/>
                    <w:jc w:val="center"/>
                    <w:textAlignment w:val="center"/>
                    <w:rPr>
                      <w:rFonts w:eastAsiaTheme="minorEastAsia"/>
                      <w:szCs w:val="21"/>
                    </w:rPr>
                  </w:pPr>
                  <w:r>
                    <w:rPr>
                      <w:rFonts w:eastAsiaTheme="minorEastAsia"/>
                      <w:szCs w:val="21"/>
                    </w:rPr>
                    <w:t>外购</w:t>
                  </w:r>
                </w:p>
              </w:tc>
              <w:tc>
                <w:tcPr>
                  <w:tcW w:w="1725" w:type="dxa"/>
                  <w:vAlign w:val="center"/>
                </w:tcPr>
                <w:p>
                  <w:pPr>
                    <w:widowControl/>
                    <w:jc w:val="center"/>
                    <w:textAlignment w:val="center"/>
                    <w:rPr>
                      <w:rFonts w:eastAsiaTheme="minorEastAsia"/>
                      <w:szCs w:val="21"/>
                    </w:rPr>
                  </w:pPr>
                  <w:r>
                    <w:rPr>
                      <w:rFonts w:eastAsiaTheme="minorEastAsia"/>
                      <w:szCs w:val="21"/>
                    </w:rPr>
                    <w:t>防治病虫害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04" w:type="dxa"/>
                  <w:vAlign w:val="center"/>
                </w:tcPr>
                <w:p>
                  <w:pPr>
                    <w:widowControl/>
                    <w:jc w:val="center"/>
                    <w:textAlignment w:val="center"/>
                    <w:rPr>
                      <w:rFonts w:eastAsiaTheme="minorEastAsia"/>
                      <w:szCs w:val="21"/>
                    </w:rPr>
                  </w:pPr>
                  <w:r>
                    <w:rPr>
                      <w:rFonts w:eastAsiaTheme="minorEastAsia"/>
                      <w:szCs w:val="21"/>
                    </w:rPr>
                    <w:t>19</w:t>
                  </w:r>
                </w:p>
              </w:tc>
              <w:tc>
                <w:tcPr>
                  <w:tcW w:w="2410" w:type="dxa"/>
                  <w:vAlign w:val="center"/>
                </w:tcPr>
                <w:p>
                  <w:pPr>
                    <w:widowControl/>
                    <w:jc w:val="center"/>
                    <w:textAlignment w:val="center"/>
                    <w:rPr>
                      <w:rFonts w:eastAsiaTheme="minorEastAsia"/>
                      <w:szCs w:val="21"/>
                    </w:rPr>
                  </w:pPr>
                  <w:r>
                    <w:rPr>
                      <w:rFonts w:eastAsiaTheme="minorEastAsia"/>
                      <w:szCs w:val="21"/>
                    </w:rPr>
                    <w:t>甲霜锰锌</w:t>
                  </w:r>
                </w:p>
              </w:tc>
              <w:tc>
                <w:tcPr>
                  <w:tcW w:w="1559" w:type="dxa"/>
                  <w:vAlign w:val="center"/>
                </w:tcPr>
                <w:p>
                  <w:pPr>
                    <w:widowControl/>
                    <w:jc w:val="center"/>
                    <w:textAlignment w:val="center"/>
                    <w:rPr>
                      <w:rFonts w:eastAsiaTheme="minorEastAsia"/>
                      <w:szCs w:val="21"/>
                    </w:rPr>
                  </w:pPr>
                  <w:r>
                    <w:rPr>
                      <w:rFonts w:eastAsiaTheme="minorEastAsia"/>
                      <w:szCs w:val="21"/>
                    </w:rPr>
                    <w:t>0.008</w:t>
                  </w:r>
                </w:p>
              </w:tc>
              <w:tc>
                <w:tcPr>
                  <w:tcW w:w="1276" w:type="dxa"/>
                  <w:vAlign w:val="center"/>
                </w:tcPr>
                <w:p>
                  <w:pPr>
                    <w:widowControl/>
                    <w:jc w:val="center"/>
                    <w:textAlignment w:val="center"/>
                    <w:rPr>
                      <w:rFonts w:eastAsiaTheme="minorEastAsia"/>
                      <w:szCs w:val="21"/>
                    </w:rPr>
                  </w:pPr>
                  <w:r>
                    <w:rPr>
                      <w:rFonts w:eastAsiaTheme="minorEastAsia"/>
                      <w:szCs w:val="21"/>
                    </w:rPr>
                    <w:t>0.0007</w:t>
                  </w:r>
                </w:p>
              </w:tc>
              <w:tc>
                <w:tcPr>
                  <w:tcW w:w="1276" w:type="dxa"/>
                  <w:vAlign w:val="center"/>
                </w:tcPr>
                <w:p>
                  <w:pPr>
                    <w:widowControl/>
                    <w:jc w:val="center"/>
                    <w:textAlignment w:val="center"/>
                    <w:rPr>
                      <w:rFonts w:eastAsiaTheme="minorEastAsia"/>
                      <w:szCs w:val="21"/>
                    </w:rPr>
                  </w:pPr>
                  <w:r>
                    <w:rPr>
                      <w:rFonts w:eastAsiaTheme="minorEastAsia"/>
                      <w:szCs w:val="21"/>
                    </w:rPr>
                    <w:t>外购</w:t>
                  </w:r>
                </w:p>
              </w:tc>
              <w:tc>
                <w:tcPr>
                  <w:tcW w:w="1725" w:type="dxa"/>
                  <w:vAlign w:val="center"/>
                </w:tcPr>
                <w:p>
                  <w:pPr>
                    <w:widowControl/>
                    <w:jc w:val="center"/>
                    <w:textAlignment w:val="center"/>
                    <w:rPr>
                      <w:rFonts w:eastAsiaTheme="minorEastAsia"/>
                      <w:szCs w:val="21"/>
                    </w:rPr>
                  </w:pPr>
                  <w:r>
                    <w:rPr>
                      <w:rFonts w:eastAsiaTheme="minorEastAsia"/>
                      <w:szCs w:val="21"/>
                    </w:rPr>
                    <w:t>防治病虫害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04" w:type="dxa"/>
                  <w:vAlign w:val="center"/>
                </w:tcPr>
                <w:p>
                  <w:pPr>
                    <w:widowControl/>
                    <w:jc w:val="center"/>
                    <w:textAlignment w:val="center"/>
                    <w:rPr>
                      <w:rFonts w:eastAsiaTheme="minorEastAsia"/>
                      <w:szCs w:val="21"/>
                    </w:rPr>
                  </w:pPr>
                  <w:r>
                    <w:rPr>
                      <w:rFonts w:eastAsiaTheme="minorEastAsia"/>
                      <w:szCs w:val="21"/>
                    </w:rPr>
                    <w:t>20</w:t>
                  </w:r>
                </w:p>
              </w:tc>
              <w:tc>
                <w:tcPr>
                  <w:tcW w:w="2410" w:type="dxa"/>
                  <w:vAlign w:val="center"/>
                </w:tcPr>
                <w:p>
                  <w:pPr>
                    <w:widowControl/>
                    <w:jc w:val="center"/>
                    <w:textAlignment w:val="center"/>
                    <w:rPr>
                      <w:rFonts w:eastAsiaTheme="minorEastAsia"/>
                      <w:szCs w:val="21"/>
                    </w:rPr>
                  </w:pPr>
                  <w:r>
                    <w:rPr>
                      <w:rFonts w:eastAsiaTheme="minorEastAsia"/>
                      <w:szCs w:val="21"/>
                    </w:rPr>
                    <w:t>肟菌.戊唑醇</w:t>
                  </w:r>
                </w:p>
              </w:tc>
              <w:tc>
                <w:tcPr>
                  <w:tcW w:w="1559" w:type="dxa"/>
                  <w:vAlign w:val="center"/>
                </w:tcPr>
                <w:p>
                  <w:pPr>
                    <w:widowControl/>
                    <w:jc w:val="center"/>
                    <w:textAlignment w:val="center"/>
                    <w:rPr>
                      <w:rFonts w:eastAsiaTheme="minorEastAsia"/>
                      <w:szCs w:val="21"/>
                    </w:rPr>
                  </w:pPr>
                  <w:r>
                    <w:rPr>
                      <w:rFonts w:eastAsiaTheme="minorEastAsia"/>
                      <w:szCs w:val="21"/>
                    </w:rPr>
                    <w:t>0.01</w:t>
                  </w:r>
                </w:p>
              </w:tc>
              <w:tc>
                <w:tcPr>
                  <w:tcW w:w="1276" w:type="dxa"/>
                  <w:vAlign w:val="center"/>
                </w:tcPr>
                <w:p>
                  <w:pPr>
                    <w:widowControl/>
                    <w:jc w:val="center"/>
                    <w:textAlignment w:val="center"/>
                    <w:rPr>
                      <w:rFonts w:eastAsiaTheme="minorEastAsia"/>
                      <w:szCs w:val="21"/>
                    </w:rPr>
                  </w:pPr>
                  <w:r>
                    <w:rPr>
                      <w:rFonts w:eastAsiaTheme="minorEastAsia"/>
                      <w:szCs w:val="21"/>
                    </w:rPr>
                    <w:t>0.0008</w:t>
                  </w:r>
                </w:p>
              </w:tc>
              <w:tc>
                <w:tcPr>
                  <w:tcW w:w="1276" w:type="dxa"/>
                  <w:vAlign w:val="center"/>
                </w:tcPr>
                <w:p>
                  <w:pPr>
                    <w:widowControl/>
                    <w:jc w:val="center"/>
                    <w:textAlignment w:val="center"/>
                    <w:rPr>
                      <w:rFonts w:eastAsiaTheme="minorEastAsia"/>
                      <w:szCs w:val="21"/>
                    </w:rPr>
                  </w:pPr>
                  <w:r>
                    <w:rPr>
                      <w:rFonts w:eastAsiaTheme="minorEastAsia"/>
                      <w:szCs w:val="21"/>
                    </w:rPr>
                    <w:t>外购</w:t>
                  </w:r>
                </w:p>
              </w:tc>
              <w:tc>
                <w:tcPr>
                  <w:tcW w:w="1725" w:type="dxa"/>
                  <w:vAlign w:val="center"/>
                </w:tcPr>
                <w:p>
                  <w:pPr>
                    <w:widowControl/>
                    <w:jc w:val="center"/>
                    <w:textAlignment w:val="center"/>
                    <w:rPr>
                      <w:rFonts w:eastAsiaTheme="minorEastAsia"/>
                      <w:szCs w:val="21"/>
                    </w:rPr>
                  </w:pPr>
                  <w:r>
                    <w:rPr>
                      <w:rFonts w:eastAsiaTheme="minorEastAsia"/>
                      <w:szCs w:val="21"/>
                    </w:rPr>
                    <w:t>防治病虫害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04" w:type="dxa"/>
                  <w:vAlign w:val="center"/>
                </w:tcPr>
                <w:p>
                  <w:pPr>
                    <w:widowControl/>
                    <w:jc w:val="center"/>
                    <w:textAlignment w:val="center"/>
                    <w:rPr>
                      <w:rFonts w:eastAsiaTheme="minorEastAsia"/>
                      <w:szCs w:val="21"/>
                    </w:rPr>
                  </w:pPr>
                  <w:r>
                    <w:rPr>
                      <w:rFonts w:eastAsiaTheme="minorEastAsia"/>
                      <w:szCs w:val="21"/>
                    </w:rPr>
                    <w:t>21</w:t>
                  </w:r>
                </w:p>
              </w:tc>
              <w:tc>
                <w:tcPr>
                  <w:tcW w:w="2410" w:type="dxa"/>
                  <w:vAlign w:val="center"/>
                </w:tcPr>
                <w:p>
                  <w:pPr>
                    <w:widowControl/>
                    <w:jc w:val="center"/>
                    <w:textAlignment w:val="center"/>
                    <w:rPr>
                      <w:rFonts w:eastAsiaTheme="minorEastAsia"/>
                      <w:szCs w:val="21"/>
                    </w:rPr>
                  </w:pPr>
                  <w:r>
                    <w:rPr>
                      <w:rFonts w:eastAsiaTheme="minorEastAsia"/>
                      <w:szCs w:val="21"/>
                    </w:rPr>
                    <w:t>腈菌唑</w:t>
                  </w:r>
                </w:p>
              </w:tc>
              <w:tc>
                <w:tcPr>
                  <w:tcW w:w="1559" w:type="dxa"/>
                  <w:vAlign w:val="center"/>
                </w:tcPr>
                <w:p>
                  <w:pPr>
                    <w:widowControl/>
                    <w:jc w:val="center"/>
                    <w:textAlignment w:val="center"/>
                    <w:rPr>
                      <w:rFonts w:eastAsiaTheme="minorEastAsia"/>
                      <w:szCs w:val="21"/>
                    </w:rPr>
                  </w:pPr>
                  <w:r>
                    <w:rPr>
                      <w:rFonts w:eastAsiaTheme="minorEastAsia"/>
                      <w:szCs w:val="21"/>
                    </w:rPr>
                    <w:t>0.005</w:t>
                  </w:r>
                </w:p>
              </w:tc>
              <w:tc>
                <w:tcPr>
                  <w:tcW w:w="1276" w:type="dxa"/>
                  <w:vAlign w:val="center"/>
                </w:tcPr>
                <w:p>
                  <w:pPr>
                    <w:widowControl/>
                    <w:jc w:val="center"/>
                    <w:textAlignment w:val="center"/>
                    <w:rPr>
                      <w:rFonts w:eastAsiaTheme="minorEastAsia"/>
                      <w:szCs w:val="21"/>
                    </w:rPr>
                  </w:pPr>
                  <w:r>
                    <w:rPr>
                      <w:rFonts w:eastAsiaTheme="minorEastAsia"/>
                      <w:szCs w:val="21"/>
                    </w:rPr>
                    <w:t>0.0004</w:t>
                  </w:r>
                </w:p>
              </w:tc>
              <w:tc>
                <w:tcPr>
                  <w:tcW w:w="1276" w:type="dxa"/>
                  <w:vAlign w:val="center"/>
                </w:tcPr>
                <w:p>
                  <w:pPr>
                    <w:widowControl/>
                    <w:jc w:val="center"/>
                    <w:textAlignment w:val="center"/>
                    <w:rPr>
                      <w:rFonts w:eastAsiaTheme="minorEastAsia"/>
                      <w:szCs w:val="21"/>
                    </w:rPr>
                  </w:pPr>
                  <w:r>
                    <w:rPr>
                      <w:rFonts w:eastAsiaTheme="minorEastAsia"/>
                      <w:szCs w:val="21"/>
                    </w:rPr>
                    <w:t>外购</w:t>
                  </w:r>
                </w:p>
              </w:tc>
              <w:tc>
                <w:tcPr>
                  <w:tcW w:w="1725" w:type="dxa"/>
                  <w:vAlign w:val="center"/>
                </w:tcPr>
                <w:p>
                  <w:pPr>
                    <w:widowControl/>
                    <w:jc w:val="center"/>
                    <w:textAlignment w:val="center"/>
                    <w:rPr>
                      <w:rFonts w:eastAsiaTheme="minorEastAsia"/>
                      <w:szCs w:val="21"/>
                    </w:rPr>
                  </w:pPr>
                  <w:r>
                    <w:rPr>
                      <w:rFonts w:eastAsiaTheme="minorEastAsia"/>
                      <w:szCs w:val="21"/>
                    </w:rPr>
                    <w:t>防治病虫害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04" w:type="dxa"/>
                  <w:vAlign w:val="center"/>
                </w:tcPr>
                <w:p>
                  <w:pPr>
                    <w:widowControl/>
                    <w:jc w:val="center"/>
                    <w:textAlignment w:val="center"/>
                    <w:rPr>
                      <w:rFonts w:eastAsiaTheme="minorEastAsia"/>
                      <w:szCs w:val="21"/>
                    </w:rPr>
                  </w:pPr>
                  <w:r>
                    <w:rPr>
                      <w:rFonts w:eastAsiaTheme="minorEastAsia"/>
                      <w:szCs w:val="21"/>
                    </w:rPr>
                    <w:t>22</w:t>
                  </w:r>
                </w:p>
              </w:tc>
              <w:tc>
                <w:tcPr>
                  <w:tcW w:w="2410" w:type="dxa"/>
                  <w:vAlign w:val="center"/>
                </w:tcPr>
                <w:p>
                  <w:pPr>
                    <w:widowControl/>
                    <w:jc w:val="center"/>
                    <w:textAlignment w:val="center"/>
                    <w:rPr>
                      <w:rFonts w:eastAsiaTheme="minorEastAsia"/>
                      <w:szCs w:val="21"/>
                    </w:rPr>
                  </w:pPr>
                  <w:r>
                    <w:rPr>
                      <w:rFonts w:eastAsiaTheme="minorEastAsia"/>
                      <w:szCs w:val="21"/>
                    </w:rPr>
                    <w:t>乙嘧酚磺酸酯</w:t>
                  </w:r>
                </w:p>
              </w:tc>
              <w:tc>
                <w:tcPr>
                  <w:tcW w:w="1559" w:type="dxa"/>
                  <w:vAlign w:val="center"/>
                </w:tcPr>
                <w:p>
                  <w:pPr>
                    <w:widowControl/>
                    <w:jc w:val="center"/>
                    <w:textAlignment w:val="center"/>
                    <w:rPr>
                      <w:rFonts w:eastAsiaTheme="minorEastAsia"/>
                      <w:szCs w:val="21"/>
                    </w:rPr>
                  </w:pPr>
                  <w:r>
                    <w:rPr>
                      <w:rFonts w:eastAsiaTheme="minorEastAsia"/>
                      <w:szCs w:val="21"/>
                    </w:rPr>
                    <w:t>0.01</w:t>
                  </w:r>
                </w:p>
              </w:tc>
              <w:tc>
                <w:tcPr>
                  <w:tcW w:w="1276" w:type="dxa"/>
                  <w:vAlign w:val="center"/>
                </w:tcPr>
                <w:p>
                  <w:pPr>
                    <w:widowControl/>
                    <w:jc w:val="center"/>
                    <w:textAlignment w:val="center"/>
                    <w:rPr>
                      <w:rFonts w:eastAsiaTheme="minorEastAsia"/>
                      <w:szCs w:val="21"/>
                    </w:rPr>
                  </w:pPr>
                  <w:r>
                    <w:rPr>
                      <w:rFonts w:eastAsiaTheme="minorEastAsia"/>
                      <w:szCs w:val="21"/>
                    </w:rPr>
                    <w:t>0.0008</w:t>
                  </w:r>
                </w:p>
              </w:tc>
              <w:tc>
                <w:tcPr>
                  <w:tcW w:w="1276" w:type="dxa"/>
                  <w:vAlign w:val="center"/>
                </w:tcPr>
                <w:p>
                  <w:pPr>
                    <w:widowControl/>
                    <w:jc w:val="center"/>
                    <w:textAlignment w:val="center"/>
                    <w:rPr>
                      <w:rFonts w:eastAsiaTheme="minorEastAsia"/>
                      <w:szCs w:val="21"/>
                    </w:rPr>
                  </w:pPr>
                  <w:r>
                    <w:rPr>
                      <w:rFonts w:eastAsiaTheme="minorEastAsia"/>
                      <w:szCs w:val="21"/>
                    </w:rPr>
                    <w:t>外购</w:t>
                  </w:r>
                </w:p>
              </w:tc>
              <w:tc>
                <w:tcPr>
                  <w:tcW w:w="1725" w:type="dxa"/>
                  <w:vAlign w:val="center"/>
                </w:tcPr>
                <w:p>
                  <w:pPr>
                    <w:widowControl/>
                    <w:jc w:val="center"/>
                    <w:textAlignment w:val="center"/>
                    <w:rPr>
                      <w:rFonts w:eastAsiaTheme="minorEastAsia"/>
                      <w:szCs w:val="21"/>
                    </w:rPr>
                  </w:pPr>
                  <w:r>
                    <w:rPr>
                      <w:rFonts w:eastAsiaTheme="minorEastAsia"/>
                      <w:szCs w:val="21"/>
                    </w:rPr>
                    <w:t>防治病虫害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04" w:type="dxa"/>
                  <w:vAlign w:val="center"/>
                </w:tcPr>
                <w:p>
                  <w:pPr>
                    <w:widowControl/>
                    <w:jc w:val="center"/>
                    <w:textAlignment w:val="center"/>
                    <w:rPr>
                      <w:rFonts w:eastAsiaTheme="minorEastAsia"/>
                      <w:szCs w:val="21"/>
                    </w:rPr>
                  </w:pPr>
                  <w:r>
                    <w:rPr>
                      <w:rFonts w:eastAsiaTheme="minorEastAsia"/>
                      <w:szCs w:val="21"/>
                    </w:rPr>
                    <w:t>23</w:t>
                  </w:r>
                </w:p>
              </w:tc>
              <w:tc>
                <w:tcPr>
                  <w:tcW w:w="2410" w:type="dxa"/>
                  <w:vAlign w:val="center"/>
                </w:tcPr>
                <w:p>
                  <w:pPr>
                    <w:widowControl/>
                    <w:jc w:val="center"/>
                    <w:textAlignment w:val="center"/>
                    <w:rPr>
                      <w:rFonts w:eastAsiaTheme="minorEastAsia"/>
                      <w:szCs w:val="21"/>
                    </w:rPr>
                  </w:pPr>
                  <w:r>
                    <w:rPr>
                      <w:rFonts w:eastAsiaTheme="minorEastAsia"/>
                      <w:szCs w:val="21"/>
                    </w:rPr>
                    <w:t>丁子香酚</w:t>
                  </w:r>
                </w:p>
              </w:tc>
              <w:tc>
                <w:tcPr>
                  <w:tcW w:w="1559" w:type="dxa"/>
                  <w:vAlign w:val="center"/>
                </w:tcPr>
                <w:p>
                  <w:pPr>
                    <w:widowControl/>
                    <w:jc w:val="center"/>
                    <w:textAlignment w:val="center"/>
                    <w:rPr>
                      <w:rFonts w:eastAsiaTheme="minorEastAsia"/>
                      <w:szCs w:val="21"/>
                    </w:rPr>
                  </w:pPr>
                  <w:r>
                    <w:rPr>
                      <w:rFonts w:eastAsiaTheme="minorEastAsia"/>
                      <w:szCs w:val="21"/>
                    </w:rPr>
                    <w:t>0.008</w:t>
                  </w:r>
                </w:p>
              </w:tc>
              <w:tc>
                <w:tcPr>
                  <w:tcW w:w="1276" w:type="dxa"/>
                  <w:vAlign w:val="center"/>
                </w:tcPr>
                <w:p>
                  <w:pPr>
                    <w:widowControl/>
                    <w:jc w:val="center"/>
                    <w:textAlignment w:val="center"/>
                    <w:rPr>
                      <w:rFonts w:eastAsiaTheme="minorEastAsia"/>
                      <w:szCs w:val="21"/>
                    </w:rPr>
                  </w:pPr>
                  <w:r>
                    <w:rPr>
                      <w:rFonts w:eastAsiaTheme="minorEastAsia"/>
                      <w:szCs w:val="21"/>
                    </w:rPr>
                    <w:t>0.0007</w:t>
                  </w:r>
                </w:p>
              </w:tc>
              <w:tc>
                <w:tcPr>
                  <w:tcW w:w="1276" w:type="dxa"/>
                  <w:vAlign w:val="center"/>
                </w:tcPr>
                <w:p>
                  <w:pPr>
                    <w:widowControl/>
                    <w:jc w:val="center"/>
                    <w:textAlignment w:val="center"/>
                    <w:rPr>
                      <w:rFonts w:eastAsiaTheme="minorEastAsia"/>
                      <w:szCs w:val="21"/>
                    </w:rPr>
                  </w:pPr>
                  <w:r>
                    <w:rPr>
                      <w:rFonts w:eastAsiaTheme="minorEastAsia"/>
                      <w:szCs w:val="21"/>
                    </w:rPr>
                    <w:t>外购</w:t>
                  </w:r>
                </w:p>
              </w:tc>
              <w:tc>
                <w:tcPr>
                  <w:tcW w:w="1725" w:type="dxa"/>
                  <w:vAlign w:val="center"/>
                </w:tcPr>
                <w:p>
                  <w:pPr>
                    <w:widowControl/>
                    <w:jc w:val="center"/>
                    <w:textAlignment w:val="center"/>
                    <w:rPr>
                      <w:rFonts w:eastAsiaTheme="minorEastAsia"/>
                      <w:szCs w:val="21"/>
                    </w:rPr>
                  </w:pPr>
                  <w:r>
                    <w:rPr>
                      <w:rFonts w:eastAsiaTheme="minorEastAsia"/>
                      <w:szCs w:val="21"/>
                    </w:rPr>
                    <w:t>防治病虫害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04" w:type="dxa"/>
                  <w:vAlign w:val="center"/>
                </w:tcPr>
                <w:p>
                  <w:pPr>
                    <w:widowControl/>
                    <w:jc w:val="center"/>
                    <w:textAlignment w:val="center"/>
                    <w:rPr>
                      <w:rFonts w:eastAsiaTheme="minorEastAsia"/>
                      <w:szCs w:val="21"/>
                    </w:rPr>
                  </w:pPr>
                  <w:r>
                    <w:rPr>
                      <w:rFonts w:eastAsiaTheme="minorEastAsia"/>
                      <w:szCs w:val="21"/>
                    </w:rPr>
                    <w:t>24</w:t>
                  </w:r>
                </w:p>
              </w:tc>
              <w:tc>
                <w:tcPr>
                  <w:tcW w:w="2410" w:type="dxa"/>
                  <w:vAlign w:val="center"/>
                </w:tcPr>
                <w:p>
                  <w:pPr>
                    <w:widowControl/>
                    <w:jc w:val="center"/>
                    <w:textAlignment w:val="center"/>
                    <w:rPr>
                      <w:rFonts w:eastAsiaTheme="minorEastAsia"/>
                      <w:szCs w:val="21"/>
                    </w:rPr>
                  </w:pPr>
                  <w:r>
                    <w:rPr>
                      <w:rFonts w:eastAsiaTheme="minorEastAsia"/>
                      <w:szCs w:val="21"/>
                    </w:rPr>
                    <w:t>绿妃*吡萘*嘧菌酯</w:t>
                  </w:r>
                </w:p>
              </w:tc>
              <w:tc>
                <w:tcPr>
                  <w:tcW w:w="1559" w:type="dxa"/>
                  <w:vAlign w:val="center"/>
                </w:tcPr>
                <w:p>
                  <w:pPr>
                    <w:widowControl/>
                    <w:jc w:val="center"/>
                    <w:textAlignment w:val="center"/>
                    <w:rPr>
                      <w:rFonts w:eastAsiaTheme="minorEastAsia"/>
                      <w:szCs w:val="21"/>
                    </w:rPr>
                  </w:pPr>
                  <w:r>
                    <w:rPr>
                      <w:rFonts w:eastAsiaTheme="minorEastAsia"/>
                      <w:szCs w:val="21"/>
                    </w:rPr>
                    <w:t>0.005</w:t>
                  </w:r>
                </w:p>
              </w:tc>
              <w:tc>
                <w:tcPr>
                  <w:tcW w:w="1276" w:type="dxa"/>
                  <w:vAlign w:val="center"/>
                </w:tcPr>
                <w:p>
                  <w:pPr>
                    <w:widowControl/>
                    <w:jc w:val="center"/>
                    <w:textAlignment w:val="center"/>
                    <w:rPr>
                      <w:rFonts w:eastAsiaTheme="minorEastAsia"/>
                      <w:szCs w:val="21"/>
                    </w:rPr>
                  </w:pPr>
                  <w:r>
                    <w:rPr>
                      <w:rFonts w:eastAsiaTheme="minorEastAsia"/>
                      <w:szCs w:val="21"/>
                    </w:rPr>
                    <w:t>0.0004</w:t>
                  </w:r>
                </w:p>
              </w:tc>
              <w:tc>
                <w:tcPr>
                  <w:tcW w:w="1276" w:type="dxa"/>
                  <w:vAlign w:val="center"/>
                </w:tcPr>
                <w:p>
                  <w:pPr>
                    <w:widowControl/>
                    <w:jc w:val="center"/>
                    <w:textAlignment w:val="center"/>
                    <w:rPr>
                      <w:rFonts w:eastAsiaTheme="minorEastAsia"/>
                      <w:szCs w:val="21"/>
                    </w:rPr>
                  </w:pPr>
                  <w:r>
                    <w:rPr>
                      <w:rFonts w:eastAsiaTheme="minorEastAsia"/>
                      <w:szCs w:val="21"/>
                    </w:rPr>
                    <w:t>外购</w:t>
                  </w:r>
                </w:p>
              </w:tc>
              <w:tc>
                <w:tcPr>
                  <w:tcW w:w="1725" w:type="dxa"/>
                  <w:vAlign w:val="center"/>
                </w:tcPr>
                <w:p>
                  <w:pPr>
                    <w:widowControl/>
                    <w:jc w:val="center"/>
                    <w:textAlignment w:val="center"/>
                    <w:rPr>
                      <w:rFonts w:eastAsiaTheme="minorEastAsia"/>
                      <w:szCs w:val="21"/>
                    </w:rPr>
                  </w:pPr>
                  <w:r>
                    <w:rPr>
                      <w:rFonts w:eastAsiaTheme="minorEastAsia"/>
                      <w:szCs w:val="21"/>
                    </w:rPr>
                    <w:t>防治病虫害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04" w:type="dxa"/>
                  <w:vAlign w:val="center"/>
                </w:tcPr>
                <w:p>
                  <w:pPr>
                    <w:widowControl/>
                    <w:jc w:val="center"/>
                    <w:textAlignment w:val="center"/>
                    <w:rPr>
                      <w:rFonts w:eastAsiaTheme="minorEastAsia"/>
                      <w:szCs w:val="21"/>
                    </w:rPr>
                  </w:pPr>
                  <w:r>
                    <w:rPr>
                      <w:rFonts w:eastAsiaTheme="minorEastAsia"/>
                      <w:szCs w:val="21"/>
                    </w:rPr>
                    <w:t>25</w:t>
                  </w:r>
                </w:p>
              </w:tc>
              <w:tc>
                <w:tcPr>
                  <w:tcW w:w="2410" w:type="dxa"/>
                  <w:vAlign w:val="center"/>
                </w:tcPr>
                <w:p>
                  <w:pPr>
                    <w:widowControl/>
                    <w:jc w:val="center"/>
                    <w:textAlignment w:val="center"/>
                    <w:rPr>
                      <w:rFonts w:eastAsiaTheme="minorEastAsia"/>
                      <w:szCs w:val="21"/>
                    </w:rPr>
                  </w:pPr>
                  <w:r>
                    <w:rPr>
                      <w:rFonts w:eastAsiaTheme="minorEastAsia"/>
                      <w:szCs w:val="21"/>
                    </w:rPr>
                    <w:t>施佳乐*嘧霉胺</w:t>
                  </w:r>
                </w:p>
              </w:tc>
              <w:tc>
                <w:tcPr>
                  <w:tcW w:w="1559" w:type="dxa"/>
                  <w:vAlign w:val="center"/>
                </w:tcPr>
                <w:p>
                  <w:pPr>
                    <w:widowControl/>
                    <w:jc w:val="center"/>
                    <w:textAlignment w:val="center"/>
                    <w:rPr>
                      <w:rFonts w:eastAsiaTheme="minorEastAsia"/>
                      <w:szCs w:val="21"/>
                    </w:rPr>
                  </w:pPr>
                  <w:r>
                    <w:rPr>
                      <w:rFonts w:eastAsiaTheme="minorEastAsia"/>
                      <w:szCs w:val="21"/>
                    </w:rPr>
                    <w:t>0.012</w:t>
                  </w:r>
                </w:p>
              </w:tc>
              <w:tc>
                <w:tcPr>
                  <w:tcW w:w="1276" w:type="dxa"/>
                  <w:vAlign w:val="center"/>
                </w:tcPr>
                <w:p>
                  <w:pPr>
                    <w:widowControl/>
                    <w:jc w:val="center"/>
                    <w:textAlignment w:val="center"/>
                    <w:rPr>
                      <w:rFonts w:eastAsiaTheme="minorEastAsia"/>
                      <w:szCs w:val="21"/>
                    </w:rPr>
                  </w:pPr>
                  <w:r>
                    <w:rPr>
                      <w:rFonts w:eastAsiaTheme="minorEastAsia"/>
                      <w:szCs w:val="21"/>
                    </w:rPr>
                    <w:t>0.001</w:t>
                  </w:r>
                </w:p>
              </w:tc>
              <w:tc>
                <w:tcPr>
                  <w:tcW w:w="1276" w:type="dxa"/>
                  <w:vAlign w:val="center"/>
                </w:tcPr>
                <w:p>
                  <w:pPr>
                    <w:widowControl/>
                    <w:jc w:val="center"/>
                    <w:textAlignment w:val="center"/>
                    <w:rPr>
                      <w:rFonts w:eastAsiaTheme="minorEastAsia"/>
                      <w:szCs w:val="21"/>
                    </w:rPr>
                  </w:pPr>
                  <w:r>
                    <w:rPr>
                      <w:rFonts w:eastAsiaTheme="minorEastAsia"/>
                      <w:szCs w:val="21"/>
                    </w:rPr>
                    <w:t>外购</w:t>
                  </w:r>
                </w:p>
              </w:tc>
              <w:tc>
                <w:tcPr>
                  <w:tcW w:w="1725" w:type="dxa"/>
                  <w:vAlign w:val="center"/>
                </w:tcPr>
                <w:p>
                  <w:pPr>
                    <w:widowControl/>
                    <w:jc w:val="center"/>
                    <w:textAlignment w:val="center"/>
                    <w:rPr>
                      <w:rFonts w:eastAsiaTheme="minorEastAsia"/>
                      <w:szCs w:val="21"/>
                    </w:rPr>
                  </w:pPr>
                  <w:r>
                    <w:rPr>
                      <w:rFonts w:eastAsiaTheme="minorEastAsia"/>
                      <w:szCs w:val="21"/>
                    </w:rPr>
                    <w:t>防治病虫害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04" w:type="dxa"/>
                  <w:vAlign w:val="center"/>
                </w:tcPr>
                <w:p>
                  <w:pPr>
                    <w:widowControl/>
                    <w:jc w:val="center"/>
                    <w:textAlignment w:val="center"/>
                    <w:rPr>
                      <w:rFonts w:eastAsiaTheme="minorEastAsia"/>
                      <w:szCs w:val="21"/>
                    </w:rPr>
                  </w:pPr>
                  <w:r>
                    <w:rPr>
                      <w:rFonts w:eastAsiaTheme="minorEastAsia"/>
                      <w:szCs w:val="21"/>
                    </w:rPr>
                    <w:t>26</w:t>
                  </w:r>
                </w:p>
              </w:tc>
              <w:tc>
                <w:tcPr>
                  <w:tcW w:w="2410" w:type="dxa"/>
                  <w:vAlign w:val="center"/>
                </w:tcPr>
                <w:p>
                  <w:pPr>
                    <w:widowControl/>
                    <w:jc w:val="center"/>
                    <w:textAlignment w:val="center"/>
                    <w:rPr>
                      <w:rFonts w:eastAsiaTheme="minorEastAsia"/>
                      <w:szCs w:val="21"/>
                    </w:rPr>
                  </w:pPr>
                  <w:r>
                    <w:rPr>
                      <w:rFonts w:eastAsiaTheme="minorEastAsia"/>
                      <w:szCs w:val="21"/>
                    </w:rPr>
                    <w:t>嘧环洛菌腈37%嘧菌环胺+25%洛菌腈</w:t>
                  </w:r>
                </w:p>
              </w:tc>
              <w:tc>
                <w:tcPr>
                  <w:tcW w:w="1559" w:type="dxa"/>
                  <w:vAlign w:val="center"/>
                </w:tcPr>
                <w:p>
                  <w:pPr>
                    <w:widowControl/>
                    <w:jc w:val="center"/>
                    <w:textAlignment w:val="center"/>
                    <w:rPr>
                      <w:rFonts w:eastAsiaTheme="minorEastAsia"/>
                      <w:szCs w:val="21"/>
                    </w:rPr>
                  </w:pPr>
                  <w:r>
                    <w:rPr>
                      <w:rFonts w:eastAsiaTheme="minorEastAsia"/>
                      <w:szCs w:val="21"/>
                    </w:rPr>
                    <w:t>0.01</w:t>
                  </w:r>
                </w:p>
              </w:tc>
              <w:tc>
                <w:tcPr>
                  <w:tcW w:w="1276" w:type="dxa"/>
                  <w:vAlign w:val="center"/>
                </w:tcPr>
                <w:p>
                  <w:pPr>
                    <w:widowControl/>
                    <w:jc w:val="center"/>
                    <w:textAlignment w:val="center"/>
                    <w:rPr>
                      <w:rFonts w:eastAsiaTheme="minorEastAsia"/>
                      <w:szCs w:val="21"/>
                    </w:rPr>
                  </w:pPr>
                  <w:r>
                    <w:rPr>
                      <w:rFonts w:eastAsiaTheme="minorEastAsia"/>
                      <w:szCs w:val="21"/>
                    </w:rPr>
                    <w:t>0.0008</w:t>
                  </w:r>
                </w:p>
              </w:tc>
              <w:tc>
                <w:tcPr>
                  <w:tcW w:w="1276" w:type="dxa"/>
                  <w:vAlign w:val="center"/>
                </w:tcPr>
                <w:p>
                  <w:pPr>
                    <w:widowControl/>
                    <w:jc w:val="center"/>
                    <w:textAlignment w:val="center"/>
                    <w:rPr>
                      <w:rFonts w:eastAsiaTheme="minorEastAsia"/>
                      <w:szCs w:val="21"/>
                    </w:rPr>
                  </w:pPr>
                  <w:r>
                    <w:rPr>
                      <w:rFonts w:eastAsiaTheme="minorEastAsia"/>
                      <w:szCs w:val="21"/>
                    </w:rPr>
                    <w:t>外购</w:t>
                  </w:r>
                </w:p>
              </w:tc>
              <w:tc>
                <w:tcPr>
                  <w:tcW w:w="1725" w:type="dxa"/>
                  <w:vAlign w:val="center"/>
                </w:tcPr>
                <w:p>
                  <w:pPr>
                    <w:widowControl/>
                    <w:jc w:val="center"/>
                    <w:textAlignment w:val="center"/>
                    <w:rPr>
                      <w:rFonts w:eastAsiaTheme="minorEastAsia"/>
                      <w:szCs w:val="21"/>
                    </w:rPr>
                  </w:pPr>
                  <w:r>
                    <w:rPr>
                      <w:rFonts w:eastAsiaTheme="minorEastAsia"/>
                      <w:szCs w:val="21"/>
                    </w:rPr>
                    <w:t>防治病虫害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04" w:type="dxa"/>
                  <w:vAlign w:val="center"/>
                </w:tcPr>
                <w:p>
                  <w:pPr>
                    <w:widowControl/>
                    <w:jc w:val="center"/>
                    <w:textAlignment w:val="center"/>
                    <w:rPr>
                      <w:rFonts w:eastAsiaTheme="minorEastAsia"/>
                      <w:szCs w:val="21"/>
                    </w:rPr>
                  </w:pPr>
                  <w:r>
                    <w:rPr>
                      <w:rFonts w:eastAsiaTheme="minorEastAsia"/>
                      <w:szCs w:val="21"/>
                    </w:rPr>
                    <w:t>27</w:t>
                  </w:r>
                </w:p>
              </w:tc>
              <w:tc>
                <w:tcPr>
                  <w:tcW w:w="2410" w:type="dxa"/>
                  <w:vAlign w:val="center"/>
                </w:tcPr>
                <w:p>
                  <w:pPr>
                    <w:widowControl/>
                    <w:jc w:val="center"/>
                    <w:textAlignment w:val="center"/>
                    <w:rPr>
                      <w:rFonts w:eastAsiaTheme="minorEastAsia"/>
                      <w:szCs w:val="21"/>
                    </w:rPr>
                  </w:pPr>
                  <w:r>
                    <w:rPr>
                      <w:rFonts w:eastAsiaTheme="minorEastAsia"/>
                      <w:szCs w:val="21"/>
                    </w:rPr>
                    <w:t>扑海因*异菌脲</w:t>
                  </w:r>
                </w:p>
              </w:tc>
              <w:tc>
                <w:tcPr>
                  <w:tcW w:w="1559" w:type="dxa"/>
                  <w:vAlign w:val="center"/>
                </w:tcPr>
                <w:p>
                  <w:pPr>
                    <w:widowControl/>
                    <w:jc w:val="center"/>
                    <w:textAlignment w:val="center"/>
                    <w:rPr>
                      <w:rFonts w:eastAsiaTheme="minorEastAsia"/>
                      <w:szCs w:val="21"/>
                    </w:rPr>
                  </w:pPr>
                  <w:r>
                    <w:rPr>
                      <w:rFonts w:eastAsiaTheme="minorEastAsia"/>
                      <w:szCs w:val="21"/>
                    </w:rPr>
                    <w:t>0.01</w:t>
                  </w:r>
                </w:p>
              </w:tc>
              <w:tc>
                <w:tcPr>
                  <w:tcW w:w="1276" w:type="dxa"/>
                  <w:vAlign w:val="center"/>
                </w:tcPr>
                <w:p>
                  <w:pPr>
                    <w:widowControl/>
                    <w:jc w:val="center"/>
                    <w:textAlignment w:val="center"/>
                    <w:rPr>
                      <w:rFonts w:eastAsiaTheme="minorEastAsia"/>
                      <w:szCs w:val="21"/>
                    </w:rPr>
                  </w:pPr>
                  <w:r>
                    <w:rPr>
                      <w:rFonts w:eastAsiaTheme="minorEastAsia"/>
                      <w:szCs w:val="21"/>
                    </w:rPr>
                    <w:t>0.0008</w:t>
                  </w:r>
                </w:p>
              </w:tc>
              <w:tc>
                <w:tcPr>
                  <w:tcW w:w="1276" w:type="dxa"/>
                  <w:vAlign w:val="center"/>
                </w:tcPr>
                <w:p>
                  <w:pPr>
                    <w:widowControl/>
                    <w:jc w:val="center"/>
                    <w:textAlignment w:val="center"/>
                    <w:rPr>
                      <w:rFonts w:eastAsiaTheme="minorEastAsia"/>
                      <w:szCs w:val="21"/>
                    </w:rPr>
                  </w:pPr>
                  <w:r>
                    <w:rPr>
                      <w:rFonts w:eastAsiaTheme="minorEastAsia"/>
                      <w:szCs w:val="21"/>
                    </w:rPr>
                    <w:t>外购</w:t>
                  </w:r>
                </w:p>
              </w:tc>
              <w:tc>
                <w:tcPr>
                  <w:tcW w:w="1725" w:type="dxa"/>
                  <w:vAlign w:val="center"/>
                </w:tcPr>
                <w:p>
                  <w:pPr>
                    <w:widowControl/>
                    <w:jc w:val="center"/>
                    <w:textAlignment w:val="center"/>
                    <w:rPr>
                      <w:rFonts w:eastAsiaTheme="minorEastAsia"/>
                      <w:szCs w:val="21"/>
                    </w:rPr>
                  </w:pPr>
                  <w:r>
                    <w:rPr>
                      <w:rFonts w:eastAsiaTheme="minorEastAsia"/>
                      <w:szCs w:val="21"/>
                    </w:rPr>
                    <w:t>防治病虫害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04" w:type="dxa"/>
                  <w:vAlign w:val="center"/>
                </w:tcPr>
                <w:p>
                  <w:pPr>
                    <w:widowControl/>
                    <w:jc w:val="center"/>
                    <w:textAlignment w:val="center"/>
                    <w:rPr>
                      <w:rFonts w:eastAsiaTheme="minorEastAsia"/>
                      <w:szCs w:val="21"/>
                    </w:rPr>
                  </w:pPr>
                  <w:r>
                    <w:rPr>
                      <w:rFonts w:eastAsiaTheme="minorEastAsia"/>
                      <w:szCs w:val="21"/>
                    </w:rPr>
                    <w:t>28</w:t>
                  </w:r>
                </w:p>
              </w:tc>
              <w:tc>
                <w:tcPr>
                  <w:tcW w:w="2410" w:type="dxa"/>
                  <w:vAlign w:val="center"/>
                </w:tcPr>
                <w:p>
                  <w:pPr>
                    <w:widowControl/>
                    <w:jc w:val="center"/>
                    <w:textAlignment w:val="center"/>
                    <w:rPr>
                      <w:rFonts w:eastAsiaTheme="minorEastAsia"/>
                      <w:szCs w:val="21"/>
                    </w:rPr>
                  </w:pPr>
                  <w:r>
                    <w:rPr>
                      <w:rFonts w:eastAsiaTheme="minorEastAsia"/>
                      <w:szCs w:val="21"/>
                    </w:rPr>
                    <w:t>艾绿士*乙基多杀菌素</w:t>
                  </w:r>
                </w:p>
              </w:tc>
              <w:tc>
                <w:tcPr>
                  <w:tcW w:w="1559" w:type="dxa"/>
                  <w:vAlign w:val="center"/>
                </w:tcPr>
                <w:p>
                  <w:pPr>
                    <w:jc w:val="center"/>
                    <w:outlineLvl w:val="0"/>
                    <w:rPr>
                      <w:rFonts w:eastAsiaTheme="minorEastAsia"/>
                      <w:szCs w:val="21"/>
                    </w:rPr>
                  </w:pPr>
                  <w:bookmarkStart w:id="98" w:name="_Toc144233225"/>
                  <w:r>
                    <w:rPr>
                      <w:rFonts w:eastAsiaTheme="minorEastAsia"/>
                      <w:szCs w:val="21"/>
                    </w:rPr>
                    <w:t>0.024</w:t>
                  </w:r>
                  <w:bookmarkEnd w:id="98"/>
                </w:p>
              </w:tc>
              <w:tc>
                <w:tcPr>
                  <w:tcW w:w="1276" w:type="dxa"/>
                  <w:vAlign w:val="center"/>
                </w:tcPr>
                <w:p>
                  <w:pPr>
                    <w:widowControl/>
                    <w:jc w:val="center"/>
                    <w:textAlignment w:val="center"/>
                    <w:rPr>
                      <w:rFonts w:eastAsiaTheme="minorEastAsia"/>
                      <w:szCs w:val="21"/>
                    </w:rPr>
                  </w:pPr>
                  <w:r>
                    <w:rPr>
                      <w:rFonts w:eastAsiaTheme="minorEastAsia"/>
                      <w:szCs w:val="21"/>
                    </w:rPr>
                    <w:t>0.002</w:t>
                  </w:r>
                </w:p>
              </w:tc>
              <w:tc>
                <w:tcPr>
                  <w:tcW w:w="1276" w:type="dxa"/>
                  <w:vAlign w:val="center"/>
                </w:tcPr>
                <w:p>
                  <w:pPr>
                    <w:jc w:val="center"/>
                    <w:outlineLvl w:val="0"/>
                    <w:rPr>
                      <w:rFonts w:eastAsiaTheme="minorEastAsia"/>
                      <w:szCs w:val="21"/>
                    </w:rPr>
                  </w:pPr>
                  <w:bookmarkStart w:id="99" w:name="_Toc144233226"/>
                  <w:r>
                    <w:rPr>
                      <w:rFonts w:eastAsiaTheme="minorEastAsia"/>
                      <w:szCs w:val="21"/>
                    </w:rPr>
                    <w:t>外购</w:t>
                  </w:r>
                  <w:bookmarkEnd w:id="99"/>
                </w:p>
              </w:tc>
              <w:tc>
                <w:tcPr>
                  <w:tcW w:w="1725" w:type="dxa"/>
                  <w:vAlign w:val="center"/>
                </w:tcPr>
                <w:p>
                  <w:pPr>
                    <w:jc w:val="center"/>
                    <w:outlineLvl w:val="0"/>
                    <w:rPr>
                      <w:rFonts w:eastAsiaTheme="minorEastAsia"/>
                      <w:szCs w:val="21"/>
                    </w:rPr>
                  </w:pPr>
                  <w:bookmarkStart w:id="100" w:name="_Toc144233227"/>
                  <w:r>
                    <w:rPr>
                      <w:rFonts w:eastAsiaTheme="minorEastAsia"/>
                      <w:szCs w:val="21"/>
                    </w:rPr>
                    <w:t>防治病虫害</w:t>
                  </w:r>
                  <w:bookmarkEnd w:id="10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04" w:type="dxa"/>
                  <w:vAlign w:val="center"/>
                </w:tcPr>
                <w:p>
                  <w:pPr>
                    <w:widowControl/>
                    <w:jc w:val="center"/>
                    <w:textAlignment w:val="center"/>
                    <w:rPr>
                      <w:rFonts w:eastAsiaTheme="minorEastAsia"/>
                      <w:szCs w:val="21"/>
                    </w:rPr>
                  </w:pPr>
                  <w:r>
                    <w:rPr>
                      <w:rFonts w:eastAsiaTheme="minorEastAsia"/>
                      <w:szCs w:val="21"/>
                    </w:rPr>
                    <w:t>29</w:t>
                  </w:r>
                </w:p>
              </w:tc>
              <w:tc>
                <w:tcPr>
                  <w:tcW w:w="2410" w:type="dxa"/>
                  <w:vAlign w:val="center"/>
                </w:tcPr>
                <w:p>
                  <w:pPr>
                    <w:widowControl/>
                    <w:jc w:val="center"/>
                    <w:textAlignment w:val="center"/>
                    <w:rPr>
                      <w:rFonts w:eastAsiaTheme="minorEastAsia"/>
                      <w:szCs w:val="21"/>
                    </w:rPr>
                  </w:pPr>
                  <w:r>
                    <w:rPr>
                      <w:rFonts w:eastAsiaTheme="minorEastAsia"/>
                      <w:szCs w:val="21"/>
                    </w:rPr>
                    <w:t>氟啶虫胺腈</w:t>
                  </w:r>
                </w:p>
              </w:tc>
              <w:tc>
                <w:tcPr>
                  <w:tcW w:w="1559" w:type="dxa"/>
                  <w:vAlign w:val="center"/>
                </w:tcPr>
                <w:p>
                  <w:pPr>
                    <w:jc w:val="center"/>
                    <w:outlineLvl w:val="0"/>
                    <w:rPr>
                      <w:rFonts w:eastAsiaTheme="minorEastAsia"/>
                      <w:szCs w:val="21"/>
                    </w:rPr>
                  </w:pPr>
                  <w:bookmarkStart w:id="101" w:name="_Toc144233228"/>
                  <w:r>
                    <w:rPr>
                      <w:rFonts w:eastAsiaTheme="minorEastAsia"/>
                      <w:szCs w:val="21"/>
                    </w:rPr>
                    <w:t>0.05</w:t>
                  </w:r>
                  <w:bookmarkEnd w:id="101"/>
                </w:p>
              </w:tc>
              <w:tc>
                <w:tcPr>
                  <w:tcW w:w="1276" w:type="dxa"/>
                  <w:vAlign w:val="center"/>
                </w:tcPr>
                <w:p>
                  <w:pPr>
                    <w:widowControl/>
                    <w:jc w:val="center"/>
                    <w:textAlignment w:val="center"/>
                    <w:rPr>
                      <w:rFonts w:eastAsiaTheme="minorEastAsia"/>
                      <w:szCs w:val="21"/>
                    </w:rPr>
                  </w:pPr>
                  <w:r>
                    <w:rPr>
                      <w:rFonts w:eastAsiaTheme="minorEastAsia"/>
                      <w:szCs w:val="21"/>
                    </w:rPr>
                    <w:t>0.004</w:t>
                  </w:r>
                </w:p>
              </w:tc>
              <w:tc>
                <w:tcPr>
                  <w:tcW w:w="1276" w:type="dxa"/>
                  <w:vAlign w:val="center"/>
                </w:tcPr>
                <w:p>
                  <w:pPr>
                    <w:jc w:val="center"/>
                    <w:outlineLvl w:val="0"/>
                    <w:rPr>
                      <w:rFonts w:eastAsiaTheme="minorEastAsia"/>
                      <w:szCs w:val="21"/>
                    </w:rPr>
                  </w:pPr>
                  <w:bookmarkStart w:id="102" w:name="_Toc144233229"/>
                  <w:r>
                    <w:rPr>
                      <w:rFonts w:eastAsiaTheme="minorEastAsia"/>
                      <w:szCs w:val="21"/>
                    </w:rPr>
                    <w:t>外购</w:t>
                  </w:r>
                  <w:bookmarkEnd w:id="102"/>
                </w:p>
              </w:tc>
              <w:tc>
                <w:tcPr>
                  <w:tcW w:w="1725" w:type="dxa"/>
                  <w:vAlign w:val="center"/>
                </w:tcPr>
                <w:p>
                  <w:pPr>
                    <w:jc w:val="center"/>
                    <w:outlineLvl w:val="0"/>
                    <w:rPr>
                      <w:rFonts w:eastAsiaTheme="minorEastAsia"/>
                      <w:szCs w:val="21"/>
                    </w:rPr>
                  </w:pPr>
                  <w:bookmarkStart w:id="103" w:name="_Toc144233230"/>
                  <w:r>
                    <w:rPr>
                      <w:rFonts w:eastAsiaTheme="minorEastAsia"/>
                      <w:szCs w:val="21"/>
                    </w:rPr>
                    <w:t>防治病虫害</w:t>
                  </w:r>
                  <w:bookmarkEnd w:id="10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4" w:type="dxa"/>
                  <w:vAlign w:val="center"/>
                </w:tcPr>
                <w:p>
                  <w:pPr>
                    <w:widowControl/>
                    <w:jc w:val="center"/>
                    <w:textAlignment w:val="center"/>
                    <w:rPr>
                      <w:rFonts w:eastAsiaTheme="minorEastAsia"/>
                      <w:szCs w:val="21"/>
                    </w:rPr>
                  </w:pPr>
                  <w:r>
                    <w:rPr>
                      <w:rFonts w:eastAsiaTheme="minorEastAsia"/>
                      <w:szCs w:val="21"/>
                    </w:rPr>
                    <w:t>30</w:t>
                  </w:r>
                </w:p>
              </w:tc>
              <w:tc>
                <w:tcPr>
                  <w:tcW w:w="2410" w:type="dxa"/>
                  <w:vAlign w:val="center"/>
                </w:tcPr>
                <w:p>
                  <w:pPr>
                    <w:widowControl/>
                    <w:jc w:val="center"/>
                    <w:textAlignment w:val="center"/>
                    <w:rPr>
                      <w:rFonts w:eastAsiaTheme="minorEastAsia"/>
                      <w:szCs w:val="21"/>
                    </w:rPr>
                  </w:pPr>
                  <w:r>
                    <w:rPr>
                      <w:rFonts w:eastAsiaTheme="minorEastAsia"/>
                      <w:szCs w:val="21"/>
                    </w:rPr>
                    <w:t>卉健*噻虫嗪</w:t>
                  </w:r>
                </w:p>
              </w:tc>
              <w:tc>
                <w:tcPr>
                  <w:tcW w:w="1559" w:type="dxa"/>
                  <w:vAlign w:val="center"/>
                </w:tcPr>
                <w:p>
                  <w:pPr>
                    <w:jc w:val="center"/>
                    <w:outlineLvl w:val="0"/>
                    <w:rPr>
                      <w:rFonts w:eastAsiaTheme="minorEastAsia"/>
                      <w:szCs w:val="21"/>
                    </w:rPr>
                  </w:pPr>
                  <w:bookmarkStart w:id="104" w:name="_Toc144233231"/>
                  <w:r>
                    <w:rPr>
                      <w:rFonts w:eastAsiaTheme="minorEastAsia"/>
                      <w:szCs w:val="21"/>
                    </w:rPr>
                    <w:t>0.031</w:t>
                  </w:r>
                  <w:bookmarkEnd w:id="104"/>
                  <w:r>
                    <w:rPr>
                      <w:rFonts w:eastAsiaTheme="minorEastAsia"/>
                      <w:szCs w:val="21"/>
                    </w:rPr>
                    <w:t xml:space="preserve">  </w:t>
                  </w:r>
                </w:p>
              </w:tc>
              <w:tc>
                <w:tcPr>
                  <w:tcW w:w="1276" w:type="dxa"/>
                  <w:vAlign w:val="center"/>
                </w:tcPr>
                <w:p>
                  <w:pPr>
                    <w:widowControl/>
                    <w:jc w:val="center"/>
                    <w:textAlignment w:val="center"/>
                    <w:rPr>
                      <w:rFonts w:eastAsiaTheme="minorEastAsia"/>
                      <w:szCs w:val="21"/>
                    </w:rPr>
                  </w:pPr>
                  <w:r>
                    <w:rPr>
                      <w:rFonts w:eastAsiaTheme="minorEastAsia"/>
                      <w:szCs w:val="21"/>
                    </w:rPr>
                    <w:t>0.0025</w:t>
                  </w:r>
                </w:p>
              </w:tc>
              <w:tc>
                <w:tcPr>
                  <w:tcW w:w="1276" w:type="dxa"/>
                  <w:vAlign w:val="center"/>
                </w:tcPr>
                <w:p>
                  <w:pPr>
                    <w:jc w:val="center"/>
                    <w:outlineLvl w:val="0"/>
                    <w:rPr>
                      <w:rFonts w:eastAsiaTheme="minorEastAsia"/>
                      <w:szCs w:val="21"/>
                    </w:rPr>
                  </w:pPr>
                  <w:bookmarkStart w:id="105" w:name="_Toc144233232"/>
                  <w:r>
                    <w:rPr>
                      <w:rFonts w:eastAsiaTheme="minorEastAsia"/>
                      <w:szCs w:val="21"/>
                    </w:rPr>
                    <w:t>外购</w:t>
                  </w:r>
                  <w:bookmarkEnd w:id="105"/>
                </w:p>
              </w:tc>
              <w:tc>
                <w:tcPr>
                  <w:tcW w:w="1725" w:type="dxa"/>
                  <w:vAlign w:val="center"/>
                </w:tcPr>
                <w:p>
                  <w:pPr>
                    <w:jc w:val="center"/>
                    <w:outlineLvl w:val="0"/>
                    <w:rPr>
                      <w:rFonts w:eastAsiaTheme="minorEastAsia"/>
                      <w:szCs w:val="21"/>
                    </w:rPr>
                  </w:pPr>
                  <w:bookmarkStart w:id="106" w:name="_Toc144233233"/>
                  <w:r>
                    <w:rPr>
                      <w:rFonts w:eastAsiaTheme="minorEastAsia"/>
                      <w:szCs w:val="21"/>
                    </w:rPr>
                    <w:t>防治病虫害</w:t>
                  </w:r>
                  <w:bookmarkEnd w:id="10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04" w:type="dxa"/>
                  <w:vAlign w:val="center"/>
                </w:tcPr>
                <w:p>
                  <w:pPr>
                    <w:widowControl/>
                    <w:jc w:val="center"/>
                    <w:textAlignment w:val="center"/>
                    <w:rPr>
                      <w:rFonts w:eastAsiaTheme="minorEastAsia"/>
                      <w:szCs w:val="21"/>
                    </w:rPr>
                  </w:pPr>
                  <w:r>
                    <w:rPr>
                      <w:rFonts w:eastAsiaTheme="minorEastAsia"/>
                      <w:szCs w:val="21"/>
                    </w:rPr>
                    <w:t>31</w:t>
                  </w:r>
                </w:p>
              </w:tc>
              <w:tc>
                <w:tcPr>
                  <w:tcW w:w="2410" w:type="dxa"/>
                  <w:vAlign w:val="center"/>
                </w:tcPr>
                <w:p>
                  <w:pPr>
                    <w:widowControl/>
                    <w:jc w:val="center"/>
                    <w:textAlignment w:val="center"/>
                    <w:rPr>
                      <w:rFonts w:eastAsiaTheme="minorEastAsia"/>
                      <w:szCs w:val="21"/>
                    </w:rPr>
                  </w:pPr>
                  <w:r>
                    <w:rPr>
                      <w:rFonts w:eastAsiaTheme="minorEastAsia"/>
                      <w:szCs w:val="21"/>
                    </w:rPr>
                    <w:t>氟虫腈3%</w:t>
                  </w:r>
                </w:p>
              </w:tc>
              <w:tc>
                <w:tcPr>
                  <w:tcW w:w="1559" w:type="dxa"/>
                  <w:vAlign w:val="center"/>
                </w:tcPr>
                <w:p>
                  <w:pPr>
                    <w:jc w:val="center"/>
                    <w:outlineLvl w:val="0"/>
                    <w:rPr>
                      <w:rFonts w:eastAsiaTheme="minorEastAsia"/>
                      <w:szCs w:val="21"/>
                    </w:rPr>
                  </w:pPr>
                  <w:bookmarkStart w:id="107" w:name="_Toc144233234"/>
                  <w:r>
                    <w:rPr>
                      <w:rFonts w:eastAsiaTheme="minorEastAsia"/>
                      <w:szCs w:val="21"/>
                    </w:rPr>
                    <w:t>0.015</w:t>
                  </w:r>
                  <w:bookmarkEnd w:id="107"/>
                </w:p>
              </w:tc>
              <w:tc>
                <w:tcPr>
                  <w:tcW w:w="1276" w:type="dxa"/>
                  <w:vAlign w:val="center"/>
                </w:tcPr>
                <w:p>
                  <w:pPr>
                    <w:widowControl/>
                    <w:jc w:val="center"/>
                    <w:textAlignment w:val="center"/>
                    <w:rPr>
                      <w:rFonts w:eastAsiaTheme="minorEastAsia"/>
                      <w:szCs w:val="21"/>
                    </w:rPr>
                  </w:pPr>
                  <w:r>
                    <w:rPr>
                      <w:rFonts w:eastAsiaTheme="minorEastAsia"/>
                      <w:szCs w:val="21"/>
                    </w:rPr>
                    <w:t>0.001</w:t>
                  </w:r>
                </w:p>
              </w:tc>
              <w:tc>
                <w:tcPr>
                  <w:tcW w:w="1276" w:type="dxa"/>
                  <w:vAlign w:val="center"/>
                </w:tcPr>
                <w:p>
                  <w:pPr>
                    <w:jc w:val="center"/>
                    <w:outlineLvl w:val="0"/>
                    <w:rPr>
                      <w:rFonts w:eastAsiaTheme="minorEastAsia"/>
                      <w:szCs w:val="21"/>
                    </w:rPr>
                  </w:pPr>
                  <w:bookmarkStart w:id="108" w:name="_Toc144233235"/>
                  <w:r>
                    <w:rPr>
                      <w:rFonts w:eastAsiaTheme="minorEastAsia"/>
                      <w:szCs w:val="21"/>
                    </w:rPr>
                    <w:t>外购</w:t>
                  </w:r>
                  <w:bookmarkEnd w:id="108"/>
                </w:p>
              </w:tc>
              <w:tc>
                <w:tcPr>
                  <w:tcW w:w="1725" w:type="dxa"/>
                  <w:vAlign w:val="center"/>
                </w:tcPr>
                <w:p>
                  <w:pPr>
                    <w:jc w:val="center"/>
                    <w:outlineLvl w:val="0"/>
                    <w:rPr>
                      <w:rFonts w:eastAsiaTheme="minorEastAsia"/>
                      <w:szCs w:val="21"/>
                    </w:rPr>
                  </w:pPr>
                  <w:bookmarkStart w:id="109" w:name="_Toc144233236"/>
                  <w:r>
                    <w:rPr>
                      <w:rFonts w:eastAsiaTheme="minorEastAsia"/>
                      <w:szCs w:val="21"/>
                    </w:rPr>
                    <w:t>防治病虫害</w:t>
                  </w:r>
                  <w:bookmarkEnd w:id="10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04" w:type="dxa"/>
                  <w:vAlign w:val="center"/>
                </w:tcPr>
                <w:p>
                  <w:pPr>
                    <w:widowControl/>
                    <w:jc w:val="center"/>
                    <w:textAlignment w:val="center"/>
                    <w:rPr>
                      <w:rFonts w:eastAsiaTheme="minorEastAsia"/>
                      <w:szCs w:val="21"/>
                    </w:rPr>
                  </w:pPr>
                  <w:r>
                    <w:rPr>
                      <w:rFonts w:eastAsiaTheme="minorEastAsia"/>
                      <w:szCs w:val="21"/>
                    </w:rPr>
                    <w:t>32</w:t>
                  </w:r>
                </w:p>
              </w:tc>
              <w:tc>
                <w:tcPr>
                  <w:tcW w:w="2410" w:type="dxa"/>
                  <w:vAlign w:val="center"/>
                </w:tcPr>
                <w:p>
                  <w:pPr>
                    <w:widowControl/>
                    <w:jc w:val="center"/>
                    <w:textAlignment w:val="center"/>
                    <w:rPr>
                      <w:rFonts w:eastAsiaTheme="minorEastAsia"/>
                      <w:szCs w:val="21"/>
                    </w:rPr>
                  </w:pPr>
                  <w:r>
                    <w:rPr>
                      <w:rFonts w:eastAsiaTheme="minorEastAsia"/>
                      <w:szCs w:val="21"/>
                    </w:rPr>
                    <w:t>唑虫酰胺</w:t>
                  </w:r>
                </w:p>
              </w:tc>
              <w:tc>
                <w:tcPr>
                  <w:tcW w:w="1559" w:type="dxa"/>
                  <w:vAlign w:val="center"/>
                </w:tcPr>
                <w:p>
                  <w:pPr>
                    <w:jc w:val="center"/>
                    <w:outlineLvl w:val="0"/>
                    <w:rPr>
                      <w:rFonts w:eastAsiaTheme="minorEastAsia"/>
                      <w:szCs w:val="21"/>
                    </w:rPr>
                  </w:pPr>
                  <w:bookmarkStart w:id="110" w:name="_Toc144233237"/>
                  <w:r>
                    <w:rPr>
                      <w:rFonts w:eastAsiaTheme="minorEastAsia"/>
                      <w:szCs w:val="21"/>
                    </w:rPr>
                    <w:t>0.034</w:t>
                  </w:r>
                  <w:bookmarkEnd w:id="110"/>
                </w:p>
              </w:tc>
              <w:tc>
                <w:tcPr>
                  <w:tcW w:w="1276" w:type="dxa"/>
                  <w:vAlign w:val="center"/>
                </w:tcPr>
                <w:p>
                  <w:pPr>
                    <w:widowControl/>
                    <w:jc w:val="center"/>
                    <w:textAlignment w:val="center"/>
                    <w:rPr>
                      <w:rFonts w:eastAsiaTheme="minorEastAsia"/>
                      <w:szCs w:val="21"/>
                    </w:rPr>
                  </w:pPr>
                  <w:r>
                    <w:rPr>
                      <w:rFonts w:eastAsiaTheme="minorEastAsia"/>
                      <w:szCs w:val="21"/>
                    </w:rPr>
                    <w:t>0.0028</w:t>
                  </w:r>
                </w:p>
              </w:tc>
              <w:tc>
                <w:tcPr>
                  <w:tcW w:w="1276" w:type="dxa"/>
                  <w:vAlign w:val="center"/>
                </w:tcPr>
                <w:p>
                  <w:pPr>
                    <w:jc w:val="center"/>
                    <w:outlineLvl w:val="0"/>
                    <w:rPr>
                      <w:rFonts w:eastAsiaTheme="minorEastAsia"/>
                      <w:szCs w:val="21"/>
                    </w:rPr>
                  </w:pPr>
                  <w:bookmarkStart w:id="111" w:name="_Toc144233238"/>
                  <w:r>
                    <w:rPr>
                      <w:rFonts w:eastAsiaTheme="minorEastAsia"/>
                      <w:szCs w:val="21"/>
                    </w:rPr>
                    <w:t>外购</w:t>
                  </w:r>
                  <w:bookmarkEnd w:id="111"/>
                </w:p>
              </w:tc>
              <w:tc>
                <w:tcPr>
                  <w:tcW w:w="1725" w:type="dxa"/>
                  <w:vAlign w:val="center"/>
                </w:tcPr>
                <w:p>
                  <w:pPr>
                    <w:jc w:val="center"/>
                    <w:outlineLvl w:val="0"/>
                    <w:rPr>
                      <w:rFonts w:eastAsiaTheme="minorEastAsia"/>
                      <w:szCs w:val="21"/>
                    </w:rPr>
                  </w:pPr>
                  <w:bookmarkStart w:id="112" w:name="_Toc144233239"/>
                  <w:r>
                    <w:rPr>
                      <w:rFonts w:eastAsiaTheme="minorEastAsia"/>
                      <w:szCs w:val="21"/>
                    </w:rPr>
                    <w:t>防治病虫害</w:t>
                  </w:r>
                  <w:bookmarkEnd w:id="1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04" w:type="dxa"/>
                  <w:vAlign w:val="center"/>
                </w:tcPr>
                <w:p>
                  <w:pPr>
                    <w:widowControl/>
                    <w:jc w:val="center"/>
                    <w:textAlignment w:val="center"/>
                    <w:rPr>
                      <w:rFonts w:eastAsiaTheme="minorEastAsia"/>
                      <w:szCs w:val="21"/>
                    </w:rPr>
                  </w:pPr>
                  <w:r>
                    <w:rPr>
                      <w:rFonts w:eastAsiaTheme="minorEastAsia"/>
                      <w:szCs w:val="21"/>
                    </w:rPr>
                    <w:t>33</w:t>
                  </w:r>
                </w:p>
              </w:tc>
              <w:tc>
                <w:tcPr>
                  <w:tcW w:w="2410" w:type="dxa"/>
                  <w:vAlign w:val="center"/>
                </w:tcPr>
                <w:p>
                  <w:pPr>
                    <w:widowControl/>
                    <w:jc w:val="center"/>
                    <w:textAlignment w:val="center"/>
                    <w:rPr>
                      <w:rFonts w:eastAsiaTheme="minorEastAsia"/>
                      <w:szCs w:val="21"/>
                    </w:rPr>
                  </w:pPr>
                  <w:r>
                    <w:rPr>
                      <w:rFonts w:eastAsiaTheme="minorEastAsia"/>
                      <w:szCs w:val="21"/>
                    </w:rPr>
                    <w:t>34乙多*甲氧虫</w:t>
                  </w:r>
                </w:p>
              </w:tc>
              <w:tc>
                <w:tcPr>
                  <w:tcW w:w="1559" w:type="dxa"/>
                  <w:vAlign w:val="center"/>
                </w:tcPr>
                <w:p>
                  <w:pPr>
                    <w:jc w:val="center"/>
                    <w:outlineLvl w:val="0"/>
                    <w:rPr>
                      <w:rFonts w:eastAsiaTheme="minorEastAsia"/>
                      <w:szCs w:val="21"/>
                    </w:rPr>
                  </w:pPr>
                  <w:bookmarkStart w:id="113" w:name="_Toc144233240"/>
                  <w:r>
                    <w:rPr>
                      <w:rFonts w:eastAsiaTheme="minorEastAsia"/>
                      <w:szCs w:val="21"/>
                    </w:rPr>
                    <w:t>0.017</w:t>
                  </w:r>
                  <w:bookmarkEnd w:id="113"/>
                </w:p>
              </w:tc>
              <w:tc>
                <w:tcPr>
                  <w:tcW w:w="1276" w:type="dxa"/>
                  <w:vAlign w:val="center"/>
                </w:tcPr>
                <w:p>
                  <w:pPr>
                    <w:widowControl/>
                    <w:jc w:val="center"/>
                    <w:textAlignment w:val="center"/>
                    <w:rPr>
                      <w:rFonts w:eastAsiaTheme="minorEastAsia"/>
                      <w:szCs w:val="21"/>
                    </w:rPr>
                  </w:pPr>
                  <w:r>
                    <w:rPr>
                      <w:rFonts w:eastAsiaTheme="minorEastAsia"/>
                      <w:szCs w:val="21"/>
                    </w:rPr>
                    <w:t>0.0014</w:t>
                  </w:r>
                </w:p>
              </w:tc>
              <w:tc>
                <w:tcPr>
                  <w:tcW w:w="1276" w:type="dxa"/>
                  <w:vAlign w:val="center"/>
                </w:tcPr>
                <w:p>
                  <w:pPr>
                    <w:jc w:val="center"/>
                    <w:outlineLvl w:val="0"/>
                    <w:rPr>
                      <w:rFonts w:eastAsiaTheme="minorEastAsia"/>
                      <w:szCs w:val="21"/>
                    </w:rPr>
                  </w:pPr>
                  <w:bookmarkStart w:id="114" w:name="_Toc144233241"/>
                  <w:r>
                    <w:rPr>
                      <w:rFonts w:eastAsiaTheme="minorEastAsia"/>
                      <w:szCs w:val="21"/>
                    </w:rPr>
                    <w:t>外购</w:t>
                  </w:r>
                  <w:bookmarkEnd w:id="114"/>
                </w:p>
              </w:tc>
              <w:tc>
                <w:tcPr>
                  <w:tcW w:w="1725" w:type="dxa"/>
                  <w:vAlign w:val="center"/>
                </w:tcPr>
                <w:p>
                  <w:pPr>
                    <w:jc w:val="center"/>
                    <w:outlineLvl w:val="0"/>
                    <w:rPr>
                      <w:rFonts w:eastAsiaTheme="minorEastAsia"/>
                      <w:szCs w:val="21"/>
                    </w:rPr>
                  </w:pPr>
                  <w:bookmarkStart w:id="115" w:name="_Toc144233242"/>
                  <w:r>
                    <w:rPr>
                      <w:rFonts w:eastAsiaTheme="minorEastAsia"/>
                      <w:szCs w:val="21"/>
                    </w:rPr>
                    <w:t>防治病虫害</w:t>
                  </w:r>
                  <w:bookmarkEnd w:id="1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04" w:type="dxa"/>
                  <w:vAlign w:val="center"/>
                </w:tcPr>
                <w:p>
                  <w:pPr>
                    <w:widowControl/>
                    <w:jc w:val="center"/>
                    <w:textAlignment w:val="center"/>
                    <w:rPr>
                      <w:rFonts w:eastAsiaTheme="minorEastAsia"/>
                      <w:szCs w:val="21"/>
                    </w:rPr>
                  </w:pPr>
                  <w:r>
                    <w:rPr>
                      <w:rFonts w:eastAsiaTheme="minorEastAsia"/>
                      <w:szCs w:val="21"/>
                    </w:rPr>
                    <w:t>34</w:t>
                  </w:r>
                </w:p>
              </w:tc>
              <w:tc>
                <w:tcPr>
                  <w:tcW w:w="2410" w:type="dxa"/>
                  <w:vAlign w:val="center"/>
                </w:tcPr>
                <w:p>
                  <w:pPr>
                    <w:widowControl/>
                    <w:jc w:val="center"/>
                    <w:textAlignment w:val="center"/>
                    <w:rPr>
                      <w:rFonts w:eastAsiaTheme="minorEastAsia"/>
                      <w:szCs w:val="21"/>
                    </w:rPr>
                  </w:pPr>
                  <w:r>
                    <w:rPr>
                      <w:rFonts w:eastAsiaTheme="minorEastAsia"/>
                      <w:szCs w:val="21"/>
                    </w:rPr>
                    <w:t>功夫*高效氯氟氰菊酯</w:t>
                  </w:r>
                </w:p>
              </w:tc>
              <w:tc>
                <w:tcPr>
                  <w:tcW w:w="1559" w:type="dxa"/>
                  <w:vAlign w:val="center"/>
                </w:tcPr>
                <w:p>
                  <w:pPr>
                    <w:jc w:val="center"/>
                    <w:outlineLvl w:val="0"/>
                    <w:rPr>
                      <w:rFonts w:eastAsiaTheme="minorEastAsia"/>
                      <w:szCs w:val="21"/>
                    </w:rPr>
                  </w:pPr>
                  <w:bookmarkStart w:id="116" w:name="_Toc144233243"/>
                  <w:r>
                    <w:rPr>
                      <w:rFonts w:eastAsiaTheme="minorEastAsia"/>
                      <w:szCs w:val="21"/>
                    </w:rPr>
                    <w:t>0.031</w:t>
                  </w:r>
                  <w:bookmarkEnd w:id="116"/>
                </w:p>
              </w:tc>
              <w:tc>
                <w:tcPr>
                  <w:tcW w:w="1276" w:type="dxa"/>
                  <w:vAlign w:val="center"/>
                </w:tcPr>
                <w:p>
                  <w:pPr>
                    <w:widowControl/>
                    <w:jc w:val="center"/>
                    <w:textAlignment w:val="center"/>
                    <w:rPr>
                      <w:rFonts w:eastAsiaTheme="minorEastAsia"/>
                      <w:szCs w:val="21"/>
                    </w:rPr>
                  </w:pPr>
                  <w:r>
                    <w:rPr>
                      <w:rFonts w:eastAsiaTheme="minorEastAsia"/>
                      <w:szCs w:val="21"/>
                    </w:rPr>
                    <w:t>0.0025</w:t>
                  </w:r>
                </w:p>
              </w:tc>
              <w:tc>
                <w:tcPr>
                  <w:tcW w:w="1276" w:type="dxa"/>
                  <w:vAlign w:val="center"/>
                </w:tcPr>
                <w:p>
                  <w:pPr>
                    <w:jc w:val="center"/>
                    <w:outlineLvl w:val="0"/>
                    <w:rPr>
                      <w:rFonts w:eastAsiaTheme="minorEastAsia"/>
                      <w:szCs w:val="21"/>
                    </w:rPr>
                  </w:pPr>
                  <w:bookmarkStart w:id="117" w:name="_Toc144233244"/>
                  <w:r>
                    <w:rPr>
                      <w:rFonts w:eastAsiaTheme="minorEastAsia"/>
                      <w:szCs w:val="21"/>
                    </w:rPr>
                    <w:t>外购</w:t>
                  </w:r>
                  <w:bookmarkEnd w:id="117"/>
                </w:p>
              </w:tc>
              <w:tc>
                <w:tcPr>
                  <w:tcW w:w="1725" w:type="dxa"/>
                  <w:vAlign w:val="center"/>
                </w:tcPr>
                <w:p>
                  <w:pPr>
                    <w:jc w:val="center"/>
                    <w:outlineLvl w:val="0"/>
                    <w:rPr>
                      <w:rFonts w:eastAsiaTheme="minorEastAsia"/>
                      <w:szCs w:val="21"/>
                    </w:rPr>
                  </w:pPr>
                  <w:bookmarkStart w:id="118" w:name="_Toc144233245"/>
                  <w:r>
                    <w:rPr>
                      <w:rFonts w:eastAsiaTheme="minorEastAsia"/>
                      <w:szCs w:val="21"/>
                    </w:rPr>
                    <w:t>防治病虫害</w:t>
                  </w:r>
                  <w:bookmarkEnd w:id="1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04" w:type="dxa"/>
                  <w:vAlign w:val="center"/>
                </w:tcPr>
                <w:p>
                  <w:pPr>
                    <w:widowControl/>
                    <w:jc w:val="center"/>
                    <w:textAlignment w:val="center"/>
                    <w:rPr>
                      <w:rFonts w:eastAsiaTheme="minorEastAsia"/>
                      <w:szCs w:val="21"/>
                    </w:rPr>
                  </w:pPr>
                  <w:r>
                    <w:rPr>
                      <w:rFonts w:eastAsiaTheme="minorEastAsia"/>
                      <w:szCs w:val="21"/>
                    </w:rPr>
                    <w:t>35</w:t>
                  </w:r>
                </w:p>
              </w:tc>
              <w:tc>
                <w:tcPr>
                  <w:tcW w:w="2410" w:type="dxa"/>
                  <w:vAlign w:val="center"/>
                </w:tcPr>
                <w:p>
                  <w:pPr>
                    <w:widowControl/>
                    <w:jc w:val="center"/>
                    <w:textAlignment w:val="center"/>
                    <w:rPr>
                      <w:rFonts w:eastAsiaTheme="minorEastAsia"/>
                      <w:szCs w:val="21"/>
                    </w:rPr>
                  </w:pPr>
                  <w:r>
                    <w:rPr>
                      <w:rFonts w:eastAsiaTheme="minorEastAsia"/>
                      <w:szCs w:val="21"/>
                    </w:rPr>
                    <w:t>茚虫威</w:t>
                  </w:r>
                </w:p>
              </w:tc>
              <w:tc>
                <w:tcPr>
                  <w:tcW w:w="1559" w:type="dxa"/>
                  <w:vAlign w:val="center"/>
                </w:tcPr>
                <w:p>
                  <w:pPr>
                    <w:jc w:val="center"/>
                    <w:outlineLvl w:val="0"/>
                    <w:rPr>
                      <w:rFonts w:eastAsiaTheme="minorEastAsia"/>
                      <w:szCs w:val="21"/>
                    </w:rPr>
                  </w:pPr>
                  <w:bookmarkStart w:id="119" w:name="_Toc144233246"/>
                  <w:r>
                    <w:rPr>
                      <w:rFonts w:eastAsiaTheme="minorEastAsia"/>
                      <w:szCs w:val="21"/>
                    </w:rPr>
                    <w:t>0.041</w:t>
                  </w:r>
                  <w:bookmarkEnd w:id="119"/>
                </w:p>
              </w:tc>
              <w:tc>
                <w:tcPr>
                  <w:tcW w:w="1276" w:type="dxa"/>
                  <w:vAlign w:val="center"/>
                </w:tcPr>
                <w:p>
                  <w:pPr>
                    <w:widowControl/>
                    <w:jc w:val="center"/>
                    <w:textAlignment w:val="center"/>
                    <w:rPr>
                      <w:rFonts w:eastAsiaTheme="minorEastAsia"/>
                      <w:szCs w:val="21"/>
                    </w:rPr>
                  </w:pPr>
                  <w:r>
                    <w:rPr>
                      <w:rFonts w:eastAsiaTheme="minorEastAsia"/>
                      <w:szCs w:val="21"/>
                    </w:rPr>
                    <w:t>0.003</w:t>
                  </w:r>
                </w:p>
              </w:tc>
              <w:tc>
                <w:tcPr>
                  <w:tcW w:w="1276" w:type="dxa"/>
                  <w:vAlign w:val="center"/>
                </w:tcPr>
                <w:p>
                  <w:pPr>
                    <w:jc w:val="center"/>
                    <w:outlineLvl w:val="0"/>
                    <w:rPr>
                      <w:rFonts w:eastAsiaTheme="minorEastAsia"/>
                      <w:szCs w:val="21"/>
                    </w:rPr>
                  </w:pPr>
                  <w:bookmarkStart w:id="120" w:name="_Toc144233247"/>
                  <w:r>
                    <w:rPr>
                      <w:rFonts w:eastAsiaTheme="minorEastAsia"/>
                      <w:szCs w:val="21"/>
                    </w:rPr>
                    <w:t>外购</w:t>
                  </w:r>
                  <w:bookmarkEnd w:id="120"/>
                </w:p>
              </w:tc>
              <w:tc>
                <w:tcPr>
                  <w:tcW w:w="1725" w:type="dxa"/>
                  <w:vAlign w:val="center"/>
                </w:tcPr>
                <w:p>
                  <w:pPr>
                    <w:jc w:val="center"/>
                    <w:outlineLvl w:val="0"/>
                    <w:rPr>
                      <w:rFonts w:eastAsiaTheme="minorEastAsia"/>
                      <w:szCs w:val="21"/>
                    </w:rPr>
                  </w:pPr>
                  <w:bookmarkStart w:id="121" w:name="_Toc144233248"/>
                  <w:r>
                    <w:rPr>
                      <w:rFonts w:eastAsiaTheme="minorEastAsia"/>
                      <w:szCs w:val="21"/>
                    </w:rPr>
                    <w:t>防治病虫害</w:t>
                  </w:r>
                  <w:bookmarkEnd w:id="1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04" w:type="dxa"/>
                  <w:vAlign w:val="center"/>
                </w:tcPr>
                <w:p>
                  <w:pPr>
                    <w:widowControl/>
                    <w:jc w:val="center"/>
                    <w:textAlignment w:val="center"/>
                    <w:rPr>
                      <w:rFonts w:eastAsiaTheme="minorEastAsia"/>
                      <w:szCs w:val="21"/>
                    </w:rPr>
                  </w:pPr>
                  <w:r>
                    <w:rPr>
                      <w:rFonts w:eastAsiaTheme="minorEastAsia"/>
                      <w:szCs w:val="21"/>
                    </w:rPr>
                    <w:t>36</w:t>
                  </w:r>
                </w:p>
              </w:tc>
              <w:tc>
                <w:tcPr>
                  <w:tcW w:w="2410" w:type="dxa"/>
                  <w:vAlign w:val="center"/>
                </w:tcPr>
                <w:p>
                  <w:pPr>
                    <w:widowControl/>
                    <w:jc w:val="center"/>
                    <w:textAlignment w:val="center"/>
                    <w:rPr>
                      <w:rFonts w:eastAsiaTheme="minorEastAsia"/>
                      <w:szCs w:val="21"/>
                    </w:rPr>
                  </w:pPr>
                  <w:r>
                    <w:rPr>
                      <w:rFonts w:eastAsiaTheme="minorEastAsia"/>
                      <w:szCs w:val="21"/>
                    </w:rPr>
                    <w:t>苏云金杆菌</w:t>
                  </w:r>
                </w:p>
              </w:tc>
              <w:tc>
                <w:tcPr>
                  <w:tcW w:w="1559" w:type="dxa"/>
                  <w:vAlign w:val="center"/>
                </w:tcPr>
                <w:p>
                  <w:pPr>
                    <w:jc w:val="center"/>
                    <w:outlineLvl w:val="0"/>
                    <w:rPr>
                      <w:rFonts w:eastAsiaTheme="minorEastAsia"/>
                      <w:szCs w:val="21"/>
                    </w:rPr>
                  </w:pPr>
                  <w:bookmarkStart w:id="122" w:name="_Toc144233249"/>
                  <w:r>
                    <w:rPr>
                      <w:rFonts w:eastAsiaTheme="minorEastAsia"/>
                      <w:szCs w:val="21"/>
                    </w:rPr>
                    <w:t>0.01</w:t>
                  </w:r>
                  <w:bookmarkEnd w:id="122"/>
                </w:p>
              </w:tc>
              <w:tc>
                <w:tcPr>
                  <w:tcW w:w="1276" w:type="dxa"/>
                  <w:vAlign w:val="center"/>
                </w:tcPr>
                <w:p>
                  <w:pPr>
                    <w:widowControl/>
                    <w:jc w:val="center"/>
                    <w:textAlignment w:val="center"/>
                    <w:rPr>
                      <w:rFonts w:eastAsiaTheme="minorEastAsia"/>
                      <w:szCs w:val="21"/>
                    </w:rPr>
                  </w:pPr>
                  <w:r>
                    <w:rPr>
                      <w:rFonts w:eastAsiaTheme="minorEastAsia"/>
                      <w:szCs w:val="21"/>
                    </w:rPr>
                    <w:t>0.0008</w:t>
                  </w:r>
                </w:p>
              </w:tc>
              <w:tc>
                <w:tcPr>
                  <w:tcW w:w="1276" w:type="dxa"/>
                  <w:vAlign w:val="center"/>
                </w:tcPr>
                <w:p>
                  <w:pPr>
                    <w:jc w:val="center"/>
                    <w:outlineLvl w:val="0"/>
                    <w:rPr>
                      <w:rFonts w:eastAsiaTheme="minorEastAsia"/>
                      <w:szCs w:val="21"/>
                    </w:rPr>
                  </w:pPr>
                  <w:bookmarkStart w:id="123" w:name="_Toc144233250"/>
                  <w:r>
                    <w:rPr>
                      <w:rFonts w:eastAsiaTheme="minorEastAsia"/>
                      <w:szCs w:val="21"/>
                    </w:rPr>
                    <w:t>外购</w:t>
                  </w:r>
                  <w:bookmarkEnd w:id="123"/>
                </w:p>
              </w:tc>
              <w:tc>
                <w:tcPr>
                  <w:tcW w:w="1725" w:type="dxa"/>
                  <w:vAlign w:val="center"/>
                </w:tcPr>
                <w:p>
                  <w:pPr>
                    <w:jc w:val="center"/>
                    <w:outlineLvl w:val="0"/>
                    <w:rPr>
                      <w:rFonts w:eastAsiaTheme="minorEastAsia"/>
                      <w:szCs w:val="21"/>
                    </w:rPr>
                  </w:pPr>
                  <w:bookmarkStart w:id="124" w:name="_Toc144233251"/>
                  <w:r>
                    <w:rPr>
                      <w:rFonts w:eastAsiaTheme="minorEastAsia"/>
                      <w:szCs w:val="21"/>
                    </w:rPr>
                    <w:t>防治病虫害</w:t>
                  </w:r>
                  <w:bookmarkEnd w:id="1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04" w:type="dxa"/>
                  <w:vAlign w:val="center"/>
                </w:tcPr>
                <w:p>
                  <w:pPr>
                    <w:widowControl/>
                    <w:jc w:val="center"/>
                    <w:textAlignment w:val="center"/>
                    <w:rPr>
                      <w:rFonts w:eastAsiaTheme="minorEastAsia"/>
                      <w:szCs w:val="21"/>
                    </w:rPr>
                  </w:pPr>
                  <w:r>
                    <w:rPr>
                      <w:rFonts w:eastAsiaTheme="minorEastAsia"/>
                      <w:szCs w:val="21"/>
                    </w:rPr>
                    <w:t>37</w:t>
                  </w:r>
                </w:p>
              </w:tc>
              <w:tc>
                <w:tcPr>
                  <w:tcW w:w="2410" w:type="dxa"/>
                  <w:vAlign w:val="center"/>
                </w:tcPr>
                <w:p>
                  <w:pPr>
                    <w:widowControl/>
                    <w:jc w:val="center"/>
                    <w:textAlignment w:val="center"/>
                    <w:rPr>
                      <w:rFonts w:eastAsiaTheme="minorEastAsia"/>
                      <w:szCs w:val="21"/>
                    </w:rPr>
                  </w:pPr>
                  <w:r>
                    <w:rPr>
                      <w:rFonts w:eastAsiaTheme="minorEastAsia"/>
                      <w:szCs w:val="21"/>
                    </w:rPr>
                    <w:t>格力高*10%溴虫氟苯双酰胺</w:t>
                  </w:r>
                </w:p>
              </w:tc>
              <w:tc>
                <w:tcPr>
                  <w:tcW w:w="1559" w:type="dxa"/>
                  <w:vAlign w:val="center"/>
                </w:tcPr>
                <w:p>
                  <w:pPr>
                    <w:jc w:val="center"/>
                    <w:outlineLvl w:val="0"/>
                    <w:rPr>
                      <w:rFonts w:eastAsiaTheme="minorEastAsia"/>
                      <w:szCs w:val="21"/>
                    </w:rPr>
                  </w:pPr>
                  <w:bookmarkStart w:id="125" w:name="_Toc144233252"/>
                  <w:r>
                    <w:rPr>
                      <w:rFonts w:eastAsiaTheme="minorEastAsia"/>
                      <w:szCs w:val="21"/>
                    </w:rPr>
                    <w:t>0.024</w:t>
                  </w:r>
                  <w:bookmarkEnd w:id="125"/>
                </w:p>
              </w:tc>
              <w:tc>
                <w:tcPr>
                  <w:tcW w:w="1276" w:type="dxa"/>
                  <w:vAlign w:val="center"/>
                </w:tcPr>
                <w:p>
                  <w:pPr>
                    <w:widowControl/>
                    <w:jc w:val="center"/>
                    <w:textAlignment w:val="center"/>
                    <w:rPr>
                      <w:rFonts w:eastAsiaTheme="minorEastAsia"/>
                      <w:szCs w:val="21"/>
                    </w:rPr>
                  </w:pPr>
                  <w:r>
                    <w:rPr>
                      <w:rFonts w:eastAsiaTheme="minorEastAsia"/>
                      <w:szCs w:val="21"/>
                    </w:rPr>
                    <w:t>0.002</w:t>
                  </w:r>
                </w:p>
              </w:tc>
              <w:tc>
                <w:tcPr>
                  <w:tcW w:w="1276" w:type="dxa"/>
                  <w:vAlign w:val="center"/>
                </w:tcPr>
                <w:p>
                  <w:pPr>
                    <w:jc w:val="center"/>
                    <w:outlineLvl w:val="0"/>
                    <w:rPr>
                      <w:rFonts w:eastAsiaTheme="minorEastAsia"/>
                      <w:szCs w:val="21"/>
                    </w:rPr>
                  </w:pPr>
                  <w:bookmarkStart w:id="126" w:name="_Toc144233253"/>
                  <w:r>
                    <w:rPr>
                      <w:rFonts w:eastAsiaTheme="minorEastAsia"/>
                      <w:szCs w:val="21"/>
                    </w:rPr>
                    <w:t>外购</w:t>
                  </w:r>
                  <w:bookmarkEnd w:id="126"/>
                </w:p>
              </w:tc>
              <w:tc>
                <w:tcPr>
                  <w:tcW w:w="1725" w:type="dxa"/>
                  <w:vAlign w:val="center"/>
                </w:tcPr>
                <w:p>
                  <w:pPr>
                    <w:jc w:val="center"/>
                    <w:outlineLvl w:val="0"/>
                    <w:rPr>
                      <w:rFonts w:eastAsiaTheme="minorEastAsia"/>
                      <w:szCs w:val="21"/>
                    </w:rPr>
                  </w:pPr>
                  <w:bookmarkStart w:id="127" w:name="_Toc144233254"/>
                  <w:r>
                    <w:rPr>
                      <w:rFonts w:eastAsiaTheme="minorEastAsia"/>
                      <w:szCs w:val="21"/>
                    </w:rPr>
                    <w:t>防治病虫害</w:t>
                  </w:r>
                  <w:bookmarkEnd w:id="1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04" w:type="dxa"/>
                  <w:vAlign w:val="center"/>
                </w:tcPr>
                <w:p>
                  <w:pPr>
                    <w:widowControl/>
                    <w:jc w:val="center"/>
                    <w:textAlignment w:val="center"/>
                    <w:rPr>
                      <w:rFonts w:eastAsiaTheme="minorEastAsia"/>
                      <w:szCs w:val="21"/>
                    </w:rPr>
                  </w:pPr>
                  <w:r>
                    <w:rPr>
                      <w:rFonts w:eastAsiaTheme="minorEastAsia"/>
                      <w:szCs w:val="21"/>
                    </w:rPr>
                    <w:t>38</w:t>
                  </w:r>
                </w:p>
              </w:tc>
              <w:tc>
                <w:tcPr>
                  <w:tcW w:w="2410" w:type="dxa"/>
                  <w:vAlign w:val="center"/>
                </w:tcPr>
                <w:p>
                  <w:pPr>
                    <w:widowControl/>
                    <w:jc w:val="center"/>
                    <w:textAlignment w:val="center"/>
                    <w:rPr>
                      <w:rFonts w:eastAsiaTheme="minorEastAsia"/>
                      <w:szCs w:val="21"/>
                    </w:rPr>
                  </w:pPr>
                  <w:r>
                    <w:rPr>
                      <w:rFonts w:eastAsiaTheme="minorEastAsia"/>
                      <w:szCs w:val="21"/>
                    </w:rPr>
                    <w:t>除尽*虫螨腈</w:t>
                  </w:r>
                </w:p>
              </w:tc>
              <w:tc>
                <w:tcPr>
                  <w:tcW w:w="1559" w:type="dxa"/>
                  <w:vAlign w:val="center"/>
                </w:tcPr>
                <w:p>
                  <w:pPr>
                    <w:jc w:val="center"/>
                    <w:outlineLvl w:val="0"/>
                    <w:rPr>
                      <w:rFonts w:eastAsiaTheme="minorEastAsia"/>
                      <w:szCs w:val="21"/>
                    </w:rPr>
                  </w:pPr>
                  <w:bookmarkStart w:id="128" w:name="_Toc144233255"/>
                  <w:r>
                    <w:rPr>
                      <w:rFonts w:eastAsiaTheme="minorEastAsia"/>
                      <w:szCs w:val="21"/>
                    </w:rPr>
                    <w:t>0.011</w:t>
                  </w:r>
                  <w:bookmarkEnd w:id="128"/>
                </w:p>
              </w:tc>
              <w:tc>
                <w:tcPr>
                  <w:tcW w:w="1276" w:type="dxa"/>
                  <w:vAlign w:val="center"/>
                </w:tcPr>
                <w:p>
                  <w:pPr>
                    <w:widowControl/>
                    <w:jc w:val="center"/>
                    <w:textAlignment w:val="center"/>
                    <w:rPr>
                      <w:rFonts w:eastAsiaTheme="minorEastAsia"/>
                      <w:szCs w:val="21"/>
                    </w:rPr>
                  </w:pPr>
                  <w:r>
                    <w:rPr>
                      <w:rFonts w:eastAsiaTheme="minorEastAsia"/>
                      <w:szCs w:val="21"/>
                    </w:rPr>
                    <w:t>0.0009</w:t>
                  </w:r>
                </w:p>
              </w:tc>
              <w:tc>
                <w:tcPr>
                  <w:tcW w:w="1276" w:type="dxa"/>
                  <w:vAlign w:val="center"/>
                </w:tcPr>
                <w:p>
                  <w:pPr>
                    <w:jc w:val="center"/>
                    <w:outlineLvl w:val="0"/>
                    <w:rPr>
                      <w:rFonts w:eastAsiaTheme="minorEastAsia"/>
                      <w:szCs w:val="21"/>
                    </w:rPr>
                  </w:pPr>
                  <w:bookmarkStart w:id="129" w:name="_Toc144233256"/>
                  <w:r>
                    <w:rPr>
                      <w:rFonts w:eastAsiaTheme="minorEastAsia"/>
                      <w:szCs w:val="21"/>
                    </w:rPr>
                    <w:t>外购</w:t>
                  </w:r>
                  <w:bookmarkEnd w:id="129"/>
                </w:p>
              </w:tc>
              <w:tc>
                <w:tcPr>
                  <w:tcW w:w="1725" w:type="dxa"/>
                  <w:vAlign w:val="center"/>
                </w:tcPr>
                <w:p>
                  <w:pPr>
                    <w:jc w:val="center"/>
                    <w:outlineLvl w:val="0"/>
                    <w:rPr>
                      <w:rFonts w:eastAsiaTheme="minorEastAsia"/>
                      <w:szCs w:val="21"/>
                    </w:rPr>
                  </w:pPr>
                  <w:bookmarkStart w:id="130" w:name="_Toc144233257"/>
                  <w:r>
                    <w:rPr>
                      <w:rFonts w:eastAsiaTheme="minorEastAsia"/>
                      <w:szCs w:val="21"/>
                    </w:rPr>
                    <w:t>防治病虫害</w:t>
                  </w:r>
                  <w:bookmarkEnd w:id="1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04" w:type="dxa"/>
                  <w:vAlign w:val="center"/>
                </w:tcPr>
                <w:p>
                  <w:pPr>
                    <w:widowControl/>
                    <w:jc w:val="center"/>
                    <w:textAlignment w:val="center"/>
                    <w:rPr>
                      <w:rFonts w:eastAsiaTheme="minorEastAsia"/>
                      <w:szCs w:val="21"/>
                    </w:rPr>
                  </w:pPr>
                  <w:r>
                    <w:rPr>
                      <w:rFonts w:eastAsiaTheme="minorEastAsia"/>
                      <w:szCs w:val="21"/>
                    </w:rPr>
                    <w:t>39</w:t>
                  </w:r>
                </w:p>
              </w:tc>
              <w:tc>
                <w:tcPr>
                  <w:tcW w:w="2410" w:type="dxa"/>
                  <w:vAlign w:val="center"/>
                </w:tcPr>
                <w:p>
                  <w:pPr>
                    <w:widowControl/>
                    <w:jc w:val="center"/>
                    <w:textAlignment w:val="center"/>
                    <w:rPr>
                      <w:rFonts w:eastAsiaTheme="minorEastAsia"/>
                      <w:szCs w:val="21"/>
                    </w:rPr>
                  </w:pPr>
                  <w:r>
                    <w:rPr>
                      <w:rFonts w:eastAsiaTheme="minorEastAsia"/>
                      <w:szCs w:val="21"/>
                    </w:rPr>
                    <w:t>爱卡螨*联苯肼酯</w:t>
                  </w:r>
                </w:p>
              </w:tc>
              <w:tc>
                <w:tcPr>
                  <w:tcW w:w="1559" w:type="dxa"/>
                  <w:vAlign w:val="center"/>
                </w:tcPr>
                <w:p>
                  <w:pPr>
                    <w:jc w:val="center"/>
                    <w:outlineLvl w:val="0"/>
                    <w:rPr>
                      <w:rFonts w:eastAsiaTheme="minorEastAsia"/>
                      <w:szCs w:val="21"/>
                    </w:rPr>
                  </w:pPr>
                  <w:bookmarkStart w:id="131" w:name="_Toc144233258"/>
                  <w:r>
                    <w:rPr>
                      <w:rFonts w:eastAsiaTheme="minorEastAsia"/>
                      <w:szCs w:val="21"/>
                    </w:rPr>
                    <w:t>0.025</w:t>
                  </w:r>
                  <w:bookmarkEnd w:id="131"/>
                </w:p>
              </w:tc>
              <w:tc>
                <w:tcPr>
                  <w:tcW w:w="1276" w:type="dxa"/>
                  <w:vAlign w:val="center"/>
                </w:tcPr>
                <w:p>
                  <w:pPr>
                    <w:widowControl/>
                    <w:jc w:val="center"/>
                    <w:textAlignment w:val="center"/>
                    <w:rPr>
                      <w:rFonts w:eastAsiaTheme="minorEastAsia"/>
                      <w:szCs w:val="21"/>
                    </w:rPr>
                  </w:pPr>
                  <w:r>
                    <w:rPr>
                      <w:rFonts w:eastAsiaTheme="minorEastAsia"/>
                      <w:szCs w:val="21"/>
                    </w:rPr>
                    <w:t>0.002</w:t>
                  </w:r>
                </w:p>
              </w:tc>
              <w:tc>
                <w:tcPr>
                  <w:tcW w:w="1276" w:type="dxa"/>
                  <w:vAlign w:val="center"/>
                </w:tcPr>
                <w:p>
                  <w:pPr>
                    <w:jc w:val="center"/>
                    <w:outlineLvl w:val="0"/>
                    <w:rPr>
                      <w:rFonts w:eastAsiaTheme="minorEastAsia"/>
                      <w:szCs w:val="21"/>
                    </w:rPr>
                  </w:pPr>
                  <w:bookmarkStart w:id="132" w:name="_Toc144233259"/>
                  <w:r>
                    <w:rPr>
                      <w:rFonts w:eastAsiaTheme="minorEastAsia"/>
                      <w:szCs w:val="21"/>
                    </w:rPr>
                    <w:t>外购</w:t>
                  </w:r>
                  <w:bookmarkEnd w:id="132"/>
                </w:p>
              </w:tc>
              <w:tc>
                <w:tcPr>
                  <w:tcW w:w="1725" w:type="dxa"/>
                  <w:vAlign w:val="center"/>
                </w:tcPr>
                <w:p>
                  <w:pPr>
                    <w:jc w:val="center"/>
                    <w:outlineLvl w:val="0"/>
                    <w:rPr>
                      <w:rFonts w:eastAsiaTheme="minorEastAsia"/>
                      <w:szCs w:val="21"/>
                    </w:rPr>
                  </w:pPr>
                  <w:bookmarkStart w:id="133" w:name="_Toc144233260"/>
                  <w:r>
                    <w:rPr>
                      <w:rFonts w:eastAsiaTheme="minorEastAsia"/>
                      <w:szCs w:val="21"/>
                    </w:rPr>
                    <w:t>防治病虫害</w:t>
                  </w:r>
                  <w:bookmarkEnd w:id="1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04" w:type="dxa"/>
                  <w:vAlign w:val="center"/>
                </w:tcPr>
                <w:p>
                  <w:pPr>
                    <w:widowControl/>
                    <w:jc w:val="center"/>
                    <w:textAlignment w:val="center"/>
                    <w:rPr>
                      <w:rFonts w:eastAsiaTheme="minorEastAsia"/>
                      <w:szCs w:val="21"/>
                    </w:rPr>
                  </w:pPr>
                  <w:r>
                    <w:rPr>
                      <w:rFonts w:eastAsiaTheme="minorEastAsia"/>
                      <w:szCs w:val="21"/>
                    </w:rPr>
                    <w:t>40</w:t>
                  </w:r>
                </w:p>
              </w:tc>
              <w:tc>
                <w:tcPr>
                  <w:tcW w:w="2410" w:type="dxa"/>
                  <w:vAlign w:val="center"/>
                </w:tcPr>
                <w:p>
                  <w:pPr>
                    <w:widowControl/>
                    <w:jc w:val="center"/>
                    <w:textAlignment w:val="center"/>
                    <w:rPr>
                      <w:rFonts w:eastAsiaTheme="minorEastAsia"/>
                      <w:szCs w:val="21"/>
                    </w:rPr>
                  </w:pPr>
                  <w:r>
                    <w:rPr>
                      <w:rFonts w:eastAsiaTheme="minorEastAsia"/>
                      <w:szCs w:val="21"/>
                    </w:rPr>
                    <w:t>宝卓*乙唑螨腈</w:t>
                  </w:r>
                </w:p>
              </w:tc>
              <w:tc>
                <w:tcPr>
                  <w:tcW w:w="1559" w:type="dxa"/>
                  <w:vAlign w:val="center"/>
                </w:tcPr>
                <w:p>
                  <w:pPr>
                    <w:jc w:val="center"/>
                    <w:outlineLvl w:val="0"/>
                    <w:rPr>
                      <w:rFonts w:eastAsiaTheme="minorEastAsia"/>
                      <w:szCs w:val="21"/>
                    </w:rPr>
                  </w:pPr>
                  <w:bookmarkStart w:id="134" w:name="_Toc144233261"/>
                  <w:r>
                    <w:rPr>
                      <w:rFonts w:eastAsiaTheme="minorEastAsia"/>
                      <w:szCs w:val="21"/>
                    </w:rPr>
                    <w:t>0.03</w:t>
                  </w:r>
                  <w:bookmarkEnd w:id="134"/>
                </w:p>
              </w:tc>
              <w:tc>
                <w:tcPr>
                  <w:tcW w:w="1276" w:type="dxa"/>
                  <w:vAlign w:val="center"/>
                </w:tcPr>
                <w:p>
                  <w:pPr>
                    <w:widowControl/>
                    <w:jc w:val="center"/>
                    <w:textAlignment w:val="center"/>
                    <w:rPr>
                      <w:rFonts w:eastAsiaTheme="minorEastAsia"/>
                      <w:szCs w:val="21"/>
                    </w:rPr>
                  </w:pPr>
                  <w:r>
                    <w:rPr>
                      <w:rFonts w:eastAsiaTheme="minorEastAsia"/>
                      <w:szCs w:val="21"/>
                    </w:rPr>
                    <w:t>0.0025</w:t>
                  </w:r>
                </w:p>
              </w:tc>
              <w:tc>
                <w:tcPr>
                  <w:tcW w:w="1276" w:type="dxa"/>
                  <w:vAlign w:val="center"/>
                </w:tcPr>
                <w:p>
                  <w:pPr>
                    <w:jc w:val="center"/>
                    <w:outlineLvl w:val="0"/>
                    <w:rPr>
                      <w:rFonts w:eastAsiaTheme="minorEastAsia"/>
                      <w:szCs w:val="21"/>
                    </w:rPr>
                  </w:pPr>
                  <w:bookmarkStart w:id="135" w:name="_Toc144233262"/>
                  <w:r>
                    <w:rPr>
                      <w:rFonts w:eastAsiaTheme="minorEastAsia"/>
                      <w:szCs w:val="21"/>
                    </w:rPr>
                    <w:t>外购</w:t>
                  </w:r>
                  <w:bookmarkEnd w:id="135"/>
                </w:p>
              </w:tc>
              <w:tc>
                <w:tcPr>
                  <w:tcW w:w="1725" w:type="dxa"/>
                  <w:vAlign w:val="center"/>
                </w:tcPr>
                <w:p>
                  <w:pPr>
                    <w:jc w:val="center"/>
                    <w:outlineLvl w:val="0"/>
                    <w:rPr>
                      <w:rFonts w:eastAsiaTheme="minorEastAsia"/>
                      <w:szCs w:val="21"/>
                    </w:rPr>
                  </w:pPr>
                  <w:bookmarkStart w:id="136" w:name="_Toc144233263"/>
                  <w:r>
                    <w:rPr>
                      <w:rFonts w:eastAsiaTheme="minorEastAsia"/>
                      <w:szCs w:val="21"/>
                    </w:rPr>
                    <w:t>防治病虫害</w:t>
                  </w:r>
                  <w:bookmarkEnd w:id="1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widowControl/>
                    <w:jc w:val="center"/>
                    <w:textAlignment w:val="center"/>
                    <w:rPr>
                      <w:rFonts w:eastAsiaTheme="minorEastAsia"/>
                      <w:szCs w:val="21"/>
                    </w:rPr>
                  </w:pPr>
                  <w:r>
                    <w:rPr>
                      <w:rFonts w:eastAsiaTheme="minorEastAsia"/>
                      <w:szCs w:val="21"/>
                    </w:rPr>
                    <w:t>41</w:t>
                  </w:r>
                </w:p>
              </w:tc>
              <w:tc>
                <w:tcPr>
                  <w:tcW w:w="2410" w:type="dxa"/>
                  <w:vAlign w:val="center"/>
                </w:tcPr>
                <w:p>
                  <w:pPr>
                    <w:widowControl/>
                    <w:jc w:val="center"/>
                    <w:textAlignment w:val="center"/>
                    <w:rPr>
                      <w:rFonts w:eastAsiaTheme="minorEastAsia"/>
                      <w:szCs w:val="21"/>
                    </w:rPr>
                  </w:pPr>
                  <w:r>
                    <w:rPr>
                      <w:rFonts w:eastAsiaTheme="minorEastAsia"/>
                      <w:szCs w:val="21"/>
                    </w:rPr>
                    <w:t>3%阿维菌素+22%螺螨酯</w:t>
                  </w:r>
                </w:p>
              </w:tc>
              <w:tc>
                <w:tcPr>
                  <w:tcW w:w="1559" w:type="dxa"/>
                  <w:vAlign w:val="center"/>
                </w:tcPr>
                <w:p>
                  <w:pPr>
                    <w:jc w:val="center"/>
                    <w:outlineLvl w:val="0"/>
                    <w:rPr>
                      <w:rFonts w:eastAsiaTheme="minorEastAsia"/>
                      <w:szCs w:val="21"/>
                    </w:rPr>
                  </w:pPr>
                  <w:bookmarkStart w:id="137" w:name="_Toc144233264"/>
                  <w:r>
                    <w:rPr>
                      <w:rFonts w:eastAsiaTheme="minorEastAsia"/>
                      <w:szCs w:val="21"/>
                    </w:rPr>
                    <w:t>0.034</w:t>
                  </w:r>
                  <w:bookmarkEnd w:id="137"/>
                </w:p>
              </w:tc>
              <w:tc>
                <w:tcPr>
                  <w:tcW w:w="1276" w:type="dxa"/>
                  <w:vAlign w:val="center"/>
                </w:tcPr>
                <w:p>
                  <w:pPr>
                    <w:widowControl/>
                    <w:jc w:val="center"/>
                    <w:textAlignment w:val="center"/>
                    <w:rPr>
                      <w:rFonts w:eastAsiaTheme="minorEastAsia"/>
                      <w:szCs w:val="21"/>
                    </w:rPr>
                  </w:pPr>
                  <w:r>
                    <w:rPr>
                      <w:rFonts w:eastAsiaTheme="minorEastAsia"/>
                      <w:szCs w:val="21"/>
                    </w:rPr>
                    <w:t>0.0028</w:t>
                  </w:r>
                </w:p>
              </w:tc>
              <w:tc>
                <w:tcPr>
                  <w:tcW w:w="1276" w:type="dxa"/>
                  <w:vAlign w:val="center"/>
                </w:tcPr>
                <w:p>
                  <w:pPr>
                    <w:jc w:val="center"/>
                    <w:outlineLvl w:val="0"/>
                    <w:rPr>
                      <w:rFonts w:eastAsiaTheme="minorEastAsia"/>
                      <w:szCs w:val="21"/>
                    </w:rPr>
                  </w:pPr>
                  <w:bookmarkStart w:id="138" w:name="_Toc144233265"/>
                  <w:r>
                    <w:rPr>
                      <w:rFonts w:eastAsiaTheme="minorEastAsia"/>
                      <w:szCs w:val="21"/>
                    </w:rPr>
                    <w:t>外购</w:t>
                  </w:r>
                  <w:bookmarkEnd w:id="138"/>
                </w:p>
              </w:tc>
              <w:tc>
                <w:tcPr>
                  <w:tcW w:w="1725" w:type="dxa"/>
                  <w:vAlign w:val="center"/>
                </w:tcPr>
                <w:p>
                  <w:pPr>
                    <w:jc w:val="center"/>
                    <w:outlineLvl w:val="0"/>
                    <w:rPr>
                      <w:rFonts w:eastAsiaTheme="minorEastAsia"/>
                      <w:szCs w:val="21"/>
                    </w:rPr>
                  </w:pPr>
                  <w:bookmarkStart w:id="139" w:name="_Toc144233266"/>
                  <w:r>
                    <w:rPr>
                      <w:rFonts w:eastAsiaTheme="minorEastAsia"/>
                      <w:szCs w:val="21"/>
                    </w:rPr>
                    <w:t>防治病虫害</w:t>
                  </w:r>
                  <w:bookmarkEnd w:id="1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widowControl/>
                    <w:jc w:val="center"/>
                    <w:textAlignment w:val="center"/>
                    <w:rPr>
                      <w:rFonts w:eastAsiaTheme="minorEastAsia"/>
                      <w:szCs w:val="21"/>
                    </w:rPr>
                  </w:pPr>
                  <w:r>
                    <w:rPr>
                      <w:rFonts w:eastAsiaTheme="minorEastAsia"/>
                      <w:szCs w:val="21"/>
                    </w:rPr>
                    <w:t>42</w:t>
                  </w:r>
                </w:p>
              </w:tc>
              <w:tc>
                <w:tcPr>
                  <w:tcW w:w="2410" w:type="dxa"/>
                  <w:vAlign w:val="center"/>
                </w:tcPr>
                <w:p>
                  <w:pPr>
                    <w:widowControl/>
                    <w:jc w:val="center"/>
                    <w:textAlignment w:val="center"/>
                    <w:rPr>
                      <w:rFonts w:eastAsiaTheme="minorEastAsia"/>
                      <w:szCs w:val="21"/>
                    </w:rPr>
                  </w:pPr>
                  <w:r>
                    <w:rPr>
                      <w:rFonts w:eastAsiaTheme="minorEastAsia"/>
                      <w:szCs w:val="21"/>
                    </w:rPr>
                    <w:t>尼索朗*噻螨酮</w:t>
                  </w:r>
                </w:p>
              </w:tc>
              <w:tc>
                <w:tcPr>
                  <w:tcW w:w="1559" w:type="dxa"/>
                  <w:vAlign w:val="center"/>
                </w:tcPr>
                <w:p>
                  <w:pPr>
                    <w:jc w:val="center"/>
                    <w:outlineLvl w:val="0"/>
                    <w:rPr>
                      <w:rFonts w:eastAsiaTheme="minorEastAsia"/>
                      <w:szCs w:val="21"/>
                    </w:rPr>
                  </w:pPr>
                  <w:bookmarkStart w:id="140" w:name="_Toc144233267"/>
                  <w:r>
                    <w:rPr>
                      <w:rFonts w:eastAsiaTheme="minorEastAsia"/>
                      <w:szCs w:val="21"/>
                    </w:rPr>
                    <w:t>0.045</w:t>
                  </w:r>
                  <w:bookmarkEnd w:id="140"/>
                </w:p>
              </w:tc>
              <w:tc>
                <w:tcPr>
                  <w:tcW w:w="1276" w:type="dxa"/>
                  <w:vAlign w:val="center"/>
                </w:tcPr>
                <w:p>
                  <w:pPr>
                    <w:widowControl/>
                    <w:jc w:val="center"/>
                    <w:textAlignment w:val="center"/>
                    <w:rPr>
                      <w:rFonts w:eastAsiaTheme="minorEastAsia"/>
                      <w:szCs w:val="21"/>
                    </w:rPr>
                  </w:pPr>
                  <w:r>
                    <w:rPr>
                      <w:rFonts w:eastAsiaTheme="minorEastAsia"/>
                      <w:szCs w:val="21"/>
                    </w:rPr>
                    <w:t>0.004</w:t>
                  </w:r>
                </w:p>
              </w:tc>
              <w:tc>
                <w:tcPr>
                  <w:tcW w:w="1276" w:type="dxa"/>
                  <w:vAlign w:val="center"/>
                </w:tcPr>
                <w:p>
                  <w:pPr>
                    <w:jc w:val="center"/>
                    <w:outlineLvl w:val="0"/>
                    <w:rPr>
                      <w:rFonts w:eastAsiaTheme="minorEastAsia"/>
                      <w:szCs w:val="21"/>
                    </w:rPr>
                  </w:pPr>
                  <w:bookmarkStart w:id="141" w:name="_Toc144233268"/>
                  <w:r>
                    <w:rPr>
                      <w:rFonts w:eastAsiaTheme="minorEastAsia"/>
                      <w:szCs w:val="21"/>
                    </w:rPr>
                    <w:t>外购</w:t>
                  </w:r>
                  <w:bookmarkEnd w:id="141"/>
                </w:p>
              </w:tc>
              <w:tc>
                <w:tcPr>
                  <w:tcW w:w="1725" w:type="dxa"/>
                  <w:vAlign w:val="center"/>
                </w:tcPr>
                <w:p>
                  <w:pPr>
                    <w:jc w:val="center"/>
                    <w:outlineLvl w:val="0"/>
                    <w:rPr>
                      <w:rFonts w:eastAsiaTheme="minorEastAsia"/>
                      <w:szCs w:val="21"/>
                    </w:rPr>
                  </w:pPr>
                  <w:bookmarkStart w:id="142" w:name="_Toc144233269"/>
                  <w:r>
                    <w:rPr>
                      <w:rFonts w:eastAsiaTheme="minorEastAsia"/>
                      <w:szCs w:val="21"/>
                    </w:rPr>
                    <w:t>防治病虫害</w:t>
                  </w:r>
                  <w:bookmarkEnd w:id="1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widowControl/>
                    <w:jc w:val="center"/>
                    <w:textAlignment w:val="center"/>
                    <w:rPr>
                      <w:rFonts w:eastAsiaTheme="minorEastAsia"/>
                      <w:szCs w:val="21"/>
                    </w:rPr>
                  </w:pPr>
                  <w:r>
                    <w:rPr>
                      <w:rFonts w:eastAsiaTheme="minorEastAsia"/>
                      <w:szCs w:val="21"/>
                    </w:rPr>
                    <w:t>43</w:t>
                  </w:r>
                </w:p>
              </w:tc>
              <w:tc>
                <w:tcPr>
                  <w:tcW w:w="2410" w:type="dxa"/>
                  <w:vAlign w:val="center"/>
                </w:tcPr>
                <w:p>
                  <w:pPr>
                    <w:widowControl/>
                    <w:jc w:val="center"/>
                    <w:textAlignment w:val="center"/>
                    <w:rPr>
                      <w:rFonts w:eastAsiaTheme="minorEastAsia"/>
                      <w:szCs w:val="21"/>
                    </w:rPr>
                  </w:pPr>
                  <w:r>
                    <w:rPr>
                      <w:rFonts w:eastAsiaTheme="minorEastAsia"/>
                      <w:szCs w:val="21"/>
                    </w:rPr>
                    <w:t>德袭</w:t>
                  </w:r>
                </w:p>
              </w:tc>
              <w:tc>
                <w:tcPr>
                  <w:tcW w:w="1559" w:type="dxa"/>
                  <w:vAlign w:val="center"/>
                </w:tcPr>
                <w:p>
                  <w:pPr>
                    <w:jc w:val="center"/>
                    <w:outlineLvl w:val="0"/>
                    <w:rPr>
                      <w:rFonts w:eastAsiaTheme="minorEastAsia"/>
                      <w:szCs w:val="21"/>
                    </w:rPr>
                  </w:pPr>
                  <w:bookmarkStart w:id="143" w:name="_Toc144233270"/>
                  <w:r>
                    <w:rPr>
                      <w:rFonts w:eastAsiaTheme="minorEastAsia"/>
                      <w:szCs w:val="21"/>
                    </w:rPr>
                    <w:t>0.018</w:t>
                  </w:r>
                  <w:bookmarkEnd w:id="143"/>
                </w:p>
              </w:tc>
              <w:tc>
                <w:tcPr>
                  <w:tcW w:w="1276" w:type="dxa"/>
                  <w:vAlign w:val="center"/>
                </w:tcPr>
                <w:p>
                  <w:pPr>
                    <w:widowControl/>
                    <w:jc w:val="center"/>
                    <w:textAlignment w:val="center"/>
                    <w:rPr>
                      <w:rFonts w:eastAsiaTheme="minorEastAsia"/>
                      <w:szCs w:val="21"/>
                    </w:rPr>
                  </w:pPr>
                  <w:r>
                    <w:rPr>
                      <w:rFonts w:eastAsiaTheme="minorEastAsia"/>
                      <w:szCs w:val="21"/>
                    </w:rPr>
                    <w:t>0.0015</w:t>
                  </w:r>
                </w:p>
              </w:tc>
              <w:tc>
                <w:tcPr>
                  <w:tcW w:w="1276" w:type="dxa"/>
                  <w:vAlign w:val="center"/>
                </w:tcPr>
                <w:p>
                  <w:pPr>
                    <w:jc w:val="center"/>
                    <w:outlineLvl w:val="0"/>
                    <w:rPr>
                      <w:rFonts w:eastAsiaTheme="minorEastAsia"/>
                      <w:szCs w:val="21"/>
                    </w:rPr>
                  </w:pPr>
                  <w:bookmarkStart w:id="144" w:name="_Toc144233271"/>
                  <w:r>
                    <w:rPr>
                      <w:rFonts w:eastAsiaTheme="minorEastAsia"/>
                      <w:szCs w:val="21"/>
                    </w:rPr>
                    <w:t>外购</w:t>
                  </w:r>
                  <w:bookmarkEnd w:id="144"/>
                </w:p>
              </w:tc>
              <w:tc>
                <w:tcPr>
                  <w:tcW w:w="1725" w:type="dxa"/>
                  <w:vAlign w:val="center"/>
                </w:tcPr>
                <w:p>
                  <w:pPr>
                    <w:jc w:val="center"/>
                    <w:outlineLvl w:val="0"/>
                    <w:rPr>
                      <w:rFonts w:eastAsiaTheme="minorEastAsia"/>
                      <w:szCs w:val="21"/>
                    </w:rPr>
                  </w:pPr>
                  <w:bookmarkStart w:id="145" w:name="_Toc144233272"/>
                  <w:r>
                    <w:rPr>
                      <w:rFonts w:eastAsiaTheme="minorEastAsia"/>
                      <w:szCs w:val="21"/>
                    </w:rPr>
                    <w:t>防治病虫害</w:t>
                  </w:r>
                  <w:bookmarkEnd w:id="1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widowControl/>
                    <w:jc w:val="center"/>
                    <w:textAlignment w:val="center"/>
                    <w:rPr>
                      <w:rFonts w:eastAsiaTheme="minorEastAsia"/>
                      <w:szCs w:val="21"/>
                    </w:rPr>
                  </w:pPr>
                  <w:r>
                    <w:rPr>
                      <w:rFonts w:eastAsiaTheme="minorEastAsia"/>
                      <w:szCs w:val="21"/>
                    </w:rPr>
                    <w:t>44</w:t>
                  </w:r>
                </w:p>
              </w:tc>
              <w:tc>
                <w:tcPr>
                  <w:tcW w:w="2410" w:type="dxa"/>
                  <w:vAlign w:val="center"/>
                </w:tcPr>
                <w:p>
                  <w:pPr>
                    <w:widowControl/>
                    <w:jc w:val="center"/>
                    <w:textAlignment w:val="center"/>
                    <w:rPr>
                      <w:rFonts w:eastAsiaTheme="minorEastAsia"/>
                      <w:szCs w:val="21"/>
                    </w:rPr>
                  </w:pPr>
                  <w:r>
                    <w:rPr>
                      <w:rFonts w:eastAsiaTheme="minorEastAsia"/>
                      <w:szCs w:val="21"/>
                    </w:rPr>
                    <w:t>康必诛*阿维菌素</w:t>
                  </w:r>
                </w:p>
              </w:tc>
              <w:tc>
                <w:tcPr>
                  <w:tcW w:w="1559" w:type="dxa"/>
                  <w:vAlign w:val="center"/>
                </w:tcPr>
                <w:p>
                  <w:pPr>
                    <w:jc w:val="center"/>
                    <w:outlineLvl w:val="0"/>
                    <w:rPr>
                      <w:rFonts w:eastAsiaTheme="minorEastAsia"/>
                      <w:szCs w:val="21"/>
                    </w:rPr>
                  </w:pPr>
                  <w:bookmarkStart w:id="146" w:name="_Toc144233273"/>
                  <w:r>
                    <w:rPr>
                      <w:rFonts w:eastAsiaTheme="minorEastAsia"/>
                      <w:szCs w:val="21"/>
                    </w:rPr>
                    <w:t>0.046</w:t>
                  </w:r>
                  <w:bookmarkEnd w:id="146"/>
                </w:p>
              </w:tc>
              <w:tc>
                <w:tcPr>
                  <w:tcW w:w="1276" w:type="dxa"/>
                  <w:vAlign w:val="center"/>
                </w:tcPr>
                <w:p>
                  <w:pPr>
                    <w:widowControl/>
                    <w:jc w:val="center"/>
                    <w:textAlignment w:val="center"/>
                    <w:rPr>
                      <w:rFonts w:eastAsiaTheme="minorEastAsia"/>
                      <w:szCs w:val="21"/>
                    </w:rPr>
                  </w:pPr>
                  <w:r>
                    <w:rPr>
                      <w:rFonts w:eastAsiaTheme="minorEastAsia"/>
                      <w:szCs w:val="21"/>
                    </w:rPr>
                    <w:t>0.003</w:t>
                  </w:r>
                </w:p>
              </w:tc>
              <w:tc>
                <w:tcPr>
                  <w:tcW w:w="1276" w:type="dxa"/>
                  <w:vAlign w:val="center"/>
                </w:tcPr>
                <w:p>
                  <w:pPr>
                    <w:jc w:val="center"/>
                    <w:outlineLvl w:val="0"/>
                    <w:rPr>
                      <w:rFonts w:eastAsiaTheme="minorEastAsia"/>
                      <w:szCs w:val="21"/>
                    </w:rPr>
                  </w:pPr>
                  <w:bookmarkStart w:id="147" w:name="_Toc144233274"/>
                  <w:r>
                    <w:rPr>
                      <w:rFonts w:eastAsiaTheme="minorEastAsia"/>
                      <w:szCs w:val="21"/>
                    </w:rPr>
                    <w:t>外购</w:t>
                  </w:r>
                  <w:bookmarkEnd w:id="147"/>
                </w:p>
              </w:tc>
              <w:tc>
                <w:tcPr>
                  <w:tcW w:w="1725" w:type="dxa"/>
                  <w:vAlign w:val="center"/>
                </w:tcPr>
                <w:p>
                  <w:pPr>
                    <w:jc w:val="center"/>
                    <w:outlineLvl w:val="0"/>
                    <w:rPr>
                      <w:rFonts w:eastAsiaTheme="minorEastAsia"/>
                      <w:szCs w:val="21"/>
                    </w:rPr>
                  </w:pPr>
                  <w:bookmarkStart w:id="148" w:name="_Toc144233275"/>
                  <w:r>
                    <w:rPr>
                      <w:rFonts w:eastAsiaTheme="minorEastAsia"/>
                      <w:szCs w:val="21"/>
                    </w:rPr>
                    <w:t>防治病虫害</w:t>
                  </w:r>
                  <w:bookmarkEnd w:id="1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widowControl/>
                    <w:jc w:val="center"/>
                    <w:textAlignment w:val="center"/>
                    <w:rPr>
                      <w:rFonts w:eastAsiaTheme="minorEastAsia"/>
                      <w:szCs w:val="21"/>
                    </w:rPr>
                  </w:pPr>
                  <w:r>
                    <w:rPr>
                      <w:rFonts w:eastAsiaTheme="minorEastAsia"/>
                      <w:szCs w:val="21"/>
                    </w:rPr>
                    <w:t>45</w:t>
                  </w:r>
                </w:p>
              </w:tc>
              <w:tc>
                <w:tcPr>
                  <w:tcW w:w="2410" w:type="dxa"/>
                  <w:vAlign w:val="center"/>
                </w:tcPr>
                <w:p>
                  <w:pPr>
                    <w:widowControl/>
                    <w:jc w:val="center"/>
                    <w:textAlignment w:val="center"/>
                    <w:rPr>
                      <w:rFonts w:eastAsiaTheme="minorEastAsia"/>
                      <w:szCs w:val="21"/>
                    </w:rPr>
                  </w:pPr>
                  <w:r>
                    <w:rPr>
                      <w:rFonts w:eastAsiaTheme="minorEastAsia"/>
                      <w:szCs w:val="21"/>
                    </w:rPr>
                    <w:t>吡虫啉</w:t>
                  </w:r>
                </w:p>
              </w:tc>
              <w:tc>
                <w:tcPr>
                  <w:tcW w:w="1559" w:type="dxa"/>
                  <w:vAlign w:val="center"/>
                </w:tcPr>
                <w:p>
                  <w:pPr>
                    <w:jc w:val="center"/>
                    <w:outlineLvl w:val="0"/>
                    <w:rPr>
                      <w:rFonts w:eastAsiaTheme="minorEastAsia"/>
                      <w:szCs w:val="21"/>
                    </w:rPr>
                  </w:pPr>
                  <w:bookmarkStart w:id="149" w:name="_Toc144233276"/>
                  <w:r>
                    <w:rPr>
                      <w:rFonts w:eastAsiaTheme="minorEastAsia"/>
                      <w:szCs w:val="21"/>
                    </w:rPr>
                    <w:t>0.02</w:t>
                  </w:r>
                  <w:bookmarkEnd w:id="149"/>
                </w:p>
              </w:tc>
              <w:tc>
                <w:tcPr>
                  <w:tcW w:w="1276" w:type="dxa"/>
                  <w:vAlign w:val="center"/>
                </w:tcPr>
                <w:p>
                  <w:pPr>
                    <w:widowControl/>
                    <w:jc w:val="center"/>
                    <w:textAlignment w:val="center"/>
                    <w:rPr>
                      <w:rFonts w:eastAsiaTheme="minorEastAsia"/>
                      <w:szCs w:val="21"/>
                    </w:rPr>
                  </w:pPr>
                  <w:r>
                    <w:rPr>
                      <w:rFonts w:eastAsiaTheme="minorEastAsia"/>
                      <w:szCs w:val="21"/>
                    </w:rPr>
                    <w:t>0.002</w:t>
                  </w:r>
                </w:p>
              </w:tc>
              <w:tc>
                <w:tcPr>
                  <w:tcW w:w="1276" w:type="dxa"/>
                  <w:vAlign w:val="center"/>
                </w:tcPr>
                <w:p>
                  <w:pPr>
                    <w:jc w:val="center"/>
                    <w:outlineLvl w:val="0"/>
                    <w:rPr>
                      <w:rFonts w:eastAsiaTheme="minorEastAsia"/>
                      <w:szCs w:val="21"/>
                    </w:rPr>
                  </w:pPr>
                  <w:bookmarkStart w:id="150" w:name="_Toc144233277"/>
                  <w:r>
                    <w:rPr>
                      <w:rFonts w:eastAsiaTheme="minorEastAsia"/>
                      <w:szCs w:val="21"/>
                    </w:rPr>
                    <w:t>外购</w:t>
                  </w:r>
                  <w:bookmarkEnd w:id="150"/>
                </w:p>
              </w:tc>
              <w:tc>
                <w:tcPr>
                  <w:tcW w:w="1725" w:type="dxa"/>
                  <w:vAlign w:val="center"/>
                </w:tcPr>
                <w:p>
                  <w:pPr>
                    <w:jc w:val="center"/>
                    <w:outlineLvl w:val="0"/>
                    <w:rPr>
                      <w:rFonts w:eastAsiaTheme="minorEastAsia"/>
                      <w:szCs w:val="21"/>
                    </w:rPr>
                  </w:pPr>
                  <w:bookmarkStart w:id="151" w:name="_Toc144233278"/>
                  <w:r>
                    <w:rPr>
                      <w:rFonts w:eastAsiaTheme="minorEastAsia"/>
                      <w:szCs w:val="21"/>
                    </w:rPr>
                    <w:t>防治病虫害</w:t>
                  </w:r>
                  <w:bookmarkEnd w:id="1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widowControl/>
                    <w:jc w:val="center"/>
                    <w:textAlignment w:val="center"/>
                    <w:rPr>
                      <w:rFonts w:eastAsiaTheme="minorEastAsia"/>
                      <w:szCs w:val="21"/>
                    </w:rPr>
                  </w:pPr>
                  <w:r>
                    <w:rPr>
                      <w:rFonts w:eastAsiaTheme="minorEastAsia"/>
                      <w:szCs w:val="21"/>
                    </w:rPr>
                    <w:t>46</w:t>
                  </w:r>
                </w:p>
              </w:tc>
              <w:tc>
                <w:tcPr>
                  <w:tcW w:w="2410" w:type="dxa"/>
                  <w:vAlign w:val="center"/>
                </w:tcPr>
                <w:p>
                  <w:pPr>
                    <w:widowControl/>
                    <w:jc w:val="center"/>
                    <w:textAlignment w:val="center"/>
                    <w:rPr>
                      <w:rFonts w:eastAsiaTheme="minorEastAsia"/>
                      <w:szCs w:val="21"/>
                    </w:rPr>
                  </w:pPr>
                  <w:r>
                    <w:rPr>
                      <w:rFonts w:eastAsiaTheme="minorEastAsia"/>
                      <w:szCs w:val="21"/>
                    </w:rPr>
                    <w:t>苯醚甲环唑</w:t>
                  </w:r>
                </w:p>
              </w:tc>
              <w:tc>
                <w:tcPr>
                  <w:tcW w:w="1559" w:type="dxa"/>
                  <w:vAlign w:val="center"/>
                </w:tcPr>
                <w:p>
                  <w:pPr>
                    <w:jc w:val="center"/>
                    <w:outlineLvl w:val="0"/>
                    <w:rPr>
                      <w:rFonts w:eastAsiaTheme="minorEastAsia"/>
                      <w:szCs w:val="21"/>
                    </w:rPr>
                  </w:pPr>
                  <w:bookmarkStart w:id="152" w:name="_Toc144233279"/>
                  <w:r>
                    <w:rPr>
                      <w:rFonts w:eastAsiaTheme="minorEastAsia"/>
                      <w:szCs w:val="21"/>
                    </w:rPr>
                    <w:t>0.027</w:t>
                  </w:r>
                  <w:bookmarkEnd w:id="152"/>
                </w:p>
              </w:tc>
              <w:tc>
                <w:tcPr>
                  <w:tcW w:w="1276" w:type="dxa"/>
                  <w:vAlign w:val="center"/>
                </w:tcPr>
                <w:p>
                  <w:pPr>
                    <w:widowControl/>
                    <w:jc w:val="center"/>
                    <w:textAlignment w:val="center"/>
                    <w:rPr>
                      <w:rFonts w:eastAsiaTheme="minorEastAsia"/>
                      <w:szCs w:val="21"/>
                    </w:rPr>
                  </w:pPr>
                  <w:r>
                    <w:rPr>
                      <w:rFonts w:eastAsiaTheme="minorEastAsia"/>
                      <w:szCs w:val="21"/>
                    </w:rPr>
                    <w:t>0.002</w:t>
                  </w:r>
                </w:p>
              </w:tc>
              <w:tc>
                <w:tcPr>
                  <w:tcW w:w="1276" w:type="dxa"/>
                  <w:vAlign w:val="center"/>
                </w:tcPr>
                <w:p>
                  <w:pPr>
                    <w:jc w:val="center"/>
                    <w:outlineLvl w:val="0"/>
                    <w:rPr>
                      <w:rFonts w:eastAsiaTheme="minorEastAsia"/>
                      <w:szCs w:val="21"/>
                    </w:rPr>
                  </w:pPr>
                  <w:bookmarkStart w:id="153" w:name="_Toc144233280"/>
                  <w:r>
                    <w:rPr>
                      <w:rFonts w:eastAsiaTheme="minorEastAsia"/>
                      <w:szCs w:val="21"/>
                    </w:rPr>
                    <w:t>外购</w:t>
                  </w:r>
                  <w:bookmarkEnd w:id="153"/>
                </w:p>
              </w:tc>
              <w:tc>
                <w:tcPr>
                  <w:tcW w:w="1725" w:type="dxa"/>
                  <w:vAlign w:val="center"/>
                </w:tcPr>
                <w:p>
                  <w:pPr>
                    <w:jc w:val="center"/>
                    <w:outlineLvl w:val="0"/>
                    <w:rPr>
                      <w:rFonts w:eastAsiaTheme="minorEastAsia"/>
                      <w:szCs w:val="21"/>
                    </w:rPr>
                  </w:pPr>
                  <w:bookmarkStart w:id="154" w:name="_Toc144233281"/>
                  <w:r>
                    <w:rPr>
                      <w:rFonts w:eastAsiaTheme="minorEastAsia"/>
                      <w:szCs w:val="21"/>
                    </w:rPr>
                    <w:t>防治病虫害</w:t>
                  </w:r>
                  <w:bookmarkEnd w:id="1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widowControl/>
                    <w:jc w:val="center"/>
                    <w:textAlignment w:val="center"/>
                    <w:rPr>
                      <w:rFonts w:eastAsiaTheme="minorEastAsia"/>
                      <w:szCs w:val="21"/>
                    </w:rPr>
                  </w:pPr>
                  <w:r>
                    <w:rPr>
                      <w:rFonts w:eastAsiaTheme="minorEastAsia"/>
                      <w:szCs w:val="21"/>
                    </w:rPr>
                    <w:t>47</w:t>
                  </w:r>
                </w:p>
              </w:tc>
              <w:tc>
                <w:tcPr>
                  <w:tcW w:w="2410" w:type="dxa"/>
                  <w:vAlign w:val="center"/>
                </w:tcPr>
                <w:p>
                  <w:pPr>
                    <w:widowControl/>
                    <w:jc w:val="center"/>
                    <w:textAlignment w:val="center"/>
                    <w:rPr>
                      <w:rFonts w:eastAsiaTheme="minorEastAsia"/>
                      <w:szCs w:val="21"/>
                    </w:rPr>
                  </w:pPr>
                  <w:r>
                    <w:rPr>
                      <w:rFonts w:eastAsiaTheme="minorEastAsia"/>
                      <w:szCs w:val="21"/>
                    </w:rPr>
                    <w:t>吡唑醚菌酯</w:t>
                  </w:r>
                </w:p>
              </w:tc>
              <w:tc>
                <w:tcPr>
                  <w:tcW w:w="1559" w:type="dxa"/>
                  <w:vAlign w:val="center"/>
                </w:tcPr>
                <w:p>
                  <w:pPr>
                    <w:jc w:val="center"/>
                    <w:outlineLvl w:val="0"/>
                    <w:rPr>
                      <w:rFonts w:eastAsiaTheme="minorEastAsia"/>
                      <w:szCs w:val="21"/>
                    </w:rPr>
                  </w:pPr>
                  <w:bookmarkStart w:id="155" w:name="_Toc144233282"/>
                  <w:r>
                    <w:rPr>
                      <w:rFonts w:eastAsiaTheme="minorEastAsia"/>
                      <w:szCs w:val="21"/>
                    </w:rPr>
                    <w:t>0.02</w:t>
                  </w:r>
                  <w:bookmarkEnd w:id="155"/>
                </w:p>
              </w:tc>
              <w:tc>
                <w:tcPr>
                  <w:tcW w:w="1276" w:type="dxa"/>
                  <w:vAlign w:val="center"/>
                </w:tcPr>
                <w:p>
                  <w:pPr>
                    <w:widowControl/>
                    <w:jc w:val="center"/>
                    <w:textAlignment w:val="center"/>
                    <w:rPr>
                      <w:rFonts w:eastAsiaTheme="minorEastAsia"/>
                      <w:szCs w:val="21"/>
                    </w:rPr>
                  </w:pPr>
                  <w:r>
                    <w:rPr>
                      <w:rFonts w:eastAsiaTheme="minorEastAsia"/>
                      <w:szCs w:val="21"/>
                    </w:rPr>
                    <w:t>0.002</w:t>
                  </w:r>
                </w:p>
              </w:tc>
              <w:tc>
                <w:tcPr>
                  <w:tcW w:w="1276" w:type="dxa"/>
                  <w:vAlign w:val="center"/>
                </w:tcPr>
                <w:p>
                  <w:pPr>
                    <w:jc w:val="center"/>
                    <w:outlineLvl w:val="0"/>
                    <w:rPr>
                      <w:rFonts w:eastAsiaTheme="minorEastAsia"/>
                      <w:szCs w:val="21"/>
                    </w:rPr>
                  </w:pPr>
                  <w:bookmarkStart w:id="156" w:name="_Toc144233283"/>
                  <w:r>
                    <w:rPr>
                      <w:rFonts w:eastAsiaTheme="minorEastAsia"/>
                      <w:szCs w:val="21"/>
                    </w:rPr>
                    <w:t>外购</w:t>
                  </w:r>
                  <w:bookmarkEnd w:id="156"/>
                </w:p>
              </w:tc>
              <w:tc>
                <w:tcPr>
                  <w:tcW w:w="1725" w:type="dxa"/>
                  <w:vAlign w:val="center"/>
                </w:tcPr>
                <w:p>
                  <w:pPr>
                    <w:jc w:val="center"/>
                    <w:outlineLvl w:val="0"/>
                    <w:rPr>
                      <w:rFonts w:eastAsiaTheme="minorEastAsia"/>
                      <w:szCs w:val="21"/>
                    </w:rPr>
                  </w:pPr>
                  <w:bookmarkStart w:id="157" w:name="_Toc144233284"/>
                  <w:r>
                    <w:rPr>
                      <w:rFonts w:eastAsiaTheme="minorEastAsia"/>
                      <w:szCs w:val="21"/>
                    </w:rPr>
                    <w:t>防治病虫害</w:t>
                  </w:r>
                  <w:bookmarkEnd w:id="1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widowControl/>
                    <w:jc w:val="center"/>
                    <w:textAlignment w:val="center"/>
                    <w:rPr>
                      <w:rFonts w:eastAsiaTheme="minorEastAsia"/>
                      <w:szCs w:val="21"/>
                    </w:rPr>
                  </w:pPr>
                  <w:r>
                    <w:rPr>
                      <w:rFonts w:eastAsiaTheme="minorEastAsia"/>
                      <w:szCs w:val="21"/>
                    </w:rPr>
                    <w:t>48</w:t>
                  </w:r>
                </w:p>
              </w:tc>
              <w:tc>
                <w:tcPr>
                  <w:tcW w:w="2410" w:type="dxa"/>
                  <w:vAlign w:val="center"/>
                </w:tcPr>
                <w:p>
                  <w:pPr>
                    <w:widowControl/>
                    <w:jc w:val="center"/>
                    <w:textAlignment w:val="center"/>
                    <w:rPr>
                      <w:rFonts w:eastAsiaTheme="minorEastAsia"/>
                      <w:szCs w:val="21"/>
                    </w:rPr>
                  </w:pPr>
                  <w:r>
                    <w:rPr>
                      <w:rFonts w:eastAsiaTheme="minorEastAsia"/>
                      <w:szCs w:val="21"/>
                    </w:rPr>
                    <w:t>百菌清粉剂</w:t>
                  </w:r>
                </w:p>
              </w:tc>
              <w:tc>
                <w:tcPr>
                  <w:tcW w:w="1559" w:type="dxa"/>
                  <w:vAlign w:val="center"/>
                </w:tcPr>
                <w:p>
                  <w:pPr>
                    <w:jc w:val="center"/>
                    <w:outlineLvl w:val="0"/>
                    <w:rPr>
                      <w:rFonts w:eastAsiaTheme="minorEastAsia"/>
                      <w:szCs w:val="21"/>
                    </w:rPr>
                  </w:pPr>
                  <w:bookmarkStart w:id="158" w:name="_Toc144233285"/>
                  <w:r>
                    <w:rPr>
                      <w:rFonts w:eastAsiaTheme="minorEastAsia"/>
                      <w:szCs w:val="21"/>
                    </w:rPr>
                    <w:t>0.014</w:t>
                  </w:r>
                  <w:bookmarkEnd w:id="158"/>
                </w:p>
              </w:tc>
              <w:tc>
                <w:tcPr>
                  <w:tcW w:w="1276" w:type="dxa"/>
                  <w:vAlign w:val="center"/>
                </w:tcPr>
                <w:p>
                  <w:pPr>
                    <w:widowControl/>
                    <w:jc w:val="center"/>
                    <w:textAlignment w:val="center"/>
                    <w:rPr>
                      <w:rFonts w:eastAsiaTheme="minorEastAsia"/>
                      <w:szCs w:val="21"/>
                    </w:rPr>
                  </w:pPr>
                  <w:r>
                    <w:rPr>
                      <w:rFonts w:eastAsiaTheme="minorEastAsia"/>
                      <w:szCs w:val="21"/>
                    </w:rPr>
                    <w:t>0.001</w:t>
                  </w:r>
                </w:p>
              </w:tc>
              <w:tc>
                <w:tcPr>
                  <w:tcW w:w="1276" w:type="dxa"/>
                  <w:vAlign w:val="center"/>
                </w:tcPr>
                <w:p>
                  <w:pPr>
                    <w:jc w:val="center"/>
                    <w:outlineLvl w:val="0"/>
                    <w:rPr>
                      <w:rFonts w:eastAsiaTheme="minorEastAsia"/>
                      <w:szCs w:val="21"/>
                    </w:rPr>
                  </w:pPr>
                  <w:bookmarkStart w:id="159" w:name="_Toc144233286"/>
                  <w:r>
                    <w:rPr>
                      <w:rFonts w:eastAsiaTheme="minorEastAsia"/>
                      <w:szCs w:val="21"/>
                    </w:rPr>
                    <w:t>外购</w:t>
                  </w:r>
                  <w:bookmarkEnd w:id="159"/>
                </w:p>
              </w:tc>
              <w:tc>
                <w:tcPr>
                  <w:tcW w:w="1725" w:type="dxa"/>
                  <w:vAlign w:val="center"/>
                </w:tcPr>
                <w:p>
                  <w:pPr>
                    <w:jc w:val="center"/>
                    <w:outlineLvl w:val="0"/>
                    <w:rPr>
                      <w:rFonts w:eastAsiaTheme="minorEastAsia"/>
                      <w:szCs w:val="21"/>
                    </w:rPr>
                  </w:pPr>
                  <w:bookmarkStart w:id="160" w:name="_Toc144233287"/>
                  <w:r>
                    <w:rPr>
                      <w:rFonts w:eastAsiaTheme="minorEastAsia"/>
                      <w:szCs w:val="21"/>
                    </w:rPr>
                    <w:t>防治病虫害</w:t>
                  </w:r>
                  <w:bookmarkEnd w:id="1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widowControl/>
                    <w:jc w:val="center"/>
                    <w:textAlignment w:val="center"/>
                    <w:rPr>
                      <w:rFonts w:eastAsiaTheme="minorEastAsia"/>
                      <w:szCs w:val="21"/>
                    </w:rPr>
                  </w:pPr>
                  <w:r>
                    <w:rPr>
                      <w:rFonts w:eastAsiaTheme="minorEastAsia"/>
                      <w:szCs w:val="21"/>
                    </w:rPr>
                    <w:t>49</w:t>
                  </w:r>
                </w:p>
              </w:tc>
              <w:tc>
                <w:tcPr>
                  <w:tcW w:w="2410" w:type="dxa"/>
                  <w:vAlign w:val="center"/>
                </w:tcPr>
                <w:p>
                  <w:pPr>
                    <w:widowControl/>
                    <w:jc w:val="center"/>
                    <w:textAlignment w:val="center"/>
                    <w:rPr>
                      <w:rFonts w:eastAsiaTheme="minorEastAsia"/>
                      <w:szCs w:val="21"/>
                    </w:rPr>
                  </w:pPr>
                  <w:r>
                    <w:rPr>
                      <w:rFonts w:eastAsiaTheme="minorEastAsia"/>
                      <w:szCs w:val="21"/>
                    </w:rPr>
                    <w:t>白糖</w:t>
                  </w:r>
                </w:p>
              </w:tc>
              <w:tc>
                <w:tcPr>
                  <w:tcW w:w="1559" w:type="dxa"/>
                  <w:vAlign w:val="center"/>
                </w:tcPr>
                <w:p>
                  <w:pPr>
                    <w:jc w:val="center"/>
                    <w:outlineLvl w:val="0"/>
                    <w:rPr>
                      <w:rFonts w:eastAsiaTheme="minorEastAsia"/>
                      <w:szCs w:val="21"/>
                    </w:rPr>
                  </w:pPr>
                  <w:bookmarkStart w:id="161" w:name="_Toc144233288"/>
                  <w:r>
                    <w:rPr>
                      <w:rFonts w:eastAsiaTheme="minorEastAsia"/>
                      <w:szCs w:val="21"/>
                    </w:rPr>
                    <w:t>0.015</w:t>
                  </w:r>
                  <w:bookmarkEnd w:id="161"/>
                </w:p>
              </w:tc>
              <w:tc>
                <w:tcPr>
                  <w:tcW w:w="1276" w:type="dxa"/>
                  <w:vAlign w:val="center"/>
                </w:tcPr>
                <w:p>
                  <w:pPr>
                    <w:widowControl/>
                    <w:jc w:val="center"/>
                    <w:textAlignment w:val="center"/>
                    <w:rPr>
                      <w:rFonts w:eastAsiaTheme="minorEastAsia"/>
                      <w:szCs w:val="21"/>
                    </w:rPr>
                  </w:pPr>
                  <w:r>
                    <w:rPr>
                      <w:rFonts w:eastAsiaTheme="minorEastAsia"/>
                      <w:szCs w:val="21"/>
                    </w:rPr>
                    <w:t>0.001</w:t>
                  </w:r>
                </w:p>
              </w:tc>
              <w:tc>
                <w:tcPr>
                  <w:tcW w:w="1276" w:type="dxa"/>
                  <w:vAlign w:val="center"/>
                </w:tcPr>
                <w:p>
                  <w:pPr>
                    <w:jc w:val="center"/>
                    <w:outlineLvl w:val="0"/>
                    <w:rPr>
                      <w:rFonts w:eastAsiaTheme="minorEastAsia"/>
                      <w:szCs w:val="21"/>
                    </w:rPr>
                  </w:pPr>
                  <w:bookmarkStart w:id="162" w:name="_Toc144233289"/>
                  <w:r>
                    <w:rPr>
                      <w:rFonts w:eastAsiaTheme="minorEastAsia"/>
                      <w:szCs w:val="21"/>
                    </w:rPr>
                    <w:t>外购</w:t>
                  </w:r>
                  <w:bookmarkEnd w:id="162"/>
                </w:p>
              </w:tc>
              <w:tc>
                <w:tcPr>
                  <w:tcW w:w="1725" w:type="dxa"/>
                  <w:vAlign w:val="center"/>
                </w:tcPr>
                <w:p>
                  <w:pPr>
                    <w:jc w:val="center"/>
                    <w:outlineLvl w:val="0"/>
                    <w:rPr>
                      <w:rFonts w:eastAsiaTheme="minorEastAsia"/>
                      <w:szCs w:val="21"/>
                    </w:rPr>
                  </w:pPr>
                  <w:bookmarkStart w:id="163" w:name="_Toc144233290"/>
                  <w:r>
                    <w:rPr>
                      <w:rFonts w:eastAsiaTheme="minorEastAsia"/>
                      <w:szCs w:val="21"/>
                    </w:rPr>
                    <w:t>防治病虫害</w:t>
                  </w:r>
                  <w:bookmarkEnd w:id="1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widowControl/>
                    <w:jc w:val="center"/>
                    <w:textAlignment w:val="center"/>
                    <w:rPr>
                      <w:rFonts w:eastAsiaTheme="minorEastAsia"/>
                      <w:szCs w:val="21"/>
                    </w:rPr>
                  </w:pPr>
                  <w:r>
                    <w:rPr>
                      <w:rFonts w:eastAsiaTheme="minorEastAsia"/>
                      <w:szCs w:val="21"/>
                    </w:rPr>
                    <w:t>50</w:t>
                  </w:r>
                </w:p>
              </w:tc>
              <w:tc>
                <w:tcPr>
                  <w:tcW w:w="2410" w:type="dxa"/>
                  <w:vAlign w:val="center"/>
                </w:tcPr>
                <w:p>
                  <w:pPr>
                    <w:widowControl/>
                    <w:jc w:val="center"/>
                    <w:textAlignment w:val="center"/>
                    <w:rPr>
                      <w:rFonts w:eastAsiaTheme="minorEastAsia"/>
                      <w:szCs w:val="21"/>
                    </w:rPr>
                  </w:pPr>
                  <w:r>
                    <w:rPr>
                      <w:rFonts w:eastAsiaTheme="minorEastAsia"/>
                      <w:szCs w:val="21"/>
                    </w:rPr>
                    <w:t>机油</w:t>
                  </w:r>
                </w:p>
              </w:tc>
              <w:tc>
                <w:tcPr>
                  <w:tcW w:w="1559" w:type="dxa"/>
                  <w:vAlign w:val="center"/>
                </w:tcPr>
                <w:p>
                  <w:pPr>
                    <w:jc w:val="center"/>
                    <w:outlineLvl w:val="0"/>
                    <w:rPr>
                      <w:rFonts w:eastAsiaTheme="minorEastAsia"/>
                      <w:szCs w:val="21"/>
                    </w:rPr>
                  </w:pPr>
                  <w:bookmarkStart w:id="164" w:name="_Toc144233291"/>
                  <w:r>
                    <w:rPr>
                      <w:rFonts w:eastAsiaTheme="minorEastAsia"/>
                      <w:szCs w:val="21"/>
                    </w:rPr>
                    <w:t>/</w:t>
                  </w:r>
                  <w:bookmarkEnd w:id="164"/>
                </w:p>
              </w:tc>
              <w:tc>
                <w:tcPr>
                  <w:tcW w:w="1276" w:type="dxa"/>
                  <w:vAlign w:val="center"/>
                </w:tcPr>
                <w:p>
                  <w:pPr>
                    <w:widowControl/>
                    <w:jc w:val="center"/>
                    <w:textAlignment w:val="center"/>
                    <w:rPr>
                      <w:rFonts w:eastAsiaTheme="minorEastAsia"/>
                      <w:szCs w:val="21"/>
                    </w:rPr>
                  </w:pPr>
                  <w:r>
                    <w:rPr>
                      <w:rFonts w:eastAsiaTheme="minorEastAsia"/>
                      <w:szCs w:val="21"/>
                    </w:rPr>
                    <w:t>1.2</w:t>
                  </w:r>
                </w:p>
              </w:tc>
              <w:tc>
                <w:tcPr>
                  <w:tcW w:w="1276" w:type="dxa"/>
                  <w:vAlign w:val="center"/>
                </w:tcPr>
                <w:p>
                  <w:pPr>
                    <w:jc w:val="center"/>
                    <w:outlineLvl w:val="0"/>
                    <w:rPr>
                      <w:rFonts w:eastAsiaTheme="minorEastAsia"/>
                      <w:szCs w:val="21"/>
                    </w:rPr>
                  </w:pPr>
                  <w:bookmarkStart w:id="165" w:name="_Toc144233292"/>
                  <w:r>
                    <w:rPr>
                      <w:rFonts w:eastAsiaTheme="minorEastAsia"/>
                      <w:szCs w:val="21"/>
                    </w:rPr>
                    <w:t>外购</w:t>
                  </w:r>
                  <w:bookmarkEnd w:id="165"/>
                </w:p>
              </w:tc>
              <w:tc>
                <w:tcPr>
                  <w:tcW w:w="1725" w:type="dxa"/>
                  <w:vAlign w:val="center"/>
                </w:tcPr>
                <w:p>
                  <w:pPr>
                    <w:jc w:val="center"/>
                    <w:outlineLvl w:val="0"/>
                    <w:rPr>
                      <w:rFonts w:eastAsiaTheme="minorEastAsia"/>
                      <w:szCs w:val="21"/>
                    </w:rPr>
                  </w:pPr>
                  <w:bookmarkStart w:id="166" w:name="_Toc144233293"/>
                  <w:r>
                    <w:rPr>
                      <w:rFonts w:eastAsiaTheme="minorEastAsia"/>
                      <w:szCs w:val="21"/>
                    </w:rPr>
                    <w:t>/</w:t>
                  </w:r>
                  <w:bookmarkEnd w:id="1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widowControl/>
                    <w:jc w:val="center"/>
                    <w:textAlignment w:val="center"/>
                    <w:rPr>
                      <w:rFonts w:eastAsiaTheme="minorEastAsia"/>
                      <w:szCs w:val="21"/>
                    </w:rPr>
                  </w:pPr>
                  <w:r>
                    <w:rPr>
                      <w:rFonts w:eastAsiaTheme="minorEastAsia"/>
                      <w:szCs w:val="21"/>
                    </w:rPr>
                    <w:t>51</w:t>
                  </w:r>
                </w:p>
              </w:tc>
              <w:tc>
                <w:tcPr>
                  <w:tcW w:w="2410" w:type="dxa"/>
                  <w:vAlign w:val="center"/>
                </w:tcPr>
                <w:p>
                  <w:pPr>
                    <w:widowControl/>
                    <w:jc w:val="center"/>
                    <w:textAlignment w:val="center"/>
                    <w:rPr>
                      <w:rFonts w:eastAsiaTheme="minorEastAsia"/>
                      <w:szCs w:val="21"/>
                    </w:rPr>
                  </w:pPr>
                  <w:r>
                    <w:rPr>
                      <w:rFonts w:eastAsiaTheme="minorEastAsia"/>
                      <w:szCs w:val="21"/>
                    </w:rPr>
                    <w:t>成型生物质燃料</w:t>
                  </w:r>
                </w:p>
              </w:tc>
              <w:tc>
                <w:tcPr>
                  <w:tcW w:w="1559" w:type="dxa"/>
                  <w:vAlign w:val="center"/>
                </w:tcPr>
                <w:p>
                  <w:pPr>
                    <w:jc w:val="center"/>
                    <w:outlineLvl w:val="0"/>
                    <w:rPr>
                      <w:rFonts w:eastAsiaTheme="minorEastAsia"/>
                      <w:szCs w:val="21"/>
                    </w:rPr>
                  </w:pPr>
                  <w:bookmarkStart w:id="167" w:name="_Toc144233294"/>
                  <w:r>
                    <w:rPr>
                      <w:rFonts w:eastAsiaTheme="minorEastAsia"/>
                      <w:szCs w:val="21"/>
                    </w:rPr>
                    <w:t>304</w:t>
                  </w:r>
                  <w:bookmarkEnd w:id="167"/>
                </w:p>
              </w:tc>
              <w:tc>
                <w:tcPr>
                  <w:tcW w:w="1276" w:type="dxa"/>
                  <w:vAlign w:val="center"/>
                </w:tcPr>
                <w:p>
                  <w:pPr>
                    <w:widowControl/>
                    <w:jc w:val="center"/>
                    <w:textAlignment w:val="center"/>
                    <w:rPr>
                      <w:rFonts w:eastAsiaTheme="minorEastAsia"/>
                      <w:szCs w:val="21"/>
                    </w:rPr>
                  </w:pPr>
                  <w:r>
                    <w:rPr>
                      <w:rFonts w:eastAsiaTheme="minorEastAsia"/>
                      <w:szCs w:val="21"/>
                    </w:rPr>
                    <w:t>/</w:t>
                  </w:r>
                </w:p>
              </w:tc>
              <w:tc>
                <w:tcPr>
                  <w:tcW w:w="1276" w:type="dxa"/>
                  <w:vAlign w:val="center"/>
                </w:tcPr>
                <w:p>
                  <w:pPr>
                    <w:jc w:val="center"/>
                    <w:outlineLvl w:val="0"/>
                    <w:rPr>
                      <w:rFonts w:eastAsiaTheme="minorEastAsia"/>
                      <w:szCs w:val="21"/>
                    </w:rPr>
                  </w:pPr>
                  <w:bookmarkStart w:id="168" w:name="_Toc144233295"/>
                  <w:r>
                    <w:rPr>
                      <w:rFonts w:eastAsiaTheme="minorEastAsia"/>
                      <w:szCs w:val="21"/>
                    </w:rPr>
                    <w:t>外购</w:t>
                  </w:r>
                  <w:bookmarkEnd w:id="168"/>
                </w:p>
              </w:tc>
              <w:tc>
                <w:tcPr>
                  <w:tcW w:w="1725" w:type="dxa"/>
                  <w:vAlign w:val="center"/>
                </w:tcPr>
                <w:p>
                  <w:pPr>
                    <w:jc w:val="center"/>
                    <w:outlineLvl w:val="0"/>
                    <w:rPr>
                      <w:rFonts w:eastAsiaTheme="minorEastAsia"/>
                      <w:szCs w:val="21"/>
                    </w:rPr>
                  </w:pPr>
                  <w:bookmarkStart w:id="169" w:name="_Toc144233296"/>
                  <w:r>
                    <w:rPr>
                      <w:rFonts w:eastAsiaTheme="minorEastAsia"/>
                      <w:szCs w:val="21"/>
                    </w:rPr>
                    <w:t>锅炉燃料</w:t>
                  </w:r>
                  <w:bookmarkEnd w:id="16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widowControl/>
                    <w:jc w:val="center"/>
                    <w:textAlignment w:val="center"/>
                    <w:rPr>
                      <w:rFonts w:eastAsiaTheme="minorEastAsia"/>
                      <w:szCs w:val="21"/>
                    </w:rPr>
                  </w:pPr>
                  <w:r>
                    <w:rPr>
                      <w:rFonts w:eastAsiaTheme="minorEastAsia"/>
                      <w:szCs w:val="21"/>
                    </w:rPr>
                    <w:t>52</w:t>
                  </w:r>
                </w:p>
              </w:tc>
              <w:tc>
                <w:tcPr>
                  <w:tcW w:w="2410" w:type="dxa"/>
                  <w:vAlign w:val="center"/>
                </w:tcPr>
                <w:p>
                  <w:pPr>
                    <w:widowControl/>
                    <w:jc w:val="center"/>
                    <w:textAlignment w:val="center"/>
                    <w:rPr>
                      <w:rFonts w:eastAsiaTheme="minorEastAsia"/>
                      <w:szCs w:val="21"/>
                    </w:rPr>
                  </w:pPr>
                  <w:r>
                    <w:rPr>
                      <w:rFonts w:eastAsiaTheme="minorEastAsia"/>
                      <w:szCs w:val="21"/>
                    </w:rPr>
                    <w:t>制冷剂（R404A）</w:t>
                  </w:r>
                </w:p>
              </w:tc>
              <w:tc>
                <w:tcPr>
                  <w:tcW w:w="1559" w:type="dxa"/>
                  <w:vAlign w:val="center"/>
                </w:tcPr>
                <w:p>
                  <w:pPr>
                    <w:jc w:val="center"/>
                    <w:outlineLvl w:val="0"/>
                    <w:rPr>
                      <w:rFonts w:eastAsiaTheme="minorEastAsia"/>
                      <w:szCs w:val="21"/>
                    </w:rPr>
                  </w:pPr>
                  <w:bookmarkStart w:id="170" w:name="_Toc144233297"/>
                  <w:r>
                    <w:rPr>
                      <w:rFonts w:eastAsiaTheme="minorEastAsia"/>
                      <w:szCs w:val="21"/>
                    </w:rPr>
                    <w:t>0.2</w:t>
                  </w:r>
                  <w:bookmarkEnd w:id="170"/>
                </w:p>
              </w:tc>
              <w:tc>
                <w:tcPr>
                  <w:tcW w:w="1276" w:type="dxa"/>
                  <w:vAlign w:val="center"/>
                </w:tcPr>
                <w:p>
                  <w:pPr>
                    <w:widowControl/>
                    <w:jc w:val="center"/>
                    <w:textAlignment w:val="center"/>
                    <w:rPr>
                      <w:rFonts w:eastAsiaTheme="minorEastAsia"/>
                      <w:szCs w:val="21"/>
                    </w:rPr>
                  </w:pPr>
                  <w:r>
                    <w:rPr>
                      <w:rFonts w:eastAsiaTheme="minorEastAsia"/>
                      <w:szCs w:val="21"/>
                    </w:rPr>
                    <w:t>0.02</w:t>
                  </w:r>
                </w:p>
              </w:tc>
              <w:tc>
                <w:tcPr>
                  <w:tcW w:w="1276" w:type="dxa"/>
                  <w:vAlign w:val="center"/>
                </w:tcPr>
                <w:p>
                  <w:pPr>
                    <w:jc w:val="center"/>
                    <w:outlineLvl w:val="0"/>
                    <w:rPr>
                      <w:rFonts w:eastAsiaTheme="minorEastAsia"/>
                      <w:szCs w:val="21"/>
                    </w:rPr>
                  </w:pPr>
                  <w:bookmarkStart w:id="171" w:name="_Toc144233298"/>
                  <w:r>
                    <w:rPr>
                      <w:rFonts w:eastAsiaTheme="minorEastAsia"/>
                      <w:szCs w:val="21"/>
                    </w:rPr>
                    <w:t>外购</w:t>
                  </w:r>
                  <w:bookmarkEnd w:id="171"/>
                </w:p>
              </w:tc>
              <w:tc>
                <w:tcPr>
                  <w:tcW w:w="1725" w:type="dxa"/>
                  <w:vAlign w:val="center"/>
                </w:tcPr>
                <w:p>
                  <w:pPr>
                    <w:jc w:val="center"/>
                    <w:outlineLvl w:val="0"/>
                    <w:rPr>
                      <w:rFonts w:eastAsiaTheme="minorEastAsia"/>
                      <w:szCs w:val="21"/>
                    </w:rPr>
                  </w:pPr>
                  <w:bookmarkStart w:id="172" w:name="_Toc144233299"/>
                  <w:r>
                    <w:rPr>
                      <w:rFonts w:eastAsiaTheme="minorEastAsia"/>
                      <w:szCs w:val="21"/>
                    </w:rPr>
                    <w:t>制冷剂</w:t>
                  </w:r>
                  <w:bookmarkEnd w:id="172"/>
                </w:p>
              </w:tc>
            </w:tr>
          </w:tbl>
          <w:p>
            <w:pPr>
              <w:autoSpaceDE w:val="0"/>
              <w:autoSpaceDN w:val="0"/>
              <w:spacing w:before="156" w:beforeLines="50" w:line="360" w:lineRule="auto"/>
              <w:jc w:val="center"/>
              <w:outlineLvl w:val="0"/>
              <w:rPr>
                <w:rFonts w:eastAsiaTheme="minorEastAsia"/>
                <w:b/>
                <w:bCs/>
                <w:sz w:val="24"/>
              </w:rPr>
            </w:pPr>
            <w:bookmarkStart w:id="173" w:name="_Toc144233300"/>
            <w:r>
              <w:rPr>
                <w:rFonts w:eastAsiaTheme="minorEastAsia"/>
                <w:b/>
                <w:bCs/>
                <w:sz w:val="24"/>
              </w:rPr>
              <w:t>表2-4 原辅材料理化性质一览表</w:t>
            </w:r>
            <w:bookmarkEnd w:id="74"/>
            <w:bookmarkEnd w:id="75"/>
            <w:bookmarkEnd w:id="76"/>
            <w:bookmarkEnd w:id="173"/>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7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18" w:type="pct"/>
                  <w:vAlign w:val="center"/>
                </w:tcPr>
                <w:p>
                  <w:pPr>
                    <w:jc w:val="center"/>
                    <w:outlineLvl w:val="0"/>
                    <w:rPr>
                      <w:rFonts w:eastAsiaTheme="minorEastAsia"/>
                      <w:b/>
                      <w:szCs w:val="21"/>
                    </w:rPr>
                  </w:pPr>
                  <w:bookmarkStart w:id="174" w:name="_Toc144233301"/>
                  <w:bookmarkStart w:id="175" w:name="_Toc19018"/>
                  <w:bookmarkStart w:id="176" w:name="_Toc11522"/>
                  <w:bookmarkStart w:id="177" w:name="_Toc7361"/>
                  <w:r>
                    <w:rPr>
                      <w:rFonts w:eastAsiaTheme="minorEastAsia"/>
                      <w:b/>
                      <w:szCs w:val="21"/>
                    </w:rPr>
                    <w:t>名称</w:t>
                  </w:r>
                  <w:bookmarkEnd w:id="174"/>
                </w:p>
              </w:tc>
              <w:tc>
                <w:tcPr>
                  <w:tcW w:w="4182" w:type="pct"/>
                  <w:vAlign w:val="center"/>
                </w:tcPr>
                <w:p>
                  <w:pPr>
                    <w:jc w:val="center"/>
                    <w:outlineLvl w:val="0"/>
                    <w:rPr>
                      <w:rFonts w:eastAsiaTheme="minorEastAsia"/>
                      <w:b/>
                      <w:szCs w:val="21"/>
                    </w:rPr>
                  </w:pPr>
                  <w:bookmarkStart w:id="178" w:name="_Toc144233302"/>
                  <w:bookmarkStart w:id="179" w:name="_Toc349"/>
                  <w:r>
                    <w:rPr>
                      <w:rFonts w:eastAsiaTheme="minorEastAsia"/>
                      <w:b/>
                      <w:szCs w:val="21"/>
                    </w:rPr>
                    <w:t>理化性质</w:t>
                  </w:r>
                  <w:bookmarkEnd w:id="178"/>
                  <w:bookmarkEnd w:id="1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818" w:type="pct"/>
                  <w:vAlign w:val="center"/>
                </w:tcPr>
                <w:p>
                  <w:pPr>
                    <w:jc w:val="center"/>
                    <w:outlineLvl w:val="0"/>
                    <w:rPr>
                      <w:rFonts w:eastAsiaTheme="minorEastAsia"/>
                      <w:szCs w:val="21"/>
                    </w:rPr>
                  </w:pPr>
                  <w:r>
                    <w:fldChar w:fldCharType="begin"/>
                  </w:r>
                  <w:r>
                    <w:instrText xml:space="preserve"> HYPERLINK \l "硝酸钙2!A1" </w:instrText>
                  </w:r>
                  <w:r>
                    <w:fldChar w:fldCharType="separate"/>
                  </w:r>
                  <w:bookmarkStart w:id="180" w:name="_Toc144233303"/>
                  <w:r>
                    <w:rPr>
                      <w:rFonts w:eastAsiaTheme="minorEastAsia"/>
                      <w:szCs w:val="21"/>
                    </w:rPr>
                    <w:t>硝酸钙</w:t>
                  </w:r>
                  <w:bookmarkEnd w:id="180"/>
                  <w:r>
                    <w:rPr>
                      <w:rFonts w:eastAsiaTheme="minorEastAsia"/>
                      <w:szCs w:val="21"/>
                    </w:rPr>
                    <w:fldChar w:fldCharType="end"/>
                  </w:r>
                </w:p>
              </w:tc>
              <w:tc>
                <w:tcPr>
                  <w:tcW w:w="4182" w:type="pct"/>
                  <w:vAlign w:val="center"/>
                </w:tcPr>
                <w:p>
                  <w:pPr>
                    <w:widowControl/>
                    <w:shd w:val="clear" w:color="auto" w:fill="FFFFFF"/>
                    <w:spacing w:after="225"/>
                    <w:ind w:firstLine="420"/>
                    <w:jc w:val="left"/>
                    <w:rPr>
                      <w:rFonts w:eastAsiaTheme="minorEastAsia"/>
                      <w:szCs w:val="21"/>
                    </w:rPr>
                  </w:pPr>
                  <w:r>
                    <w:rPr>
                      <w:rFonts w:eastAsiaTheme="minorEastAsia"/>
                      <w:szCs w:val="21"/>
                    </w:rPr>
                    <w:t>是一种无机化合物，化学式为Ca(NO</w:t>
                  </w:r>
                  <w:r>
                    <w:rPr>
                      <w:rFonts w:eastAsiaTheme="minorEastAsia"/>
                      <w:szCs w:val="21"/>
                      <w:vertAlign w:val="subscript"/>
                    </w:rPr>
                    <w:t>3</w:t>
                  </w:r>
                  <w:r>
                    <w:rPr>
                      <w:rFonts w:eastAsiaTheme="minorEastAsia"/>
                      <w:szCs w:val="21"/>
                    </w:rPr>
                    <w:t>)</w:t>
                  </w:r>
                  <w:r>
                    <w:rPr>
                      <w:rFonts w:eastAsiaTheme="minorEastAsia"/>
                      <w:szCs w:val="21"/>
                      <w:vertAlign w:val="subscript"/>
                    </w:rPr>
                    <w:t>2</w:t>
                  </w:r>
                  <w:r>
                    <w:rPr>
                      <w:rFonts w:eastAsiaTheme="minorEastAsia"/>
                      <w:szCs w:val="21"/>
                    </w:rPr>
                    <w:t>，为白色结晶性粉末，有两种晶体。易溶于水、液氨、丙酮、甲醇、乙醇，不溶于浓硝酸。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18" w:type="pct"/>
                  <w:vAlign w:val="center"/>
                </w:tcPr>
                <w:p>
                  <w:pPr>
                    <w:jc w:val="center"/>
                    <w:outlineLvl w:val="0"/>
                    <w:rPr>
                      <w:rFonts w:eastAsiaTheme="minorEastAsia"/>
                      <w:szCs w:val="21"/>
                    </w:rPr>
                  </w:pPr>
                  <w:r>
                    <w:fldChar w:fldCharType="begin"/>
                  </w:r>
                  <w:r>
                    <w:instrText xml:space="preserve"> HYPERLINK \l "硝酸镁2!A1" </w:instrText>
                  </w:r>
                  <w:r>
                    <w:fldChar w:fldCharType="separate"/>
                  </w:r>
                  <w:bookmarkStart w:id="181" w:name="_Toc144233304"/>
                  <w:r>
                    <w:rPr>
                      <w:rFonts w:eastAsiaTheme="minorEastAsia"/>
                      <w:szCs w:val="21"/>
                    </w:rPr>
                    <w:t>硝酸镁</w:t>
                  </w:r>
                  <w:bookmarkEnd w:id="181"/>
                  <w:r>
                    <w:rPr>
                      <w:rFonts w:eastAsiaTheme="minorEastAsia"/>
                      <w:szCs w:val="21"/>
                    </w:rPr>
                    <w:fldChar w:fldCharType="end"/>
                  </w:r>
                </w:p>
              </w:tc>
              <w:tc>
                <w:tcPr>
                  <w:tcW w:w="4182" w:type="pct"/>
                  <w:vAlign w:val="center"/>
                </w:tcPr>
                <w:p>
                  <w:pPr>
                    <w:spacing w:before="31"/>
                    <w:ind w:right="82" w:firstLine="420" w:firstLineChars="200"/>
                    <w:rPr>
                      <w:rFonts w:eastAsiaTheme="minorEastAsia"/>
                      <w:szCs w:val="21"/>
                    </w:rPr>
                  </w:pPr>
                  <w:r>
                    <w:rPr>
                      <w:rFonts w:eastAsiaTheme="minorEastAsia"/>
                      <w:szCs w:val="21"/>
                    </w:rPr>
                    <w:t>是一种</w:t>
                  </w:r>
                  <w:r>
                    <w:fldChar w:fldCharType="begin"/>
                  </w:r>
                  <w:r>
                    <w:instrText xml:space="preserve"> HYPERLINK "https://baike.baidu.com/item/%E6%97%A0%E6%9C%BA%E5%8C%96%E5%90%88%E7%89%A9/10716655?fromModule=lemma_inlink" \t "https://baike.baidu.com/item/%E7%A1%9D%E9%85%B8%E9%95%81/_blank" </w:instrText>
                  </w:r>
                  <w:r>
                    <w:fldChar w:fldCharType="separate"/>
                  </w:r>
                  <w:r>
                    <w:rPr>
                      <w:rFonts w:eastAsiaTheme="minorEastAsia"/>
                      <w:szCs w:val="21"/>
                    </w:rPr>
                    <w:t>无机化合物</w:t>
                  </w:r>
                  <w:r>
                    <w:rPr>
                      <w:rFonts w:eastAsiaTheme="minorEastAsia"/>
                      <w:szCs w:val="21"/>
                    </w:rPr>
                    <w:fldChar w:fldCharType="end"/>
                  </w:r>
                  <w:r>
                    <w:rPr>
                      <w:rFonts w:eastAsiaTheme="minorEastAsia"/>
                      <w:szCs w:val="21"/>
                    </w:rPr>
                    <w:t>，化学式为Mg(NO</w:t>
                  </w:r>
                  <w:r>
                    <w:rPr>
                      <w:rFonts w:eastAsiaTheme="minorEastAsia"/>
                      <w:szCs w:val="21"/>
                      <w:vertAlign w:val="subscript"/>
                    </w:rPr>
                    <w:t>3</w:t>
                  </w:r>
                  <w:r>
                    <w:rPr>
                      <w:rFonts w:eastAsiaTheme="minorEastAsia"/>
                      <w:szCs w:val="21"/>
                    </w:rPr>
                    <w:t>)</w:t>
                  </w:r>
                  <w:r>
                    <w:rPr>
                      <w:rFonts w:eastAsiaTheme="minorEastAsia"/>
                      <w:szCs w:val="21"/>
                      <w:vertAlign w:val="subscript"/>
                    </w:rPr>
                    <w:t>2</w:t>
                  </w:r>
                  <w:r>
                    <w:rPr>
                      <w:rFonts w:eastAsiaTheme="minorEastAsia"/>
                      <w:szCs w:val="21"/>
                    </w:rPr>
                    <w:t>，为白色</w:t>
                  </w:r>
                  <w:r>
                    <w:fldChar w:fldCharType="begin"/>
                  </w:r>
                  <w:r>
                    <w:instrText xml:space="preserve"> HYPERLINK "https://baike.baidu.com/item/%E7%BB%93%E6%99%B6%E6%80%A7/6830050?fromModule=lemma_inlink" \t "https://baike.baidu.com/item/%E7%A1%9D%E9%85%B8%E9%95%81/_blank" </w:instrText>
                  </w:r>
                  <w:r>
                    <w:fldChar w:fldCharType="separate"/>
                  </w:r>
                  <w:r>
                    <w:rPr>
                      <w:rFonts w:eastAsiaTheme="minorEastAsia"/>
                      <w:szCs w:val="21"/>
                    </w:rPr>
                    <w:t>结晶性</w:t>
                  </w:r>
                  <w:r>
                    <w:rPr>
                      <w:rFonts w:eastAsiaTheme="minorEastAsia"/>
                      <w:szCs w:val="21"/>
                    </w:rPr>
                    <w:fldChar w:fldCharType="end"/>
                  </w:r>
                  <w:r>
                    <w:rPr>
                      <w:rFonts w:eastAsiaTheme="minorEastAsia"/>
                      <w:szCs w:val="21"/>
                    </w:rPr>
                    <w:t>粉末，溶于水、</w:t>
                  </w:r>
                  <w:r>
                    <w:fldChar w:fldCharType="begin"/>
                  </w:r>
                  <w:r>
                    <w:instrText xml:space="preserve"> HYPERLINK "https://baike.baidu.com/item/%E7%94%B2%E9%86%87/1512312?fromModule=lemma_inlink" \t "https://baike.baidu.com/item/%E7%A1%9D%E9%85%B8%E9%95%81/_blank" </w:instrText>
                  </w:r>
                  <w:r>
                    <w:fldChar w:fldCharType="separate"/>
                  </w:r>
                  <w:r>
                    <w:rPr>
                      <w:rFonts w:eastAsiaTheme="minorEastAsia"/>
                      <w:szCs w:val="21"/>
                    </w:rPr>
                    <w:t>甲醇</w:t>
                  </w:r>
                  <w:r>
                    <w:rPr>
                      <w:rFonts w:eastAsiaTheme="minorEastAsia"/>
                      <w:szCs w:val="21"/>
                    </w:rPr>
                    <w:fldChar w:fldCharType="end"/>
                  </w:r>
                  <w:r>
                    <w:rPr>
                      <w:rFonts w:eastAsiaTheme="minorEastAsia"/>
                      <w:szCs w:val="21"/>
                    </w:rPr>
                    <w:t>、</w:t>
                  </w:r>
                  <w:r>
                    <w:fldChar w:fldCharType="begin"/>
                  </w:r>
                  <w:r>
                    <w:instrText xml:space="preserve"> HYPERLINK "https://baike.baidu.com/item/%E4%B9%99%E9%86%87/135334?fromModule=lemma_inlink" \t "https://baike.baidu.com/item/%E7%A1%9D%E9%85%B8%E9%95%81/_blank" </w:instrText>
                  </w:r>
                  <w:r>
                    <w:fldChar w:fldCharType="separate"/>
                  </w:r>
                  <w:r>
                    <w:rPr>
                      <w:rFonts w:eastAsiaTheme="minorEastAsia"/>
                      <w:szCs w:val="21"/>
                    </w:rPr>
                    <w:t>乙醇</w:t>
                  </w:r>
                  <w:r>
                    <w:rPr>
                      <w:rFonts w:eastAsiaTheme="minorEastAsia"/>
                      <w:szCs w:val="21"/>
                    </w:rPr>
                    <w:fldChar w:fldCharType="end"/>
                  </w:r>
                  <w:r>
                    <w:rPr>
                      <w:rFonts w:eastAsiaTheme="minorEastAsia"/>
                      <w:szCs w:val="21"/>
                    </w:rPr>
                    <w:t>、液氨，其水溶液呈中性。可用作</w:t>
                  </w:r>
                  <w:r>
                    <w:fldChar w:fldCharType="begin"/>
                  </w:r>
                  <w:r>
                    <w:instrText xml:space="preserve"> HYPERLINK "https://baike.baidu.com/item/%E6%B5%93%E7%A1%9D%E9%85%B8/7275542?fromModule=lemma_inlink" \t "https://baike.baidu.com/item/%E7%A1%9D%E9%85%B8%E9%95%81/_blank" </w:instrText>
                  </w:r>
                  <w:r>
                    <w:fldChar w:fldCharType="separate"/>
                  </w:r>
                  <w:r>
                    <w:rPr>
                      <w:rFonts w:eastAsiaTheme="minorEastAsia"/>
                      <w:szCs w:val="21"/>
                    </w:rPr>
                    <w:t>浓硝酸</w:t>
                  </w:r>
                  <w:r>
                    <w:rPr>
                      <w:rFonts w:eastAsiaTheme="minorEastAsia"/>
                      <w:szCs w:val="21"/>
                    </w:rPr>
                    <w:fldChar w:fldCharType="end"/>
                  </w:r>
                  <w:r>
                    <w:rPr>
                      <w:rFonts w:eastAsiaTheme="minorEastAsia"/>
                      <w:szCs w:val="21"/>
                    </w:rPr>
                    <w:t>的</w:t>
                  </w:r>
                  <w:r>
                    <w:fldChar w:fldCharType="begin"/>
                  </w:r>
                  <w:r>
                    <w:instrText xml:space="preserve"> HYPERLINK "https://baike.baidu.com/item/%E8%84%B1%E6%B0%B4%E5%89%82/6808435?fromModule=lemma_inlink" \t "https://baike.baidu.com/item/%E7%A1%9D%E9%85%B8%E9%95%81/_blank" </w:instrText>
                  </w:r>
                  <w:r>
                    <w:fldChar w:fldCharType="separate"/>
                  </w:r>
                  <w:r>
                    <w:rPr>
                      <w:rFonts w:eastAsiaTheme="minorEastAsia"/>
                      <w:szCs w:val="21"/>
                    </w:rPr>
                    <w:t>脱水剂</w:t>
                  </w:r>
                  <w:r>
                    <w:rPr>
                      <w:rFonts w:eastAsiaTheme="minorEastAsia"/>
                      <w:szCs w:val="21"/>
                    </w:rPr>
                    <w:fldChar w:fldCharType="end"/>
                  </w:r>
                  <w:r>
                    <w:rPr>
                      <w:rFonts w:eastAsiaTheme="minorEastAsia"/>
                      <w:szCs w:val="21"/>
                    </w:rPr>
                    <w:t>、</w:t>
                  </w:r>
                  <w:r>
                    <w:fldChar w:fldCharType="begin"/>
                  </w:r>
                  <w:r>
                    <w:instrText xml:space="preserve"> HYPERLINK "https://baike.baidu.com/item/%E5%82%AC%E5%8C%96%E5%89%82/1132343?fromModule=lemma_inlink" \t "https://baike.baidu.com/item/%E7%A1%9D%E9%85%B8%E9%95%81/_blank" </w:instrText>
                  </w:r>
                  <w:r>
                    <w:fldChar w:fldCharType="separate"/>
                  </w:r>
                  <w:r>
                    <w:rPr>
                      <w:rFonts w:eastAsiaTheme="minorEastAsia"/>
                      <w:szCs w:val="21"/>
                    </w:rPr>
                    <w:t>催化剂</w:t>
                  </w:r>
                  <w:r>
                    <w:rPr>
                      <w:rFonts w:eastAsiaTheme="minorEastAsia"/>
                      <w:szCs w:val="21"/>
                    </w:rPr>
                    <w:fldChar w:fldCharType="end"/>
                  </w:r>
                  <w:r>
                    <w:rPr>
                      <w:rFonts w:eastAsiaTheme="minorEastAsia"/>
                      <w:szCs w:val="21"/>
                    </w:rPr>
                    <w:t>和小麦灰化剂等。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18" w:type="pct"/>
                  <w:vAlign w:val="center"/>
                </w:tcPr>
                <w:p>
                  <w:pPr>
                    <w:jc w:val="center"/>
                    <w:outlineLvl w:val="0"/>
                    <w:rPr>
                      <w:rFonts w:eastAsiaTheme="minorEastAsia"/>
                      <w:szCs w:val="21"/>
                    </w:rPr>
                  </w:pPr>
                  <w:r>
                    <w:rPr>
                      <w:rFonts w:eastAsiaTheme="minorEastAsia"/>
                      <w:szCs w:val="21"/>
                    </w:rPr>
                    <w:t xml:space="preserve"> </w:t>
                  </w:r>
                  <w:r>
                    <w:fldChar w:fldCharType="begin"/>
                  </w:r>
                  <w:r>
                    <w:instrText xml:space="preserve"> HYPERLINK \l "硝酸钾2!A1" </w:instrText>
                  </w:r>
                  <w:r>
                    <w:fldChar w:fldCharType="separate"/>
                  </w:r>
                  <w:bookmarkStart w:id="182" w:name="_Toc144233305"/>
                  <w:r>
                    <w:rPr>
                      <w:rFonts w:eastAsiaTheme="minorEastAsia"/>
                      <w:szCs w:val="21"/>
                    </w:rPr>
                    <w:t>硝酸钾</w:t>
                  </w:r>
                  <w:bookmarkEnd w:id="182"/>
                  <w:r>
                    <w:rPr>
                      <w:rFonts w:eastAsiaTheme="minorEastAsia"/>
                      <w:szCs w:val="21"/>
                    </w:rPr>
                    <w:fldChar w:fldCharType="end"/>
                  </w:r>
                </w:p>
              </w:tc>
              <w:tc>
                <w:tcPr>
                  <w:tcW w:w="4182" w:type="pct"/>
                  <w:vAlign w:val="center"/>
                </w:tcPr>
                <w:p>
                  <w:pPr>
                    <w:spacing w:before="31"/>
                    <w:ind w:right="82" w:firstLine="420" w:firstLineChars="200"/>
                    <w:rPr>
                      <w:rFonts w:eastAsiaTheme="minorEastAsia"/>
                      <w:szCs w:val="21"/>
                    </w:rPr>
                  </w:pPr>
                  <w:r>
                    <w:rPr>
                      <w:rFonts w:eastAsiaTheme="minorEastAsia"/>
                      <w:szCs w:val="21"/>
                    </w:rPr>
                    <w:t>是一种无机化合物，俗称火硝或土硝，化学式为KNO</w:t>
                  </w:r>
                  <w:r>
                    <w:rPr>
                      <w:rFonts w:eastAsiaTheme="minorEastAsia"/>
                      <w:szCs w:val="21"/>
                      <w:vertAlign w:val="subscript"/>
                    </w:rPr>
                    <w:t>3</w:t>
                  </w:r>
                  <w:r>
                    <w:rPr>
                      <w:rFonts w:eastAsiaTheme="minorEastAsia"/>
                      <w:szCs w:val="21"/>
                    </w:rPr>
                    <w:t>，是含钾的硝酸盐，为无色透明斜方晶体或菱形晶体或白色粉末，无臭、无毒，有咸味和清凉感。在空气中吸湿微小，不易结块，易溶于水，能溶于液氨和甘油，不溶于无水乙醇和乙醚。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18" w:type="pct"/>
                  <w:vAlign w:val="center"/>
                </w:tcPr>
                <w:p>
                  <w:pPr>
                    <w:jc w:val="center"/>
                    <w:outlineLvl w:val="0"/>
                    <w:rPr>
                      <w:rFonts w:eastAsiaTheme="minorEastAsia"/>
                      <w:szCs w:val="21"/>
                    </w:rPr>
                  </w:pPr>
                  <w:bookmarkStart w:id="183" w:name="_Toc144233306"/>
                  <w:r>
                    <w:rPr>
                      <w:rFonts w:eastAsiaTheme="minorEastAsia"/>
                      <w:szCs w:val="21"/>
                    </w:rPr>
                    <w:t>硫酸镁</w:t>
                  </w:r>
                  <w:bookmarkEnd w:id="183"/>
                </w:p>
              </w:tc>
              <w:tc>
                <w:tcPr>
                  <w:tcW w:w="4182" w:type="pct"/>
                  <w:vAlign w:val="center"/>
                </w:tcPr>
                <w:p>
                  <w:pPr>
                    <w:spacing w:before="31"/>
                    <w:ind w:right="82" w:firstLine="420" w:firstLineChars="200"/>
                    <w:rPr>
                      <w:rFonts w:eastAsiaTheme="minorEastAsia"/>
                      <w:szCs w:val="21"/>
                    </w:rPr>
                  </w:pPr>
                  <w:r>
                    <w:rPr>
                      <w:rFonts w:eastAsiaTheme="minorEastAsia"/>
                      <w:szCs w:val="21"/>
                    </w:rPr>
                    <w:t>硫酸镁，或</w:t>
                  </w:r>
                  <w:r>
                    <w:fldChar w:fldCharType="begin"/>
                  </w:r>
                  <w:r>
                    <w:instrText xml:space="preserve"> HYPERLINK "https://baike.sogou.com/lemma/ShowInnerLink.htm?lemmaId=517523&amp;ss_c=ssc.citiao.link" \t "https://baike.sogou.com/_blank" </w:instrText>
                  </w:r>
                  <w:r>
                    <w:fldChar w:fldCharType="separate"/>
                  </w:r>
                  <w:r>
                    <w:rPr>
                      <w:rFonts w:eastAsiaTheme="minorEastAsia"/>
                      <w:szCs w:val="21"/>
                    </w:rPr>
                    <w:t>七水硫酸镁</w:t>
                  </w:r>
                  <w:r>
                    <w:rPr>
                      <w:rFonts w:eastAsiaTheme="minorEastAsia"/>
                      <w:szCs w:val="21"/>
                    </w:rPr>
                    <w:fldChar w:fldCharType="end"/>
                  </w:r>
                  <w:r>
                    <w:rPr>
                      <w:rFonts w:eastAsiaTheme="minorEastAsia"/>
                      <w:szCs w:val="21"/>
                    </w:rPr>
                    <w:t>，又名硫苦、苦盐、泻利盐、泻盐，是一种含镁的化合物。七水硫酸镁在空气（干燥）中易风化为粉状，加热时逐渐脱去</w:t>
                  </w:r>
                  <w:r>
                    <w:fldChar w:fldCharType="begin"/>
                  </w:r>
                  <w:r>
                    <w:instrText xml:space="preserve"> HYPERLINK "https://baike.sogou.com/lemma/ShowInnerLink.htm?lemmaId=262682&amp;ss_c=ssc.citiao.link" \t "https://baike.sogou.com/_blank" </w:instrText>
                  </w:r>
                  <w:r>
                    <w:fldChar w:fldCharType="separate"/>
                  </w:r>
                  <w:r>
                    <w:rPr>
                      <w:rFonts w:eastAsiaTheme="minorEastAsia"/>
                      <w:szCs w:val="21"/>
                    </w:rPr>
                    <w:t>结晶水</w:t>
                  </w:r>
                  <w:r>
                    <w:rPr>
                      <w:rFonts w:eastAsiaTheme="minorEastAsia"/>
                      <w:szCs w:val="21"/>
                    </w:rPr>
                    <w:fldChar w:fldCharType="end"/>
                  </w:r>
                  <w:r>
                    <w:rPr>
                      <w:rFonts w:eastAsiaTheme="minorEastAsia"/>
                      <w:szCs w:val="21"/>
                    </w:rPr>
                    <w:t>变为</w:t>
                  </w:r>
                  <w:r>
                    <w:fldChar w:fldCharType="begin"/>
                  </w:r>
                  <w:r>
                    <w:instrText xml:space="preserve"> HYPERLINK "https://baike.sogou.com/lemma/ShowInnerLink.htm?lemmaId=445990&amp;ss_c=ssc.citiao.link" \t "https://baike.sogou.com/_blank" </w:instrText>
                  </w:r>
                  <w:r>
                    <w:fldChar w:fldCharType="separate"/>
                  </w:r>
                  <w:r>
                    <w:rPr>
                      <w:rFonts w:eastAsiaTheme="minorEastAsia"/>
                      <w:szCs w:val="21"/>
                    </w:rPr>
                    <w:t>无水硫酸镁</w:t>
                  </w:r>
                  <w:r>
                    <w:rPr>
                      <w:rFonts w:eastAsiaTheme="minorEastAsia"/>
                      <w:szCs w:val="21"/>
                    </w:rPr>
                    <w:fldChar w:fldCharType="end"/>
                  </w:r>
                  <w:r>
                    <w:rPr>
                      <w:rFonts w:eastAsiaTheme="minorEastAsia"/>
                      <w:szCs w:val="21"/>
                    </w:rPr>
                    <w:t>，硫酸镁是一种化工原料。易溶于水，微溶于乙醇和甘油，乙醚，不溶于丙酮。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18" w:type="pct"/>
                  <w:vAlign w:val="center"/>
                </w:tcPr>
                <w:p>
                  <w:pPr>
                    <w:jc w:val="center"/>
                    <w:outlineLvl w:val="0"/>
                    <w:rPr>
                      <w:rFonts w:eastAsiaTheme="minorEastAsia"/>
                      <w:szCs w:val="21"/>
                    </w:rPr>
                  </w:pPr>
                  <w:bookmarkStart w:id="184" w:name="_Toc144233307"/>
                  <w:r>
                    <w:rPr>
                      <w:rFonts w:eastAsiaTheme="minorEastAsia"/>
                      <w:szCs w:val="21"/>
                    </w:rPr>
                    <w:t>硫酸钾</w:t>
                  </w:r>
                  <w:bookmarkEnd w:id="184"/>
                </w:p>
              </w:tc>
              <w:tc>
                <w:tcPr>
                  <w:tcW w:w="4182" w:type="pct"/>
                  <w:vAlign w:val="center"/>
                </w:tcPr>
                <w:p>
                  <w:pPr>
                    <w:spacing w:before="31"/>
                    <w:ind w:right="82" w:firstLine="420" w:firstLineChars="200"/>
                    <w:rPr>
                      <w:rFonts w:eastAsiaTheme="minorEastAsia"/>
                      <w:szCs w:val="21"/>
                    </w:rPr>
                  </w:pPr>
                  <w:r>
                    <w:rPr>
                      <w:rFonts w:eastAsiaTheme="minorEastAsia"/>
                      <w:szCs w:val="21"/>
                    </w:rPr>
                    <w:t>硫酸钾物理性质 熔点：1067℃ 沸点：1689℃ 密度：2.66g/cm</w:t>
                  </w:r>
                  <w:r>
                    <w:rPr>
                      <w:rFonts w:eastAsiaTheme="minorEastAsia"/>
                      <w:szCs w:val="21"/>
                      <w:vertAlign w:val="superscript"/>
                    </w:rPr>
                    <w:t xml:space="preserve">3 </w:t>
                  </w:r>
                  <w:r>
                    <w:rPr>
                      <w:rFonts w:eastAsiaTheme="minorEastAsia"/>
                      <w:szCs w:val="21"/>
                    </w:rPr>
                    <w:t>外观：白色结晶性粉末硫酸钾化学性质 复分解反应：可与可溶性钡盐溶液反应生成硫酸钡沉淀。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18" w:type="pct"/>
                  <w:vAlign w:val="center"/>
                </w:tcPr>
                <w:p>
                  <w:pPr>
                    <w:jc w:val="center"/>
                    <w:outlineLvl w:val="0"/>
                    <w:rPr>
                      <w:rFonts w:eastAsiaTheme="minorEastAsia"/>
                      <w:szCs w:val="21"/>
                    </w:rPr>
                  </w:pPr>
                  <w:bookmarkStart w:id="185" w:name="_Toc144233308"/>
                  <w:r>
                    <w:rPr>
                      <w:rFonts w:eastAsiaTheme="minorEastAsia"/>
                      <w:szCs w:val="21"/>
                    </w:rPr>
                    <w:t>硫酸铵</w:t>
                  </w:r>
                  <w:bookmarkEnd w:id="185"/>
                </w:p>
              </w:tc>
              <w:tc>
                <w:tcPr>
                  <w:tcW w:w="4182" w:type="pct"/>
                  <w:vAlign w:val="center"/>
                </w:tcPr>
                <w:p>
                  <w:pPr>
                    <w:spacing w:before="31"/>
                    <w:ind w:right="82" w:firstLine="420" w:firstLineChars="200"/>
                    <w:rPr>
                      <w:rFonts w:eastAsiaTheme="minorEastAsia"/>
                      <w:szCs w:val="21"/>
                    </w:rPr>
                  </w:pPr>
                  <w:r>
                    <w:rPr>
                      <w:rFonts w:eastAsiaTheme="minorEastAsia"/>
                      <w:szCs w:val="21"/>
                    </w:rPr>
                    <w:t>硫酸铵是一种无机物，化学式为（NH</w:t>
                  </w:r>
                  <w:r>
                    <w:rPr>
                      <w:rFonts w:eastAsiaTheme="minorEastAsia"/>
                      <w:szCs w:val="21"/>
                      <w:vertAlign w:val="subscript"/>
                    </w:rPr>
                    <w:t>4</w:t>
                  </w:r>
                  <w:r>
                    <w:rPr>
                      <w:rFonts w:eastAsiaTheme="minorEastAsia"/>
                      <w:szCs w:val="21"/>
                    </w:rPr>
                    <w:t>)</w:t>
                  </w:r>
                  <w:r>
                    <w:rPr>
                      <w:rFonts w:eastAsiaTheme="minorEastAsia"/>
                      <w:szCs w:val="21"/>
                      <w:vertAlign w:val="subscript"/>
                    </w:rPr>
                    <w:t>2</w:t>
                  </w:r>
                  <w:r>
                    <w:rPr>
                      <w:rFonts w:eastAsiaTheme="minorEastAsia"/>
                      <w:szCs w:val="21"/>
                    </w:rPr>
                    <w:t>SO</w:t>
                  </w:r>
                  <w:r>
                    <w:rPr>
                      <w:rFonts w:eastAsiaTheme="minorEastAsia"/>
                      <w:szCs w:val="21"/>
                      <w:vertAlign w:val="subscript"/>
                    </w:rPr>
                    <w:t>4</w:t>
                  </w:r>
                  <w:r>
                    <w:rPr>
                      <w:rFonts w:eastAsiaTheme="minorEastAsia"/>
                      <w:szCs w:val="21"/>
                    </w:rPr>
                    <w:t>，无色结晶或白色颗粒，无气味。主要用作肥料，适用于各种土壤和作物。还可用于纺织、皮革、医药等方面。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18" w:type="pct"/>
                  <w:vAlign w:val="center"/>
                </w:tcPr>
                <w:p>
                  <w:pPr>
                    <w:jc w:val="center"/>
                    <w:outlineLvl w:val="0"/>
                    <w:rPr>
                      <w:rFonts w:eastAsiaTheme="minorEastAsia"/>
                      <w:szCs w:val="21"/>
                    </w:rPr>
                  </w:pPr>
                  <w:bookmarkStart w:id="186" w:name="_Toc144233309"/>
                  <w:r>
                    <w:rPr>
                      <w:rFonts w:eastAsiaTheme="minorEastAsia"/>
                      <w:szCs w:val="21"/>
                    </w:rPr>
                    <w:t>硼酸</w:t>
                  </w:r>
                  <w:bookmarkEnd w:id="186"/>
                </w:p>
              </w:tc>
              <w:tc>
                <w:tcPr>
                  <w:tcW w:w="4182" w:type="pct"/>
                  <w:vAlign w:val="center"/>
                </w:tcPr>
                <w:p>
                  <w:pPr>
                    <w:spacing w:before="31"/>
                    <w:ind w:right="82" w:firstLine="420" w:firstLineChars="200"/>
                    <w:rPr>
                      <w:rFonts w:eastAsiaTheme="minorEastAsia"/>
                      <w:szCs w:val="21"/>
                    </w:rPr>
                  </w:pPr>
                  <w:r>
                    <w:rPr>
                      <w:rFonts w:eastAsiaTheme="minorEastAsia"/>
                      <w:szCs w:val="21"/>
                    </w:rPr>
                    <w:t>为白色粉末状结晶或三斜轴面鳞片状光泽结晶，有滑腻手感，无臭味。溶于水、酒精、甘油、醚类及香精油中，水溶液呈弱酸性。大量用于玻璃（光学玻璃、耐酸玻璃、耐热玻璃、绝缘材料用玻璃纤维）工业，可以改善玻璃制品的耐热、透明性能，提高机械强度，缩短熔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18" w:type="pct"/>
                  <w:vAlign w:val="center"/>
                </w:tcPr>
                <w:p>
                  <w:pPr>
                    <w:jc w:val="center"/>
                    <w:outlineLvl w:val="0"/>
                    <w:rPr>
                      <w:rFonts w:eastAsiaTheme="minorEastAsia"/>
                      <w:szCs w:val="21"/>
                    </w:rPr>
                  </w:pPr>
                  <w:bookmarkStart w:id="187" w:name="_Toc144233310"/>
                  <w:r>
                    <w:rPr>
                      <w:rFonts w:eastAsiaTheme="minorEastAsia"/>
                      <w:szCs w:val="21"/>
                    </w:rPr>
                    <w:t>硫酸锰</w:t>
                  </w:r>
                  <w:bookmarkEnd w:id="187"/>
                </w:p>
              </w:tc>
              <w:tc>
                <w:tcPr>
                  <w:tcW w:w="4182" w:type="pct"/>
                  <w:vAlign w:val="center"/>
                </w:tcPr>
                <w:p>
                  <w:pPr>
                    <w:spacing w:before="31"/>
                    <w:ind w:right="82" w:firstLine="420" w:firstLineChars="200"/>
                    <w:rPr>
                      <w:rFonts w:eastAsiaTheme="minorEastAsia"/>
                      <w:szCs w:val="21"/>
                    </w:rPr>
                  </w:pPr>
                  <w:r>
                    <w:rPr>
                      <w:rFonts w:eastAsiaTheme="minorEastAsia"/>
                      <w:szCs w:val="21"/>
                    </w:rPr>
                    <w:t>硫酸锰（化学式MnSO</w:t>
                  </w:r>
                  <w:r>
                    <w:rPr>
                      <w:rFonts w:eastAsiaTheme="minorEastAsia"/>
                      <w:szCs w:val="21"/>
                      <w:vertAlign w:val="subscript"/>
                    </w:rPr>
                    <w:t>4</w:t>
                  </w:r>
                  <w:r>
                    <w:rPr>
                      <w:rFonts w:eastAsiaTheme="minorEastAsia"/>
                      <w:szCs w:val="21"/>
                    </w:rPr>
                    <w:t>，式量151.00），其一水合物为微红色斜方晶体，相对密度为3.50，熔点为700℃，易溶于水，不溶于乙醇。其以多种水合物的形式存在。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8" w:type="pct"/>
                  <w:vAlign w:val="center"/>
                </w:tcPr>
                <w:p>
                  <w:pPr>
                    <w:jc w:val="center"/>
                    <w:outlineLvl w:val="0"/>
                    <w:rPr>
                      <w:rFonts w:eastAsiaTheme="minorEastAsia"/>
                      <w:szCs w:val="21"/>
                    </w:rPr>
                  </w:pPr>
                  <w:r>
                    <w:fldChar w:fldCharType="begin"/>
                  </w:r>
                  <w:r>
                    <w:instrText xml:space="preserve"> HYPERLINK \l "RANGE!A1" </w:instrText>
                  </w:r>
                  <w:r>
                    <w:fldChar w:fldCharType="separate"/>
                  </w:r>
                  <w:bookmarkStart w:id="188" w:name="_Toc144233311"/>
                  <w:r>
                    <w:rPr>
                      <w:rFonts w:eastAsiaTheme="minorEastAsia"/>
                      <w:szCs w:val="21"/>
                    </w:rPr>
                    <w:t>硫酸铜</w:t>
                  </w:r>
                  <w:bookmarkEnd w:id="188"/>
                  <w:r>
                    <w:rPr>
                      <w:rFonts w:eastAsiaTheme="minorEastAsia"/>
                      <w:szCs w:val="21"/>
                    </w:rPr>
                    <w:fldChar w:fldCharType="end"/>
                  </w:r>
                </w:p>
              </w:tc>
              <w:tc>
                <w:tcPr>
                  <w:tcW w:w="4182" w:type="pct"/>
                  <w:vAlign w:val="center"/>
                </w:tcPr>
                <w:p>
                  <w:pPr>
                    <w:spacing w:before="31"/>
                    <w:ind w:right="82" w:firstLine="420" w:firstLineChars="200"/>
                    <w:rPr>
                      <w:rFonts w:eastAsiaTheme="minorEastAsia"/>
                      <w:szCs w:val="21"/>
                    </w:rPr>
                  </w:pPr>
                  <w:r>
                    <w:rPr>
                      <w:rFonts w:eastAsiaTheme="minorEastAsia"/>
                      <w:szCs w:val="21"/>
                    </w:rPr>
                    <w:t>硫酸铜（英文名：cupric sulfate）是一种</w:t>
                  </w:r>
                  <w:r>
                    <w:fldChar w:fldCharType="begin"/>
                  </w:r>
                  <w:r>
                    <w:instrText xml:space="preserve"> HYPERLINK "https://baike.sogou.com/lemma/ShowInnerLink.htm?lemmaId=1714946" \t "https://baike.sogou.com/_blank" </w:instrText>
                  </w:r>
                  <w:r>
                    <w:fldChar w:fldCharType="separate"/>
                  </w:r>
                  <w:r>
                    <w:rPr>
                      <w:rFonts w:eastAsiaTheme="minorEastAsia"/>
                      <w:szCs w:val="21"/>
                    </w:rPr>
                    <w:t>无机化合物</w:t>
                  </w:r>
                  <w:r>
                    <w:rPr>
                      <w:rFonts w:eastAsiaTheme="minorEastAsia"/>
                      <w:szCs w:val="21"/>
                    </w:rPr>
                    <w:fldChar w:fldCharType="end"/>
                  </w:r>
                  <w:r>
                    <w:rPr>
                      <w:rFonts w:eastAsiaTheme="minorEastAsia"/>
                      <w:szCs w:val="21"/>
                    </w:rPr>
                    <w:t>，化学式CuSO</w:t>
                  </w:r>
                  <w:r>
                    <w:rPr>
                      <w:rFonts w:eastAsiaTheme="minorEastAsia"/>
                      <w:szCs w:val="21"/>
                      <w:vertAlign w:val="subscript"/>
                    </w:rPr>
                    <w:t>4</w:t>
                  </w:r>
                  <w:r>
                    <w:rPr>
                      <w:rFonts w:eastAsiaTheme="minorEastAsia"/>
                      <w:szCs w:val="21"/>
                    </w:rPr>
                    <w:t>。为白色或灰白色粉末，易吸水变蓝绿色的五水合硫酸铜。水溶液呈弱酸性，显蓝色。溶于水、甲醇。不溶于乙醇。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18" w:type="pct"/>
                  <w:vAlign w:val="center"/>
                </w:tcPr>
                <w:p>
                  <w:pPr>
                    <w:jc w:val="center"/>
                    <w:outlineLvl w:val="0"/>
                    <w:rPr>
                      <w:rFonts w:eastAsiaTheme="minorEastAsia"/>
                      <w:szCs w:val="21"/>
                    </w:rPr>
                  </w:pPr>
                  <w:r>
                    <w:fldChar w:fldCharType="begin"/>
                  </w:r>
                  <w:r>
                    <w:instrText xml:space="preserve"> HYPERLINK \l "RANGE!A1" </w:instrText>
                  </w:r>
                  <w:r>
                    <w:fldChar w:fldCharType="separate"/>
                  </w:r>
                  <w:bookmarkStart w:id="189" w:name="_Toc144233312"/>
                  <w:r>
                    <w:rPr>
                      <w:rFonts w:eastAsiaTheme="minorEastAsia"/>
                      <w:szCs w:val="21"/>
                    </w:rPr>
                    <w:t>钼酸钠</w:t>
                  </w:r>
                  <w:bookmarkEnd w:id="189"/>
                  <w:r>
                    <w:rPr>
                      <w:rFonts w:eastAsiaTheme="minorEastAsia"/>
                      <w:szCs w:val="21"/>
                    </w:rPr>
                    <w:fldChar w:fldCharType="end"/>
                  </w:r>
                </w:p>
              </w:tc>
              <w:tc>
                <w:tcPr>
                  <w:tcW w:w="4182" w:type="pct"/>
                  <w:vAlign w:val="center"/>
                </w:tcPr>
                <w:p>
                  <w:pPr>
                    <w:spacing w:before="31"/>
                    <w:ind w:right="82" w:firstLine="420" w:firstLineChars="200"/>
                    <w:rPr>
                      <w:rFonts w:eastAsiaTheme="minorEastAsia"/>
                      <w:szCs w:val="21"/>
                    </w:rPr>
                  </w:pPr>
                  <w:r>
                    <w:rPr>
                      <w:rFonts w:eastAsiaTheme="minorEastAsia"/>
                      <w:szCs w:val="21"/>
                    </w:rPr>
                    <w:t>钼酸钠是一种</w:t>
                  </w:r>
                  <w:r>
                    <w:fldChar w:fldCharType="begin"/>
                  </w:r>
                  <w:r>
                    <w:instrText xml:space="preserve"> HYPERLINK "https://baike.baidu.com/item/%E6%97%A0%E6%9C%BA%E7%89%A9/781954" \t "https://baike.baidu.com/item/%E9%92%BC%E9%85%B8%E9%92%A0/_blank" </w:instrText>
                  </w:r>
                  <w:r>
                    <w:fldChar w:fldCharType="separate"/>
                  </w:r>
                  <w:r>
                    <w:rPr>
                      <w:rFonts w:eastAsiaTheme="minorEastAsia"/>
                      <w:szCs w:val="21"/>
                    </w:rPr>
                    <w:t>无机物</w:t>
                  </w:r>
                  <w:r>
                    <w:rPr>
                      <w:rFonts w:eastAsiaTheme="minorEastAsia"/>
                      <w:szCs w:val="21"/>
                    </w:rPr>
                    <w:fldChar w:fldCharType="end"/>
                  </w:r>
                  <w:r>
                    <w:rPr>
                      <w:rFonts w:eastAsiaTheme="minorEastAsia"/>
                      <w:szCs w:val="21"/>
                    </w:rPr>
                    <w:t>，化学式Na</w:t>
                  </w:r>
                  <w:r>
                    <w:rPr>
                      <w:rFonts w:eastAsiaTheme="minorEastAsia"/>
                      <w:szCs w:val="21"/>
                      <w:vertAlign w:val="subscript"/>
                    </w:rPr>
                    <w:t>2</w:t>
                  </w:r>
                  <w:r>
                    <w:rPr>
                      <w:rFonts w:eastAsiaTheme="minorEastAsia"/>
                      <w:szCs w:val="21"/>
                    </w:rPr>
                    <w:t>MoO</w:t>
                  </w:r>
                  <w:r>
                    <w:rPr>
                      <w:rFonts w:eastAsiaTheme="minorEastAsia"/>
                      <w:szCs w:val="21"/>
                      <w:vertAlign w:val="subscript"/>
                    </w:rPr>
                    <w:t>4</w:t>
                  </w:r>
                  <w:r>
                    <w:rPr>
                      <w:rFonts w:eastAsiaTheme="minorEastAsia"/>
                      <w:szCs w:val="21"/>
                    </w:rPr>
                    <w:t>，为白色菱形结晶体。可通过</w:t>
                  </w:r>
                  <w:r>
                    <w:fldChar w:fldCharType="begin"/>
                  </w:r>
                  <w:r>
                    <w:instrText xml:space="preserve"> HYPERLINK "https://baike.baidu.com/item/%E9%92%BC%E7%B2%BE%E7%9F%BF/4754317" \t "https://baike.baidu.com/item/%E9%92%BC%E9%85%B8%E9%92%A0/_blank" </w:instrText>
                  </w:r>
                  <w:r>
                    <w:fldChar w:fldCharType="separate"/>
                  </w:r>
                  <w:r>
                    <w:rPr>
                      <w:rFonts w:eastAsiaTheme="minorEastAsia"/>
                      <w:szCs w:val="21"/>
                    </w:rPr>
                    <w:t>钼精矿</w:t>
                  </w:r>
                  <w:r>
                    <w:rPr>
                      <w:rFonts w:eastAsiaTheme="minorEastAsia"/>
                      <w:szCs w:val="21"/>
                    </w:rPr>
                    <w:fldChar w:fldCharType="end"/>
                  </w:r>
                  <w:r>
                    <w:fldChar w:fldCharType="begin"/>
                  </w:r>
                  <w:r>
                    <w:instrText xml:space="preserve"> HYPERLINK "https://baike.baidu.com/item/%E6%B0%A7%E5%8C%96%E7%84%99%E7%83%A7/6181580" \t "https://baike.baidu.com/item/%E9%92%BC%E9%85%B8%E9%92%A0/_blank" </w:instrText>
                  </w:r>
                  <w:r>
                    <w:fldChar w:fldCharType="separate"/>
                  </w:r>
                  <w:r>
                    <w:rPr>
                      <w:rFonts w:eastAsiaTheme="minorEastAsia"/>
                      <w:szCs w:val="21"/>
                    </w:rPr>
                    <w:t>氧化焙烧</w:t>
                  </w:r>
                  <w:r>
                    <w:rPr>
                      <w:rFonts w:eastAsiaTheme="minorEastAsia"/>
                      <w:szCs w:val="21"/>
                    </w:rPr>
                    <w:fldChar w:fldCharType="end"/>
                  </w:r>
                  <w:r>
                    <w:rPr>
                      <w:rFonts w:eastAsiaTheme="minorEastAsia"/>
                      <w:szCs w:val="21"/>
                    </w:rPr>
                    <w:t>生成</w:t>
                  </w:r>
                  <w:r>
                    <w:fldChar w:fldCharType="begin"/>
                  </w:r>
                  <w:r>
                    <w:instrText xml:space="preserve"> HYPERLINK "https://baike.baidu.com/item/%E4%B8%89%E6%B0%A7%E5%8C%96%E9%92%BC/3871066" \t "https://baike.baidu.com/item/%E9%92%BC%E9%85%B8%E9%92%A0/_blank" </w:instrText>
                  </w:r>
                  <w:r>
                    <w:fldChar w:fldCharType="separate"/>
                  </w:r>
                  <w:r>
                    <w:rPr>
                      <w:rFonts w:eastAsiaTheme="minorEastAsia"/>
                      <w:szCs w:val="21"/>
                    </w:rPr>
                    <w:t>三氧化钼</w:t>
                  </w:r>
                  <w:r>
                    <w:rPr>
                      <w:rFonts w:eastAsiaTheme="minorEastAsia"/>
                      <w:szCs w:val="21"/>
                    </w:rPr>
                    <w:fldChar w:fldCharType="end"/>
                  </w:r>
                  <w:r>
                    <w:rPr>
                      <w:rFonts w:eastAsiaTheme="minorEastAsia"/>
                      <w:szCs w:val="21"/>
                    </w:rPr>
                    <w:t>，用</w:t>
                  </w:r>
                  <w:r>
                    <w:fldChar w:fldCharType="begin"/>
                  </w:r>
                  <w:r>
                    <w:instrText xml:space="preserve"> HYPERLINK "https://baike.baidu.com/item/%E6%B6%B2%E7%A2%B1/2585092" \t "https://baike.baidu.com/item/%E9%92%BC%E9%85%B8%E9%92%A0/_blank" </w:instrText>
                  </w:r>
                  <w:r>
                    <w:fldChar w:fldCharType="separate"/>
                  </w:r>
                  <w:r>
                    <w:rPr>
                      <w:rFonts w:eastAsiaTheme="minorEastAsia"/>
                      <w:szCs w:val="21"/>
                    </w:rPr>
                    <w:t>液碱</w:t>
                  </w:r>
                  <w:r>
                    <w:rPr>
                      <w:rFonts w:eastAsiaTheme="minorEastAsia"/>
                      <w:szCs w:val="21"/>
                    </w:rPr>
                    <w:fldChar w:fldCharType="end"/>
                  </w:r>
                  <w:r>
                    <w:rPr>
                      <w:rFonts w:eastAsiaTheme="minorEastAsia"/>
                      <w:szCs w:val="21"/>
                    </w:rPr>
                    <w:t>浸取生成钼酸钠溶液，后经抽滤、浓缩、冷却、离心、干燥后可制得。用作测定生物碱和苷。 测定磷肥过磷酸钙的</w:t>
                  </w:r>
                  <w:r>
                    <w:fldChar w:fldCharType="begin"/>
                  </w:r>
                  <w:r>
                    <w:instrText xml:space="preserve"> HYPERLINK "https://baike.baidu.com/item/%E5%85%A8%E7%A3%B7/2149591" \t "https://baike.baidu.com/item/%E9%92%BC%E9%85%B8%E9%92%A0/_blank" </w:instrText>
                  </w:r>
                  <w:r>
                    <w:fldChar w:fldCharType="separate"/>
                  </w:r>
                  <w:r>
                    <w:rPr>
                      <w:rFonts w:eastAsiaTheme="minorEastAsia"/>
                      <w:szCs w:val="21"/>
                    </w:rPr>
                    <w:t>全磷</w:t>
                  </w:r>
                  <w:r>
                    <w:rPr>
                      <w:rFonts w:eastAsiaTheme="minorEastAsia"/>
                      <w:szCs w:val="21"/>
                    </w:rPr>
                    <w:fldChar w:fldCharType="end"/>
                  </w:r>
                  <w:r>
                    <w:rPr>
                      <w:rFonts w:eastAsiaTheme="minorEastAsia"/>
                      <w:szCs w:val="21"/>
                    </w:rPr>
                    <w:t>和</w:t>
                  </w:r>
                  <w:r>
                    <w:fldChar w:fldCharType="begin"/>
                  </w:r>
                  <w:r>
                    <w:instrText xml:space="preserve"> HYPERLINK "https://baike.baidu.com/item/%E6%9C%89%E6%95%88%E7%A3%B7/4831345" \t "https://baike.baidu.com/item/%E9%92%BC%E9%85%B8%E9%92%A0/_blank" </w:instrText>
                  </w:r>
                  <w:r>
                    <w:fldChar w:fldCharType="separate"/>
                  </w:r>
                  <w:r>
                    <w:rPr>
                      <w:rFonts w:eastAsiaTheme="minorEastAsia"/>
                      <w:szCs w:val="21"/>
                    </w:rPr>
                    <w:t>有效磷</w:t>
                  </w:r>
                  <w:r>
                    <w:rPr>
                      <w:rFonts w:eastAsiaTheme="minorEastAsia"/>
                      <w:szCs w:val="21"/>
                    </w:rPr>
                    <w:fldChar w:fldCharType="end"/>
                  </w:r>
                  <w:r>
                    <w:rPr>
                      <w:rFonts w:eastAsiaTheme="minorEastAsia"/>
                      <w:szCs w:val="21"/>
                    </w:rPr>
                    <w:t>含量。检验无蛋白血滤液和</w:t>
                  </w:r>
                  <w:r>
                    <w:fldChar w:fldCharType="begin"/>
                  </w:r>
                  <w:r>
                    <w:instrText xml:space="preserve"> HYPERLINK "https://baike.baidu.com/item/%E8%A1%80%E6%B8%85%E8%9B%8B%E7%99%BD/10587887" \t "https://baike.baidu.com/item/%E9%92%BC%E9%85%B8%E9%92%A0/_blank" </w:instrText>
                  </w:r>
                  <w:r>
                    <w:fldChar w:fldCharType="separate"/>
                  </w:r>
                  <w:r>
                    <w:rPr>
                      <w:rFonts w:eastAsiaTheme="minorEastAsia"/>
                      <w:szCs w:val="21"/>
                    </w:rPr>
                    <w:t>血清蛋白</w:t>
                  </w:r>
                  <w:r>
                    <w:rPr>
                      <w:rFonts w:eastAsiaTheme="minorEastAsia"/>
                      <w:szCs w:val="21"/>
                    </w:rPr>
                    <w:fldChar w:fldCharType="end"/>
                  </w:r>
                  <w:r>
                    <w:rPr>
                      <w:rFonts w:eastAsiaTheme="minorEastAsia"/>
                      <w:szCs w:val="21"/>
                    </w:rPr>
                    <w:t>。</w:t>
                  </w:r>
                  <w:r>
                    <w:fldChar w:fldCharType="begin"/>
                  </w:r>
                  <w:r>
                    <w:instrText xml:space="preserve"> HYPERLINK "https://baike.baidu.com/item/%E8%85%90%E8%9A%80%E6%8A%91%E5%88%B6%E5%89%82/6019951" \t "https://baike.baidu.com/item/%E9%92%BC%E9%85%B8%E9%92%A0/_blank" </w:instrText>
                  </w:r>
                  <w:r>
                    <w:fldChar w:fldCharType="separate"/>
                  </w:r>
                  <w:r>
                    <w:rPr>
                      <w:rFonts w:eastAsiaTheme="minorEastAsia"/>
                      <w:szCs w:val="21"/>
                    </w:rPr>
                    <w:t>腐蚀抑制剂</w:t>
                  </w:r>
                  <w:r>
                    <w:rPr>
                      <w:rFonts w:eastAsiaTheme="minorEastAsia"/>
                      <w:szCs w:val="21"/>
                    </w:rPr>
                    <w:fldChar w:fldCharType="end"/>
                  </w:r>
                  <w:r>
                    <w:rPr>
                      <w:rFonts w:eastAsiaTheme="minorEastAsia"/>
                      <w:szCs w:val="21"/>
                    </w:rPr>
                    <w:t>。</w:t>
                  </w:r>
                  <w:r>
                    <w:fldChar w:fldCharType="begin"/>
                  </w:r>
                  <w:r>
                    <w:instrText xml:space="preserve"> HYPERLINK "https://baike.baidu.com/item/%E5%8D%95%E5%80%8D%E4%BD%93%E8%82%B2%E7%A7%8D/6909923" \t "https://baike.baidu.com/item/%E9%92%BC%E9%85%B8%E9%92%A0/_blank" </w:instrText>
                  </w:r>
                  <w:r>
                    <w:fldChar w:fldCharType="separate"/>
                  </w:r>
                  <w:r>
                    <w:rPr>
                      <w:rFonts w:eastAsiaTheme="minorEastAsia"/>
                      <w:szCs w:val="21"/>
                    </w:rPr>
                    <w:t>单倍体育种</w:t>
                  </w:r>
                  <w:r>
                    <w:rPr>
                      <w:rFonts w:eastAsiaTheme="minorEastAsia"/>
                      <w:szCs w:val="21"/>
                    </w:rPr>
                    <w:fldChar w:fldCharType="end"/>
                  </w:r>
                  <w:r>
                    <w:rPr>
                      <w:rFonts w:eastAsiaTheme="minorEastAsia"/>
                      <w:szCs w:val="21"/>
                    </w:rPr>
                    <w:t>中配制H</w:t>
                  </w:r>
                  <w:r>
                    <w:fldChar w:fldCharType="begin"/>
                  </w:r>
                  <w:r>
                    <w:instrText xml:space="preserve"> HYPERLINK "https://baike.baidu.com/item/%E5%9F%B9%E5%85%BB%E5%9F%BA/1317328" \t "https://baike.baidu.com/item/%E9%92%BC%E9%85%B8%E9%92%A0/_blank" </w:instrText>
                  </w:r>
                  <w:r>
                    <w:fldChar w:fldCharType="separate"/>
                  </w:r>
                  <w:r>
                    <w:rPr>
                      <w:rFonts w:eastAsiaTheme="minorEastAsia"/>
                      <w:szCs w:val="21"/>
                    </w:rPr>
                    <w:t>培养基</w:t>
                  </w:r>
                  <w:r>
                    <w:rPr>
                      <w:rFonts w:eastAsiaTheme="minorEastAsia"/>
                      <w:szCs w:val="21"/>
                    </w:rPr>
                    <w:fldChar w:fldCharType="end"/>
                  </w:r>
                  <w:r>
                    <w:rPr>
                      <w:rFonts w:eastAsiaTheme="minorEastAsia"/>
                      <w:szCs w:val="21"/>
                    </w:rPr>
                    <w:t>、T培养基、改良尼许培养基、</w:t>
                  </w:r>
                  <w:r>
                    <w:fldChar w:fldCharType="begin"/>
                  </w:r>
                  <w:r>
                    <w:instrText xml:space="preserve"> HYPERLINK "https://baike.baidu.com/item/MS/6252730" \t "https://baike.baidu.com/item/%E9%92%BC%E9%85%B8%E9%92%A0/_blank" </w:instrText>
                  </w:r>
                  <w:r>
                    <w:fldChar w:fldCharType="separate"/>
                  </w:r>
                  <w:r>
                    <w:rPr>
                      <w:rFonts w:eastAsiaTheme="minorEastAsia"/>
                      <w:szCs w:val="21"/>
                    </w:rPr>
                    <w:t>MS</w:t>
                  </w:r>
                  <w:r>
                    <w:rPr>
                      <w:rFonts w:eastAsiaTheme="minorEastAsia"/>
                      <w:szCs w:val="21"/>
                    </w:rPr>
                    <w:fldChar w:fldCharType="end"/>
                  </w:r>
                  <w:r>
                    <w:rPr>
                      <w:rFonts w:eastAsiaTheme="minorEastAsia"/>
                      <w:szCs w:val="21"/>
                    </w:rPr>
                    <w:t>培养 基、RM培养基。制造颜料。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18" w:type="pct"/>
                  <w:vAlign w:val="center"/>
                </w:tcPr>
                <w:p>
                  <w:pPr>
                    <w:jc w:val="center"/>
                    <w:outlineLvl w:val="0"/>
                    <w:rPr>
                      <w:rFonts w:eastAsiaTheme="minorEastAsia"/>
                      <w:szCs w:val="21"/>
                    </w:rPr>
                  </w:pPr>
                  <w:r>
                    <w:fldChar w:fldCharType="begin"/>
                  </w:r>
                  <w:r>
                    <w:instrText xml:space="preserve"> HYPERLINK \l "RANGE!A1" </w:instrText>
                  </w:r>
                  <w:r>
                    <w:fldChar w:fldCharType="separate"/>
                  </w:r>
                  <w:bookmarkStart w:id="190" w:name="_Toc144233313"/>
                  <w:r>
                    <w:rPr>
                      <w:rFonts w:eastAsiaTheme="minorEastAsia"/>
                      <w:szCs w:val="21"/>
                    </w:rPr>
                    <w:t>硫酸锌</w:t>
                  </w:r>
                  <w:bookmarkEnd w:id="190"/>
                  <w:r>
                    <w:rPr>
                      <w:rFonts w:eastAsiaTheme="minorEastAsia"/>
                      <w:szCs w:val="21"/>
                    </w:rPr>
                    <w:fldChar w:fldCharType="end"/>
                  </w:r>
                </w:p>
              </w:tc>
              <w:tc>
                <w:tcPr>
                  <w:tcW w:w="4182" w:type="pct"/>
                  <w:vAlign w:val="center"/>
                </w:tcPr>
                <w:p>
                  <w:pPr>
                    <w:spacing w:before="31"/>
                    <w:ind w:right="82" w:firstLine="420" w:firstLineChars="200"/>
                    <w:rPr>
                      <w:rFonts w:eastAsiaTheme="minorEastAsia"/>
                      <w:szCs w:val="21"/>
                    </w:rPr>
                  </w:pPr>
                  <w:r>
                    <w:rPr>
                      <w:rFonts w:eastAsiaTheme="minorEastAsia"/>
                      <w:szCs w:val="21"/>
                    </w:rPr>
                    <w:t>硫酸锌（化学式：ZnSO</w:t>
                  </w:r>
                  <w:r>
                    <w:rPr>
                      <w:rFonts w:eastAsiaTheme="minorEastAsia"/>
                      <w:szCs w:val="21"/>
                      <w:vertAlign w:val="subscript"/>
                    </w:rPr>
                    <w:t>4</w:t>
                  </w:r>
                  <w:r>
                    <w:rPr>
                      <w:rFonts w:eastAsiaTheme="minorEastAsia"/>
                      <w:szCs w:val="21"/>
                    </w:rPr>
                    <w:t>）是最重要的锌盐之一，为无色斜方晶体或白色粉末，其七水合物俗称皓矾，是一种天然矿物。易溶于水，水溶液呈酸性，微溶于乙醇和甘油。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18" w:type="pct"/>
                  <w:vAlign w:val="center"/>
                </w:tcPr>
                <w:p>
                  <w:pPr>
                    <w:jc w:val="center"/>
                    <w:outlineLvl w:val="0"/>
                    <w:rPr>
                      <w:rFonts w:eastAsiaTheme="minorEastAsia"/>
                      <w:szCs w:val="21"/>
                    </w:rPr>
                  </w:pPr>
                  <w:r>
                    <w:fldChar w:fldCharType="begin"/>
                  </w:r>
                  <w:r>
                    <w:instrText xml:space="preserve"> HYPERLINK \l "RANGE!A1" </w:instrText>
                  </w:r>
                  <w:r>
                    <w:fldChar w:fldCharType="separate"/>
                  </w:r>
                  <w:bookmarkStart w:id="191" w:name="_Toc144233314"/>
                  <w:r>
                    <w:rPr>
                      <w:rFonts w:eastAsiaTheme="minorEastAsia"/>
                      <w:szCs w:val="21"/>
                    </w:rPr>
                    <w:t>硝酸</w:t>
                  </w:r>
                  <w:bookmarkEnd w:id="191"/>
                  <w:r>
                    <w:rPr>
                      <w:rFonts w:eastAsiaTheme="minorEastAsia"/>
                      <w:szCs w:val="21"/>
                    </w:rPr>
                    <w:fldChar w:fldCharType="end"/>
                  </w:r>
                </w:p>
              </w:tc>
              <w:tc>
                <w:tcPr>
                  <w:tcW w:w="4182" w:type="pct"/>
                  <w:vAlign w:val="center"/>
                </w:tcPr>
                <w:p>
                  <w:pPr>
                    <w:spacing w:before="31"/>
                    <w:ind w:right="82" w:firstLine="420" w:firstLineChars="200"/>
                    <w:rPr>
                      <w:rFonts w:eastAsiaTheme="minorEastAsia"/>
                      <w:szCs w:val="21"/>
                    </w:rPr>
                  </w:pPr>
                  <w:r>
                    <w:rPr>
                      <w:rFonts w:eastAsiaTheme="minorEastAsia"/>
                      <w:szCs w:val="21"/>
                    </w:rPr>
                    <w:t>硝酸是一种具有强</w:t>
                  </w:r>
                  <w:r>
                    <w:fldChar w:fldCharType="begin"/>
                  </w:r>
                  <w:r>
                    <w:instrText xml:space="preserve"> HYPERLINK "https://baike.sogou.com/lemma/ShowInnerLink.htm?lemmaId=379884&amp;ss_c=ssc.citiao.link" \t "https://baike.sogou.com/_blank" </w:instrText>
                  </w:r>
                  <w:r>
                    <w:fldChar w:fldCharType="separate"/>
                  </w:r>
                  <w:r>
                    <w:rPr>
                      <w:rFonts w:eastAsiaTheme="minorEastAsia"/>
                      <w:szCs w:val="21"/>
                    </w:rPr>
                    <w:t>氧化性</w:t>
                  </w:r>
                  <w:r>
                    <w:rPr>
                      <w:rFonts w:eastAsiaTheme="minorEastAsia"/>
                      <w:szCs w:val="21"/>
                    </w:rPr>
                    <w:fldChar w:fldCharType="end"/>
                  </w:r>
                  <w:r>
                    <w:rPr>
                      <w:rFonts w:eastAsiaTheme="minorEastAsia"/>
                      <w:szCs w:val="21"/>
                    </w:rPr>
                    <w:t>、腐蚀性的强酸，属于一元无机强酸，是六大无机强酸之一，也是一种重要的化工原料。纯硝酸为无色透明液体，</w:t>
                  </w:r>
                  <w:r>
                    <w:fldChar w:fldCharType="begin"/>
                  </w:r>
                  <w:r>
                    <w:instrText xml:space="preserve"> HYPERLINK "https://baike.sogou.com/lemma/ShowInnerLink.htm?lemmaId=7711236&amp;ss_c=ssc.citiao.link" \t "https://baike.sogou.com/_blank" </w:instrText>
                  </w:r>
                  <w:r>
                    <w:fldChar w:fldCharType="separate"/>
                  </w:r>
                  <w:r>
                    <w:rPr>
                      <w:rFonts w:eastAsiaTheme="minorEastAsia"/>
                      <w:szCs w:val="21"/>
                    </w:rPr>
                    <w:t>浓硝酸</w:t>
                  </w:r>
                  <w:r>
                    <w:rPr>
                      <w:rFonts w:eastAsiaTheme="minorEastAsia"/>
                      <w:szCs w:val="21"/>
                    </w:rPr>
                    <w:fldChar w:fldCharType="end"/>
                  </w:r>
                  <w:r>
                    <w:rPr>
                      <w:rFonts w:eastAsiaTheme="minorEastAsia"/>
                      <w:szCs w:val="21"/>
                    </w:rPr>
                    <w:t>为淡黄色液体（溶有二氧化氮），正常情况下为无色透明液体，有窒息性刺激气味。浓硝酸含量为68%左右，易挥发。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18" w:type="pct"/>
                  <w:vAlign w:val="center"/>
                </w:tcPr>
                <w:p>
                  <w:pPr>
                    <w:jc w:val="center"/>
                    <w:outlineLvl w:val="0"/>
                    <w:rPr>
                      <w:rFonts w:eastAsiaTheme="minorEastAsia"/>
                      <w:szCs w:val="21"/>
                    </w:rPr>
                  </w:pPr>
                  <w:r>
                    <w:fldChar w:fldCharType="begin"/>
                  </w:r>
                  <w:r>
                    <w:instrText xml:space="preserve"> HYPERLINK \l "磷酸二氢钾1!A1" </w:instrText>
                  </w:r>
                  <w:r>
                    <w:fldChar w:fldCharType="separate"/>
                  </w:r>
                  <w:bookmarkStart w:id="192" w:name="_Toc144233315"/>
                  <w:r>
                    <w:rPr>
                      <w:rFonts w:eastAsiaTheme="minorEastAsia"/>
                      <w:szCs w:val="21"/>
                    </w:rPr>
                    <w:t>磷酸二氢钾</w:t>
                  </w:r>
                  <w:bookmarkEnd w:id="192"/>
                  <w:r>
                    <w:rPr>
                      <w:rFonts w:eastAsiaTheme="minorEastAsia"/>
                      <w:szCs w:val="21"/>
                    </w:rPr>
                    <w:fldChar w:fldCharType="end"/>
                  </w:r>
                </w:p>
              </w:tc>
              <w:tc>
                <w:tcPr>
                  <w:tcW w:w="4182" w:type="pct"/>
                  <w:vAlign w:val="center"/>
                </w:tcPr>
                <w:p>
                  <w:pPr>
                    <w:spacing w:before="31"/>
                    <w:ind w:right="82" w:firstLine="420" w:firstLineChars="200"/>
                    <w:rPr>
                      <w:rFonts w:eastAsiaTheme="minorEastAsia"/>
                      <w:szCs w:val="21"/>
                    </w:rPr>
                  </w:pPr>
                  <w:r>
                    <w:rPr>
                      <w:rFonts w:eastAsiaTheme="minorEastAsia"/>
                      <w:szCs w:val="21"/>
                    </w:rPr>
                    <w:t>是一种无机化合物，化学式为KH</w:t>
                  </w:r>
                  <w:r>
                    <w:rPr>
                      <w:rFonts w:eastAsiaTheme="minorEastAsia"/>
                      <w:szCs w:val="21"/>
                      <w:vertAlign w:val="subscript"/>
                    </w:rPr>
                    <w:t>2</w:t>
                  </w:r>
                  <w:r>
                    <w:rPr>
                      <w:rFonts w:eastAsiaTheme="minorEastAsia"/>
                      <w:szCs w:val="21"/>
                    </w:rPr>
                    <w:t>PO</w:t>
                  </w:r>
                  <w:r>
                    <w:rPr>
                      <w:rFonts w:eastAsiaTheme="minorEastAsia"/>
                      <w:szCs w:val="21"/>
                      <w:vertAlign w:val="subscript"/>
                    </w:rPr>
                    <w:t>4</w:t>
                  </w:r>
                  <w:r>
                    <w:rPr>
                      <w:rFonts w:eastAsiaTheme="minorEastAsia"/>
                      <w:szCs w:val="21"/>
                    </w:rPr>
                    <w:t>，有潮解性，加热至400℃时熔化而成透明的液体，冷却后固化为不透明的玻璃状偏磷酸钾。空气中稳定，溶于水，不溶于乙醇。工业上用作缓冲剂、培养剂，也用作细菌培养剂合成清酒的调味剂，制偏磷酸钾的原料，酿造酵母的培养剂、强化剂、膨松剂、发酵助剂，农业上用作高效磷钾复合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18" w:type="pct"/>
                  <w:vAlign w:val="center"/>
                </w:tcPr>
                <w:p>
                  <w:pPr>
                    <w:widowControl/>
                    <w:jc w:val="center"/>
                    <w:textAlignment w:val="center"/>
                    <w:rPr>
                      <w:rFonts w:eastAsiaTheme="minorEastAsia"/>
                      <w:szCs w:val="21"/>
                    </w:rPr>
                  </w:pPr>
                  <w:r>
                    <w:rPr>
                      <w:rFonts w:eastAsiaTheme="minorEastAsia"/>
                      <w:szCs w:val="21"/>
                    </w:rPr>
                    <w:t>扑海因（异菌脲）</w:t>
                  </w:r>
                </w:p>
              </w:tc>
              <w:tc>
                <w:tcPr>
                  <w:tcW w:w="4182" w:type="pct"/>
                  <w:vAlign w:val="center"/>
                </w:tcPr>
                <w:p>
                  <w:pPr>
                    <w:spacing w:before="31"/>
                    <w:ind w:right="82" w:firstLine="420" w:firstLineChars="200"/>
                    <w:rPr>
                      <w:rFonts w:eastAsiaTheme="minorEastAsia"/>
                      <w:szCs w:val="21"/>
                    </w:rPr>
                  </w:pPr>
                  <w:r>
                    <w:rPr>
                      <w:rFonts w:eastAsiaTheme="minorEastAsia"/>
                      <w:szCs w:val="21"/>
                    </w:rPr>
                    <w:t>异菌脲是一种</w:t>
                  </w:r>
                  <w:r>
                    <w:fldChar w:fldCharType="begin"/>
                  </w:r>
                  <w:r>
                    <w:instrText xml:space="preserve"> HYPERLINK "https://baike.baidu.com/item/%E6%9C%89%E6%9C%BA%E7%89%A9/300787" \t "https://baike.baidu.com/item/%E5%BC%82%E8%8F%8C%E8%84%B2/_blank" </w:instrText>
                  </w:r>
                  <w:r>
                    <w:fldChar w:fldCharType="separate"/>
                  </w:r>
                  <w:r>
                    <w:rPr>
                      <w:rFonts w:eastAsiaTheme="minorEastAsia"/>
                      <w:szCs w:val="21"/>
                    </w:rPr>
                    <w:t>有机物</w:t>
                  </w:r>
                  <w:r>
                    <w:rPr>
                      <w:rFonts w:eastAsiaTheme="minorEastAsia"/>
                      <w:szCs w:val="21"/>
                    </w:rPr>
                    <w:fldChar w:fldCharType="end"/>
                  </w:r>
                  <w:r>
                    <w:rPr>
                      <w:rFonts w:eastAsiaTheme="minorEastAsia"/>
                      <w:szCs w:val="21"/>
                    </w:rPr>
                    <w:t>，化学式为C</w:t>
                  </w:r>
                  <w:r>
                    <w:rPr>
                      <w:rFonts w:eastAsiaTheme="minorEastAsia"/>
                      <w:szCs w:val="21"/>
                      <w:vertAlign w:val="subscript"/>
                    </w:rPr>
                    <w:t>13</w:t>
                  </w:r>
                  <w:r>
                    <w:rPr>
                      <w:rFonts w:eastAsiaTheme="minorEastAsia"/>
                      <w:szCs w:val="21"/>
                    </w:rPr>
                    <w:t>H</w:t>
                  </w:r>
                  <w:r>
                    <w:rPr>
                      <w:rFonts w:eastAsiaTheme="minorEastAsia"/>
                      <w:szCs w:val="21"/>
                      <w:vertAlign w:val="subscript"/>
                    </w:rPr>
                    <w:t>13</w:t>
                  </w:r>
                  <w:r>
                    <w:rPr>
                      <w:rFonts w:eastAsiaTheme="minorEastAsia"/>
                      <w:szCs w:val="21"/>
                    </w:rPr>
                    <w:t>C</w:t>
                  </w:r>
                  <w:r>
                    <w:rPr>
                      <w:rFonts w:eastAsiaTheme="minorEastAsia"/>
                      <w:szCs w:val="21"/>
                      <w:vertAlign w:val="subscript"/>
                    </w:rPr>
                    <w:t>l2</w:t>
                  </w:r>
                  <w:r>
                    <w:rPr>
                      <w:rFonts w:eastAsiaTheme="minorEastAsia"/>
                      <w:szCs w:val="21"/>
                    </w:rPr>
                    <w:t>N</w:t>
                  </w:r>
                  <w:r>
                    <w:rPr>
                      <w:rFonts w:eastAsiaTheme="minorEastAsia"/>
                      <w:szCs w:val="21"/>
                      <w:vertAlign w:val="subscript"/>
                    </w:rPr>
                    <w:t>3</w:t>
                  </w:r>
                  <w:r>
                    <w:rPr>
                      <w:rFonts w:eastAsiaTheme="minorEastAsia"/>
                      <w:szCs w:val="21"/>
                    </w:rPr>
                    <w:t>O</w:t>
                  </w:r>
                  <w:r>
                    <w:rPr>
                      <w:rFonts w:eastAsiaTheme="minorEastAsia"/>
                      <w:szCs w:val="21"/>
                      <w:vertAlign w:val="subscript"/>
                    </w:rPr>
                    <w:t>3</w:t>
                  </w:r>
                  <w:r>
                    <w:rPr>
                      <w:rFonts w:eastAsiaTheme="minorEastAsia"/>
                      <w:szCs w:val="21"/>
                    </w:rPr>
                    <w:t>，白色结晶。难溶于水，易溶于</w:t>
                  </w:r>
                  <w:r>
                    <w:fldChar w:fldCharType="begin"/>
                  </w:r>
                  <w:r>
                    <w:instrText xml:space="preserve"> HYPERLINK "https://baike.baidu.com/item/%E4%B8%99%E9%85%AE/955883" \t "https://baike.baidu.com/item/%E5%BC%82%E8%8F%8C%E8%84%B2/_blank" </w:instrText>
                  </w:r>
                  <w:r>
                    <w:fldChar w:fldCharType="separate"/>
                  </w:r>
                  <w:r>
                    <w:rPr>
                      <w:rFonts w:eastAsiaTheme="minorEastAsia"/>
                      <w:szCs w:val="21"/>
                    </w:rPr>
                    <w:t>丙酮</w:t>
                  </w:r>
                  <w:r>
                    <w:rPr>
                      <w:rFonts w:eastAsiaTheme="minorEastAsia"/>
                      <w:szCs w:val="21"/>
                    </w:rPr>
                    <w:fldChar w:fldCharType="end"/>
                  </w:r>
                  <w:r>
                    <w:rPr>
                      <w:rFonts w:eastAsiaTheme="minorEastAsia"/>
                      <w:szCs w:val="21"/>
                    </w:rPr>
                    <w:t>、</w:t>
                  </w:r>
                  <w:r>
                    <w:fldChar w:fldCharType="begin"/>
                  </w:r>
                  <w:r>
                    <w:instrText xml:space="preserve"> HYPERLINK "https://baike.baidu.com/item/%E4%BA%8C%E7%94%B2%E5%9F%BA%E7%94%B2%E9%85%B0%E8%83%BA/3951753" \t "https://baike.baidu.com/item/%E5%BC%82%E8%8F%8C%E8%84%B2/_blank" </w:instrText>
                  </w:r>
                  <w:r>
                    <w:fldChar w:fldCharType="separate"/>
                  </w:r>
                  <w:r>
                    <w:rPr>
                      <w:rFonts w:eastAsiaTheme="minorEastAsia"/>
                      <w:szCs w:val="21"/>
                    </w:rPr>
                    <w:t>二甲基甲酰胺</w:t>
                  </w:r>
                  <w:r>
                    <w:rPr>
                      <w:rFonts w:eastAsiaTheme="minorEastAsia"/>
                      <w:szCs w:val="21"/>
                    </w:rPr>
                    <w:fldChar w:fldCharType="end"/>
                  </w:r>
                  <w:r>
                    <w:rPr>
                      <w:rFonts w:eastAsiaTheme="minorEastAsia"/>
                      <w:szCs w:val="21"/>
                    </w:rPr>
                    <w:t>等</w:t>
                  </w:r>
                  <w:r>
                    <w:fldChar w:fldCharType="begin"/>
                  </w:r>
                  <w:r>
                    <w:instrText xml:space="preserve"> HYPERLINK "https://baike.baidu.com/item/%E6%9C%89%E6%9C%BA%E6%BA%B6%E5%89%82/7921016" \t "https://baike.baidu.com/item/%E5%BC%82%E8%8F%8C%E8%84%B2/_blank" </w:instrText>
                  </w:r>
                  <w:r>
                    <w:fldChar w:fldCharType="separate"/>
                  </w:r>
                  <w:r>
                    <w:rPr>
                      <w:rFonts w:eastAsiaTheme="minorEastAsia"/>
                      <w:szCs w:val="21"/>
                    </w:rPr>
                    <w:t>有机溶剂</w:t>
                  </w:r>
                  <w:r>
                    <w:rPr>
                      <w:rFonts w:eastAsiaTheme="minorEastAsia"/>
                      <w:szCs w:val="21"/>
                    </w:rPr>
                    <w:fldChar w:fldCharType="end"/>
                  </w:r>
                  <w:r>
                    <w:rPr>
                      <w:rFonts w:eastAsiaTheme="minorEastAsia"/>
                      <w:szCs w:val="21"/>
                    </w:rPr>
                    <w:t>，遇碱分解，无</w:t>
                  </w:r>
                  <w:r>
                    <w:fldChar w:fldCharType="begin"/>
                  </w:r>
                  <w:r>
                    <w:instrText xml:space="preserve"> HYPERLINK "https://baike.baidu.com/item/%E5%90%B8%E6%B9%BF%E6%80%A7/10930709" \t "https://baike.baidu.com/item/%E5%BC%82%E8%8F%8C%E8%84%B2/_blank" </w:instrText>
                  </w:r>
                  <w:r>
                    <w:fldChar w:fldCharType="separate"/>
                  </w:r>
                  <w:r>
                    <w:rPr>
                      <w:rFonts w:eastAsiaTheme="minorEastAsia"/>
                      <w:szCs w:val="21"/>
                    </w:rPr>
                    <w:t>吸湿性</w:t>
                  </w:r>
                  <w:r>
                    <w:rPr>
                      <w:rFonts w:eastAsiaTheme="minorEastAsia"/>
                      <w:szCs w:val="21"/>
                    </w:rPr>
                    <w:fldChar w:fldCharType="end"/>
                  </w:r>
                  <w:r>
                    <w:rPr>
                      <w:rFonts w:eastAsiaTheme="minorEastAsia"/>
                      <w:szCs w:val="21"/>
                    </w:rPr>
                    <w:t>，无腐蚀性。异菌脲是二甲</w:t>
                  </w:r>
                  <w:r>
                    <w:fldChar w:fldCharType="begin"/>
                  </w:r>
                  <w:r>
                    <w:instrText xml:space="preserve"> HYPERLINK "https://baike.baidu.com/item/%E9%85%B0%E4%BA%9A%E8%83%BA/1446228" \t "https://baike.baidu.com/item/%E5%BC%82%E8%8F%8C%E8%84%B2/_blank" </w:instrText>
                  </w:r>
                  <w:r>
                    <w:fldChar w:fldCharType="separate"/>
                  </w:r>
                  <w:r>
                    <w:rPr>
                      <w:rFonts w:eastAsiaTheme="minorEastAsia"/>
                      <w:szCs w:val="21"/>
                    </w:rPr>
                    <w:t>酰亚胺</w:t>
                  </w:r>
                  <w:r>
                    <w:rPr>
                      <w:rFonts w:eastAsiaTheme="minorEastAsia"/>
                      <w:szCs w:val="21"/>
                    </w:rPr>
                    <w:fldChar w:fldCharType="end"/>
                  </w:r>
                  <w:r>
                    <w:rPr>
                      <w:rFonts w:eastAsiaTheme="minorEastAsia"/>
                      <w:szCs w:val="21"/>
                    </w:rPr>
                    <w:t>类高效广谱、触杀型杀菌剂。适用于防治多种果树、蔬菜、瓜果类等作物早期落叶病、灰霉病、早疫病等病害。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18" w:type="pct"/>
                  <w:vAlign w:val="center"/>
                </w:tcPr>
                <w:p>
                  <w:pPr>
                    <w:widowControl/>
                    <w:jc w:val="center"/>
                    <w:textAlignment w:val="center"/>
                    <w:rPr>
                      <w:rFonts w:eastAsiaTheme="minorEastAsia"/>
                      <w:szCs w:val="21"/>
                    </w:rPr>
                  </w:pPr>
                  <w:r>
                    <w:rPr>
                      <w:rFonts w:eastAsiaTheme="minorEastAsia"/>
                      <w:szCs w:val="21"/>
                    </w:rPr>
                    <w:t>嘧菌酯</w:t>
                  </w:r>
                </w:p>
              </w:tc>
              <w:tc>
                <w:tcPr>
                  <w:tcW w:w="4182" w:type="pct"/>
                  <w:vAlign w:val="center"/>
                </w:tcPr>
                <w:p>
                  <w:pPr>
                    <w:pStyle w:val="23"/>
                    <w:shd w:val="clear" w:color="auto" w:fill="FFFFFF"/>
                    <w:spacing w:before="0" w:beforeAutospacing="0" w:after="225" w:afterAutospacing="0"/>
                    <w:ind w:firstLine="420"/>
                    <w:rPr>
                      <w:rFonts w:ascii="Times New Roman" w:hAnsi="Times New Roman" w:eastAsiaTheme="minorEastAsia"/>
                      <w:kern w:val="2"/>
                      <w:sz w:val="21"/>
                      <w:szCs w:val="21"/>
                    </w:rPr>
                  </w:pPr>
                  <w:r>
                    <w:rPr>
                      <w:rFonts w:ascii="Times New Roman" w:hAnsi="Times New Roman" w:eastAsiaTheme="minorEastAsia"/>
                      <w:kern w:val="2"/>
                      <w:sz w:val="21"/>
                      <w:szCs w:val="21"/>
                    </w:rPr>
                    <w:t>化学式为C</w:t>
                  </w:r>
                  <w:r>
                    <w:rPr>
                      <w:rFonts w:ascii="Times New Roman" w:hAnsi="Times New Roman" w:eastAsiaTheme="minorEastAsia"/>
                      <w:kern w:val="2"/>
                      <w:sz w:val="21"/>
                      <w:szCs w:val="21"/>
                      <w:vertAlign w:val="subscript"/>
                    </w:rPr>
                    <w:t>22</w:t>
                  </w:r>
                  <w:r>
                    <w:rPr>
                      <w:rFonts w:ascii="Times New Roman" w:hAnsi="Times New Roman" w:eastAsiaTheme="minorEastAsia"/>
                      <w:kern w:val="2"/>
                      <w:sz w:val="21"/>
                      <w:szCs w:val="21"/>
                    </w:rPr>
                    <w:t>H</w:t>
                  </w:r>
                  <w:r>
                    <w:rPr>
                      <w:rFonts w:ascii="Times New Roman" w:hAnsi="Times New Roman" w:eastAsiaTheme="minorEastAsia"/>
                      <w:kern w:val="2"/>
                      <w:sz w:val="21"/>
                      <w:szCs w:val="21"/>
                      <w:vertAlign w:val="subscript"/>
                    </w:rPr>
                    <w:t>17</w:t>
                  </w:r>
                  <w:r>
                    <w:rPr>
                      <w:rFonts w:ascii="Times New Roman" w:hAnsi="Times New Roman" w:eastAsiaTheme="minorEastAsia"/>
                      <w:kern w:val="2"/>
                      <w:sz w:val="21"/>
                      <w:szCs w:val="21"/>
                    </w:rPr>
                    <w:t>N</w:t>
                  </w:r>
                  <w:r>
                    <w:rPr>
                      <w:rFonts w:ascii="Times New Roman" w:hAnsi="Times New Roman" w:eastAsiaTheme="minorEastAsia"/>
                      <w:kern w:val="2"/>
                      <w:sz w:val="21"/>
                      <w:szCs w:val="21"/>
                      <w:vertAlign w:val="subscript"/>
                    </w:rPr>
                    <w:t>3</w:t>
                  </w:r>
                  <w:r>
                    <w:rPr>
                      <w:rFonts w:ascii="Times New Roman" w:hAnsi="Times New Roman" w:eastAsiaTheme="minorEastAsia"/>
                      <w:kern w:val="2"/>
                      <w:sz w:val="21"/>
                      <w:szCs w:val="21"/>
                    </w:rPr>
                    <w:t>O</w:t>
                  </w:r>
                  <w:r>
                    <w:rPr>
                      <w:rFonts w:ascii="Times New Roman" w:hAnsi="Times New Roman" w:eastAsiaTheme="minorEastAsia"/>
                      <w:kern w:val="2"/>
                      <w:sz w:val="21"/>
                      <w:szCs w:val="21"/>
                      <w:vertAlign w:val="subscript"/>
                    </w:rPr>
                    <w:t>5</w:t>
                  </w:r>
                  <w:r>
                    <w:rPr>
                      <w:rFonts w:ascii="Times New Roman" w:hAnsi="Times New Roman" w:eastAsiaTheme="minorEastAsia"/>
                      <w:kern w:val="2"/>
                      <w:sz w:val="21"/>
                      <w:szCs w:val="21"/>
                    </w:rPr>
                    <w:t>纯品为白色</w:t>
                  </w:r>
                  <w:r>
                    <w:fldChar w:fldCharType="begin"/>
                  </w:r>
                  <w:r>
                    <w:instrText xml:space="preserve"> HYPERLINK "https://baike.sogou.com/lemma/ShowInnerLink.htm?lemmaId=69771500&amp;ss_c=ssc.citiao.link" \t "https://baike.sogou.com/_blank" </w:instrText>
                  </w:r>
                  <w:r>
                    <w:fldChar w:fldCharType="separate"/>
                  </w:r>
                  <w:r>
                    <w:rPr>
                      <w:rFonts w:ascii="Times New Roman" w:hAnsi="Times New Roman" w:eastAsiaTheme="minorEastAsia"/>
                      <w:kern w:val="2"/>
                      <w:sz w:val="21"/>
                      <w:szCs w:val="21"/>
                    </w:rPr>
                    <w:t>结晶固体</w:t>
                  </w:r>
                  <w:r>
                    <w:rPr>
                      <w:rFonts w:ascii="Times New Roman" w:hAnsi="Times New Roman" w:eastAsiaTheme="minorEastAsia"/>
                      <w:kern w:val="2"/>
                      <w:sz w:val="21"/>
                      <w:szCs w:val="21"/>
                    </w:rPr>
                    <w:fldChar w:fldCharType="end"/>
                  </w:r>
                  <w:r>
                    <w:rPr>
                      <w:rFonts w:ascii="Times New Roman" w:hAnsi="Times New Roman" w:eastAsiaTheme="minorEastAsia"/>
                      <w:kern w:val="2"/>
                      <w:sz w:val="21"/>
                      <w:szCs w:val="21"/>
                    </w:rPr>
                    <w:t>，微溶于己烷、</w:t>
                  </w:r>
                  <w:r>
                    <w:fldChar w:fldCharType="begin"/>
                  </w:r>
                  <w:r>
                    <w:instrText xml:space="preserve"> HYPERLINK "https://baike.sogou.com/lemma/ShowInnerLink.htm?lemmaId=151419" \t "https://baike.sogou.com/_blank" </w:instrText>
                  </w:r>
                  <w:r>
                    <w:fldChar w:fldCharType="separate"/>
                  </w:r>
                  <w:r>
                    <w:rPr>
                      <w:rFonts w:ascii="Times New Roman" w:hAnsi="Times New Roman" w:eastAsiaTheme="minorEastAsia"/>
                      <w:kern w:val="2"/>
                      <w:sz w:val="21"/>
                      <w:szCs w:val="21"/>
                    </w:rPr>
                    <w:t>正辛醇</w:t>
                  </w:r>
                  <w:r>
                    <w:rPr>
                      <w:rFonts w:ascii="Times New Roman" w:hAnsi="Times New Roman" w:eastAsiaTheme="minorEastAsia"/>
                      <w:kern w:val="2"/>
                      <w:sz w:val="21"/>
                      <w:szCs w:val="21"/>
                    </w:rPr>
                    <w:fldChar w:fldCharType="end"/>
                  </w:r>
                  <w:r>
                    <w:rPr>
                      <w:rFonts w:ascii="Times New Roman" w:hAnsi="Times New Roman" w:eastAsiaTheme="minorEastAsia"/>
                      <w:kern w:val="2"/>
                      <w:sz w:val="21"/>
                      <w:szCs w:val="21"/>
                    </w:rPr>
                    <w:t>，溶于甲醇、甲苯、丙酮，易溶于乙酸乙酯、乙腈、二氯甲烷。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18" w:type="pct"/>
                  <w:vAlign w:val="center"/>
                </w:tcPr>
                <w:p>
                  <w:pPr>
                    <w:widowControl/>
                    <w:jc w:val="center"/>
                    <w:textAlignment w:val="center"/>
                    <w:rPr>
                      <w:rFonts w:eastAsiaTheme="minorEastAsia"/>
                      <w:szCs w:val="21"/>
                    </w:rPr>
                  </w:pPr>
                  <w:r>
                    <w:rPr>
                      <w:rFonts w:eastAsiaTheme="minorEastAsia"/>
                      <w:szCs w:val="21"/>
                    </w:rPr>
                    <w:t>哒螨螺螨酯</w:t>
                  </w:r>
                </w:p>
              </w:tc>
              <w:tc>
                <w:tcPr>
                  <w:tcW w:w="4182" w:type="pct"/>
                  <w:vAlign w:val="center"/>
                </w:tcPr>
                <w:p>
                  <w:pPr>
                    <w:spacing w:before="31"/>
                    <w:ind w:right="82" w:firstLine="420" w:firstLineChars="200"/>
                    <w:rPr>
                      <w:rFonts w:eastAsiaTheme="minorEastAsia"/>
                      <w:szCs w:val="21"/>
                    </w:rPr>
                  </w:pPr>
                  <w:r>
                    <w:rPr>
                      <w:rFonts w:eastAsiaTheme="minorEastAsia"/>
                      <w:szCs w:val="21"/>
                    </w:rPr>
                    <w:t>螺螨酯是一种化学物质，其分子式为C</w:t>
                  </w:r>
                  <w:r>
                    <w:rPr>
                      <w:rFonts w:eastAsiaTheme="minorEastAsia"/>
                      <w:szCs w:val="21"/>
                      <w:vertAlign w:val="subscript"/>
                    </w:rPr>
                    <w:t>21</w:t>
                  </w:r>
                  <w:r>
                    <w:rPr>
                      <w:rFonts w:eastAsiaTheme="minorEastAsia"/>
                      <w:szCs w:val="21"/>
                    </w:rPr>
                    <w:t>H</w:t>
                  </w:r>
                  <w:r>
                    <w:rPr>
                      <w:rFonts w:eastAsiaTheme="minorEastAsia"/>
                      <w:szCs w:val="21"/>
                      <w:vertAlign w:val="subscript"/>
                    </w:rPr>
                    <w:t>24</w:t>
                  </w:r>
                  <w:r>
                    <w:fldChar w:fldCharType="begin"/>
                  </w:r>
                  <w:r>
                    <w:instrText xml:space="preserve"> HYPERLINK "https://baike.sogou.com/lemma/ShowInnerLink.htm?lemmaId=181519423&amp;ss_c=ssc.citiao.link" \t "https://baike.sogou.com/_blank" </w:instrText>
                  </w:r>
                  <w:r>
                    <w:fldChar w:fldCharType="separate"/>
                  </w:r>
                  <w:r>
                    <w:rPr>
                      <w:rFonts w:eastAsiaTheme="minorEastAsia"/>
                      <w:szCs w:val="21"/>
                    </w:rPr>
                    <w:t>C</w:t>
                  </w:r>
                  <w:r>
                    <w:rPr>
                      <w:rFonts w:eastAsiaTheme="minorEastAsia"/>
                      <w:szCs w:val="21"/>
                      <w:vertAlign w:val="subscript"/>
                    </w:rPr>
                    <w:t>l2</w:t>
                  </w:r>
                  <w:r>
                    <w:rPr>
                      <w:rFonts w:eastAsiaTheme="minorEastAsia"/>
                      <w:szCs w:val="21"/>
                      <w:vertAlign w:val="subscript"/>
                    </w:rPr>
                    <w:fldChar w:fldCharType="end"/>
                  </w:r>
                  <w:r>
                    <w:rPr>
                      <w:rFonts w:eastAsiaTheme="minorEastAsia"/>
                      <w:szCs w:val="21"/>
                    </w:rPr>
                    <w:t>O</w:t>
                  </w:r>
                  <w:r>
                    <w:rPr>
                      <w:rFonts w:eastAsiaTheme="minorEastAsia"/>
                      <w:szCs w:val="21"/>
                      <w:vertAlign w:val="subscript"/>
                    </w:rPr>
                    <w:t>4</w:t>
                  </w:r>
                  <w:r>
                    <w:rPr>
                      <w:rFonts w:eastAsiaTheme="minorEastAsia"/>
                      <w:szCs w:val="21"/>
                    </w:rPr>
                    <w:t>。外观白色粉状，无特殊气味，具</w:t>
                  </w:r>
                  <w:r>
                    <w:fldChar w:fldCharType="begin"/>
                  </w:r>
                  <w:r>
                    <w:instrText xml:space="preserve"> HYPERLINK "https://baike.sogou.com/lemma/ShowInnerLink.htm?lemmaId=648074&amp;ss_c=ssc.citiao.link" \t "https://baike.sogou.com/_blank" </w:instrText>
                  </w:r>
                  <w:r>
                    <w:fldChar w:fldCharType="separate"/>
                  </w:r>
                  <w:r>
                    <w:rPr>
                      <w:rFonts w:eastAsiaTheme="minorEastAsia"/>
                      <w:szCs w:val="21"/>
                    </w:rPr>
                    <w:t>触杀作用</w:t>
                  </w:r>
                  <w:r>
                    <w:rPr>
                      <w:rFonts w:eastAsiaTheme="minorEastAsia"/>
                      <w:szCs w:val="21"/>
                    </w:rPr>
                    <w:fldChar w:fldCharType="end"/>
                  </w:r>
                  <w:r>
                    <w:rPr>
                      <w:rFonts w:eastAsiaTheme="minorEastAsia"/>
                      <w:szCs w:val="21"/>
                    </w:rPr>
                    <w:t>，没有内吸性。对</w:t>
                  </w:r>
                  <w:r>
                    <w:fldChar w:fldCharType="begin"/>
                  </w:r>
                  <w:r>
                    <w:instrText xml:space="preserve"> HYPERLINK "https://baike.sogou.com/lemma/ShowInnerLink.htm?lemmaId=1980117&amp;ss_c=ssc.citiao.link" \t "https://baike.sogou.com/_blank" </w:instrText>
                  </w:r>
                  <w:r>
                    <w:fldChar w:fldCharType="separate"/>
                  </w:r>
                  <w:r>
                    <w:rPr>
                      <w:rFonts w:eastAsiaTheme="minorEastAsia"/>
                      <w:szCs w:val="21"/>
                    </w:rPr>
                    <w:t>害螨</w:t>
                  </w:r>
                  <w:r>
                    <w:rPr>
                      <w:rFonts w:eastAsiaTheme="minorEastAsia"/>
                      <w:szCs w:val="21"/>
                    </w:rPr>
                    <w:fldChar w:fldCharType="end"/>
                  </w:r>
                  <w:r>
                    <w:rPr>
                      <w:rFonts w:eastAsiaTheme="minorEastAsia"/>
                      <w:szCs w:val="21"/>
                    </w:rPr>
                    <w:t>的卵、幼螨、若螨具有良好的杀伤效果，对成螨无效，但具有抑制雌螨产卵孵化率的作用。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18" w:type="pct"/>
                  <w:vAlign w:val="center"/>
                </w:tcPr>
                <w:p>
                  <w:pPr>
                    <w:widowControl/>
                    <w:jc w:val="center"/>
                    <w:textAlignment w:val="center"/>
                    <w:rPr>
                      <w:rFonts w:eastAsiaTheme="minorEastAsia"/>
                      <w:szCs w:val="21"/>
                    </w:rPr>
                  </w:pPr>
                  <w:r>
                    <w:rPr>
                      <w:rFonts w:eastAsiaTheme="minorEastAsia"/>
                      <w:szCs w:val="21"/>
                    </w:rPr>
                    <w:t>百菌清</w:t>
                  </w:r>
                </w:p>
              </w:tc>
              <w:tc>
                <w:tcPr>
                  <w:tcW w:w="4182" w:type="pct"/>
                  <w:vAlign w:val="center"/>
                </w:tcPr>
                <w:p>
                  <w:pPr>
                    <w:spacing w:before="31"/>
                    <w:ind w:right="82" w:firstLine="420" w:firstLineChars="200"/>
                    <w:rPr>
                      <w:rFonts w:eastAsiaTheme="minorEastAsia"/>
                      <w:szCs w:val="21"/>
                    </w:rPr>
                  </w:pPr>
                  <w:r>
                    <w:rPr>
                      <w:rFonts w:eastAsiaTheme="minorEastAsia"/>
                      <w:szCs w:val="21"/>
                    </w:rPr>
                    <w:t>分子式为C</w:t>
                  </w:r>
                  <w:r>
                    <w:rPr>
                      <w:rFonts w:eastAsiaTheme="minorEastAsia"/>
                      <w:szCs w:val="21"/>
                      <w:vertAlign w:val="subscript"/>
                    </w:rPr>
                    <w:t>8</w:t>
                  </w:r>
                  <w:r>
                    <w:rPr>
                      <w:rFonts w:eastAsiaTheme="minorEastAsia"/>
                      <w:szCs w:val="21"/>
                    </w:rPr>
                    <w:t>N</w:t>
                  </w:r>
                  <w:r>
                    <w:rPr>
                      <w:rFonts w:eastAsiaTheme="minorEastAsia"/>
                      <w:szCs w:val="21"/>
                      <w:vertAlign w:val="subscript"/>
                    </w:rPr>
                    <w:t>2</w:t>
                  </w:r>
                  <w:r>
                    <w:rPr>
                      <w:rFonts w:eastAsiaTheme="minorEastAsia"/>
                      <w:szCs w:val="21"/>
                    </w:rPr>
                    <w:t>C</w:t>
                  </w:r>
                  <w:r>
                    <w:rPr>
                      <w:rFonts w:eastAsiaTheme="minorEastAsia"/>
                      <w:szCs w:val="21"/>
                      <w:vertAlign w:val="subscript"/>
                    </w:rPr>
                    <w:t>l4</w:t>
                  </w:r>
                  <w:r>
                    <w:rPr>
                      <w:rFonts w:eastAsiaTheme="minorEastAsia"/>
                      <w:szCs w:val="21"/>
                    </w:rPr>
                    <w:t>，无色无味晶体，熔点250℃～251℃，沸点350℃，密度1.8g/cm</w:t>
                  </w:r>
                  <w:r>
                    <w:rPr>
                      <w:rFonts w:eastAsiaTheme="minorEastAsia"/>
                      <w:szCs w:val="21"/>
                      <w:vertAlign w:val="superscript"/>
                    </w:rPr>
                    <w:t>3</w:t>
                  </w:r>
                  <w:r>
                    <w:rPr>
                      <w:rFonts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18" w:type="pct"/>
                  <w:vAlign w:val="center"/>
                </w:tcPr>
                <w:p>
                  <w:pPr>
                    <w:widowControl/>
                    <w:jc w:val="center"/>
                    <w:textAlignment w:val="center"/>
                    <w:rPr>
                      <w:rFonts w:eastAsiaTheme="minorEastAsia"/>
                      <w:szCs w:val="21"/>
                    </w:rPr>
                  </w:pPr>
                  <w:r>
                    <w:rPr>
                      <w:rFonts w:eastAsiaTheme="minorEastAsia"/>
                      <w:szCs w:val="21"/>
                    </w:rPr>
                    <w:t>吡萘嘧菌酯</w:t>
                  </w:r>
                </w:p>
              </w:tc>
              <w:tc>
                <w:tcPr>
                  <w:tcW w:w="4182" w:type="pct"/>
                  <w:vAlign w:val="center"/>
                </w:tcPr>
                <w:p>
                  <w:pPr>
                    <w:spacing w:before="31"/>
                    <w:ind w:right="82" w:firstLine="420" w:firstLineChars="200"/>
                    <w:rPr>
                      <w:rFonts w:eastAsiaTheme="minorEastAsia"/>
                      <w:szCs w:val="21"/>
                    </w:rPr>
                  </w:pPr>
                  <w:r>
                    <w:rPr>
                      <w:rFonts w:eastAsiaTheme="minorEastAsia"/>
                      <w:szCs w:val="21"/>
                    </w:rPr>
                    <w:t>该配方是由吡唑萘菌胺和嘧菌酯复配而成的一种杀菌剂，商品名“绿妃”，吡唑萘菌胺为吡唑羧酰胺类杀菌剂，属于琥珀酸脱氢酶抑制剂（SDHI）类。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18" w:type="pct"/>
                  <w:vAlign w:val="center"/>
                </w:tcPr>
                <w:p>
                  <w:pPr>
                    <w:widowControl/>
                    <w:jc w:val="center"/>
                    <w:textAlignment w:val="center"/>
                    <w:rPr>
                      <w:rFonts w:eastAsiaTheme="minorEastAsia"/>
                      <w:szCs w:val="21"/>
                    </w:rPr>
                  </w:pPr>
                  <w:r>
                    <w:rPr>
                      <w:rFonts w:eastAsiaTheme="minorEastAsia"/>
                      <w:szCs w:val="21"/>
                    </w:rPr>
                    <w:t>施佳乐（嘧霉胺）</w:t>
                  </w:r>
                </w:p>
              </w:tc>
              <w:tc>
                <w:tcPr>
                  <w:tcW w:w="4182" w:type="pct"/>
                  <w:vAlign w:val="center"/>
                </w:tcPr>
                <w:p>
                  <w:pPr>
                    <w:spacing w:before="31"/>
                    <w:ind w:right="82" w:firstLine="420" w:firstLineChars="200"/>
                    <w:rPr>
                      <w:rFonts w:eastAsiaTheme="minorEastAsia"/>
                      <w:szCs w:val="21"/>
                    </w:rPr>
                  </w:pPr>
                  <w:r>
                    <w:rPr>
                      <w:rFonts w:eastAsiaTheme="minorEastAsia"/>
                      <w:szCs w:val="21"/>
                    </w:rPr>
                    <w:t>嘧霉胺（pyrimethanil）又称甲基嘧啶胺、二甲嘧啶胺，属于苯氨基嘧啶类杀菌剂，对灰霉病有特效。其杀菌作用机理独特，通过抑制病菌浸染酶的分泌，阻止病菌浸染，从而杀死病菌，具有保护和治疗作用，同时具有内吸和熏蒸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18" w:type="pct"/>
                  <w:vAlign w:val="center"/>
                </w:tcPr>
                <w:p>
                  <w:pPr>
                    <w:widowControl/>
                    <w:jc w:val="center"/>
                    <w:textAlignment w:val="center"/>
                    <w:rPr>
                      <w:rFonts w:eastAsiaTheme="minorEastAsia"/>
                      <w:szCs w:val="21"/>
                    </w:rPr>
                  </w:pPr>
                  <w:r>
                    <w:fldChar w:fldCharType="begin"/>
                  </w:r>
                  <w:r>
                    <w:instrText xml:space="preserve"> HYPERLINK \l "'（克乐满)联苯肼酯'!A1" </w:instrText>
                  </w:r>
                  <w:r>
                    <w:fldChar w:fldCharType="separate"/>
                  </w:r>
                  <w:r>
                    <w:rPr>
                      <w:rFonts w:eastAsiaTheme="minorEastAsia"/>
                      <w:szCs w:val="21"/>
                    </w:rPr>
                    <w:t>联苯肼酯</w:t>
                  </w:r>
                  <w:r>
                    <w:rPr>
                      <w:rFonts w:eastAsiaTheme="minorEastAsia"/>
                      <w:szCs w:val="21"/>
                    </w:rPr>
                    <w:fldChar w:fldCharType="end"/>
                  </w:r>
                </w:p>
              </w:tc>
              <w:tc>
                <w:tcPr>
                  <w:tcW w:w="4182" w:type="pct"/>
                  <w:vAlign w:val="center"/>
                </w:tcPr>
                <w:p>
                  <w:pPr>
                    <w:spacing w:before="31"/>
                    <w:ind w:right="82" w:firstLine="420" w:firstLineChars="200"/>
                    <w:rPr>
                      <w:rFonts w:eastAsiaTheme="minorEastAsia"/>
                      <w:szCs w:val="21"/>
                    </w:rPr>
                  </w:pPr>
                  <w:r>
                    <w:rPr>
                      <w:rFonts w:eastAsiaTheme="minorEastAsia"/>
                      <w:szCs w:val="21"/>
                    </w:rPr>
                    <w:t>联苯肼酯外观为白色固体结晶，溶解度（20℃）：在水中为2.1mg/L；有机溶剂中（g/L）：甲苯中24.7，乙酸乙酯中102，甲醇中44.7，乙腈中95.6；分配系数（正辛醇/水）：LogPow=3.5。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18" w:type="pct"/>
                  <w:vAlign w:val="center"/>
                </w:tcPr>
                <w:p>
                  <w:pPr>
                    <w:widowControl/>
                    <w:jc w:val="center"/>
                    <w:textAlignment w:val="center"/>
                    <w:rPr>
                      <w:rFonts w:eastAsiaTheme="minorEastAsia"/>
                      <w:szCs w:val="21"/>
                    </w:rPr>
                  </w:pPr>
                  <w:r>
                    <w:rPr>
                      <w:rFonts w:eastAsiaTheme="minorEastAsia"/>
                      <w:szCs w:val="21"/>
                    </w:rPr>
                    <w:t>银法利 氟吡胺.霜霉威</w:t>
                  </w:r>
                </w:p>
              </w:tc>
              <w:tc>
                <w:tcPr>
                  <w:tcW w:w="4182" w:type="pct"/>
                  <w:vAlign w:val="center"/>
                </w:tcPr>
                <w:p>
                  <w:pPr>
                    <w:spacing w:before="31"/>
                    <w:ind w:right="82" w:firstLine="420" w:firstLineChars="200"/>
                    <w:rPr>
                      <w:rFonts w:eastAsiaTheme="minorEastAsia"/>
                      <w:szCs w:val="21"/>
                    </w:rPr>
                  </w:pPr>
                  <w:r>
                    <w:rPr>
                      <w:rFonts w:eastAsiaTheme="minorEastAsia"/>
                      <w:szCs w:val="21"/>
                    </w:rPr>
                    <w:t>银法利是由最新研制的</w:t>
                  </w:r>
                  <w:r>
                    <w:fldChar w:fldCharType="begin"/>
                  </w:r>
                  <w:r>
                    <w:instrText xml:space="preserve"> HYPERLINK "https://baike.baidu.com/item/%E6%B2%BB%E7%96%97%E6%80%A7%E6%9D%80%E8%8F%8C%E5%89%82/4707151" \t "https://baike.baidu.com/item/%E9%93%B6%E6%B3%95%E5%88%A9/_blank" </w:instrText>
                  </w:r>
                  <w:r>
                    <w:fldChar w:fldCharType="separate"/>
                  </w:r>
                  <w:r>
                    <w:rPr>
                      <w:rFonts w:eastAsiaTheme="minorEastAsia"/>
                      <w:szCs w:val="21"/>
                    </w:rPr>
                    <w:t>治疗性杀菌剂</w:t>
                  </w:r>
                  <w:r>
                    <w:rPr>
                      <w:rFonts w:eastAsiaTheme="minorEastAsia"/>
                      <w:szCs w:val="21"/>
                    </w:rPr>
                    <w:fldChar w:fldCharType="end"/>
                  </w:r>
                  <w:r>
                    <w:fldChar w:fldCharType="begin"/>
                  </w:r>
                  <w:r>
                    <w:instrText xml:space="preserve"> HYPERLINK "https://baike.baidu.com/item/%E6%B0%9F%E5%90%A1%E8%8F%8C%E8%83%BA/587747" \t "https://baike.baidu.com/item/%E9%93%B6%E6%B3%95%E5%88%A9/_blank" </w:instrText>
                  </w:r>
                  <w:r>
                    <w:fldChar w:fldCharType="separate"/>
                  </w:r>
                  <w:r>
                    <w:rPr>
                      <w:rFonts w:eastAsiaTheme="minorEastAsia"/>
                      <w:szCs w:val="21"/>
                    </w:rPr>
                    <w:t>氟吡菌胺</w:t>
                  </w:r>
                  <w:r>
                    <w:rPr>
                      <w:rFonts w:eastAsiaTheme="minorEastAsia"/>
                      <w:szCs w:val="21"/>
                    </w:rPr>
                    <w:fldChar w:fldCharType="end"/>
                  </w:r>
                  <w:r>
                    <w:rPr>
                      <w:rFonts w:eastAsiaTheme="minorEastAsia"/>
                      <w:szCs w:val="21"/>
                    </w:rPr>
                    <w:t>（fluopicolide）和强内吸传导性</w:t>
                  </w:r>
                  <w:r>
                    <w:fldChar w:fldCharType="begin"/>
                  </w:r>
                  <w:r>
                    <w:instrText xml:space="preserve"> HYPERLINK "https://baike.baidu.com/item/%E6%9D%80%E8%8F%8C%E5%89%82/696655" \t "https://baike.baidu.com/item/%E9%93%B6%E6%B3%95%E5%88%A9/_blank" </w:instrText>
                  </w:r>
                  <w:r>
                    <w:fldChar w:fldCharType="separate"/>
                  </w:r>
                  <w:r>
                    <w:rPr>
                      <w:rFonts w:eastAsiaTheme="minorEastAsia"/>
                      <w:szCs w:val="21"/>
                    </w:rPr>
                    <w:t>杀菌剂</w:t>
                  </w:r>
                  <w:r>
                    <w:rPr>
                      <w:rFonts w:eastAsiaTheme="minorEastAsia"/>
                      <w:szCs w:val="21"/>
                    </w:rPr>
                    <w:fldChar w:fldCharType="end"/>
                  </w:r>
                  <w:r>
                    <w:fldChar w:fldCharType="begin"/>
                  </w:r>
                  <w:r>
                    <w:instrText xml:space="preserve"> HYPERLINK "https://baike.baidu.com/item/%E9%9C%9C%E9%9C%89%E5%A8%81%E7%9B%90%E9%85%B8%E7%9B%90/5209019" \t "https://baike.baidu.com/item/%E9%93%B6%E6%B3%95%E5%88%A9/_blank" </w:instrText>
                  </w:r>
                  <w:r>
                    <w:fldChar w:fldCharType="separate"/>
                  </w:r>
                  <w:r>
                    <w:rPr>
                      <w:rFonts w:eastAsiaTheme="minorEastAsia"/>
                      <w:szCs w:val="21"/>
                    </w:rPr>
                    <w:t>霜霉威盐酸盐</w:t>
                  </w:r>
                  <w:r>
                    <w:rPr>
                      <w:rFonts w:eastAsiaTheme="minorEastAsia"/>
                      <w:szCs w:val="21"/>
                    </w:rPr>
                    <w:fldChar w:fldCharType="end"/>
                  </w:r>
                  <w:r>
                    <w:rPr>
                      <w:rFonts w:eastAsiaTheme="minorEastAsia"/>
                      <w:szCs w:val="21"/>
                    </w:rPr>
                    <w:t>（propamocab hydrochloride）复配而成的新型混剂。两种有效成分增效作用显著。氟吡菌胺主要作用于细胞膜和细胞间的特异性蛋白而表现杀菌活性。独特的薄层穿透性可加强药剂的横向传导性及纵向输送力。对病原菌的各主要形态均有很好的抑制活性，治疗潜能突出。霜霉威盐酸盐具有较强的内吸传导性，土壤处理后能迅速上下传导，叶面喷雾后也可迅速分布在叶片中，对卵菌纲真菌引起的各类作物</w:t>
                  </w:r>
                  <w:r>
                    <w:fldChar w:fldCharType="begin"/>
                  </w:r>
                  <w:r>
                    <w:instrText xml:space="preserve"> HYPERLINK "https://baike.baidu.com/item/%E9%9C%9C%E9%9C%89%E7%97%85/6725013" \t "https://baike.baidu.com/item/%E9%93%B6%E6%B3%95%E5%88%A9/_blank" </w:instrText>
                  </w:r>
                  <w:r>
                    <w:fldChar w:fldCharType="separate"/>
                  </w:r>
                  <w:r>
                    <w:rPr>
                      <w:rFonts w:eastAsiaTheme="minorEastAsia"/>
                      <w:szCs w:val="21"/>
                    </w:rPr>
                    <w:t>霜霉病</w:t>
                  </w:r>
                  <w:r>
                    <w:rPr>
                      <w:rFonts w:eastAsiaTheme="minorEastAsia"/>
                      <w:szCs w:val="21"/>
                    </w:rPr>
                    <w:fldChar w:fldCharType="end"/>
                  </w:r>
                  <w:r>
                    <w:rPr>
                      <w:rFonts w:eastAsiaTheme="minorEastAsia"/>
                      <w:szCs w:val="21"/>
                    </w:rPr>
                    <w:t>、</w:t>
                  </w:r>
                  <w:r>
                    <w:fldChar w:fldCharType="begin"/>
                  </w:r>
                  <w:r>
                    <w:instrText xml:space="preserve"> HYPERLINK "https://baike.baidu.com/item/%E6%99%9A%E7%96%AB%E7%97%85/235445" \t "https://baike.baidu.com/item/%E9%93%B6%E6%B3%95%E5%88%A9/_blank" </w:instrText>
                  </w:r>
                  <w:r>
                    <w:fldChar w:fldCharType="separate"/>
                  </w:r>
                  <w:r>
                    <w:rPr>
                      <w:rFonts w:eastAsiaTheme="minorEastAsia"/>
                      <w:szCs w:val="21"/>
                    </w:rPr>
                    <w:t>晚疫病</w:t>
                  </w:r>
                  <w:r>
                    <w:rPr>
                      <w:rFonts w:eastAsiaTheme="minorEastAsia"/>
                      <w:szCs w:val="21"/>
                    </w:rPr>
                    <w:fldChar w:fldCharType="end"/>
                  </w:r>
                  <w:r>
                    <w:rPr>
                      <w:rFonts w:eastAsiaTheme="minorEastAsia"/>
                      <w:szCs w:val="21"/>
                    </w:rPr>
                    <w:t>表现出较好的防治效果，并对</w:t>
                  </w:r>
                  <w:r>
                    <w:fldChar w:fldCharType="begin"/>
                  </w:r>
                  <w:r>
                    <w:instrText xml:space="preserve"> HYPERLINK "https://baike.baidu.com/item/%E7%8C%9D%E5%80%92%E7%97%85/8467356" \t "https://baike.baidu.com/item/%E9%93%B6%E6%B3%95%E5%88%A9/_blank" </w:instrText>
                  </w:r>
                  <w:r>
                    <w:fldChar w:fldCharType="separate"/>
                  </w:r>
                  <w:r>
                    <w:rPr>
                      <w:rFonts w:eastAsiaTheme="minorEastAsia"/>
                      <w:szCs w:val="21"/>
                    </w:rPr>
                    <w:t>猝倒病</w:t>
                  </w:r>
                  <w:r>
                    <w:rPr>
                      <w:rFonts w:eastAsiaTheme="minorEastAsia"/>
                      <w:szCs w:val="21"/>
                    </w:rPr>
                    <w:fldChar w:fldCharType="end"/>
                  </w:r>
                  <w:r>
                    <w:rPr>
                      <w:rFonts w:eastAsiaTheme="minorEastAsia"/>
                      <w:szCs w:val="21"/>
                    </w:rPr>
                    <w:t>、疫霉和腐霉引起的土壤根部病害等亦有防效。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18" w:type="pct"/>
                  <w:vAlign w:val="center"/>
                </w:tcPr>
                <w:p>
                  <w:pPr>
                    <w:widowControl/>
                    <w:jc w:val="center"/>
                    <w:textAlignment w:val="center"/>
                    <w:rPr>
                      <w:rFonts w:eastAsiaTheme="minorEastAsia"/>
                      <w:szCs w:val="21"/>
                    </w:rPr>
                  </w:pPr>
                  <w:r>
                    <w:fldChar w:fldCharType="begin"/>
                  </w:r>
                  <w:r>
                    <w:instrText xml:space="preserve"> HYPERLINK \l "'(艾美乐）吡虫啉'!A1" </w:instrText>
                  </w:r>
                  <w:r>
                    <w:fldChar w:fldCharType="separate"/>
                  </w:r>
                  <w:r>
                    <w:rPr>
                      <w:rFonts w:eastAsiaTheme="minorEastAsia"/>
                      <w:szCs w:val="21"/>
                    </w:rPr>
                    <w:t>吡虫啉</w:t>
                  </w:r>
                  <w:r>
                    <w:rPr>
                      <w:rFonts w:eastAsiaTheme="minorEastAsia"/>
                      <w:szCs w:val="21"/>
                    </w:rPr>
                    <w:fldChar w:fldCharType="end"/>
                  </w:r>
                </w:p>
              </w:tc>
              <w:tc>
                <w:tcPr>
                  <w:tcW w:w="4182" w:type="pct"/>
                  <w:vAlign w:val="center"/>
                </w:tcPr>
                <w:p>
                  <w:pPr>
                    <w:spacing w:before="31"/>
                    <w:ind w:right="82" w:firstLine="420" w:firstLineChars="200"/>
                    <w:rPr>
                      <w:rFonts w:eastAsiaTheme="minorEastAsia"/>
                      <w:szCs w:val="21"/>
                    </w:rPr>
                  </w:pPr>
                  <w:r>
                    <w:rPr>
                      <w:rFonts w:eastAsiaTheme="minorEastAsia"/>
                      <w:szCs w:val="21"/>
                    </w:rPr>
                    <w:t>化学式为C</w:t>
                  </w:r>
                  <w:r>
                    <w:rPr>
                      <w:rFonts w:eastAsiaTheme="minorEastAsia"/>
                      <w:szCs w:val="21"/>
                      <w:vertAlign w:val="subscript"/>
                    </w:rPr>
                    <w:t>9</w:t>
                  </w:r>
                  <w:r>
                    <w:rPr>
                      <w:rFonts w:eastAsiaTheme="minorEastAsia"/>
                      <w:szCs w:val="21"/>
                    </w:rPr>
                    <w:t>H</w:t>
                  </w:r>
                  <w:r>
                    <w:rPr>
                      <w:rFonts w:eastAsiaTheme="minorEastAsia"/>
                      <w:szCs w:val="21"/>
                      <w:vertAlign w:val="subscript"/>
                    </w:rPr>
                    <w:t>10</w:t>
                  </w:r>
                  <w:r>
                    <w:rPr>
                      <w:rFonts w:eastAsiaTheme="minorEastAsia"/>
                      <w:szCs w:val="21"/>
                    </w:rPr>
                    <w:t>C</w:t>
                  </w:r>
                  <w:r>
                    <w:rPr>
                      <w:rFonts w:eastAsiaTheme="minorEastAsia"/>
                      <w:szCs w:val="21"/>
                      <w:vertAlign w:val="subscript"/>
                    </w:rPr>
                    <w:t>l</w:t>
                  </w:r>
                  <w:r>
                    <w:rPr>
                      <w:rFonts w:eastAsiaTheme="minorEastAsia"/>
                      <w:szCs w:val="21"/>
                    </w:rPr>
                    <w:t>N</w:t>
                  </w:r>
                  <w:r>
                    <w:rPr>
                      <w:rFonts w:eastAsiaTheme="minorEastAsia"/>
                      <w:szCs w:val="21"/>
                      <w:vertAlign w:val="subscript"/>
                    </w:rPr>
                    <w:t>5</w:t>
                  </w:r>
                  <w:r>
                    <w:rPr>
                      <w:rFonts w:eastAsiaTheme="minorEastAsia"/>
                      <w:szCs w:val="21"/>
                    </w:rPr>
                    <w:t>O</w:t>
                  </w:r>
                  <w:r>
                    <w:rPr>
                      <w:rFonts w:eastAsiaTheme="minorEastAsia"/>
                      <w:szCs w:val="21"/>
                      <w:vertAlign w:val="subscript"/>
                    </w:rPr>
                    <w:t>2</w:t>
                  </w:r>
                  <w:r>
                    <w:rPr>
                      <w:rFonts w:eastAsiaTheme="minorEastAsia"/>
                      <w:szCs w:val="21"/>
                    </w:rPr>
                    <w:t>。无色晶体，有微弱气味，熔点143.8℃，蒸汽压0.2μPa（20℃），密度1.543g/cm</w:t>
                  </w:r>
                  <w:r>
                    <w:rPr>
                      <w:rFonts w:eastAsiaTheme="minorEastAsia"/>
                      <w:szCs w:val="21"/>
                      <w:vertAlign w:val="superscript"/>
                    </w:rPr>
                    <w:t>3</w:t>
                  </w:r>
                  <w:r>
                    <w:rPr>
                      <w:rFonts w:eastAsiaTheme="minorEastAsia"/>
                      <w:szCs w:val="21"/>
                    </w:rPr>
                    <w:t>（20℃），KowlogP=0.57（22℃），溶解度水0.51g/L（20℃），异丙醇1-2g/L（20℃），甲苯0.5-1g/L（20℃），正己烷&lt;0.1g/L（20℃），pH</w:t>
                  </w:r>
                  <w:r>
                    <w:rPr>
                      <w:rFonts w:eastAsiaTheme="minorEastAsia"/>
                      <w:szCs w:val="21"/>
                      <w:vertAlign w:val="subscript"/>
                    </w:rPr>
                    <w:t>5</w:t>
                  </w:r>
                  <w:r>
                    <w:rPr>
                      <w:rFonts w:eastAsiaTheme="minorEastAsia"/>
                      <w:szCs w:val="21"/>
                    </w:rPr>
                    <w:t>-11稳定。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18" w:type="pct"/>
                  <w:vAlign w:val="center"/>
                </w:tcPr>
                <w:p>
                  <w:pPr>
                    <w:widowControl/>
                    <w:jc w:val="center"/>
                    <w:textAlignment w:val="center"/>
                    <w:rPr>
                      <w:rFonts w:eastAsiaTheme="minorEastAsia"/>
                      <w:szCs w:val="21"/>
                    </w:rPr>
                  </w:pPr>
                  <w:r>
                    <w:fldChar w:fldCharType="begin"/>
                  </w:r>
                  <w:r>
                    <w:instrText xml:space="preserve"> HYPERLINK \l "高效氯氟氰菊酯!A1" </w:instrText>
                  </w:r>
                  <w:r>
                    <w:fldChar w:fldCharType="separate"/>
                  </w:r>
                  <w:r>
                    <w:rPr>
                      <w:rFonts w:eastAsiaTheme="minorEastAsia"/>
                      <w:szCs w:val="21"/>
                    </w:rPr>
                    <w:t>氯氟氰菊酯</w:t>
                  </w:r>
                  <w:r>
                    <w:rPr>
                      <w:rFonts w:eastAsiaTheme="minorEastAsia"/>
                      <w:szCs w:val="21"/>
                    </w:rPr>
                    <w:fldChar w:fldCharType="end"/>
                  </w:r>
                </w:p>
              </w:tc>
              <w:tc>
                <w:tcPr>
                  <w:tcW w:w="4182" w:type="pct"/>
                  <w:vAlign w:val="center"/>
                </w:tcPr>
                <w:p>
                  <w:pPr>
                    <w:spacing w:before="31"/>
                    <w:ind w:right="82" w:firstLine="420" w:firstLineChars="200"/>
                    <w:rPr>
                      <w:rFonts w:eastAsiaTheme="minorEastAsia"/>
                      <w:szCs w:val="21"/>
                    </w:rPr>
                  </w:pPr>
                  <w:r>
                    <w:rPr>
                      <w:rFonts w:eastAsiaTheme="minorEastAsia"/>
                      <w:szCs w:val="21"/>
                    </w:rPr>
                    <w:t>纯品为白色固体，工业品为淡黄色固体，化学式为C</w:t>
                  </w:r>
                  <w:r>
                    <w:rPr>
                      <w:rFonts w:eastAsiaTheme="minorEastAsia"/>
                      <w:szCs w:val="21"/>
                      <w:vertAlign w:val="subscript"/>
                    </w:rPr>
                    <w:t>23</w:t>
                  </w:r>
                  <w:r>
                    <w:rPr>
                      <w:rFonts w:eastAsiaTheme="minorEastAsia"/>
                      <w:szCs w:val="21"/>
                    </w:rPr>
                    <w:t>H</w:t>
                  </w:r>
                  <w:r>
                    <w:rPr>
                      <w:rFonts w:eastAsiaTheme="minorEastAsia"/>
                      <w:szCs w:val="21"/>
                      <w:vertAlign w:val="subscript"/>
                    </w:rPr>
                    <w:t>19</w:t>
                  </w:r>
                  <w:r>
                    <w:rPr>
                      <w:rFonts w:eastAsiaTheme="minorEastAsia"/>
                      <w:szCs w:val="21"/>
                    </w:rPr>
                    <w:t>ClF</w:t>
                  </w:r>
                  <w:r>
                    <w:rPr>
                      <w:rFonts w:eastAsiaTheme="minorEastAsia"/>
                      <w:szCs w:val="21"/>
                      <w:vertAlign w:val="subscript"/>
                    </w:rPr>
                    <w:t>3</w:t>
                  </w:r>
                  <w:r>
                    <w:rPr>
                      <w:rFonts w:eastAsiaTheme="minorEastAsia"/>
                      <w:szCs w:val="21"/>
                    </w:rPr>
                    <w:t>NO</w:t>
                  </w:r>
                  <w:r>
                    <w:rPr>
                      <w:rFonts w:eastAsiaTheme="minorEastAsia"/>
                      <w:szCs w:val="21"/>
                      <w:vertAlign w:val="subscript"/>
                    </w:rPr>
                    <w:t>3</w:t>
                  </w:r>
                  <w:r>
                    <w:rPr>
                      <w:rFonts w:eastAsiaTheme="minorEastAsia"/>
                      <w:szCs w:val="21"/>
                    </w:rPr>
                    <w:t>，沸点187－190℃/0.2mmHg，</w:t>
                  </w:r>
                  <w:r>
                    <w:fldChar w:fldCharType="begin"/>
                  </w:r>
                  <w:r>
                    <w:instrText xml:space="preserve"> HYPERLINK "https://baike.baidu.com/item/%E8%92%B8%E6%B0%94%E5%8E%8B/6491145?fromModule=lemma_inlink" \t "https://baike.baidu.com/item/%E9%AB%98%E6%95%88%E6%B0%AF%E6%B0%9F%E6%B0%B0%E8%8F%8A%E9%85%AF/_blank" </w:instrText>
                  </w:r>
                  <w:r>
                    <w:fldChar w:fldCharType="separate"/>
                  </w:r>
                  <w:r>
                    <w:rPr>
                      <w:rFonts w:eastAsiaTheme="minorEastAsia"/>
                      <w:szCs w:val="21"/>
                    </w:rPr>
                    <w:t>蒸汽压</w:t>
                  </w:r>
                  <w:r>
                    <w:rPr>
                      <w:rFonts w:eastAsiaTheme="minorEastAsia"/>
                      <w:szCs w:val="21"/>
                    </w:rPr>
                    <w:fldChar w:fldCharType="end"/>
                  </w:r>
                  <w:r>
                    <w:rPr>
                      <w:rFonts w:eastAsiaTheme="minorEastAsia"/>
                      <w:szCs w:val="21"/>
                    </w:rPr>
                    <w:t>约 0.001MPa(20℃)，密度1.25(25℃)，</w:t>
                  </w:r>
                  <w:r>
                    <w:fldChar w:fldCharType="begin"/>
                  </w:r>
                  <w:r>
                    <w:instrText xml:space="preserve"> HYPERLINK "https://baike.baidu.com/item/%E6%BA%B6%E8%A7%A3%E5%BA%A6/438206?fromModule=lemma_inlink" \t "https://baike.baidu.com/item/%E9%AB%98%E6%95%88%E6%B0%AF%E6%B0%9F%E6%B0%B0%E8%8F%8A%E9%85%AF/_blank" </w:instrText>
                  </w:r>
                  <w:r>
                    <w:fldChar w:fldCharType="separate"/>
                  </w:r>
                  <w:r>
                    <w:rPr>
                      <w:rFonts w:eastAsiaTheme="minorEastAsia"/>
                      <w:szCs w:val="21"/>
                    </w:rPr>
                    <w:t>溶解度</w:t>
                  </w:r>
                  <w:r>
                    <w:rPr>
                      <w:rFonts w:eastAsiaTheme="minorEastAsia"/>
                      <w:szCs w:val="21"/>
                    </w:rPr>
                    <w:fldChar w:fldCharType="end"/>
                  </w:r>
                  <w:r>
                    <w:rPr>
                      <w:rFonts w:eastAsiaTheme="minorEastAsia"/>
                      <w:szCs w:val="21"/>
                    </w:rPr>
                    <w:t>水中0.004ppb(20℃)，溶于</w:t>
                  </w:r>
                  <w:r>
                    <w:fldChar w:fldCharType="begin"/>
                  </w:r>
                  <w:r>
                    <w:instrText xml:space="preserve"> HYPERLINK "https://baike.baidu.com/item/%E4%B8%99%E9%85%AE/955883?fromModule=lemma_inlink" \t "https://baike.baidu.com/item/%E9%AB%98%E6%95%88%E6%B0%AF%E6%B0%9F%E6%B0%B0%E8%8F%8A%E9%85%AF/_blank" </w:instrText>
                  </w:r>
                  <w:r>
                    <w:fldChar w:fldCharType="separate"/>
                  </w:r>
                  <w:r>
                    <w:rPr>
                      <w:rFonts w:eastAsiaTheme="minorEastAsia"/>
                      <w:szCs w:val="21"/>
                    </w:rPr>
                    <w:t>丙酮</w:t>
                  </w:r>
                  <w:r>
                    <w:rPr>
                      <w:rFonts w:eastAsiaTheme="minorEastAsia"/>
                      <w:szCs w:val="21"/>
                    </w:rPr>
                    <w:fldChar w:fldCharType="end"/>
                  </w:r>
                  <w:r>
                    <w:rPr>
                      <w:rFonts w:eastAsiaTheme="minorEastAsia"/>
                      <w:szCs w:val="21"/>
                    </w:rPr>
                    <w:t>，二 </w:t>
                  </w:r>
                  <w:r>
                    <w:fldChar w:fldCharType="begin"/>
                  </w:r>
                  <w:r>
                    <w:instrText xml:space="preserve"> HYPERLINK "https://baike.baidu.com/item/%E6%B0%AF%E7%94%B2%E7%83%B7/2196665?fromModule=lemma_inlink" \t "https://baike.baidu.com/item/%E9%AB%98%E6%95%88%E6%B0%AF%E6%B0%9F%E6%B0%B0%E8%8F%8A%E9%85%AF/_blank" </w:instrText>
                  </w:r>
                  <w:r>
                    <w:fldChar w:fldCharType="separate"/>
                  </w:r>
                  <w:r>
                    <w:rPr>
                      <w:rFonts w:eastAsiaTheme="minorEastAsia"/>
                      <w:szCs w:val="21"/>
                    </w:rPr>
                    <w:t>氯甲烷</w:t>
                  </w:r>
                  <w:r>
                    <w:rPr>
                      <w:rFonts w:eastAsiaTheme="minorEastAsia"/>
                      <w:szCs w:val="21"/>
                    </w:rPr>
                    <w:fldChar w:fldCharType="end"/>
                  </w:r>
                  <w:r>
                    <w:rPr>
                      <w:rFonts w:eastAsiaTheme="minorEastAsia"/>
                      <w:szCs w:val="21"/>
                    </w:rPr>
                    <w:t>，</w:t>
                  </w:r>
                  <w:r>
                    <w:fldChar w:fldCharType="begin"/>
                  </w:r>
                  <w:r>
                    <w:instrText xml:space="preserve"> HYPERLINK "https://baike.baidu.com/item/%E7%94%B2%E9%86%87/1512312?fromModule=lemma_inlink" \t "https://baike.baidu.com/item/%E9%AB%98%E6%95%88%E6%B0%AF%E6%B0%9F%E6%B0%B0%E8%8F%8A%E9%85%AF/_blank" </w:instrText>
                  </w:r>
                  <w:r>
                    <w:fldChar w:fldCharType="separate"/>
                  </w:r>
                  <w:r>
                    <w:rPr>
                      <w:rFonts w:eastAsiaTheme="minorEastAsia"/>
                      <w:szCs w:val="21"/>
                    </w:rPr>
                    <w:t>甲醇</w:t>
                  </w:r>
                  <w:r>
                    <w:rPr>
                      <w:rFonts w:eastAsiaTheme="minorEastAsia"/>
                      <w:szCs w:val="21"/>
                    </w:rPr>
                    <w:fldChar w:fldCharType="end"/>
                  </w:r>
                  <w:r>
                    <w:rPr>
                      <w:rFonts w:eastAsiaTheme="minorEastAsia"/>
                      <w:szCs w:val="21"/>
                    </w:rPr>
                    <w:t>，</w:t>
                  </w:r>
                  <w:r>
                    <w:fldChar w:fldCharType="begin"/>
                  </w:r>
                  <w:r>
                    <w:instrText xml:space="preserve"> HYPERLINK "https://baike.baidu.com/item/%E4%B9%99%E9%86%9A/316922?fromModule=lemma_inlink" \t "https://baike.baidu.com/item/%E9%AB%98%E6%95%88%E6%B0%AF%E6%B0%9F%E6%B0%B0%E8%8F%8A%E9%85%AF/_blank" </w:instrText>
                  </w:r>
                  <w:r>
                    <w:fldChar w:fldCharType="separate"/>
                  </w:r>
                  <w:r>
                    <w:rPr>
                      <w:rFonts w:eastAsiaTheme="minorEastAsia"/>
                      <w:szCs w:val="21"/>
                    </w:rPr>
                    <w:t>乙醚</w:t>
                  </w:r>
                  <w:r>
                    <w:rPr>
                      <w:rFonts w:eastAsiaTheme="minorEastAsia"/>
                      <w:szCs w:val="21"/>
                    </w:rPr>
                    <w:fldChar w:fldCharType="end"/>
                  </w:r>
                  <w:r>
                    <w:rPr>
                      <w:rFonts w:eastAsiaTheme="minorEastAsia"/>
                      <w:szCs w:val="21"/>
                    </w:rPr>
                    <w:t>，</w:t>
                  </w:r>
                  <w:r>
                    <w:fldChar w:fldCharType="begin"/>
                  </w:r>
                  <w:r>
                    <w:instrText xml:space="preserve"> HYPERLINK "https://baike.baidu.com/item/%E4%B9%99%E9%85%B8%E4%B9%99%E9%85%AF/2539400?fromModule=lemma_inlink" \t "https://baike.baidu.com/item/%E9%AB%98%E6%95%88%E6%B0%AF%E6%B0%9F%E6%B0%B0%E8%8F%8A%E9%85%AF/_blank" </w:instrText>
                  </w:r>
                  <w:r>
                    <w:fldChar w:fldCharType="separate"/>
                  </w:r>
                  <w:r>
                    <w:rPr>
                      <w:rFonts w:eastAsiaTheme="minorEastAsia"/>
                      <w:szCs w:val="21"/>
                    </w:rPr>
                    <w:t>乙酸乙酯</w:t>
                  </w:r>
                  <w:r>
                    <w:rPr>
                      <w:rFonts w:eastAsiaTheme="minorEastAsia"/>
                      <w:szCs w:val="21"/>
                    </w:rPr>
                    <w:fldChar w:fldCharType="end"/>
                  </w:r>
                  <w:r>
                    <w:rPr>
                      <w:rFonts w:eastAsiaTheme="minorEastAsia"/>
                      <w:szCs w:val="21"/>
                    </w:rPr>
                    <w:t>，</w:t>
                  </w:r>
                  <w:r>
                    <w:fldChar w:fldCharType="begin"/>
                  </w:r>
                  <w:r>
                    <w:instrText xml:space="preserve"> HYPERLINK "https://baike.baidu.com/item/%E5%B7%B1%E7%83%B7/67751?fromModule=lemma_inlink" \t "https://baike.baidu.com/item/%E9%AB%98%E6%95%88%E6%B0%AF%E6%B0%9F%E6%B0%B0%E8%8F%8A%E9%85%AF/_blank" </w:instrText>
                  </w:r>
                  <w:r>
                    <w:fldChar w:fldCharType="separate"/>
                  </w:r>
                  <w:r>
                    <w:rPr>
                      <w:rFonts w:eastAsiaTheme="minorEastAsia"/>
                      <w:szCs w:val="21"/>
                    </w:rPr>
                    <w:t>己烷</w:t>
                  </w:r>
                  <w:r>
                    <w:rPr>
                      <w:rFonts w:eastAsiaTheme="minorEastAsia"/>
                      <w:szCs w:val="21"/>
                    </w:rPr>
                    <w:fldChar w:fldCharType="end"/>
                  </w:r>
                  <w:r>
                    <w:rPr>
                      <w:rFonts w:eastAsiaTheme="minorEastAsia"/>
                      <w:szCs w:val="21"/>
                    </w:rPr>
                    <w:t>，</w:t>
                  </w:r>
                  <w:r>
                    <w:fldChar w:fldCharType="begin"/>
                  </w:r>
                  <w:r>
                    <w:instrText xml:space="preserve"> HYPERLINK "https://baike.baidu.com/item/%E7%94%B2%E8%8B%AF/1920908?fromModule=lemma_inlink" \t "https://baike.baidu.com/item/%E9%AB%98%E6%95%88%E6%B0%AF%E6%B0%9F%E6%B0%B0%E8%8F%8A%E9%85%AF/_blank" </w:instrText>
                  </w:r>
                  <w:r>
                    <w:fldChar w:fldCharType="separate"/>
                  </w:r>
                  <w:r>
                    <w:rPr>
                      <w:rFonts w:eastAsiaTheme="minorEastAsia"/>
                      <w:szCs w:val="21"/>
                    </w:rPr>
                    <w:t>甲苯</w:t>
                  </w:r>
                  <w:r>
                    <w:rPr>
                      <w:rFonts w:eastAsiaTheme="minorEastAsia"/>
                      <w:szCs w:val="21"/>
                    </w:rPr>
                    <w:fldChar w:fldCharType="end"/>
                  </w:r>
                  <w:r>
                    <w:rPr>
                      <w:rFonts w:eastAsiaTheme="minorEastAsia"/>
                      <w:szCs w:val="21"/>
                    </w:rPr>
                    <w:t>均&gt;500g/L(20℃)，50℃黑暗处 存放2年不分解，光下稳定，275℃分解，光下pH7－9缓慢分解，pH&gt;9加快分解。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18" w:type="pct"/>
                  <w:vAlign w:val="center"/>
                </w:tcPr>
                <w:p>
                  <w:pPr>
                    <w:widowControl/>
                    <w:jc w:val="center"/>
                    <w:textAlignment w:val="center"/>
                    <w:rPr>
                      <w:rFonts w:eastAsiaTheme="minorEastAsia"/>
                      <w:szCs w:val="21"/>
                    </w:rPr>
                  </w:pPr>
                  <w:r>
                    <w:fldChar w:fldCharType="begin"/>
                  </w:r>
                  <w:r>
                    <w:instrText xml:space="preserve"> HYPERLINK \l "铁钻5.0阿维菌素!A1" </w:instrText>
                  </w:r>
                  <w:r>
                    <w:fldChar w:fldCharType="separate"/>
                  </w:r>
                  <w:r>
                    <w:rPr>
                      <w:rFonts w:eastAsiaTheme="minorEastAsia"/>
                      <w:szCs w:val="21"/>
                    </w:rPr>
                    <w:t>阿维菌素</w:t>
                  </w:r>
                  <w:r>
                    <w:rPr>
                      <w:rFonts w:eastAsiaTheme="minorEastAsia"/>
                      <w:szCs w:val="21"/>
                    </w:rPr>
                    <w:fldChar w:fldCharType="end"/>
                  </w:r>
                </w:p>
              </w:tc>
              <w:tc>
                <w:tcPr>
                  <w:tcW w:w="4182" w:type="pct"/>
                  <w:vAlign w:val="center"/>
                </w:tcPr>
                <w:p>
                  <w:pPr>
                    <w:spacing w:before="31"/>
                    <w:ind w:right="82"/>
                    <w:rPr>
                      <w:rFonts w:eastAsiaTheme="minorEastAsia"/>
                      <w:szCs w:val="21"/>
                    </w:rPr>
                  </w:pPr>
                  <w:r>
                    <w:rPr>
                      <w:rFonts w:eastAsiaTheme="minorEastAsia"/>
                      <w:szCs w:val="21"/>
                    </w:rPr>
                    <w:t>外观为淡黄色至白色结晶粉末，无味。m.p.155～157℃，蒸汽压2×10^</w:t>
                  </w:r>
                  <w:r>
                    <w:rPr>
                      <w:rFonts w:eastAsiaTheme="minorEastAsia"/>
                      <w:szCs w:val="21"/>
                      <w:vertAlign w:val="superscript"/>
                    </w:rPr>
                    <w:t>-7</w:t>
                  </w:r>
                  <w:r>
                    <w:rPr>
                      <w:rFonts w:eastAsiaTheme="minorEastAsia"/>
                      <w:szCs w:val="21"/>
                    </w:rPr>
                    <w:t>Pa，相对密度1.16(21℃)。21℃时溶解度为：甲苯350g/L、</w:t>
                  </w:r>
                  <w:r>
                    <w:fldChar w:fldCharType="begin"/>
                  </w:r>
                  <w:r>
                    <w:instrText xml:space="preserve"> HYPERLINK "https://baike.baidu.com/item/%E4%B8%99%E9%85%AE/955883?fromModule=lemma_inlink" \t "https://baike.baidu.com/_blank" </w:instrText>
                  </w:r>
                  <w:r>
                    <w:fldChar w:fldCharType="separate"/>
                  </w:r>
                  <w:r>
                    <w:rPr>
                      <w:rFonts w:eastAsiaTheme="minorEastAsia"/>
                      <w:szCs w:val="21"/>
                    </w:rPr>
                    <w:t>丙酮</w:t>
                  </w:r>
                  <w:r>
                    <w:rPr>
                      <w:rFonts w:eastAsiaTheme="minorEastAsia"/>
                      <w:szCs w:val="21"/>
                    </w:rPr>
                    <w:fldChar w:fldCharType="end"/>
                  </w:r>
                  <w:r>
                    <w:rPr>
                      <w:rFonts w:eastAsiaTheme="minorEastAsia"/>
                      <w:szCs w:val="21"/>
                    </w:rPr>
                    <w:t>100g/L、异丙醇70g/L、氯仿25g/L、乙醇20g/L、甲醇19.5g/L、环己烷6g/L、煤油0.5g/L、水10μg/L。分配系数9.9×10</w:t>
                  </w:r>
                  <w:r>
                    <w:rPr>
                      <w:rFonts w:eastAsiaTheme="minorEastAsia"/>
                      <w:szCs w:val="21"/>
                      <w:vertAlign w:val="superscript"/>
                    </w:rPr>
                    <w:t>^3</w:t>
                  </w:r>
                  <w:r>
                    <w:rPr>
                      <w:rFonts w:eastAsiaTheme="minorEastAsia"/>
                      <w:szCs w:val="21"/>
                    </w:rPr>
                    <w:t>。正常条件下稳定，pH值5～9时不会水解。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8" w:type="pct"/>
                  <w:vAlign w:val="center"/>
                </w:tcPr>
                <w:p>
                  <w:pPr>
                    <w:widowControl/>
                    <w:jc w:val="center"/>
                    <w:textAlignment w:val="center"/>
                    <w:rPr>
                      <w:rFonts w:eastAsiaTheme="minorEastAsia"/>
                      <w:szCs w:val="21"/>
                    </w:rPr>
                  </w:pPr>
                  <w:r>
                    <w:fldChar w:fldCharType="begin"/>
                  </w:r>
                  <w:r>
                    <w:instrText xml:space="preserve"> HYPERLINK \l "'世高（10%苯醚甲环唑）'!A1" </w:instrText>
                  </w:r>
                  <w:r>
                    <w:fldChar w:fldCharType="separate"/>
                  </w:r>
                  <w:r>
                    <w:rPr>
                      <w:rFonts w:eastAsiaTheme="minorEastAsia"/>
                      <w:szCs w:val="21"/>
                    </w:rPr>
                    <w:t>苯醚甲环唑</w:t>
                  </w:r>
                  <w:r>
                    <w:rPr>
                      <w:rFonts w:eastAsiaTheme="minorEastAsia"/>
                      <w:szCs w:val="21"/>
                    </w:rPr>
                    <w:fldChar w:fldCharType="end"/>
                  </w:r>
                </w:p>
              </w:tc>
              <w:tc>
                <w:tcPr>
                  <w:tcW w:w="4182" w:type="pct"/>
                  <w:vAlign w:val="center"/>
                </w:tcPr>
                <w:p>
                  <w:pPr>
                    <w:spacing w:before="31"/>
                    <w:ind w:right="82" w:firstLine="420" w:firstLineChars="200"/>
                    <w:rPr>
                      <w:rFonts w:eastAsiaTheme="minorEastAsia"/>
                      <w:szCs w:val="21"/>
                    </w:rPr>
                  </w:pPr>
                  <w:r>
                    <w:rPr>
                      <w:rFonts w:eastAsiaTheme="minorEastAsia"/>
                      <w:szCs w:val="21"/>
                    </w:rPr>
                    <w:t>苯醚甲环唑，化学式为C</w:t>
                  </w:r>
                  <w:r>
                    <w:rPr>
                      <w:rFonts w:eastAsiaTheme="minorEastAsia"/>
                      <w:szCs w:val="21"/>
                      <w:vertAlign w:val="subscript"/>
                    </w:rPr>
                    <w:t>19</w:t>
                  </w:r>
                  <w:r>
                    <w:rPr>
                      <w:rFonts w:eastAsiaTheme="minorEastAsia"/>
                      <w:szCs w:val="21"/>
                    </w:rPr>
                    <w:t>H</w:t>
                  </w:r>
                  <w:r>
                    <w:rPr>
                      <w:rFonts w:eastAsiaTheme="minorEastAsia"/>
                      <w:szCs w:val="21"/>
                      <w:vertAlign w:val="subscript"/>
                    </w:rPr>
                    <w:t>17</w:t>
                  </w:r>
                  <w:r>
                    <w:rPr>
                      <w:rFonts w:eastAsiaTheme="minorEastAsia"/>
                      <w:szCs w:val="21"/>
                    </w:rPr>
                    <w:t>C</w:t>
                  </w:r>
                  <w:r>
                    <w:rPr>
                      <w:rFonts w:eastAsiaTheme="minorEastAsia"/>
                      <w:szCs w:val="21"/>
                      <w:vertAlign w:val="subscript"/>
                    </w:rPr>
                    <w:t>l2</w:t>
                  </w:r>
                  <w:r>
                    <w:rPr>
                      <w:rFonts w:eastAsiaTheme="minorEastAsia"/>
                      <w:szCs w:val="21"/>
                    </w:rPr>
                    <w:t>N</w:t>
                  </w:r>
                  <w:r>
                    <w:rPr>
                      <w:rFonts w:eastAsiaTheme="minorEastAsia"/>
                      <w:szCs w:val="21"/>
                      <w:vertAlign w:val="subscript"/>
                    </w:rPr>
                    <w:t>3</w:t>
                  </w:r>
                  <w:r>
                    <w:rPr>
                      <w:rFonts w:eastAsiaTheme="minorEastAsia"/>
                      <w:szCs w:val="21"/>
                    </w:rPr>
                    <w:t>O</w:t>
                  </w:r>
                  <w:r>
                    <w:rPr>
                      <w:rFonts w:eastAsiaTheme="minorEastAsia"/>
                      <w:szCs w:val="21"/>
                      <w:vertAlign w:val="subscript"/>
                    </w:rPr>
                    <w:t>3</w:t>
                  </w:r>
                  <w:r>
                    <w:rPr>
                      <w:rFonts w:eastAsiaTheme="minorEastAsia"/>
                      <w:szCs w:val="21"/>
                    </w:rPr>
                    <w:t>，是低毒</w:t>
                  </w:r>
                  <w:r>
                    <w:fldChar w:fldCharType="begin"/>
                  </w:r>
                  <w:r>
                    <w:instrText xml:space="preserve"> HYPERLINK "https://baike.baidu.com/item/%E6%9D%82%E7%8E%AF%E7%B1%BB%E6%9D%80%E8%8F%8C%E5%89%82/3850335?fromModule=lemma_inlink" \t "https://baike.baidu.com/_blank" </w:instrText>
                  </w:r>
                  <w:r>
                    <w:fldChar w:fldCharType="separate"/>
                  </w:r>
                  <w:r>
                    <w:rPr>
                      <w:rFonts w:eastAsiaTheme="minorEastAsia"/>
                      <w:szCs w:val="21"/>
                    </w:rPr>
                    <w:t>杂环类杀菌剂</w:t>
                  </w:r>
                  <w:r>
                    <w:rPr>
                      <w:rFonts w:eastAsiaTheme="minorEastAsia"/>
                      <w:szCs w:val="21"/>
                    </w:rPr>
                    <w:fldChar w:fldCharType="end"/>
                  </w:r>
                  <w:r>
                    <w:rPr>
                      <w:rFonts w:eastAsiaTheme="minorEastAsia"/>
                      <w:szCs w:val="21"/>
                    </w:rPr>
                    <w:t>农药，</w:t>
                  </w:r>
                  <w:r>
                    <w:fldChar w:fldCharType="begin"/>
                  </w:r>
                  <w:r>
                    <w:instrText xml:space="preserve"> HYPERLINK "https://baike.baidu.com/item/%E6%98%93%E6%BA%B6/10683840?fromModule=lemma_inlink" \t "https://baike.baidu.com/_blank" </w:instrText>
                  </w:r>
                  <w:r>
                    <w:fldChar w:fldCharType="separate"/>
                  </w:r>
                  <w:r>
                    <w:rPr>
                      <w:rFonts w:eastAsiaTheme="minorEastAsia"/>
                      <w:szCs w:val="21"/>
                    </w:rPr>
                    <w:t>易溶</w:t>
                  </w:r>
                  <w:r>
                    <w:rPr>
                      <w:rFonts w:eastAsiaTheme="minorEastAsia"/>
                      <w:szCs w:val="21"/>
                    </w:rPr>
                    <w:fldChar w:fldCharType="end"/>
                  </w:r>
                  <w:r>
                    <w:rPr>
                      <w:rFonts w:eastAsiaTheme="minorEastAsia"/>
                      <w:szCs w:val="21"/>
                    </w:rPr>
                    <w:t>于</w:t>
                  </w:r>
                  <w:r>
                    <w:fldChar w:fldCharType="begin"/>
                  </w:r>
                  <w:r>
                    <w:instrText xml:space="preserve"> HYPERLINK "https://baike.baidu.com/item/%E6%9C%89%E6%9C%BA%E6%BA%B6%E5%89%82/7921016?fromModule=lemma_inlink" \t "https://baike.baidu.com/_blank" </w:instrText>
                  </w:r>
                  <w:r>
                    <w:fldChar w:fldCharType="separate"/>
                  </w:r>
                  <w:r>
                    <w:rPr>
                      <w:rFonts w:eastAsiaTheme="minorEastAsia"/>
                      <w:szCs w:val="21"/>
                    </w:rPr>
                    <w:t>有机溶剂</w:t>
                  </w:r>
                  <w:r>
                    <w:rPr>
                      <w:rFonts w:eastAsiaTheme="minorEastAsia"/>
                      <w:szCs w:val="21"/>
                    </w:rPr>
                    <w:fldChar w:fldCharType="end"/>
                  </w:r>
                  <w:r>
                    <w:rPr>
                      <w:rFonts w:eastAsiaTheme="minorEastAsia"/>
                      <w:szCs w:val="21"/>
                    </w:rPr>
                    <w:t>，在土壤中</w:t>
                  </w:r>
                  <w:r>
                    <w:fldChar w:fldCharType="begin"/>
                  </w:r>
                  <w:r>
                    <w:instrText xml:space="preserve"> HYPERLINK "https://baike.baidu.com/item/%E7%A7%BB%E5%8A%A8%E6%80%A7/5934823?fromModule=lemma_inlink" \t "https://baike.baidu.com/_blank" </w:instrText>
                  </w:r>
                  <w:r>
                    <w:fldChar w:fldCharType="separate"/>
                  </w:r>
                  <w:r>
                    <w:rPr>
                      <w:rFonts w:eastAsiaTheme="minorEastAsia"/>
                      <w:szCs w:val="21"/>
                    </w:rPr>
                    <w:t>移动性</w:t>
                  </w:r>
                  <w:r>
                    <w:rPr>
                      <w:rFonts w:eastAsiaTheme="minorEastAsia"/>
                      <w:szCs w:val="21"/>
                    </w:rPr>
                    <w:fldChar w:fldCharType="end"/>
                  </w:r>
                  <w:r>
                    <w:rPr>
                      <w:rFonts w:eastAsiaTheme="minorEastAsia"/>
                      <w:szCs w:val="21"/>
                    </w:rPr>
                    <w:t>小，降解缓慢。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18" w:type="pct"/>
                  <w:vAlign w:val="center"/>
                </w:tcPr>
                <w:p>
                  <w:pPr>
                    <w:widowControl/>
                    <w:jc w:val="center"/>
                    <w:textAlignment w:val="center"/>
                    <w:rPr>
                      <w:rFonts w:eastAsiaTheme="minorEastAsia"/>
                      <w:szCs w:val="21"/>
                    </w:rPr>
                  </w:pPr>
                  <w:r>
                    <w:fldChar w:fldCharType="begin"/>
                  </w:r>
                  <w:r>
                    <w:instrText xml:space="preserve"> HYPERLINK \l "'宇龙美赛（嘧环.咯菌腈）'!A1" </w:instrText>
                  </w:r>
                  <w:r>
                    <w:fldChar w:fldCharType="separate"/>
                  </w:r>
                  <w:r>
                    <w:rPr>
                      <w:rFonts w:eastAsiaTheme="minorEastAsia"/>
                      <w:szCs w:val="21"/>
                    </w:rPr>
                    <w:t>嘧环.咯菌腈</w:t>
                  </w:r>
                  <w:r>
                    <w:rPr>
                      <w:rFonts w:eastAsiaTheme="minorEastAsia"/>
                      <w:szCs w:val="21"/>
                    </w:rPr>
                    <w:fldChar w:fldCharType="end"/>
                  </w:r>
                </w:p>
              </w:tc>
              <w:tc>
                <w:tcPr>
                  <w:tcW w:w="4182" w:type="pct"/>
                  <w:vAlign w:val="center"/>
                </w:tcPr>
                <w:p>
                  <w:pPr>
                    <w:spacing w:before="31"/>
                    <w:ind w:right="82"/>
                    <w:rPr>
                      <w:rFonts w:eastAsiaTheme="minorEastAsia"/>
                      <w:szCs w:val="21"/>
                    </w:rPr>
                  </w:pPr>
                  <w:r>
                    <w:rPr>
                      <w:rFonts w:eastAsiaTheme="minorEastAsia"/>
                      <w:szCs w:val="21"/>
                    </w:rPr>
                    <w:t>是一种新型的非内吸性苯基吡咯类复合杀菌剂。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18" w:type="pct"/>
                  <w:vAlign w:val="center"/>
                </w:tcPr>
                <w:p>
                  <w:pPr>
                    <w:widowControl/>
                    <w:jc w:val="center"/>
                    <w:textAlignment w:val="center"/>
                    <w:rPr>
                      <w:rFonts w:eastAsiaTheme="minorEastAsia"/>
                      <w:szCs w:val="21"/>
                    </w:rPr>
                  </w:pPr>
                  <w:r>
                    <w:rPr>
                      <w:rFonts w:eastAsiaTheme="minorEastAsia"/>
                      <w:szCs w:val="21"/>
                    </w:rPr>
                    <w:t>烯酰吗啉</w:t>
                  </w:r>
                </w:p>
              </w:tc>
              <w:tc>
                <w:tcPr>
                  <w:tcW w:w="4182" w:type="pct"/>
                  <w:vAlign w:val="center"/>
                </w:tcPr>
                <w:p>
                  <w:pPr>
                    <w:spacing w:before="31"/>
                    <w:ind w:right="82"/>
                    <w:rPr>
                      <w:rFonts w:eastAsiaTheme="minorEastAsia"/>
                      <w:szCs w:val="21"/>
                    </w:rPr>
                  </w:pPr>
                  <w:r>
                    <w:rPr>
                      <w:rFonts w:eastAsiaTheme="minorEastAsia"/>
                      <w:szCs w:val="21"/>
                    </w:rPr>
                    <w:t>烯酰吗啉属专一防治卵菌纲真菌性病害药剂，对霜霉病、霜疫霉病、晚疫病、疫（霉）病、疫腐病、腐霉病、黑胫病等低等真菌性病害均具有很好的防治效果。可应用于葡萄、荔枝、黄瓜、甜瓜、苦瓜、番茄、辣椒、马铃薯、十字花科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18" w:type="pct"/>
                  <w:vAlign w:val="center"/>
                </w:tcPr>
                <w:p>
                  <w:pPr>
                    <w:widowControl/>
                    <w:jc w:val="center"/>
                    <w:textAlignment w:val="center"/>
                    <w:rPr>
                      <w:rFonts w:eastAsiaTheme="minorEastAsia"/>
                      <w:szCs w:val="21"/>
                    </w:rPr>
                  </w:pPr>
                  <w:r>
                    <w:rPr>
                      <w:rFonts w:eastAsiaTheme="minorEastAsia"/>
                      <w:szCs w:val="21"/>
                    </w:rPr>
                    <w:t>乙唑螨腈</w:t>
                  </w:r>
                </w:p>
              </w:tc>
              <w:tc>
                <w:tcPr>
                  <w:tcW w:w="4182" w:type="pct"/>
                  <w:vAlign w:val="center"/>
                </w:tcPr>
                <w:p>
                  <w:pPr>
                    <w:pStyle w:val="12"/>
                    <w:ind w:firstLine="420" w:firstLineChars="200"/>
                    <w:rPr>
                      <w:rFonts w:ascii="Times New Roman" w:hAnsi="Times New Roman" w:eastAsiaTheme="minorEastAsia"/>
                      <w:szCs w:val="21"/>
                    </w:rPr>
                  </w:pPr>
                  <w:r>
                    <w:rPr>
                      <w:rFonts w:ascii="Times New Roman" w:hAnsi="Times New Roman" w:eastAsiaTheme="minorEastAsia"/>
                      <w:szCs w:val="21"/>
                    </w:rPr>
                    <w:t>是全新杀螨剂，对叶螨、始叶螨和全爪螨，如二斑叶螨、朱砂叶螨、柑橘红蜘蛛、山楂（葡萄）叶螨等具有卓越防效的产品。其作用方式包括抑制正常的蜕皮过程和杀卵活性，因此能有效地防治害蝴的整个幼龄期（卵、幼蝴和着蝴），能防治对现有杀螨剂已经产生抗性的螨类害虫。具有较强的耐雨性和较长的持效性。到目前为止，对来福禄在温室及田间进行的试验浓度中未曾观察到由其造成的药害现象。对许多有益昆虫和益螨危害极小甚至无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18" w:type="pct"/>
                  <w:vAlign w:val="center"/>
                </w:tcPr>
                <w:p>
                  <w:pPr>
                    <w:widowControl/>
                    <w:jc w:val="center"/>
                    <w:textAlignment w:val="center"/>
                    <w:rPr>
                      <w:rFonts w:eastAsiaTheme="minorEastAsia"/>
                      <w:szCs w:val="21"/>
                    </w:rPr>
                  </w:pPr>
                  <w:r>
                    <w:rPr>
                      <w:rFonts w:eastAsiaTheme="minorEastAsia"/>
                      <w:szCs w:val="21"/>
                    </w:rPr>
                    <w:t>制冷剂（R404A）</w:t>
                  </w:r>
                </w:p>
              </w:tc>
              <w:tc>
                <w:tcPr>
                  <w:tcW w:w="4182" w:type="pct"/>
                  <w:vAlign w:val="center"/>
                </w:tcPr>
                <w:p>
                  <w:pPr>
                    <w:spacing w:before="31"/>
                    <w:ind w:right="82" w:firstLine="420" w:firstLineChars="200"/>
                    <w:rPr>
                      <w:rFonts w:eastAsiaTheme="minorEastAsia"/>
                      <w:szCs w:val="21"/>
                    </w:rPr>
                  </w:pPr>
                  <w:r>
                    <w:rPr>
                      <w:rFonts w:eastAsiaTheme="minorEastAsia"/>
                      <w:szCs w:val="21"/>
                    </w:rPr>
                    <w:t>五氟乙烷/三氟乙烷/</w:t>
                  </w:r>
                  <w:r>
                    <w:fldChar w:fldCharType="begin"/>
                  </w:r>
                  <w:r>
                    <w:instrText xml:space="preserve"> HYPERLINK "https://baike.sogou.com/lemma/ShowInnerLink.htm?lemmaId=1714166&amp;ss_c=ssc.citiao.link" \t "https://baike.sogou.com/_blank" </w:instrText>
                  </w:r>
                  <w:r>
                    <w:fldChar w:fldCharType="separate"/>
                  </w:r>
                  <w:r>
                    <w:rPr>
                      <w:rFonts w:eastAsiaTheme="minorEastAsia"/>
                      <w:szCs w:val="21"/>
                    </w:rPr>
                    <w:t>四氟乙烷</w:t>
                  </w:r>
                  <w:r>
                    <w:rPr>
                      <w:rFonts w:eastAsiaTheme="minorEastAsia"/>
                      <w:szCs w:val="21"/>
                    </w:rPr>
                    <w:fldChar w:fldCharType="end"/>
                  </w:r>
                  <w:r>
                    <w:rPr>
                      <w:rFonts w:eastAsiaTheme="minorEastAsia"/>
                      <w:szCs w:val="21"/>
                    </w:rPr>
                    <w:t> 混合物。在常温下为无色气体，在自身压力下为无色透明液体，R-404A适用于中低温的新型商用制冷设备、交通运输制冷设备或更新设备。最接近于R-502，该制冷剂适用于所有R-502可正常运作的环境。</w:t>
                  </w:r>
                </w:p>
              </w:tc>
            </w:tr>
          </w:tbl>
          <w:p>
            <w:pPr>
              <w:autoSpaceDE w:val="0"/>
              <w:autoSpaceDN w:val="0"/>
              <w:spacing w:line="360" w:lineRule="auto"/>
              <w:ind w:firstLine="480" w:firstLineChars="200"/>
              <w:outlineLvl w:val="0"/>
              <w:rPr>
                <w:sz w:val="24"/>
              </w:rPr>
            </w:pPr>
            <w:bookmarkStart w:id="193" w:name="_Toc144233316"/>
            <w:r>
              <w:rPr>
                <w:sz w:val="24"/>
              </w:rPr>
              <w:t>补充一：生物质成型颗粒</w:t>
            </w:r>
            <w:bookmarkEnd w:id="193"/>
          </w:p>
          <w:p>
            <w:pPr>
              <w:autoSpaceDE w:val="0"/>
              <w:autoSpaceDN w:val="0"/>
              <w:spacing w:before="156" w:beforeLines="50" w:after="156" w:afterLines="50" w:line="360" w:lineRule="auto"/>
              <w:ind w:left="105" w:leftChars="50" w:right="105" w:rightChars="50" w:firstLine="480" w:firstLineChars="200"/>
              <w:outlineLvl w:val="0"/>
              <w:rPr>
                <w:sz w:val="24"/>
              </w:rPr>
            </w:pPr>
            <w:bookmarkStart w:id="194" w:name="_Toc144233317"/>
            <w:r>
              <w:rPr>
                <w:sz w:val="24"/>
              </w:rPr>
              <w:t>项目采用生物质成型颗粒作为燃料。</w:t>
            </w:r>
            <w:r>
              <w:fldChar w:fldCharType="begin"/>
            </w:r>
            <w:r>
              <w:instrText xml:space="preserve"> HYPERLINK "https://baike.sogou.com/lemma/ShowInnerLink.htm?lemmaId=7741440&amp;ss_c=ssc.citiao.link" \t "https://baike.sogou.com/_blank" </w:instrText>
            </w:r>
            <w:r>
              <w:fldChar w:fldCharType="separate"/>
            </w:r>
            <w:r>
              <w:rPr>
                <w:sz w:val="24"/>
              </w:rPr>
              <w:t>生物质燃料</w:t>
            </w:r>
            <w:r>
              <w:rPr>
                <w:sz w:val="24"/>
              </w:rPr>
              <w:fldChar w:fldCharType="end"/>
            </w:r>
            <w:r>
              <w:rPr>
                <w:sz w:val="24"/>
              </w:rPr>
              <w:t>由秸秆、稻草、稻壳、</w:t>
            </w:r>
            <w:r>
              <w:fldChar w:fldCharType="begin"/>
            </w:r>
            <w:r>
              <w:instrText xml:space="preserve"> HYPERLINK "https://baike.sogou.com/lemma/ShowInnerLink.htm?lemmaId=165745&amp;ss_c=ssc.citiao.link" \t "https://baike.sogou.com/_blank" </w:instrText>
            </w:r>
            <w:r>
              <w:fldChar w:fldCharType="separate"/>
            </w:r>
            <w:r>
              <w:rPr>
                <w:sz w:val="24"/>
              </w:rPr>
              <w:t>花生壳</w:t>
            </w:r>
            <w:r>
              <w:rPr>
                <w:sz w:val="24"/>
              </w:rPr>
              <w:fldChar w:fldCharType="end"/>
            </w:r>
            <w:r>
              <w:rPr>
                <w:sz w:val="24"/>
              </w:rPr>
              <w:t>、</w:t>
            </w:r>
            <w:r>
              <w:fldChar w:fldCharType="begin"/>
            </w:r>
            <w:r>
              <w:instrText xml:space="preserve"> HYPERLINK "https://baike.sogou.com/lemma/ShowInnerLink.htm?lemmaId=7635467&amp;ss_c=ssc.citiao.link" \t "https://baike.sogou.com/_blank" </w:instrText>
            </w:r>
            <w:r>
              <w:fldChar w:fldCharType="separate"/>
            </w:r>
            <w:r>
              <w:rPr>
                <w:sz w:val="24"/>
              </w:rPr>
              <w:t>玉米芯</w:t>
            </w:r>
            <w:r>
              <w:rPr>
                <w:sz w:val="24"/>
              </w:rPr>
              <w:fldChar w:fldCharType="end"/>
            </w:r>
            <w:r>
              <w:rPr>
                <w:sz w:val="24"/>
              </w:rPr>
              <w:t>、油茶壳、</w:t>
            </w:r>
            <w:r>
              <w:fldChar w:fldCharType="begin"/>
            </w:r>
            <w:r>
              <w:instrText xml:space="preserve"> HYPERLINK "https://baike.sogou.com/lemma/ShowInnerLink.htm?lemmaId=8906549&amp;ss_c=ssc.citiao.link" \t "https://baike.sogou.com/_blank" </w:instrText>
            </w:r>
            <w:r>
              <w:fldChar w:fldCharType="separate"/>
            </w:r>
            <w:r>
              <w:rPr>
                <w:sz w:val="24"/>
              </w:rPr>
              <w:t>棉籽壳</w:t>
            </w:r>
            <w:r>
              <w:rPr>
                <w:sz w:val="24"/>
              </w:rPr>
              <w:fldChar w:fldCharType="end"/>
            </w:r>
            <w:r>
              <w:rPr>
                <w:sz w:val="24"/>
              </w:rPr>
              <w:t>等以及“三剩物”经过加工产生的块状环保新能源。生物质颗粒燃料纯度高，不含其他不产生热量的杂物，其含碳量75%—85%，灰分3%—6%，含水量1%—3%，绝对不含</w:t>
            </w:r>
            <w:r>
              <w:fldChar w:fldCharType="begin"/>
            </w:r>
            <w:r>
              <w:instrText xml:space="preserve"> HYPERLINK "https://baike.sogou.com/lemma/ShowInnerLink.htm?lemmaId=43690&amp;ss_c=ssc.citiao.link" \t "https://baike.sogou.com/_blank" </w:instrText>
            </w:r>
            <w:r>
              <w:fldChar w:fldCharType="separate"/>
            </w:r>
            <w:r>
              <w:rPr>
                <w:sz w:val="24"/>
              </w:rPr>
              <w:t>煤矸石</w:t>
            </w:r>
            <w:r>
              <w:rPr>
                <w:sz w:val="24"/>
              </w:rPr>
              <w:fldChar w:fldCharType="end"/>
            </w:r>
            <w:r>
              <w:rPr>
                <w:sz w:val="24"/>
              </w:rPr>
              <w:t>，石头等不发热反而耗热的杂质，将直接为企业降低成本。发热量在4200千～4700千卡/kg左右，经炭化后的发热量高达7000千～8000千卡/kg。根据《固体生物质燃料检验检测报告》（2022-0252）见附件8，其成分见下表。</w:t>
            </w:r>
            <w:bookmarkEnd w:id="194"/>
          </w:p>
          <w:p>
            <w:pPr>
              <w:autoSpaceDE w:val="0"/>
              <w:autoSpaceDN w:val="0"/>
              <w:spacing w:line="360" w:lineRule="auto"/>
              <w:jc w:val="center"/>
              <w:outlineLvl w:val="0"/>
              <w:rPr>
                <w:b/>
                <w:bCs/>
                <w:sz w:val="24"/>
              </w:rPr>
            </w:pPr>
            <w:bookmarkStart w:id="195" w:name="_Toc144233318"/>
            <w:r>
              <w:rPr>
                <w:b/>
                <w:bCs/>
                <w:sz w:val="24"/>
              </w:rPr>
              <w:t>表2-6 固体生物质燃料主要成分</w:t>
            </w:r>
            <w:bookmarkEnd w:id="195"/>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504"/>
              <w:gridCol w:w="2524"/>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2" w:type="pct"/>
                  <w:vAlign w:val="center"/>
                </w:tcPr>
                <w:p>
                  <w:pPr>
                    <w:jc w:val="center"/>
                    <w:rPr>
                      <w:b/>
                      <w:szCs w:val="21"/>
                    </w:rPr>
                  </w:pPr>
                  <w:r>
                    <w:rPr>
                      <w:b/>
                      <w:szCs w:val="21"/>
                    </w:rPr>
                    <w:t>序号</w:t>
                  </w:r>
                </w:p>
              </w:tc>
              <w:tc>
                <w:tcPr>
                  <w:tcW w:w="1435" w:type="pct"/>
                  <w:vAlign w:val="center"/>
                </w:tcPr>
                <w:p>
                  <w:pPr>
                    <w:jc w:val="center"/>
                    <w:rPr>
                      <w:b/>
                      <w:szCs w:val="21"/>
                    </w:rPr>
                  </w:pPr>
                  <w:r>
                    <w:rPr>
                      <w:b/>
                      <w:szCs w:val="21"/>
                    </w:rPr>
                    <w:t>名称</w:t>
                  </w:r>
                </w:p>
              </w:tc>
              <w:tc>
                <w:tcPr>
                  <w:tcW w:w="1445" w:type="pct"/>
                  <w:vAlign w:val="center"/>
                </w:tcPr>
                <w:p>
                  <w:pPr>
                    <w:jc w:val="center"/>
                    <w:rPr>
                      <w:b/>
                      <w:szCs w:val="21"/>
                    </w:rPr>
                  </w:pPr>
                  <w:r>
                    <w:rPr>
                      <w:b/>
                      <w:szCs w:val="21"/>
                    </w:rPr>
                    <w:t>缩写</w:t>
                  </w:r>
                </w:p>
              </w:tc>
              <w:tc>
                <w:tcPr>
                  <w:tcW w:w="1445" w:type="pct"/>
                  <w:vAlign w:val="center"/>
                </w:tcPr>
                <w:p>
                  <w:pPr>
                    <w:jc w:val="center"/>
                    <w:rPr>
                      <w:b/>
                      <w:szCs w:val="21"/>
                    </w:rPr>
                  </w:pPr>
                  <w:r>
                    <w:rPr>
                      <w:b/>
                      <w:szCs w:val="21"/>
                    </w:rPr>
                    <w:t>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672" w:type="pct"/>
                  <w:vAlign w:val="center"/>
                </w:tcPr>
                <w:p>
                  <w:pPr>
                    <w:jc w:val="center"/>
                    <w:rPr>
                      <w:szCs w:val="21"/>
                    </w:rPr>
                  </w:pPr>
                  <w:r>
                    <w:rPr>
                      <w:szCs w:val="21"/>
                    </w:rPr>
                    <w:t>1</w:t>
                  </w:r>
                </w:p>
              </w:tc>
              <w:tc>
                <w:tcPr>
                  <w:tcW w:w="1435" w:type="pct"/>
                  <w:vAlign w:val="center"/>
                </w:tcPr>
                <w:p>
                  <w:pPr>
                    <w:jc w:val="center"/>
                    <w:rPr>
                      <w:szCs w:val="21"/>
                    </w:rPr>
                  </w:pPr>
                  <w:r>
                    <w:rPr>
                      <w:szCs w:val="21"/>
                    </w:rPr>
                    <w:t>全水分</w:t>
                  </w:r>
                </w:p>
              </w:tc>
              <w:tc>
                <w:tcPr>
                  <w:tcW w:w="1445" w:type="pct"/>
                  <w:vAlign w:val="center"/>
                </w:tcPr>
                <w:p>
                  <w:pPr>
                    <w:jc w:val="center"/>
                    <w:rPr>
                      <w:szCs w:val="21"/>
                    </w:rPr>
                  </w:pPr>
                  <w:r>
                    <w:rPr>
                      <w:szCs w:val="21"/>
                    </w:rPr>
                    <w:t>Mt</w:t>
                  </w:r>
                </w:p>
              </w:tc>
              <w:tc>
                <w:tcPr>
                  <w:tcW w:w="1445" w:type="pct"/>
                  <w:vAlign w:val="center"/>
                </w:tcPr>
                <w:p>
                  <w:pPr>
                    <w:jc w:val="center"/>
                    <w:rPr>
                      <w:szCs w:val="21"/>
                    </w:rPr>
                  </w:pPr>
                  <w:r>
                    <w:rPr>
                      <w:szCs w:val="21"/>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672" w:type="pct"/>
                  <w:vAlign w:val="center"/>
                </w:tcPr>
                <w:p>
                  <w:pPr>
                    <w:jc w:val="center"/>
                    <w:rPr>
                      <w:szCs w:val="21"/>
                    </w:rPr>
                  </w:pPr>
                  <w:r>
                    <w:rPr>
                      <w:szCs w:val="21"/>
                    </w:rPr>
                    <w:t>2</w:t>
                  </w:r>
                </w:p>
              </w:tc>
              <w:tc>
                <w:tcPr>
                  <w:tcW w:w="1435" w:type="pct"/>
                  <w:vAlign w:val="center"/>
                </w:tcPr>
                <w:p>
                  <w:pPr>
                    <w:jc w:val="center"/>
                    <w:rPr>
                      <w:szCs w:val="21"/>
                    </w:rPr>
                  </w:pPr>
                  <w:r>
                    <w:rPr>
                      <w:szCs w:val="21"/>
                    </w:rPr>
                    <w:t>空气干燥基水分</w:t>
                  </w:r>
                </w:p>
              </w:tc>
              <w:tc>
                <w:tcPr>
                  <w:tcW w:w="1445" w:type="pct"/>
                  <w:vAlign w:val="center"/>
                </w:tcPr>
                <w:p>
                  <w:pPr>
                    <w:jc w:val="center"/>
                    <w:rPr>
                      <w:szCs w:val="21"/>
                    </w:rPr>
                  </w:pPr>
                  <w:r>
                    <w:rPr>
                      <w:szCs w:val="21"/>
                    </w:rPr>
                    <w:t>Mad</w:t>
                  </w:r>
                </w:p>
              </w:tc>
              <w:tc>
                <w:tcPr>
                  <w:tcW w:w="1445" w:type="pct"/>
                  <w:vAlign w:val="center"/>
                </w:tcPr>
                <w:p>
                  <w:pPr>
                    <w:jc w:val="center"/>
                    <w:rPr>
                      <w:szCs w:val="21"/>
                    </w:rPr>
                  </w:pPr>
                  <w:r>
                    <w:rPr>
                      <w:szCs w:val="21"/>
                    </w:rPr>
                    <w:t>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672" w:type="pct"/>
                  <w:vAlign w:val="center"/>
                </w:tcPr>
                <w:p>
                  <w:pPr>
                    <w:jc w:val="center"/>
                    <w:rPr>
                      <w:szCs w:val="21"/>
                    </w:rPr>
                  </w:pPr>
                  <w:r>
                    <w:rPr>
                      <w:szCs w:val="21"/>
                    </w:rPr>
                    <w:t>3</w:t>
                  </w:r>
                </w:p>
              </w:tc>
              <w:tc>
                <w:tcPr>
                  <w:tcW w:w="1435" w:type="pct"/>
                  <w:vAlign w:val="center"/>
                </w:tcPr>
                <w:p>
                  <w:pPr>
                    <w:jc w:val="center"/>
                    <w:rPr>
                      <w:szCs w:val="21"/>
                    </w:rPr>
                  </w:pPr>
                  <w:r>
                    <w:rPr>
                      <w:szCs w:val="21"/>
                    </w:rPr>
                    <w:t>空气干燥基灰分</w:t>
                  </w:r>
                </w:p>
              </w:tc>
              <w:tc>
                <w:tcPr>
                  <w:tcW w:w="1445" w:type="pct"/>
                  <w:vAlign w:val="center"/>
                </w:tcPr>
                <w:p>
                  <w:pPr>
                    <w:jc w:val="center"/>
                    <w:rPr>
                      <w:szCs w:val="21"/>
                    </w:rPr>
                  </w:pPr>
                  <w:r>
                    <w:rPr>
                      <w:szCs w:val="21"/>
                    </w:rPr>
                    <w:t>Aad</w:t>
                  </w:r>
                </w:p>
              </w:tc>
              <w:tc>
                <w:tcPr>
                  <w:tcW w:w="1445" w:type="pct"/>
                  <w:vAlign w:val="center"/>
                </w:tcPr>
                <w:p>
                  <w:pPr>
                    <w:jc w:val="center"/>
                    <w:rPr>
                      <w:szCs w:val="21"/>
                    </w:rPr>
                  </w:pPr>
                  <w:r>
                    <w:rPr>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672" w:type="pct"/>
                  <w:vAlign w:val="center"/>
                </w:tcPr>
                <w:p>
                  <w:pPr>
                    <w:jc w:val="center"/>
                    <w:rPr>
                      <w:szCs w:val="21"/>
                    </w:rPr>
                  </w:pPr>
                  <w:r>
                    <w:rPr>
                      <w:szCs w:val="21"/>
                    </w:rPr>
                    <w:t>4</w:t>
                  </w:r>
                </w:p>
              </w:tc>
              <w:tc>
                <w:tcPr>
                  <w:tcW w:w="1435" w:type="pct"/>
                  <w:vAlign w:val="center"/>
                </w:tcPr>
                <w:p>
                  <w:pPr>
                    <w:jc w:val="center"/>
                    <w:rPr>
                      <w:szCs w:val="21"/>
                    </w:rPr>
                  </w:pPr>
                  <w:r>
                    <w:rPr>
                      <w:szCs w:val="21"/>
                    </w:rPr>
                    <w:t>空气干燥基挥发分</w:t>
                  </w:r>
                </w:p>
              </w:tc>
              <w:tc>
                <w:tcPr>
                  <w:tcW w:w="1445" w:type="pct"/>
                  <w:vAlign w:val="center"/>
                </w:tcPr>
                <w:p>
                  <w:pPr>
                    <w:jc w:val="center"/>
                    <w:rPr>
                      <w:szCs w:val="21"/>
                    </w:rPr>
                  </w:pPr>
                  <w:r>
                    <w:rPr>
                      <w:szCs w:val="21"/>
                    </w:rPr>
                    <w:t>Vad</w:t>
                  </w:r>
                </w:p>
              </w:tc>
              <w:tc>
                <w:tcPr>
                  <w:tcW w:w="1445" w:type="pct"/>
                  <w:vAlign w:val="center"/>
                </w:tcPr>
                <w:p>
                  <w:pPr>
                    <w:jc w:val="center"/>
                    <w:rPr>
                      <w:szCs w:val="21"/>
                    </w:rPr>
                  </w:pPr>
                  <w:r>
                    <w:rPr>
                      <w:szCs w:val="21"/>
                    </w:rPr>
                    <w:t>78.37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672" w:type="pct"/>
                  <w:vAlign w:val="center"/>
                </w:tcPr>
                <w:p>
                  <w:pPr>
                    <w:jc w:val="center"/>
                    <w:rPr>
                      <w:szCs w:val="21"/>
                    </w:rPr>
                  </w:pPr>
                  <w:r>
                    <w:rPr>
                      <w:szCs w:val="21"/>
                    </w:rPr>
                    <w:t>5</w:t>
                  </w:r>
                </w:p>
              </w:tc>
              <w:tc>
                <w:tcPr>
                  <w:tcW w:w="1435" w:type="pct"/>
                  <w:vAlign w:val="center"/>
                </w:tcPr>
                <w:p>
                  <w:pPr>
                    <w:jc w:val="center"/>
                    <w:rPr>
                      <w:szCs w:val="21"/>
                    </w:rPr>
                  </w:pPr>
                  <w:r>
                    <w:rPr>
                      <w:szCs w:val="21"/>
                    </w:rPr>
                    <w:t>空气干燥基固定碳</w:t>
                  </w:r>
                </w:p>
              </w:tc>
              <w:tc>
                <w:tcPr>
                  <w:tcW w:w="1445" w:type="pct"/>
                  <w:vAlign w:val="center"/>
                </w:tcPr>
                <w:p>
                  <w:pPr>
                    <w:jc w:val="center"/>
                    <w:rPr>
                      <w:szCs w:val="21"/>
                    </w:rPr>
                  </w:pPr>
                  <w:r>
                    <w:rPr>
                      <w:szCs w:val="21"/>
                    </w:rPr>
                    <w:t>FCad</w:t>
                  </w:r>
                </w:p>
              </w:tc>
              <w:tc>
                <w:tcPr>
                  <w:tcW w:w="1445" w:type="pct"/>
                  <w:vAlign w:val="center"/>
                </w:tcPr>
                <w:p>
                  <w:pPr>
                    <w:jc w:val="center"/>
                    <w:rPr>
                      <w:szCs w:val="21"/>
                    </w:rPr>
                  </w:pPr>
                  <w:r>
                    <w:rPr>
                      <w:szCs w:val="21"/>
                    </w:rPr>
                    <w:t>15.62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672" w:type="pct"/>
                  <w:vAlign w:val="center"/>
                </w:tcPr>
                <w:p>
                  <w:pPr>
                    <w:jc w:val="center"/>
                    <w:rPr>
                      <w:szCs w:val="21"/>
                    </w:rPr>
                  </w:pPr>
                  <w:r>
                    <w:rPr>
                      <w:szCs w:val="21"/>
                    </w:rPr>
                    <w:t>6</w:t>
                  </w:r>
                </w:p>
              </w:tc>
              <w:tc>
                <w:tcPr>
                  <w:tcW w:w="1435" w:type="pct"/>
                  <w:vAlign w:val="center"/>
                </w:tcPr>
                <w:p>
                  <w:pPr>
                    <w:jc w:val="center"/>
                    <w:rPr>
                      <w:szCs w:val="21"/>
                    </w:rPr>
                  </w:pPr>
                  <w:r>
                    <w:rPr>
                      <w:szCs w:val="21"/>
                    </w:rPr>
                    <w:t>空气干燥基弹筒发热量</w:t>
                  </w:r>
                </w:p>
              </w:tc>
              <w:tc>
                <w:tcPr>
                  <w:tcW w:w="1445" w:type="pct"/>
                  <w:vAlign w:val="center"/>
                </w:tcPr>
                <w:p>
                  <w:pPr>
                    <w:jc w:val="center"/>
                    <w:rPr>
                      <w:szCs w:val="21"/>
                    </w:rPr>
                  </w:pPr>
                  <w:r>
                    <w:rPr>
                      <w:szCs w:val="21"/>
                    </w:rPr>
                    <w:t>Qb,ad</w:t>
                  </w:r>
                </w:p>
              </w:tc>
              <w:tc>
                <w:tcPr>
                  <w:tcW w:w="1445" w:type="pct"/>
                  <w:vAlign w:val="center"/>
                </w:tcPr>
                <w:p>
                  <w:pPr>
                    <w:jc w:val="center"/>
                    <w:rPr>
                      <w:szCs w:val="21"/>
                    </w:rPr>
                  </w:pPr>
                  <w:r>
                    <w:rPr>
                      <w:szCs w:val="21"/>
                    </w:rPr>
                    <w:t>19.43 MJ/kg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672" w:type="pct"/>
                  <w:vAlign w:val="center"/>
                </w:tcPr>
                <w:p>
                  <w:pPr>
                    <w:jc w:val="center"/>
                    <w:rPr>
                      <w:szCs w:val="21"/>
                    </w:rPr>
                  </w:pPr>
                  <w:r>
                    <w:rPr>
                      <w:szCs w:val="21"/>
                    </w:rPr>
                    <w:t>7</w:t>
                  </w:r>
                </w:p>
              </w:tc>
              <w:tc>
                <w:tcPr>
                  <w:tcW w:w="1435" w:type="pct"/>
                  <w:vAlign w:val="center"/>
                </w:tcPr>
                <w:p>
                  <w:pPr>
                    <w:jc w:val="center"/>
                    <w:rPr>
                      <w:szCs w:val="21"/>
                    </w:rPr>
                  </w:pPr>
                  <w:r>
                    <w:rPr>
                      <w:szCs w:val="21"/>
                    </w:rPr>
                    <w:t>空气干燥基高位发热量</w:t>
                  </w:r>
                </w:p>
              </w:tc>
              <w:tc>
                <w:tcPr>
                  <w:tcW w:w="1445" w:type="pct"/>
                  <w:vAlign w:val="center"/>
                </w:tcPr>
                <w:p>
                  <w:pPr>
                    <w:jc w:val="center"/>
                    <w:rPr>
                      <w:szCs w:val="21"/>
                    </w:rPr>
                  </w:pPr>
                  <w:r>
                    <w:rPr>
                      <w:szCs w:val="21"/>
                    </w:rPr>
                    <w:t>Qgr,ad</w:t>
                  </w:r>
                </w:p>
              </w:tc>
              <w:tc>
                <w:tcPr>
                  <w:tcW w:w="1445" w:type="pct"/>
                  <w:vAlign w:val="center"/>
                </w:tcPr>
                <w:p>
                  <w:pPr>
                    <w:jc w:val="center"/>
                    <w:rPr>
                      <w:szCs w:val="21"/>
                    </w:rPr>
                  </w:pPr>
                  <w:r>
                    <w:rPr>
                      <w:szCs w:val="21"/>
                    </w:rPr>
                    <w:t>19.40 MJ/kg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672" w:type="pct"/>
                  <w:vAlign w:val="center"/>
                </w:tcPr>
                <w:p>
                  <w:pPr>
                    <w:jc w:val="center"/>
                    <w:rPr>
                      <w:szCs w:val="21"/>
                    </w:rPr>
                  </w:pPr>
                  <w:r>
                    <w:rPr>
                      <w:szCs w:val="21"/>
                    </w:rPr>
                    <w:t>8</w:t>
                  </w:r>
                </w:p>
              </w:tc>
              <w:tc>
                <w:tcPr>
                  <w:tcW w:w="1435" w:type="pct"/>
                  <w:vAlign w:val="center"/>
                </w:tcPr>
                <w:p>
                  <w:pPr>
                    <w:jc w:val="center"/>
                    <w:rPr>
                      <w:szCs w:val="21"/>
                    </w:rPr>
                  </w:pPr>
                  <w:r>
                    <w:rPr>
                      <w:szCs w:val="21"/>
                    </w:rPr>
                    <w:t>收到基恒容低位发热量</w:t>
                  </w:r>
                </w:p>
              </w:tc>
              <w:tc>
                <w:tcPr>
                  <w:tcW w:w="1445" w:type="pct"/>
                  <w:vAlign w:val="center"/>
                </w:tcPr>
                <w:p>
                  <w:pPr>
                    <w:jc w:val="center"/>
                    <w:rPr>
                      <w:szCs w:val="21"/>
                    </w:rPr>
                  </w:pPr>
                  <w:r>
                    <w:rPr>
                      <w:szCs w:val="21"/>
                    </w:rPr>
                    <w:t>Ownet, v, ar</w:t>
                  </w:r>
                </w:p>
              </w:tc>
              <w:tc>
                <w:tcPr>
                  <w:tcW w:w="1445" w:type="pct"/>
                  <w:vAlign w:val="center"/>
                </w:tcPr>
                <w:p>
                  <w:pPr>
                    <w:jc w:val="center"/>
                    <w:rPr>
                      <w:szCs w:val="21"/>
                    </w:rPr>
                  </w:pPr>
                  <w:r>
                    <w:rPr>
                      <w:szCs w:val="21"/>
                    </w:rPr>
                    <w:t>17.70 MJ/kg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672" w:type="pct"/>
                  <w:vAlign w:val="center"/>
                </w:tcPr>
                <w:p>
                  <w:pPr>
                    <w:jc w:val="center"/>
                    <w:rPr>
                      <w:szCs w:val="21"/>
                    </w:rPr>
                  </w:pPr>
                  <w:r>
                    <w:rPr>
                      <w:szCs w:val="21"/>
                    </w:rPr>
                    <w:t>9</w:t>
                  </w:r>
                </w:p>
              </w:tc>
              <w:tc>
                <w:tcPr>
                  <w:tcW w:w="1435" w:type="pct"/>
                  <w:vAlign w:val="center"/>
                </w:tcPr>
                <w:p>
                  <w:pPr>
                    <w:jc w:val="center"/>
                    <w:rPr>
                      <w:szCs w:val="21"/>
                    </w:rPr>
                  </w:pPr>
                  <w:r>
                    <w:rPr>
                      <w:szCs w:val="21"/>
                    </w:rPr>
                    <w:t>空气干燥基全硫</w:t>
                  </w:r>
                </w:p>
              </w:tc>
              <w:tc>
                <w:tcPr>
                  <w:tcW w:w="1445" w:type="pct"/>
                  <w:vAlign w:val="center"/>
                </w:tcPr>
                <w:p>
                  <w:pPr>
                    <w:jc w:val="center"/>
                    <w:rPr>
                      <w:szCs w:val="21"/>
                    </w:rPr>
                  </w:pPr>
                  <w:r>
                    <w:rPr>
                      <w:szCs w:val="21"/>
                    </w:rPr>
                    <w:t>St, ad</w:t>
                  </w:r>
                </w:p>
              </w:tc>
              <w:tc>
                <w:tcPr>
                  <w:tcW w:w="1445" w:type="pct"/>
                  <w:vAlign w:val="center"/>
                </w:tcPr>
                <w:p>
                  <w:pPr>
                    <w:jc w:val="center"/>
                    <w:rPr>
                      <w:szCs w:val="21"/>
                    </w:rPr>
                  </w:pPr>
                  <w:r>
                    <w:rPr>
                      <w:szCs w:val="21"/>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672" w:type="pct"/>
                  <w:vAlign w:val="center"/>
                </w:tcPr>
                <w:p>
                  <w:pPr>
                    <w:jc w:val="center"/>
                    <w:rPr>
                      <w:szCs w:val="21"/>
                    </w:rPr>
                  </w:pPr>
                  <w:r>
                    <w:rPr>
                      <w:szCs w:val="21"/>
                    </w:rPr>
                    <w:t>10</w:t>
                  </w:r>
                </w:p>
              </w:tc>
              <w:tc>
                <w:tcPr>
                  <w:tcW w:w="1435" w:type="pct"/>
                  <w:vAlign w:val="center"/>
                </w:tcPr>
                <w:p>
                  <w:pPr>
                    <w:jc w:val="center"/>
                    <w:rPr>
                      <w:szCs w:val="21"/>
                    </w:rPr>
                  </w:pPr>
                  <w:r>
                    <w:rPr>
                      <w:szCs w:val="21"/>
                    </w:rPr>
                    <w:t>空气干燥基氢元素</w:t>
                  </w:r>
                </w:p>
              </w:tc>
              <w:tc>
                <w:tcPr>
                  <w:tcW w:w="1445" w:type="pct"/>
                  <w:vAlign w:val="center"/>
                </w:tcPr>
                <w:p>
                  <w:pPr>
                    <w:jc w:val="center"/>
                    <w:rPr>
                      <w:szCs w:val="21"/>
                    </w:rPr>
                  </w:pPr>
                  <w:r>
                    <w:rPr>
                      <w:szCs w:val="21"/>
                    </w:rPr>
                    <w:t>Had</w:t>
                  </w:r>
                </w:p>
              </w:tc>
              <w:tc>
                <w:tcPr>
                  <w:tcW w:w="1445" w:type="pct"/>
                  <w:vAlign w:val="center"/>
                </w:tcPr>
                <w:p>
                  <w:pPr>
                    <w:jc w:val="center"/>
                    <w:rPr>
                      <w:szCs w:val="21"/>
                    </w:rPr>
                  </w:pPr>
                  <w:r>
                    <w:rPr>
                      <w:szCs w:val="21"/>
                    </w:rPr>
                    <w:t>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3554" w:type="pct"/>
                  <w:gridSpan w:val="3"/>
                  <w:vAlign w:val="center"/>
                </w:tcPr>
                <w:p>
                  <w:pPr>
                    <w:jc w:val="center"/>
                    <w:rPr>
                      <w:szCs w:val="21"/>
                    </w:rPr>
                  </w:pPr>
                  <w:r>
                    <w:rPr>
                      <w:szCs w:val="21"/>
                    </w:rPr>
                    <w:t>合计</w:t>
                  </w:r>
                </w:p>
              </w:tc>
              <w:tc>
                <w:tcPr>
                  <w:tcW w:w="1445" w:type="pct"/>
                  <w:vAlign w:val="center"/>
                </w:tcPr>
                <w:p>
                  <w:pPr>
                    <w:jc w:val="center"/>
                    <w:rPr>
                      <w:szCs w:val="21"/>
                    </w:rPr>
                  </w:pPr>
                  <w:r>
                    <w:rPr>
                      <w:szCs w:val="21"/>
                    </w:rPr>
                    <w:t>100</w:t>
                  </w:r>
                </w:p>
              </w:tc>
            </w:tr>
          </w:tbl>
          <w:p>
            <w:pPr>
              <w:autoSpaceDE w:val="0"/>
              <w:autoSpaceDN w:val="0"/>
              <w:spacing w:before="156" w:beforeLines="50" w:after="156" w:afterLines="50" w:line="360" w:lineRule="auto"/>
              <w:ind w:left="105" w:leftChars="50" w:right="105" w:rightChars="50" w:firstLine="480" w:firstLineChars="200"/>
              <w:outlineLvl w:val="0"/>
              <w:rPr>
                <w:sz w:val="24"/>
              </w:rPr>
            </w:pPr>
            <w:bookmarkStart w:id="196" w:name="_Toc144233319"/>
            <w:r>
              <w:rPr>
                <w:sz w:val="24"/>
              </w:rPr>
              <w:t>补充二：制冷剂（404A）</w:t>
            </w:r>
            <w:bookmarkEnd w:id="196"/>
          </w:p>
          <w:p>
            <w:pPr>
              <w:autoSpaceDE w:val="0"/>
              <w:autoSpaceDN w:val="0"/>
              <w:spacing w:before="156" w:beforeLines="50" w:after="156" w:afterLines="50" w:line="360" w:lineRule="auto"/>
              <w:ind w:left="105" w:leftChars="50" w:right="105" w:rightChars="50" w:firstLine="480" w:firstLineChars="200"/>
              <w:outlineLvl w:val="0"/>
              <w:rPr>
                <w:sz w:val="24"/>
              </w:rPr>
            </w:pPr>
            <w:bookmarkStart w:id="197" w:name="_Toc144233320"/>
            <w:r>
              <w:rPr>
                <w:sz w:val="24"/>
              </w:rPr>
              <w:t>根据我国政府批准加入的《关于消耗臭氧层物质的蒙特利尔议定书》（以下简称《议定书》）及其有关修正案，除特殊用途外，我国已淘汰受控用途的哈龙、全氯氟烃、四氯化碳、甲基氯仿和甲基溴等消耗臭氧层物质的生产和使用，正在逐步削减受控用途的含氢氯氟烃的生产和使用。本项目使用制冷剂R404A为环保制冷剂，不破坏臭氧层，不属于《中国受控消耗臭氧层物质清单》中物质，符合本项目。制冷剂R404A，别名R404A，商品名称有SUVA HP62、SUVA 404A、Genetron 404A等。由于R404A属于HFC型非</w:t>
            </w:r>
            <w:r>
              <w:fldChar w:fldCharType="begin"/>
            </w:r>
            <w:r>
              <w:instrText xml:space="preserve"> HYPERLINK "https://baike.sogou.com/lemma/ShowInnerLink.htm?lemmaId=8487730&amp;ss_c=ssc.citiao.link" \t "https://baike.sogou.com/_blank" </w:instrText>
            </w:r>
            <w:r>
              <w:fldChar w:fldCharType="separate"/>
            </w:r>
            <w:r>
              <w:rPr>
                <w:sz w:val="24"/>
              </w:rPr>
              <w:t>共沸</w:t>
            </w:r>
            <w:r>
              <w:rPr>
                <w:sz w:val="24"/>
              </w:rPr>
              <w:fldChar w:fldCharType="end"/>
            </w:r>
            <w:r>
              <w:fldChar w:fldCharType="begin"/>
            </w:r>
            <w:r>
              <w:instrText xml:space="preserve"> HYPERLINK "https://baike.sogou.com/lemma/ShowInnerLink.htm?lemmaId=61682149&amp;ss_c=ssc.citiao.link" \t "https://baike.sogou.com/_blank" </w:instrText>
            </w:r>
            <w:r>
              <w:fldChar w:fldCharType="separate"/>
            </w:r>
            <w:r>
              <w:rPr>
                <w:sz w:val="24"/>
              </w:rPr>
              <w:t>环保制冷剂</w:t>
            </w:r>
            <w:r>
              <w:rPr>
                <w:sz w:val="24"/>
              </w:rPr>
              <w:fldChar w:fldCharType="end"/>
            </w:r>
            <w:r>
              <w:rPr>
                <w:sz w:val="24"/>
              </w:rPr>
              <w:t>（完全不含</w:t>
            </w:r>
            <w:r>
              <w:fldChar w:fldCharType="begin"/>
            </w:r>
            <w:r>
              <w:instrText xml:space="preserve"> HYPERLINK "https://baike.sogou.com/lemma/ShowInnerLink.htm?lemmaId=10054488&amp;ss_c=ssc.citiao.link" \t "https://baike.sogou.com/_blank" </w:instrText>
            </w:r>
            <w:r>
              <w:fldChar w:fldCharType="separate"/>
            </w:r>
            <w:r>
              <w:rPr>
                <w:sz w:val="24"/>
              </w:rPr>
              <w:t>破坏臭氧层</w:t>
            </w:r>
            <w:r>
              <w:rPr>
                <w:sz w:val="24"/>
              </w:rPr>
              <w:fldChar w:fldCharType="end"/>
            </w:r>
            <w:r>
              <w:rPr>
                <w:sz w:val="24"/>
              </w:rPr>
              <w:t>的CFC、HCFC），得到目前世界绝大多数国家的认可并推荐的主流低温环保制冷剂，广泛用于新冷冻设备上的初装和维修过程中的再添加。符合美国环保组织EPA、SNAP和UL的标准，符合美国采暖、制冷</w:t>
            </w:r>
            <w:r>
              <w:fldChar w:fldCharType="begin"/>
            </w:r>
            <w:r>
              <w:instrText xml:space="preserve"> HYPERLINK "https://baike.sogou.com/lemma/ShowInnerLink.htm?lemmaId=8402436&amp;ss_c=ssc.citiao.link" \t "https://baike.sogou.com/_blank" </w:instrText>
            </w:r>
            <w:r>
              <w:fldChar w:fldCharType="separate"/>
            </w:r>
            <w:r>
              <w:rPr>
                <w:sz w:val="24"/>
              </w:rPr>
              <w:t>空调工程师</w:t>
            </w:r>
            <w:r>
              <w:rPr>
                <w:sz w:val="24"/>
              </w:rPr>
              <w:fldChar w:fldCharType="end"/>
            </w:r>
            <w:r>
              <w:rPr>
                <w:sz w:val="24"/>
              </w:rPr>
              <w:t>协会（ASHRAE）的A1安全等级类别（这是最高的级别，对人身体无害）。本项目选用高品质且有一定厚度的铝排，采用钨极脉冲氩弧熔焊工艺熔焊铝排，整个铝排产品气密性极佳，不易发生制冷剂泄漏。在使用冷库过程中也会定期安排值班人员检查维修，避免因年久未修使设备老化而引起泄漏事故。</w:t>
            </w:r>
            <w:bookmarkEnd w:id="197"/>
          </w:p>
          <w:p>
            <w:pPr>
              <w:spacing w:before="156" w:beforeLines="50" w:line="360" w:lineRule="auto"/>
              <w:rPr>
                <w:b/>
                <w:bCs/>
                <w:sz w:val="24"/>
              </w:rPr>
            </w:pPr>
            <w:r>
              <w:rPr>
                <w:b/>
                <w:bCs/>
                <w:sz w:val="24"/>
              </w:rPr>
              <w:t>5、生产规模及产品方案</w:t>
            </w:r>
            <w:bookmarkEnd w:id="175"/>
            <w:bookmarkEnd w:id="176"/>
            <w:bookmarkEnd w:id="177"/>
          </w:p>
          <w:p>
            <w:pPr>
              <w:autoSpaceDE w:val="0"/>
              <w:autoSpaceDN w:val="0"/>
              <w:spacing w:before="156" w:beforeLines="50" w:after="156" w:afterLines="50" w:line="360" w:lineRule="auto"/>
              <w:ind w:left="105" w:leftChars="50" w:right="105" w:rightChars="50" w:firstLine="480" w:firstLineChars="200"/>
              <w:outlineLvl w:val="0"/>
              <w:rPr>
                <w:sz w:val="24"/>
              </w:rPr>
            </w:pPr>
            <w:bookmarkStart w:id="198" w:name="_Toc144233321"/>
            <w:r>
              <w:rPr>
                <w:sz w:val="24"/>
              </w:rPr>
              <w:t>项目生产规模及产品方案见表2-7。</w:t>
            </w:r>
            <w:bookmarkEnd w:id="198"/>
            <w:bookmarkStart w:id="199" w:name="_Toc26415_WPSOffice_Level2"/>
          </w:p>
          <w:p>
            <w:pPr>
              <w:autoSpaceDE w:val="0"/>
              <w:autoSpaceDN w:val="0"/>
              <w:spacing w:before="156" w:beforeLines="50" w:after="156" w:afterLines="50" w:line="360" w:lineRule="auto"/>
              <w:ind w:right="105" w:rightChars="50"/>
              <w:jc w:val="center"/>
              <w:outlineLvl w:val="0"/>
              <w:rPr>
                <w:sz w:val="24"/>
              </w:rPr>
            </w:pPr>
            <w:bookmarkStart w:id="200" w:name="_Toc9104"/>
            <w:bookmarkStart w:id="201" w:name="_Toc15085"/>
            <w:bookmarkStart w:id="202" w:name="_Toc13413"/>
            <w:bookmarkStart w:id="203" w:name="_Toc144233322"/>
            <w:r>
              <w:rPr>
                <w:sz w:val="24"/>
              </w:rPr>
              <w:t xml:space="preserve">表2-7 </w:t>
            </w:r>
            <w:bookmarkEnd w:id="199"/>
            <w:r>
              <w:rPr>
                <w:sz w:val="24"/>
              </w:rPr>
              <w:t>项目生产规模及产品方案</w:t>
            </w:r>
            <w:bookmarkEnd w:id="200"/>
            <w:bookmarkEnd w:id="201"/>
            <w:bookmarkEnd w:id="202"/>
            <w:bookmarkEnd w:id="203"/>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3170"/>
              <w:gridCol w:w="1588"/>
              <w:gridCol w:w="2235"/>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2" w:hRule="atLeast"/>
                <w:jc w:val="center"/>
              </w:trPr>
              <w:tc>
                <w:tcPr>
                  <w:tcW w:w="435" w:type="pct"/>
                  <w:vAlign w:val="center"/>
                </w:tcPr>
                <w:p>
                  <w:pPr>
                    <w:jc w:val="center"/>
                    <w:outlineLvl w:val="0"/>
                    <w:rPr>
                      <w:b/>
                      <w:szCs w:val="21"/>
                    </w:rPr>
                  </w:pPr>
                  <w:bookmarkStart w:id="204" w:name="_Toc27129"/>
                  <w:bookmarkStart w:id="205" w:name="_Toc29298"/>
                  <w:bookmarkStart w:id="206" w:name="_Toc144233323"/>
                  <w:bookmarkStart w:id="207" w:name="_Toc8470"/>
                  <w:r>
                    <w:rPr>
                      <w:b/>
                      <w:szCs w:val="21"/>
                    </w:rPr>
                    <w:t>序号</w:t>
                  </w:r>
                  <w:bookmarkEnd w:id="204"/>
                  <w:bookmarkEnd w:id="205"/>
                  <w:bookmarkEnd w:id="206"/>
                  <w:bookmarkEnd w:id="207"/>
                </w:p>
              </w:tc>
              <w:tc>
                <w:tcPr>
                  <w:tcW w:w="1816" w:type="pct"/>
                  <w:vAlign w:val="center"/>
                </w:tcPr>
                <w:p>
                  <w:pPr>
                    <w:spacing w:before="90"/>
                    <w:rPr>
                      <w:b/>
                      <w:szCs w:val="21"/>
                    </w:rPr>
                  </w:pPr>
                  <w:r>
                    <w:rPr>
                      <w:b/>
                      <w:szCs w:val="21"/>
                    </w:rPr>
                    <w:t>工程名称（生产线或生产车间）</w:t>
                  </w:r>
                </w:p>
              </w:tc>
              <w:tc>
                <w:tcPr>
                  <w:tcW w:w="910" w:type="pct"/>
                  <w:vAlign w:val="center"/>
                </w:tcPr>
                <w:p>
                  <w:pPr>
                    <w:spacing w:before="90"/>
                    <w:jc w:val="center"/>
                    <w:rPr>
                      <w:b/>
                      <w:szCs w:val="21"/>
                    </w:rPr>
                  </w:pPr>
                  <w:r>
                    <w:rPr>
                      <w:b/>
                      <w:szCs w:val="21"/>
                    </w:rPr>
                    <w:t>产品名称</w:t>
                  </w:r>
                </w:p>
              </w:tc>
              <w:tc>
                <w:tcPr>
                  <w:tcW w:w="1280" w:type="pct"/>
                  <w:vAlign w:val="center"/>
                </w:tcPr>
                <w:p>
                  <w:pPr>
                    <w:spacing w:before="90"/>
                    <w:rPr>
                      <w:b/>
                      <w:szCs w:val="21"/>
                    </w:rPr>
                  </w:pPr>
                  <w:r>
                    <w:rPr>
                      <w:b/>
                      <w:szCs w:val="21"/>
                    </w:rPr>
                    <w:t>设计能力（单位/年）</w:t>
                  </w:r>
                </w:p>
              </w:tc>
              <w:tc>
                <w:tcPr>
                  <w:tcW w:w="557" w:type="pct"/>
                  <w:vAlign w:val="center"/>
                </w:tcPr>
                <w:p>
                  <w:pPr>
                    <w:spacing w:before="90"/>
                    <w:jc w:val="center"/>
                    <w:rPr>
                      <w:b/>
                      <w:szCs w:val="21"/>
                    </w:rPr>
                  </w:pPr>
                  <w:r>
                    <w:rPr>
                      <w:b/>
                      <w:szCs w:val="21"/>
                    </w:rPr>
                    <w:drawing>
                      <wp:anchor distT="0" distB="0" distL="114300" distR="114300" simplePos="0" relativeHeight="251660288" behindDoc="0" locked="0" layoutInCell="1" allowOverlap="1">
                        <wp:simplePos x="0" y="0"/>
                        <wp:positionH relativeFrom="page">
                          <wp:posOffset>7165340</wp:posOffset>
                        </wp:positionH>
                        <wp:positionV relativeFrom="page">
                          <wp:posOffset>1781810</wp:posOffset>
                        </wp:positionV>
                        <wp:extent cx="6350" cy="252730"/>
                        <wp:effectExtent l="0" t="0" r="12700" b="13970"/>
                        <wp:wrapNone/>
                        <wp:docPr id="3" name="IM 30"/>
                        <wp:cNvGraphicFramePr/>
                        <a:graphic xmlns:a="http://schemas.openxmlformats.org/drawingml/2006/main">
                          <a:graphicData uri="http://schemas.openxmlformats.org/drawingml/2006/picture">
                            <pic:pic xmlns:pic="http://schemas.openxmlformats.org/drawingml/2006/picture">
                              <pic:nvPicPr>
                                <pic:cNvPr id="3" name="IM 30"/>
                                <pic:cNvPicPr/>
                              </pic:nvPicPr>
                              <pic:blipFill>
                                <a:blip r:embed="rId5"/>
                                <a:stretch>
                                  <a:fillRect/>
                                </a:stretch>
                              </pic:blipFill>
                              <pic:spPr>
                                <a:xfrm>
                                  <a:off x="0" y="0"/>
                                  <a:ext cx="6350" cy="252730"/>
                                </a:xfrm>
                                <a:prstGeom prst="rect">
                                  <a:avLst/>
                                </a:prstGeom>
                                <a:noFill/>
                                <a:ln>
                                  <a:noFill/>
                                </a:ln>
                              </pic:spPr>
                            </pic:pic>
                          </a:graphicData>
                        </a:graphic>
                      </wp:anchor>
                    </w:drawing>
                  </w:r>
                  <w:r>
                    <w:rPr>
                      <w:b/>
                      <w:szCs w:val="21"/>
                    </w:rPr>
                    <w:t>年运行时数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jc w:val="center"/>
              </w:trPr>
              <w:tc>
                <w:tcPr>
                  <w:tcW w:w="435" w:type="pct"/>
                  <w:vAlign w:val="center"/>
                </w:tcPr>
                <w:p>
                  <w:pPr>
                    <w:jc w:val="center"/>
                    <w:outlineLvl w:val="0"/>
                    <w:rPr>
                      <w:szCs w:val="21"/>
                    </w:rPr>
                  </w:pPr>
                  <w:bookmarkStart w:id="208" w:name="_Toc144233324"/>
                  <w:bookmarkStart w:id="209" w:name="_Toc28253"/>
                  <w:bookmarkStart w:id="210" w:name="_Toc8439"/>
                  <w:bookmarkStart w:id="211" w:name="_Toc30370"/>
                  <w:r>
                    <w:rPr>
                      <w:szCs w:val="21"/>
                    </w:rPr>
                    <w:t>1</w:t>
                  </w:r>
                  <w:bookmarkEnd w:id="208"/>
                  <w:bookmarkEnd w:id="209"/>
                  <w:bookmarkEnd w:id="210"/>
                  <w:bookmarkEnd w:id="211"/>
                </w:p>
              </w:tc>
              <w:tc>
                <w:tcPr>
                  <w:tcW w:w="1816" w:type="pct"/>
                  <w:vAlign w:val="center"/>
                </w:tcPr>
                <w:p>
                  <w:pPr>
                    <w:spacing w:before="93"/>
                    <w:jc w:val="center"/>
                    <w:rPr>
                      <w:szCs w:val="21"/>
                    </w:rPr>
                  </w:pPr>
                  <w:r>
                    <w:rPr>
                      <w:szCs w:val="21"/>
                    </w:rPr>
                    <w:t>玫瑰花种植</w:t>
                  </w:r>
                </w:p>
              </w:tc>
              <w:tc>
                <w:tcPr>
                  <w:tcW w:w="910" w:type="pct"/>
                  <w:vAlign w:val="center"/>
                </w:tcPr>
                <w:p>
                  <w:pPr>
                    <w:spacing w:before="93"/>
                    <w:jc w:val="center"/>
                    <w:rPr>
                      <w:szCs w:val="21"/>
                    </w:rPr>
                  </w:pPr>
                  <w:r>
                    <w:rPr>
                      <w:szCs w:val="21"/>
                    </w:rPr>
                    <w:t>玫瑰</w:t>
                  </w:r>
                </w:p>
              </w:tc>
              <w:tc>
                <w:tcPr>
                  <w:tcW w:w="1280" w:type="pct"/>
                  <w:vAlign w:val="center"/>
                </w:tcPr>
                <w:p>
                  <w:pPr>
                    <w:spacing w:before="93"/>
                    <w:jc w:val="center"/>
                    <w:rPr>
                      <w:szCs w:val="21"/>
                    </w:rPr>
                  </w:pPr>
                  <w:r>
                    <w:rPr>
                      <w:szCs w:val="21"/>
                    </w:rPr>
                    <w:t>892吨</w:t>
                  </w:r>
                </w:p>
              </w:tc>
              <w:tc>
                <w:tcPr>
                  <w:tcW w:w="557" w:type="pct"/>
                  <w:vAlign w:val="center"/>
                </w:tcPr>
                <w:p>
                  <w:pPr>
                    <w:spacing w:before="93"/>
                    <w:jc w:val="center"/>
                    <w:rPr>
                      <w:szCs w:val="21"/>
                    </w:rPr>
                  </w:pPr>
                  <w:r>
                    <w:rPr>
                      <w:szCs w:val="21"/>
                    </w:rPr>
                    <w:t>365d</w:t>
                  </w:r>
                </w:p>
              </w:tc>
            </w:tr>
          </w:tbl>
          <w:p>
            <w:pPr>
              <w:spacing w:before="156" w:beforeLines="50" w:line="360" w:lineRule="auto"/>
              <w:rPr>
                <w:b/>
                <w:bCs/>
                <w:sz w:val="24"/>
              </w:rPr>
            </w:pPr>
            <w:r>
              <w:rPr>
                <w:b/>
                <w:bCs/>
                <w:sz w:val="24"/>
              </w:rPr>
              <w:t>6、项目平面布置</w:t>
            </w:r>
          </w:p>
          <w:p>
            <w:pPr>
              <w:autoSpaceDE w:val="0"/>
              <w:autoSpaceDN w:val="0"/>
              <w:spacing w:before="156" w:beforeLines="50" w:after="156" w:afterLines="50" w:line="360" w:lineRule="auto"/>
              <w:ind w:left="105" w:leftChars="50" w:right="105" w:rightChars="50" w:firstLine="480" w:firstLineChars="200"/>
              <w:outlineLvl w:val="0"/>
              <w:rPr>
                <w:sz w:val="24"/>
              </w:rPr>
            </w:pPr>
            <w:bookmarkStart w:id="212" w:name="_Toc144233325"/>
            <w:r>
              <w:rPr>
                <w:sz w:val="24"/>
              </w:rPr>
              <w:t>项目平面布置满足各项功能要求，布局合理。厂区内主要设置有1#温室大棚、2#温室大棚、3#温室大棚、加工车间、办公室、锅炉等，温室大棚位于项目区东部，办公室位于项目区西侧，化粪池位于项目西侧卫生间旁，污水处理站位于项目化粪池旁，初期雨水池位于项目东南侧，东北侧设置了储水罐，肥料储存罐以及锅炉，锅炉房下风向无居民区，生物质锅炉烟气通过“湿式脱硫+布袋除尘”处理后，通过40m高的排气筒排放。食堂灶房安装一台油烟净化器，对周围环境影响较小，平面布置合理。项目平面布置见附图1。</w:t>
            </w:r>
            <w:bookmarkEnd w:id="212"/>
          </w:p>
          <w:p>
            <w:pPr>
              <w:spacing w:before="156" w:beforeLines="50" w:line="360" w:lineRule="auto"/>
              <w:rPr>
                <w:b/>
                <w:bCs/>
                <w:sz w:val="24"/>
              </w:rPr>
            </w:pPr>
            <w:r>
              <w:rPr>
                <w:b/>
                <w:bCs/>
                <w:sz w:val="24"/>
              </w:rPr>
              <w:t>7、劳动定员及生产制度</w:t>
            </w:r>
          </w:p>
          <w:p>
            <w:pPr>
              <w:autoSpaceDE w:val="0"/>
              <w:autoSpaceDN w:val="0"/>
              <w:spacing w:before="156" w:beforeLines="50" w:after="156" w:afterLines="50" w:line="360" w:lineRule="auto"/>
              <w:ind w:left="105" w:leftChars="50" w:right="105" w:rightChars="50" w:firstLine="480" w:firstLineChars="200"/>
              <w:outlineLvl w:val="0"/>
              <w:rPr>
                <w:sz w:val="24"/>
              </w:rPr>
            </w:pPr>
            <w:bookmarkStart w:id="213" w:name="_Toc144233326"/>
            <w:r>
              <w:rPr>
                <w:sz w:val="24"/>
              </w:rPr>
              <w:t>本项目劳动定员28人，全年生产运行365天，每天实行1班制，每班工作8小时。</w:t>
            </w:r>
            <w:bookmarkEnd w:id="213"/>
          </w:p>
          <w:p>
            <w:pPr>
              <w:spacing w:before="156" w:beforeLines="50" w:line="360" w:lineRule="auto"/>
              <w:rPr>
                <w:b/>
                <w:bCs/>
                <w:sz w:val="24"/>
              </w:rPr>
            </w:pPr>
            <w:r>
              <w:rPr>
                <w:b/>
                <w:bCs/>
                <w:sz w:val="24"/>
              </w:rPr>
              <w:t>8、环保投资</w:t>
            </w:r>
          </w:p>
          <w:p>
            <w:pPr>
              <w:autoSpaceDE w:val="0"/>
              <w:autoSpaceDN w:val="0"/>
              <w:spacing w:before="156" w:beforeLines="50" w:after="156" w:afterLines="50" w:line="360" w:lineRule="auto"/>
              <w:ind w:left="105" w:leftChars="50" w:right="105" w:rightChars="50" w:firstLine="480" w:firstLineChars="200"/>
              <w:outlineLvl w:val="0"/>
              <w:rPr>
                <w:sz w:val="24"/>
              </w:rPr>
            </w:pPr>
            <w:bookmarkStart w:id="214" w:name="_Toc144233327"/>
            <w:r>
              <w:rPr>
                <w:sz w:val="24"/>
              </w:rPr>
              <w:t>本项目总投资400万元，其中环保投资为49.35万元，占项目总投资的12.3%，环保投资主要包括污水处理设施、废气治理设施、噪声防治设施、垃圾收集设施等。项目环保投资见表2-8。</w:t>
            </w:r>
            <w:bookmarkEnd w:id="214"/>
            <w:bookmarkStart w:id="215" w:name="_Toc30816"/>
            <w:bookmarkStart w:id="216" w:name="_Toc13465"/>
            <w:bookmarkStart w:id="217" w:name="_Toc30356"/>
          </w:p>
          <w:p>
            <w:pPr>
              <w:autoSpaceDE w:val="0"/>
              <w:autoSpaceDN w:val="0"/>
              <w:spacing w:before="156" w:beforeLines="50" w:after="156" w:afterLines="50" w:line="360" w:lineRule="auto"/>
              <w:ind w:right="105" w:rightChars="50"/>
              <w:jc w:val="center"/>
              <w:outlineLvl w:val="0"/>
              <w:rPr>
                <w:b/>
                <w:sz w:val="24"/>
              </w:rPr>
            </w:pPr>
            <w:bookmarkStart w:id="218" w:name="_Toc144233328"/>
            <w:r>
              <w:rPr>
                <w:b/>
                <w:sz w:val="24"/>
              </w:rPr>
              <w:t>表2-8  项目环保投资一览表（单位：万元）</w:t>
            </w:r>
            <w:bookmarkEnd w:id="215"/>
            <w:bookmarkEnd w:id="216"/>
            <w:bookmarkEnd w:id="217"/>
            <w:bookmarkEnd w:id="218"/>
          </w:p>
          <w:tbl>
            <w:tblPr>
              <w:tblStyle w:val="2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310"/>
              <w:gridCol w:w="2654"/>
              <w:gridCol w:w="1931"/>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4" w:type="pct"/>
                  <w:vAlign w:val="center"/>
                </w:tcPr>
                <w:p>
                  <w:pPr>
                    <w:wordWrap w:val="0"/>
                    <w:adjustRightInd w:val="0"/>
                    <w:snapToGrid w:val="0"/>
                    <w:ind w:right="120"/>
                    <w:jc w:val="center"/>
                    <w:rPr>
                      <w:rFonts w:eastAsiaTheme="minorEastAsia"/>
                      <w:b/>
                      <w:szCs w:val="21"/>
                    </w:rPr>
                  </w:pPr>
                  <w:r>
                    <w:rPr>
                      <w:rFonts w:eastAsiaTheme="minorEastAsia"/>
                      <w:b/>
                      <w:szCs w:val="21"/>
                    </w:rPr>
                    <w:t>阶段</w:t>
                  </w:r>
                </w:p>
              </w:tc>
              <w:tc>
                <w:tcPr>
                  <w:tcW w:w="751" w:type="pct"/>
                  <w:vAlign w:val="center"/>
                </w:tcPr>
                <w:p>
                  <w:pPr>
                    <w:wordWrap w:val="0"/>
                    <w:adjustRightInd w:val="0"/>
                    <w:snapToGrid w:val="0"/>
                    <w:ind w:left="120" w:right="120"/>
                    <w:jc w:val="center"/>
                    <w:rPr>
                      <w:rFonts w:eastAsiaTheme="minorEastAsia"/>
                      <w:b/>
                      <w:szCs w:val="21"/>
                    </w:rPr>
                  </w:pPr>
                  <w:r>
                    <w:rPr>
                      <w:rFonts w:eastAsiaTheme="minorEastAsia"/>
                      <w:b/>
                      <w:szCs w:val="21"/>
                    </w:rPr>
                    <w:t>污染源</w:t>
                  </w:r>
                </w:p>
              </w:tc>
              <w:tc>
                <w:tcPr>
                  <w:tcW w:w="1522" w:type="pct"/>
                  <w:vAlign w:val="center"/>
                </w:tcPr>
                <w:p>
                  <w:pPr>
                    <w:wordWrap w:val="0"/>
                    <w:adjustRightInd w:val="0"/>
                    <w:snapToGrid w:val="0"/>
                    <w:ind w:left="120" w:right="120"/>
                    <w:jc w:val="center"/>
                    <w:rPr>
                      <w:rFonts w:eastAsiaTheme="minorEastAsia"/>
                      <w:b/>
                      <w:szCs w:val="21"/>
                    </w:rPr>
                  </w:pPr>
                  <w:r>
                    <w:rPr>
                      <w:rFonts w:eastAsiaTheme="minorEastAsia"/>
                      <w:b/>
                      <w:szCs w:val="21"/>
                    </w:rPr>
                    <w:t>环保设施</w:t>
                  </w:r>
                </w:p>
              </w:tc>
              <w:tc>
                <w:tcPr>
                  <w:tcW w:w="1107" w:type="pct"/>
                  <w:vAlign w:val="center"/>
                </w:tcPr>
                <w:p>
                  <w:pPr>
                    <w:wordWrap w:val="0"/>
                    <w:adjustRightInd w:val="0"/>
                    <w:snapToGrid w:val="0"/>
                    <w:ind w:left="120" w:right="120"/>
                    <w:jc w:val="center"/>
                    <w:rPr>
                      <w:rFonts w:eastAsiaTheme="minorEastAsia"/>
                      <w:b/>
                      <w:szCs w:val="21"/>
                    </w:rPr>
                  </w:pPr>
                  <w:r>
                    <w:rPr>
                      <w:rFonts w:eastAsiaTheme="minorEastAsia"/>
                      <w:b/>
                      <w:szCs w:val="21"/>
                    </w:rPr>
                    <w:t>规模</w:t>
                  </w:r>
                </w:p>
              </w:tc>
              <w:tc>
                <w:tcPr>
                  <w:tcW w:w="1106" w:type="pct"/>
                  <w:vAlign w:val="center"/>
                </w:tcPr>
                <w:p>
                  <w:pPr>
                    <w:wordWrap w:val="0"/>
                    <w:adjustRightInd w:val="0"/>
                    <w:snapToGrid w:val="0"/>
                    <w:ind w:left="120" w:right="120"/>
                    <w:jc w:val="center"/>
                    <w:rPr>
                      <w:rFonts w:eastAsiaTheme="minorEastAsia"/>
                      <w:b/>
                      <w:szCs w:val="21"/>
                    </w:rPr>
                  </w:pPr>
                  <w:r>
                    <w:rPr>
                      <w:rFonts w:eastAsiaTheme="minorEastAsia"/>
                      <w:b/>
                      <w:szCs w:val="21"/>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514" w:type="pct"/>
                  <w:vMerge w:val="restart"/>
                  <w:vAlign w:val="center"/>
                </w:tcPr>
                <w:p>
                  <w:pPr>
                    <w:wordWrap w:val="0"/>
                    <w:adjustRightInd w:val="0"/>
                    <w:snapToGrid w:val="0"/>
                    <w:ind w:left="120" w:right="120"/>
                    <w:jc w:val="center"/>
                    <w:rPr>
                      <w:rFonts w:eastAsiaTheme="minorEastAsia"/>
                      <w:szCs w:val="21"/>
                    </w:rPr>
                  </w:pPr>
                  <w:r>
                    <w:rPr>
                      <w:rFonts w:eastAsiaTheme="minorEastAsia"/>
                      <w:szCs w:val="21"/>
                    </w:rPr>
                    <w:t>运营期</w:t>
                  </w:r>
                </w:p>
              </w:tc>
              <w:tc>
                <w:tcPr>
                  <w:tcW w:w="751" w:type="pct"/>
                  <w:vMerge w:val="restart"/>
                  <w:vAlign w:val="center"/>
                </w:tcPr>
                <w:p>
                  <w:pPr>
                    <w:wordWrap w:val="0"/>
                    <w:adjustRightInd w:val="0"/>
                    <w:snapToGrid w:val="0"/>
                    <w:ind w:left="120" w:right="120"/>
                    <w:jc w:val="center"/>
                    <w:rPr>
                      <w:rFonts w:eastAsiaTheme="minorEastAsia"/>
                      <w:szCs w:val="21"/>
                    </w:rPr>
                  </w:pPr>
                  <w:r>
                    <w:rPr>
                      <w:rFonts w:eastAsiaTheme="minorEastAsia"/>
                      <w:szCs w:val="21"/>
                    </w:rPr>
                    <w:t>废水</w:t>
                  </w:r>
                </w:p>
              </w:tc>
              <w:tc>
                <w:tcPr>
                  <w:tcW w:w="1522" w:type="pct"/>
                  <w:vAlign w:val="center"/>
                </w:tcPr>
                <w:p>
                  <w:pPr>
                    <w:wordWrap w:val="0"/>
                    <w:ind w:left="120" w:right="120"/>
                    <w:jc w:val="center"/>
                    <w:rPr>
                      <w:rFonts w:eastAsiaTheme="minorEastAsia"/>
                      <w:szCs w:val="21"/>
                    </w:rPr>
                  </w:pPr>
                  <w:r>
                    <w:rPr>
                      <w:rFonts w:eastAsiaTheme="minorEastAsia"/>
                      <w:szCs w:val="21"/>
                    </w:rPr>
                    <w:t>污水处理站</w:t>
                  </w:r>
                </w:p>
              </w:tc>
              <w:tc>
                <w:tcPr>
                  <w:tcW w:w="1107" w:type="pct"/>
                  <w:vAlign w:val="center"/>
                </w:tcPr>
                <w:p>
                  <w:pPr>
                    <w:wordWrap w:val="0"/>
                    <w:ind w:left="120" w:right="120"/>
                    <w:jc w:val="center"/>
                    <w:rPr>
                      <w:rFonts w:eastAsiaTheme="minorEastAsia"/>
                      <w:szCs w:val="21"/>
                    </w:rPr>
                  </w:pPr>
                  <w:r>
                    <w:rPr>
                      <w:rFonts w:eastAsiaTheme="minorEastAsia"/>
                      <w:szCs w:val="21"/>
                    </w:rPr>
                    <w:t>5m</w:t>
                  </w:r>
                  <w:r>
                    <w:rPr>
                      <w:rFonts w:eastAsiaTheme="minorEastAsia"/>
                      <w:szCs w:val="21"/>
                      <w:vertAlign w:val="superscript"/>
                    </w:rPr>
                    <w:t>3</w:t>
                  </w:r>
                </w:p>
              </w:tc>
              <w:tc>
                <w:tcPr>
                  <w:tcW w:w="1106" w:type="pct"/>
                  <w:vAlign w:val="center"/>
                </w:tcPr>
                <w:p>
                  <w:pPr>
                    <w:wordWrap w:val="0"/>
                    <w:ind w:left="120" w:right="120"/>
                    <w:jc w:val="center"/>
                    <w:rPr>
                      <w:rFonts w:eastAsiaTheme="minorEastAsia"/>
                      <w:szCs w:val="21"/>
                    </w:rPr>
                  </w:pPr>
                  <w:r>
                    <w:rPr>
                      <w:rFonts w:eastAsia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 w:type="pct"/>
                  <w:vMerge w:val="continue"/>
                  <w:vAlign w:val="center"/>
                </w:tcPr>
                <w:p>
                  <w:pPr>
                    <w:wordWrap w:val="0"/>
                    <w:adjustRightInd w:val="0"/>
                    <w:snapToGrid w:val="0"/>
                    <w:ind w:left="120" w:right="120"/>
                    <w:jc w:val="center"/>
                    <w:rPr>
                      <w:rFonts w:eastAsiaTheme="minorEastAsia"/>
                      <w:szCs w:val="21"/>
                    </w:rPr>
                  </w:pPr>
                </w:p>
              </w:tc>
              <w:tc>
                <w:tcPr>
                  <w:tcW w:w="751" w:type="pct"/>
                  <w:vMerge w:val="continue"/>
                  <w:vAlign w:val="center"/>
                </w:tcPr>
                <w:p>
                  <w:pPr>
                    <w:wordWrap w:val="0"/>
                    <w:adjustRightInd w:val="0"/>
                    <w:snapToGrid w:val="0"/>
                    <w:ind w:left="120" w:right="120"/>
                    <w:jc w:val="center"/>
                    <w:rPr>
                      <w:rFonts w:eastAsiaTheme="minorEastAsia"/>
                      <w:szCs w:val="21"/>
                    </w:rPr>
                  </w:pPr>
                </w:p>
              </w:tc>
              <w:tc>
                <w:tcPr>
                  <w:tcW w:w="1522" w:type="pct"/>
                  <w:vAlign w:val="center"/>
                </w:tcPr>
                <w:p>
                  <w:pPr>
                    <w:wordWrap w:val="0"/>
                    <w:ind w:left="120" w:right="120"/>
                    <w:jc w:val="center"/>
                    <w:rPr>
                      <w:rFonts w:eastAsiaTheme="minorEastAsia"/>
                      <w:szCs w:val="21"/>
                    </w:rPr>
                  </w:pPr>
                  <w:r>
                    <w:rPr>
                      <w:rFonts w:eastAsiaTheme="minorEastAsia"/>
                      <w:szCs w:val="21"/>
                    </w:rPr>
                    <w:t>沉淀池（施工期）</w:t>
                  </w:r>
                </w:p>
              </w:tc>
              <w:tc>
                <w:tcPr>
                  <w:tcW w:w="1107" w:type="pct"/>
                  <w:vAlign w:val="center"/>
                </w:tcPr>
                <w:p>
                  <w:pPr>
                    <w:wordWrap w:val="0"/>
                    <w:ind w:left="120" w:right="120"/>
                    <w:jc w:val="center"/>
                    <w:rPr>
                      <w:rFonts w:eastAsiaTheme="minorEastAsia"/>
                      <w:szCs w:val="21"/>
                    </w:rPr>
                  </w:pPr>
                  <w:r>
                    <w:rPr>
                      <w:rFonts w:eastAsiaTheme="minorEastAsia"/>
                      <w:szCs w:val="21"/>
                    </w:rPr>
                    <w:t>4m</w:t>
                  </w:r>
                  <w:r>
                    <w:rPr>
                      <w:rFonts w:eastAsiaTheme="minorEastAsia"/>
                      <w:szCs w:val="21"/>
                      <w:vertAlign w:val="superscript"/>
                    </w:rPr>
                    <w:t>3</w:t>
                  </w:r>
                </w:p>
              </w:tc>
              <w:tc>
                <w:tcPr>
                  <w:tcW w:w="1106" w:type="pct"/>
                  <w:vAlign w:val="center"/>
                </w:tcPr>
                <w:p>
                  <w:pPr>
                    <w:wordWrap w:val="0"/>
                    <w:ind w:left="120" w:right="120"/>
                    <w:jc w:val="center"/>
                    <w:rPr>
                      <w:rFonts w:eastAsiaTheme="minorEastAsia"/>
                      <w:szCs w:val="21"/>
                    </w:rPr>
                  </w:pPr>
                  <w:r>
                    <w:rPr>
                      <w:rFonts w:eastAsiaTheme="minorEastAsia"/>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 w:type="pct"/>
                  <w:vMerge w:val="continue"/>
                  <w:vAlign w:val="center"/>
                </w:tcPr>
                <w:p>
                  <w:pPr>
                    <w:wordWrap w:val="0"/>
                    <w:adjustRightInd w:val="0"/>
                    <w:snapToGrid w:val="0"/>
                    <w:ind w:left="120" w:right="120"/>
                    <w:jc w:val="center"/>
                    <w:rPr>
                      <w:rFonts w:eastAsiaTheme="minorEastAsia"/>
                      <w:szCs w:val="21"/>
                    </w:rPr>
                  </w:pPr>
                </w:p>
              </w:tc>
              <w:tc>
                <w:tcPr>
                  <w:tcW w:w="751" w:type="pct"/>
                  <w:vMerge w:val="continue"/>
                  <w:vAlign w:val="center"/>
                </w:tcPr>
                <w:p>
                  <w:pPr>
                    <w:wordWrap w:val="0"/>
                    <w:adjustRightInd w:val="0"/>
                    <w:snapToGrid w:val="0"/>
                    <w:ind w:left="120" w:right="120"/>
                    <w:jc w:val="center"/>
                    <w:rPr>
                      <w:rFonts w:eastAsiaTheme="minorEastAsia"/>
                      <w:szCs w:val="21"/>
                    </w:rPr>
                  </w:pPr>
                </w:p>
              </w:tc>
              <w:tc>
                <w:tcPr>
                  <w:tcW w:w="1522" w:type="pct"/>
                  <w:vAlign w:val="center"/>
                </w:tcPr>
                <w:p>
                  <w:pPr>
                    <w:wordWrap w:val="0"/>
                    <w:ind w:left="120" w:right="120"/>
                    <w:jc w:val="center"/>
                    <w:rPr>
                      <w:rFonts w:eastAsiaTheme="minorEastAsia"/>
                      <w:szCs w:val="21"/>
                    </w:rPr>
                  </w:pPr>
                  <w:r>
                    <w:rPr>
                      <w:rFonts w:eastAsiaTheme="minorEastAsia"/>
                      <w:szCs w:val="21"/>
                    </w:rPr>
                    <w:t>沉淀池（运营期）</w:t>
                  </w:r>
                </w:p>
              </w:tc>
              <w:tc>
                <w:tcPr>
                  <w:tcW w:w="1107" w:type="pct"/>
                  <w:vAlign w:val="center"/>
                </w:tcPr>
                <w:p>
                  <w:pPr>
                    <w:wordWrap w:val="0"/>
                    <w:ind w:left="120" w:right="120"/>
                    <w:jc w:val="center"/>
                    <w:rPr>
                      <w:rFonts w:eastAsiaTheme="minorEastAsia"/>
                      <w:szCs w:val="21"/>
                    </w:rPr>
                  </w:pPr>
                  <w:r>
                    <w:rPr>
                      <w:rFonts w:eastAsiaTheme="minorEastAsia"/>
                      <w:szCs w:val="21"/>
                    </w:rPr>
                    <w:t>6m</w:t>
                  </w:r>
                  <w:r>
                    <w:rPr>
                      <w:rFonts w:eastAsiaTheme="minorEastAsia"/>
                      <w:szCs w:val="21"/>
                      <w:vertAlign w:val="superscript"/>
                    </w:rPr>
                    <w:t>3</w:t>
                  </w:r>
                </w:p>
              </w:tc>
              <w:tc>
                <w:tcPr>
                  <w:tcW w:w="1106" w:type="pct"/>
                  <w:vAlign w:val="center"/>
                </w:tcPr>
                <w:p>
                  <w:pPr>
                    <w:wordWrap w:val="0"/>
                    <w:ind w:left="120" w:right="120"/>
                    <w:jc w:val="center"/>
                    <w:rPr>
                      <w:rFonts w:eastAsiaTheme="minorEastAsia"/>
                      <w:szCs w:val="21"/>
                    </w:rPr>
                  </w:pPr>
                  <w:r>
                    <w:rPr>
                      <w:rFonts w:eastAsiaTheme="minorEastAsia"/>
                      <w:szCs w:val="21"/>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 w:type="pct"/>
                  <w:vMerge w:val="continue"/>
                  <w:vAlign w:val="center"/>
                </w:tcPr>
                <w:p>
                  <w:pPr>
                    <w:wordWrap w:val="0"/>
                    <w:adjustRightInd w:val="0"/>
                    <w:snapToGrid w:val="0"/>
                    <w:ind w:left="120" w:right="120"/>
                    <w:jc w:val="center"/>
                    <w:rPr>
                      <w:rFonts w:eastAsiaTheme="minorEastAsia"/>
                      <w:szCs w:val="21"/>
                    </w:rPr>
                  </w:pPr>
                </w:p>
              </w:tc>
              <w:tc>
                <w:tcPr>
                  <w:tcW w:w="751" w:type="pct"/>
                  <w:vMerge w:val="continue"/>
                  <w:vAlign w:val="center"/>
                </w:tcPr>
                <w:p>
                  <w:pPr>
                    <w:wordWrap w:val="0"/>
                    <w:adjustRightInd w:val="0"/>
                    <w:snapToGrid w:val="0"/>
                    <w:ind w:left="120" w:right="120"/>
                    <w:jc w:val="center"/>
                    <w:rPr>
                      <w:rFonts w:eastAsiaTheme="minorEastAsia"/>
                      <w:szCs w:val="21"/>
                    </w:rPr>
                  </w:pPr>
                </w:p>
              </w:tc>
              <w:tc>
                <w:tcPr>
                  <w:tcW w:w="1522" w:type="pct"/>
                  <w:vAlign w:val="center"/>
                </w:tcPr>
                <w:p>
                  <w:pPr>
                    <w:wordWrap w:val="0"/>
                    <w:ind w:left="120" w:right="120"/>
                    <w:jc w:val="center"/>
                    <w:rPr>
                      <w:rFonts w:eastAsiaTheme="minorEastAsia"/>
                      <w:szCs w:val="21"/>
                    </w:rPr>
                  </w:pPr>
                  <w:r>
                    <w:rPr>
                      <w:rFonts w:eastAsiaTheme="minorEastAsia"/>
                      <w:szCs w:val="21"/>
                    </w:rPr>
                    <w:t>初期雨水沉淀池</w:t>
                  </w:r>
                </w:p>
              </w:tc>
              <w:tc>
                <w:tcPr>
                  <w:tcW w:w="1107" w:type="pct"/>
                  <w:vAlign w:val="center"/>
                </w:tcPr>
                <w:p>
                  <w:pPr>
                    <w:wordWrap w:val="0"/>
                    <w:ind w:left="120" w:right="120"/>
                    <w:jc w:val="center"/>
                    <w:rPr>
                      <w:rFonts w:eastAsiaTheme="minorEastAsia"/>
                      <w:szCs w:val="21"/>
                    </w:rPr>
                  </w:pPr>
                  <w:r>
                    <w:rPr>
                      <w:rFonts w:eastAsiaTheme="minorEastAsia"/>
                      <w:szCs w:val="21"/>
                    </w:rPr>
                    <w:t>760m</w:t>
                  </w:r>
                  <w:r>
                    <w:rPr>
                      <w:rFonts w:eastAsiaTheme="minorEastAsia"/>
                      <w:szCs w:val="21"/>
                      <w:vertAlign w:val="superscript"/>
                    </w:rPr>
                    <w:t>3</w:t>
                  </w:r>
                </w:p>
              </w:tc>
              <w:tc>
                <w:tcPr>
                  <w:tcW w:w="1106" w:type="pct"/>
                  <w:vAlign w:val="center"/>
                </w:tcPr>
                <w:p>
                  <w:pPr>
                    <w:wordWrap w:val="0"/>
                    <w:ind w:left="120" w:right="120"/>
                    <w:jc w:val="center"/>
                    <w:rPr>
                      <w:rFonts w:eastAsiaTheme="minorEastAsia"/>
                      <w:szCs w:val="21"/>
                    </w:rPr>
                  </w:pPr>
                  <w:r>
                    <w:rPr>
                      <w:rFonts w:eastAsiaTheme="minorEastAsia"/>
                      <w:szCs w:val="21"/>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 w:type="pct"/>
                  <w:vMerge w:val="continue"/>
                  <w:vAlign w:val="center"/>
                </w:tcPr>
                <w:p>
                  <w:pPr>
                    <w:wordWrap w:val="0"/>
                    <w:adjustRightInd w:val="0"/>
                    <w:snapToGrid w:val="0"/>
                    <w:ind w:left="120" w:right="120"/>
                    <w:jc w:val="center"/>
                    <w:rPr>
                      <w:rFonts w:eastAsiaTheme="minorEastAsia"/>
                      <w:szCs w:val="21"/>
                    </w:rPr>
                  </w:pPr>
                </w:p>
              </w:tc>
              <w:tc>
                <w:tcPr>
                  <w:tcW w:w="751" w:type="pct"/>
                  <w:vMerge w:val="continue"/>
                  <w:vAlign w:val="center"/>
                </w:tcPr>
                <w:p>
                  <w:pPr>
                    <w:wordWrap w:val="0"/>
                    <w:adjustRightInd w:val="0"/>
                    <w:snapToGrid w:val="0"/>
                    <w:ind w:left="120" w:right="120"/>
                    <w:jc w:val="center"/>
                    <w:rPr>
                      <w:rFonts w:eastAsiaTheme="minorEastAsia"/>
                      <w:szCs w:val="21"/>
                    </w:rPr>
                  </w:pPr>
                </w:p>
              </w:tc>
              <w:tc>
                <w:tcPr>
                  <w:tcW w:w="1522" w:type="pct"/>
                  <w:vAlign w:val="center"/>
                </w:tcPr>
                <w:p>
                  <w:pPr>
                    <w:wordWrap w:val="0"/>
                    <w:ind w:left="120" w:right="120"/>
                    <w:jc w:val="center"/>
                    <w:rPr>
                      <w:rFonts w:eastAsiaTheme="minorEastAsia"/>
                      <w:szCs w:val="21"/>
                    </w:rPr>
                  </w:pPr>
                  <w:r>
                    <w:rPr>
                      <w:rFonts w:eastAsiaTheme="minorEastAsia"/>
                      <w:szCs w:val="21"/>
                    </w:rPr>
                    <w:t>隔油池</w:t>
                  </w:r>
                </w:p>
              </w:tc>
              <w:tc>
                <w:tcPr>
                  <w:tcW w:w="1107" w:type="pct"/>
                  <w:vAlign w:val="center"/>
                </w:tcPr>
                <w:p>
                  <w:pPr>
                    <w:wordWrap w:val="0"/>
                    <w:ind w:left="120" w:right="120"/>
                    <w:jc w:val="center"/>
                    <w:rPr>
                      <w:rFonts w:eastAsiaTheme="minorEastAsia"/>
                      <w:szCs w:val="21"/>
                    </w:rPr>
                  </w:pPr>
                  <w:r>
                    <w:rPr>
                      <w:rFonts w:eastAsiaTheme="minorEastAsia"/>
                      <w:szCs w:val="21"/>
                    </w:rPr>
                    <w:t>1.5m</w:t>
                  </w:r>
                  <w:r>
                    <w:rPr>
                      <w:rFonts w:eastAsiaTheme="minorEastAsia"/>
                      <w:szCs w:val="21"/>
                      <w:vertAlign w:val="superscript"/>
                    </w:rPr>
                    <w:t>3</w:t>
                  </w:r>
                </w:p>
              </w:tc>
              <w:tc>
                <w:tcPr>
                  <w:tcW w:w="1106" w:type="pct"/>
                  <w:vAlign w:val="center"/>
                </w:tcPr>
                <w:p>
                  <w:pPr>
                    <w:wordWrap w:val="0"/>
                    <w:ind w:left="120" w:right="120"/>
                    <w:jc w:val="center"/>
                    <w:rPr>
                      <w:rFonts w:eastAsiaTheme="minorEastAsia"/>
                      <w:szCs w:val="21"/>
                    </w:rPr>
                  </w:pPr>
                  <w:r>
                    <w:rPr>
                      <w:rFonts w:eastAsia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14" w:type="pct"/>
                  <w:vMerge w:val="continue"/>
                  <w:vAlign w:val="center"/>
                </w:tcPr>
                <w:p>
                  <w:pPr>
                    <w:wordWrap w:val="0"/>
                    <w:adjustRightInd w:val="0"/>
                    <w:snapToGrid w:val="0"/>
                    <w:ind w:left="120" w:right="120"/>
                    <w:jc w:val="center"/>
                    <w:rPr>
                      <w:rFonts w:eastAsiaTheme="minorEastAsia"/>
                      <w:szCs w:val="21"/>
                    </w:rPr>
                  </w:pPr>
                </w:p>
              </w:tc>
              <w:tc>
                <w:tcPr>
                  <w:tcW w:w="751" w:type="pct"/>
                  <w:vMerge w:val="continue"/>
                  <w:vAlign w:val="center"/>
                </w:tcPr>
                <w:p>
                  <w:pPr>
                    <w:wordWrap w:val="0"/>
                    <w:adjustRightInd w:val="0"/>
                    <w:snapToGrid w:val="0"/>
                    <w:ind w:left="120" w:right="120"/>
                    <w:jc w:val="center"/>
                    <w:rPr>
                      <w:rFonts w:eastAsiaTheme="minorEastAsia"/>
                      <w:szCs w:val="21"/>
                    </w:rPr>
                  </w:pPr>
                </w:p>
              </w:tc>
              <w:tc>
                <w:tcPr>
                  <w:tcW w:w="1522" w:type="pct"/>
                  <w:vAlign w:val="center"/>
                </w:tcPr>
                <w:p>
                  <w:pPr>
                    <w:wordWrap w:val="0"/>
                    <w:ind w:left="120" w:right="120"/>
                    <w:jc w:val="center"/>
                    <w:rPr>
                      <w:rFonts w:eastAsiaTheme="minorEastAsia"/>
                      <w:szCs w:val="21"/>
                    </w:rPr>
                  </w:pPr>
                  <w:r>
                    <w:rPr>
                      <w:rFonts w:eastAsiaTheme="minorEastAsia"/>
                      <w:szCs w:val="21"/>
                    </w:rPr>
                    <w:t>化粪池</w:t>
                  </w:r>
                </w:p>
              </w:tc>
              <w:tc>
                <w:tcPr>
                  <w:tcW w:w="1107" w:type="pct"/>
                  <w:vAlign w:val="center"/>
                </w:tcPr>
                <w:p>
                  <w:pPr>
                    <w:wordWrap w:val="0"/>
                    <w:ind w:left="120" w:right="120"/>
                    <w:jc w:val="center"/>
                    <w:rPr>
                      <w:rFonts w:eastAsiaTheme="minorEastAsia"/>
                      <w:szCs w:val="21"/>
                    </w:rPr>
                  </w:pPr>
                  <w:r>
                    <w:rPr>
                      <w:rFonts w:eastAsiaTheme="minorEastAsia"/>
                      <w:szCs w:val="21"/>
                    </w:rPr>
                    <w:t>6m</w:t>
                  </w:r>
                  <w:r>
                    <w:rPr>
                      <w:rFonts w:eastAsiaTheme="minorEastAsia"/>
                      <w:szCs w:val="21"/>
                      <w:vertAlign w:val="superscript"/>
                    </w:rPr>
                    <w:t>3</w:t>
                  </w:r>
                </w:p>
              </w:tc>
              <w:tc>
                <w:tcPr>
                  <w:tcW w:w="1106" w:type="pct"/>
                  <w:vAlign w:val="center"/>
                </w:tcPr>
                <w:p>
                  <w:pPr>
                    <w:wordWrap w:val="0"/>
                    <w:ind w:left="120" w:right="120"/>
                    <w:jc w:val="center"/>
                    <w:rPr>
                      <w:rFonts w:eastAsiaTheme="minorEastAsia"/>
                      <w:szCs w:val="21"/>
                    </w:rPr>
                  </w:pPr>
                  <w:r>
                    <w:rPr>
                      <w:rFonts w:eastAsiaTheme="minorEastAsia"/>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14" w:type="pct"/>
                  <w:vMerge w:val="continue"/>
                  <w:vAlign w:val="center"/>
                </w:tcPr>
                <w:p>
                  <w:pPr>
                    <w:wordWrap w:val="0"/>
                    <w:adjustRightInd w:val="0"/>
                    <w:snapToGrid w:val="0"/>
                    <w:ind w:left="120" w:right="120"/>
                    <w:jc w:val="center"/>
                    <w:rPr>
                      <w:rFonts w:eastAsiaTheme="minorEastAsia"/>
                      <w:szCs w:val="21"/>
                    </w:rPr>
                  </w:pPr>
                </w:p>
              </w:tc>
              <w:tc>
                <w:tcPr>
                  <w:tcW w:w="751" w:type="pct"/>
                  <w:vMerge w:val="restart"/>
                  <w:vAlign w:val="center"/>
                </w:tcPr>
                <w:p>
                  <w:pPr>
                    <w:wordWrap w:val="0"/>
                    <w:adjustRightInd w:val="0"/>
                    <w:snapToGrid w:val="0"/>
                    <w:ind w:left="120" w:right="120"/>
                    <w:jc w:val="center"/>
                    <w:rPr>
                      <w:rFonts w:eastAsiaTheme="minorEastAsia"/>
                      <w:szCs w:val="21"/>
                    </w:rPr>
                  </w:pPr>
                  <w:r>
                    <w:rPr>
                      <w:rFonts w:eastAsiaTheme="minorEastAsia"/>
                      <w:szCs w:val="21"/>
                    </w:rPr>
                    <w:t>废气</w:t>
                  </w:r>
                </w:p>
              </w:tc>
              <w:tc>
                <w:tcPr>
                  <w:tcW w:w="1522" w:type="pct"/>
                  <w:vAlign w:val="center"/>
                </w:tcPr>
                <w:p>
                  <w:pPr>
                    <w:widowControl/>
                    <w:jc w:val="center"/>
                    <w:rPr>
                      <w:rFonts w:eastAsiaTheme="minorEastAsia"/>
                      <w:szCs w:val="21"/>
                    </w:rPr>
                  </w:pPr>
                  <w:r>
                    <w:rPr>
                      <w:rFonts w:eastAsiaTheme="minorEastAsia"/>
                      <w:szCs w:val="21"/>
                    </w:rPr>
                    <w:t>食堂油烟净化器</w:t>
                  </w:r>
                </w:p>
              </w:tc>
              <w:tc>
                <w:tcPr>
                  <w:tcW w:w="1107" w:type="pct"/>
                  <w:vAlign w:val="center"/>
                </w:tcPr>
                <w:p>
                  <w:pPr>
                    <w:wordWrap w:val="0"/>
                    <w:ind w:left="120" w:right="120"/>
                    <w:jc w:val="center"/>
                    <w:rPr>
                      <w:rFonts w:eastAsiaTheme="minorEastAsia"/>
                      <w:szCs w:val="21"/>
                    </w:rPr>
                  </w:pPr>
                  <w:r>
                    <w:rPr>
                      <w:rFonts w:eastAsiaTheme="minorEastAsia"/>
                      <w:szCs w:val="21"/>
                    </w:rPr>
                    <w:t>/</w:t>
                  </w:r>
                </w:p>
              </w:tc>
              <w:tc>
                <w:tcPr>
                  <w:tcW w:w="1106" w:type="pct"/>
                  <w:vAlign w:val="center"/>
                </w:tcPr>
                <w:p>
                  <w:pPr>
                    <w:wordWrap w:val="0"/>
                    <w:ind w:left="120" w:right="120"/>
                    <w:jc w:val="center"/>
                    <w:rPr>
                      <w:rFonts w:eastAsiaTheme="minorEastAsia"/>
                      <w:szCs w:val="21"/>
                    </w:rPr>
                  </w:pPr>
                  <w:r>
                    <w:rPr>
                      <w:rFonts w:eastAsia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14" w:type="pct"/>
                  <w:vMerge w:val="continue"/>
                  <w:vAlign w:val="center"/>
                </w:tcPr>
                <w:p>
                  <w:pPr>
                    <w:wordWrap w:val="0"/>
                    <w:adjustRightInd w:val="0"/>
                    <w:snapToGrid w:val="0"/>
                    <w:ind w:left="120" w:right="120"/>
                    <w:jc w:val="center"/>
                    <w:rPr>
                      <w:rFonts w:eastAsiaTheme="minorEastAsia"/>
                      <w:szCs w:val="21"/>
                    </w:rPr>
                  </w:pPr>
                </w:p>
              </w:tc>
              <w:tc>
                <w:tcPr>
                  <w:tcW w:w="751" w:type="pct"/>
                  <w:vMerge w:val="continue"/>
                  <w:vAlign w:val="center"/>
                </w:tcPr>
                <w:p>
                  <w:pPr>
                    <w:wordWrap w:val="0"/>
                    <w:adjustRightInd w:val="0"/>
                    <w:snapToGrid w:val="0"/>
                    <w:ind w:left="120" w:right="120"/>
                    <w:jc w:val="center"/>
                    <w:rPr>
                      <w:rFonts w:eastAsiaTheme="minorEastAsia"/>
                      <w:szCs w:val="21"/>
                    </w:rPr>
                  </w:pPr>
                </w:p>
              </w:tc>
              <w:tc>
                <w:tcPr>
                  <w:tcW w:w="1522" w:type="pct"/>
                  <w:vAlign w:val="center"/>
                </w:tcPr>
                <w:p>
                  <w:pPr>
                    <w:widowControl/>
                    <w:jc w:val="center"/>
                    <w:rPr>
                      <w:rFonts w:eastAsiaTheme="minorEastAsia"/>
                      <w:szCs w:val="21"/>
                    </w:rPr>
                  </w:pPr>
                  <w:r>
                    <w:rPr>
                      <w:rFonts w:hint="eastAsia" w:eastAsiaTheme="minorEastAsia"/>
                      <w:szCs w:val="21"/>
                    </w:rPr>
                    <w:t>湿式脱硫+</w:t>
                  </w:r>
                  <w:r>
                    <w:rPr>
                      <w:rFonts w:eastAsiaTheme="minorEastAsia"/>
                      <w:szCs w:val="21"/>
                    </w:rPr>
                    <w:t>布袋除尘器+40米高的排气筒</w:t>
                  </w:r>
                </w:p>
              </w:tc>
              <w:tc>
                <w:tcPr>
                  <w:tcW w:w="1107" w:type="pct"/>
                  <w:vAlign w:val="center"/>
                </w:tcPr>
                <w:p>
                  <w:pPr>
                    <w:wordWrap w:val="0"/>
                    <w:ind w:left="120" w:right="120"/>
                    <w:jc w:val="center"/>
                    <w:rPr>
                      <w:rFonts w:eastAsiaTheme="minorEastAsia"/>
                      <w:szCs w:val="21"/>
                    </w:rPr>
                  </w:pPr>
                  <w:r>
                    <w:rPr>
                      <w:rFonts w:eastAsiaTheme="minorEastAsia"/>
                      <w:szCs w:val="21"/>
                    </w:rPr>
                    <w:t>/</w:t>
                  </w:r>
                </w:p>
              </w:tc>
              <w:tc>
                <w:tcPr>
                  <w:tcW w:w="1106" w:type="pct"/>
                  <w:vAlign w:val="center"/>
                </w:tcPr>
                <w:p>
                  <w:pPr>
                    <w:wordWrap w:val="0"/>
                    <w:ind w:left="120" w:right="120"/>
                    <w:jc w:val="center"/>
                    <w:rPr>
                      <w:rFonts w:eastAsiaTheme="minorEastAsia"/>
                      <w:szCs w:val="21"/>
                    </w:rPr>
                  </w:pPr>
                  <w:r>
                    <w:rPr>
                      <w:rFonts w:eastAsiaTheme="minorEastAsia"/>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 w:type="pct"/>
                  <w:vMerge w:val="continue"/>
                  <w:vAlign w:val="center"/>
                </w:tcPr>
                <w:p>
                  <w:pPr>
                    <w:wordWrap w:val="0"/>
                    <w:adjustRightInd w:val="0"/>
                    <w:snapToGrid w:val="0"/>
                    <w:ind w:left="120" w:right="120"/>
                    <w:jc w:val="center"/>
                    <w:rPr>
                      <w:rFonts w:eastAsiaTheme="minorEastAsia"/>
                      <w:szCs w:val="21"/>
                    </w:rPr>
                  </w:pPr>
                </w:p>
              </w:tc>
              <w:tc>
                <w:tcPr>
                  <w:tcW w:w="751" w:type="pct"/>
                  <w:vAlign w:val="center"/>
                </w:tcPr>
                <w:p>
                  <w:pPr>
                    <w:wordWrap w:val="0"/>
                    <w:adjustRightInd w:val="0"/>
                    <w:snapToGrid w:val="0"/>
                    <w:ind w:right="120"/>
                    <w:jc w:val="center"/>
                    <w:rPr>
                      <w:rFonts w:eastAsiaTheme="minorEastAsia"/>
                      <w:szCs w:val="21"/>
                    </w:rPr>
                  </w:pPr>
                  <w:r>
                    <w:rPr>
                      <w:rFonts w:eastAsiaTheme="minorEastAsia"/>
                      <w:szCs w:val="21"/>
                    </w:rPr>
                    <w:t>设备噪声</w:t>
                  </w:r>
                </w:p>
              </w:tc>
              <w:tc>
                <w:tcPr>
                  <w:tcW w:w="1522" w:type="pct"/>
                  <w:vAlign w:val="center"/>
                </w:tcPr>
                <w:p>
                  <w:pPr>
                    <w:wordWrap w:val="0"/>
                    <w:ind w:left="120" w:right="120"/>
                    <w:jc w:val="center"/>
                    <w:rPr>
                      <w:rFonts w:eastAsiaTheme="minorEastAsia"/>
                      <w:szCs w:val="21"/>
                    </w:rPr>
                  </w:pPr>
                  <w:r>
                    <w:rPr>
                      <w:rFonts w:eastAsiaTheme="minorEastAsia"/>
                      <w:szCs w:val="21"/>
                    </w:rPr>
                    <w:t>隔音、减振</w:t>
                  </w:r>
                </w:p>
              </w:tc>
              <w:tc>
                <w:tcPr>
                  <w:tcW w:w="1107" w:type="pct"/>
                  <w:vAlign w:val="center"/>
                </w:tcPr>
                <w:p>
                  <w:pPr>
                    <w:wordWrap w:val="0"/>
                    <w:ind w:left="120" w:right="120"/>
                    <w:jc w:val="center"/>
                    <w:rPr>
                      <w:rFonts w:eastAsiaTheme="minorEastAsia"/>
                      <w:szCs w:val="21"/>
                    </w:rPr>
                  </w:pPr>
                  <w:r>
                    <w:rPr>
                      <w:rFonts w:eastAsiaTheme="minorEastAsia"/>
                      <w:szCs w:val="21"/>
                    </w:rPr>
                    <w:t>若干</w:t>
                  </w:r>
                </w:p>
              </w:tc>
              <w:tc>
                <w:tcPr>
                  <w:tcW w:w="1106" w:type="pct"/>
                  <w:vAlign w:val="center"/>
                </w:tcPr>
                <w:p>
                  <w:pPr>
                    <w:wordWrap w:val="0"/>
                    <w:ind w:left="120" w:right="120"/>
                    <w:jc w:val="center"/>
                    <w:rPr>
                      <w:rFonts w:eastAsiaTheme="minorEastAsia"/>
                      <w:szCs w:val="21"/>
                    </w:rPr>
                  </w:pPr>
                  <w:r>
                    <w:rPr>
                      <w:rFonts w:eastAsiaTheme="minorEastAsia"/>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 w:type="pct"/>
                  <w:vMerge w:val="continue"/>
                  <w:vAlign w:val="center"/>
                </w:tcPr>
                <w:p>
                  <w:pPr>
                    <w:wordWrap w:val="0"/>
                    <w:adjustRightInd w:val="0"/>
                    <w:snapToGrid w:val="0"/>
                    <w:ind w:left="120" w:right="120"/>
                    <w:jc w:val="center"/>
                    <w:rPr>
                      <w:rFonts w:eastAsiaTheme="minorEastAsia"/>
                      <w:szCs w:val="21"/>
                    </w:rPr>
                  </w:pPr>
                </w:p>
              </w:tc>
              <w:tc>
                <w:tcPr>
                  <w:tcW w:w="751" w:type="pct"/>
                  <w:vMerge w:val="restart"/>
                  <w:vAlign w:val="center"/>
                </w:tcPr>
                <w:p>
                  <w:pPr>
                    <w:wordWrap w:val="0"/>
                    <w:adjustRightInd w:val="0"/>
                    <w:snapToGrid w:val="0"/>
                    <w:ind w:left="120" w:right="120"/>
                    <w:jc w:val="center"/>
                    <w:rPr>
                      <w:rFonts w:eastAsiaTheme="minorEastAsia"/>
                      <w:szCs w:val="21"/>
                    </w:rPr>
                  </w:pPr>
                  <w:r>
                    <w:rPr>
                      <w:rFonts w:eastAsiaTheme="minorEastAsia"/>
                      <w:szCs w:val="21"/>
                    </w:rPr>
                    <w:t>固废</w:t>
                  </w:r>
                </w:p>
              </w:tc>
              <w:tc>
                <w:tcPr>
                  <w:tcW w:w="1522" w:type="pct"/>
                  <w:vAlign w:val="center"/>
                </w:tcPr>
                <w:p>
                  <w:pPr>
                    <w:wordWrap w:val="0"/>
                    <w:ind w:left="120" w:right="120"/>
                    <w:jc w:val="center"/>
                    <w:rPr>
                      <w:rFonts w:eastAsiaTheme="minorEastAsia"/>
                      <w:szCs w:val="21"/>
                    </w:rPr>
                  </w:pPr>
                  <w:r>
                    <w:rPr>
                      <w:rFonts w:eastAsiaTheme="minorEastAsia"/>
                      <w:szCs w:val="21"/>
                    </w:rPr>
                    <w:t>危险废物贮存库</w:t>
                  </w:r>
                </w:p>
              </w:tc>
              <w:tc>
                <w:tcPr>
                  <w:tcW w:w="1107" w:type="pct"/>
                  <w:vAlign w:val="center"/>
                </w:tcPr>
                <w:p>
                  <w:pPr>
                    <w:wordWrap w:val="0"/>
                    <w:ind w:left="120" w:right="120"/>
                    <w:jc w:val="center"/>
                    <w:rPr>
                      <w:rFonts w:eastAsiaTheme="minorEastAsia"/>
                      <w:szCs w:val="21"/>
                    </w:rPr>
                  </w:pPr>
                  <w:r>
                    <w:rPr>
                      <w:rFonts w:eastAsiaTheme="minorEastAsia"/>
                      <w:szCs w:val="21"/>
                    </w:rPr>
                    <w:t>28.2m</w:t>
                  </w:r>
                  <w:r>
                    <w:rPr>
                      <w:rFonts w:eastAsiaTheme="minorEastAsia"/>
                      <w:szCs w:val="21"/>
                      <w:vertAlign w:val="superscript"/>
                    </w:rPr>
                    <w:t>2</w:t>
                  </w:r>
                </w:p>
              </w:tc>
              <w:tc>
                <w:tcPr>
                  <w:tcW w:w="1106" w:type="pct"/>
                  <w:vAlign w:val="center"/>
                </w:tcPr>
                <w:p>
                  <w:pPr>
                    <w:wordWrap w:val="0"/>
                    <w:ind w:left="120" w:right="120"/>
                    <w:jc w:val="center"/>
                    <w:rPr>
                      <w:rFonts w:eastAsiaTheme="minorEastAsia"/>
                      <w:szCs w:val="21"/>
                    </w:rPr>
                  </w:pPr>
                  <w:r>
                    <w:rPr>
                      <w:rFonts w:eastAsiaTheme="minor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 w:type="pct"/>
                  <w:vMerge w:val="continue"/>
                  <w:vAlign w:val="center"/>
                </w:tcPr>
                <w:p>
                  <w:pPr>
                    <w:wordWrap w:val="0"/>
                    <w:adjustRightInd w:val="0"/>
                    <w:snapToGrid w:val="0"/>
                    <w:ind w:left="120" w:right="120"/>
                    <w:jc w:val="center"/>
                    <w:rPr>
                      <w:rFonts w:eastAsiaTheme="minorEastAsia"/>
                      <w:szCs w:val="21"/>
                    </w:rPr>
                  </w:pPr>
                </w:p>
              </w:tc>
              <w:tc>
                <w:tcPr>
                  <w:tcW w:w="751" w:type="pct"/>
                  <w:vMerge w:val="continue"/>
                  <w:vAlign w:val="center"/>
                </w:tcPr>
                <w:p>
                  <w:pPr>
                    <w:wordWrap w:val="0"/>
                    <w:adjustRightInd w:val="0"/>
                    <w:snapToGrid w:val="0"/>
                    <w:ind w:left="120" w:right="120"/>
                    <w:jc w:val="center"/>
                    <w:rPr>
                      <w:rFonts w:eastAsiaTheme="minorEastAsia"/>
                      <w:szCs w:val="21"/>
                    </w:rPr>
                  </w:pPr>
                </w:p>
              </w:tc>
              <w:tc>
                <w:tcPr>
                  <w:tcW w:w="1522" w:type="pct"/>
                  <w:vAlign w:val="center"/>
                </w:tcPr>
                <w:p>
                  <w:pPr>
                    <w:wordWrap w:val="0"/>
                    <w:ind w:left="120" w:right="120"/>
                    <w:jc w:val="center"/>
                    <w:rPr>
                      <w:rFonts w:eastAsiaTheme="minorEastAsia"/>
                      <w:szCs w:val="21"/>
                    </w:rPr>
                  </w:pPr>
                  <w:r>
                    <w:rPr>
                      <w:rFonts w:eastAsiaTheme="minorEastAsia"/>
                      <w:szCs w:val="21"/>
                    </w:rPr>
                    <w:t>垃圾桶</w:t>
                  </w:r>
                </w:p>
              </w:tc>
              <w:tc>
                <w:tcPr>
                  <w:tcW w:w="1107" w:type="pct"/>
                  <w:vAlign w:val="center"/>
                </w:tcPr>
                <w:p>
                  <w:pPr>
                    <w:wordWrap w:val="0"/>
                    <w:ind w:left="120" w:right="120"/>
                    <w:jc w:val="center"/>
                    <w:rPr>
                      <w:rFonts w:eastAsiaTheme="minorEastAsia"/>
                      <w:szCs w:val="21"/>
                    </w:rPr>
                  </w:pPr>
                  <w:r>
                    <w:rPr>
                      <w:rFonts w:eastAsiaTheme="minorEastAsia"/>
                      <w:szCs w:val="21"/>
                    </w:rPr>
                    <w:t>若干</w:t>
                  </w:r>
                </w:p>
              </w:tc>
              <w:tc>
                <w:tcPr>
                  <w:tcW w:w="1106" w:type="pct"/>
                  <w:vAlign w:val="center"/>
                </w:tcPr>
                <w:p>
                  <w:pPr>
                    <w:wordWrap w:val="0"/>
                    <w:ind w:left="120" w:right="120"/>
                    <w:jc w:val="center"/>
                    <w:rPr>
                      <w:rFonts w:eastAsiaTheme="minorEastAsia"/>
                      <w:szCs w:val="21"/>
                    </w:rPr>
                  </w:pPr>
                  <w:r>
                    <w:rPr>
                      <w:rFonts w:eastAsiaTheme="minorEastAsia"/>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 w:type="pct"/>
                  <w:vMerge w:val="continue"/>
                  <w:vAlign w:val="center"/>
                </w:tcPr>
                <w:p>
                  <w:pPr>
                    <w:wordWrap w:val="0"/>
                    <w:adjustRightInd w:val="0"/>
                    <w:snapToGrid w:val="0"/>
                    <w:ind w:left="120" w:right="120"/>
                    <w:jc w:val="center"/>
                    <w:rPr>
                      <w:rFonts w:eastAsiaTheme="minorEastAsia"/>
                      <w:szCs w:val="21"/>
                    </w:rPr>
                  </w:pPr>
                </w:p>
              </w:tc>
              <w:tc>
                <w:tcPr>
                  <w:tcW w:w="751" w:type="pct"/>
                  <w:vMerge w:val="continue"/>
                  <w:vAlign w:val="center"/>
                </w:tcPr>
                <w:p>
                  <w:pPr>
                    <w:wordWrap w:val="0"/>
                    <w:adjustRightInd w:val="0"/>
                    <w:snapToGrid w:val="0"/>
                    <w:ind w:left="120" w:right="120"/>
                    <w:jc w:val="center"/>
                    <w:rPr>
                      <w:rFonts w:eastAsiaTheme="minorEastAsia"/>
                      <w:szCs w:val="21"/>
                    </w:rPr>
                  </w:pPr>
                </w:p>
              </w:tc>
              <w:tc>
                <w:tcPr>
                  <w:tcW w:w="1522" w:type="pct"/>
                  <w:vAlign w:val="center"/>
                </w:tcPr>
                <w:p>
                  <w:pPr>
                    <w:wordWrap w:val="0"/>
                    <w:ind w:left="120" w:right="120"/>
                    <w:jc w:val="center"/>
                    <w:rPr>
                      <w:rFonts w:eastAsiaTheme="minorEastAsia"/>
                      <w:szCs w:val="21"/>
                    </w:rPr>
                  </w:pPr>
                  <w:r>
                    <w:rPr>
                      <w:rFonts w:eastAsiaTheme="minorEastAsia"/>
                      <w:szCs w:val="21"/>
                    </w:rPr>
                    <w:t>收集池</w:t>
                  </w:r>
                </w:p>
              </w:tc>
              <w:tc>
                <w:tcPr>
                  <w:tcW w:w="1107" w:type="pct"/>
                  <w:vAlign w:val="center"/>
                </w:tcPr>
                <w:p>
                  <w:pPr>
                    <w:wordWrap w:val="0"/>
                    <w:ind w:left="120" w:right="120"/>
                    <w:jc w:val="center"/>
                    <w:rPr>
                      <w:rFonts w:eastAsiaTheme="minorEastAsia"/>
                      <w:szCs w:val="21"/>
                    </w:rPr>
                  </w:pPr>
                  <w:r>
                    <w:rPr>
                      <w:rFonts w:eastAsiaTheme="minorEastAsia"/>
                      <w:szCs w:val="21"/>
                    </w:rPr>
                    <w:t>10m</w:t>
                  </w:r>
                  <w:r>
                    <w:rPr>
                      <w:rFonts w:eastAsiaTheme="minorEastAsia"/>
                      <w:szCs w:val="21"/>
                      <w:vertAlign w:val="superscript"/>
                    </w:rPr>
                    <w:t>3</w:t>
                  </w:r>
                </w:p>
              </w:tc>
              <w:tc>
                <w:tcPr>
                  <w:tcW w:w="1106" w:type="pct"/>
                  <w:vAlign w:val="center"/>
                </w:tcPr>
                <w:p>
                  <w:pPr>
                    <w:wordWrap w:val="0"/>
                    <w:ind w:left="120" w:right="120"/>
                    <w:jc w:val="center"/>
                    <w:rPr>
                      <w:rFonts w:eastAsiaTheme="minorEastAsia"/>
                      <w:szCs w:val="21"/>
                    </w:rPr>
                  </w:pPr>
                  <w:r>
                    <w:rPr>
                      <w:rFonts w:eastAsiaTheme="minorEastAsia"/>
                      <w:szCs w:val="21"/>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 w:type="pct"/>
                  <w:vMerge w:val="continue"/>
                  <w:vAlign w:val="center"/>
                </w:tcPr>
                <w:p>
                  <w:pPr>
                    <w:wordWrap w:val="0"/>
                    <w:adjustRightInd w:val="0"/>
                    <w:snapToGrid w:val="0"/>
                    <w:ind w:left="120" w:right="120"/>
                    <w:jc w:val="center"/>
                    <w:rPr>
                      <w:rFonts w:eastAsiaTheme="minorEastAsia"/>
                      <w:szCs w:val="21"/>
                    </w:rPr>
                  </w:pPr>
                </w:p>
              </w:tc>
              <w:tc>
                <w:tcPr>
                  <w:tcW w:w="751" w:type="pct"/>
                  <w:vMerge w:val="continue"/>
                  <w:vAlign w:val="center"/>
                </w:tcPr>
                <w:p>
                  <w:pPr>
                    <w:wordWrap w:val="0"/>
                    <w:adjustRightInd w:val="0"/>
                    <w:snapToGrid w:val="0"/>
                    <w:ind w:left="120" w:right="120"/>
                    <w:jc w:val="center"/>
                    <w:rPr>
                      <w:rFonts w:eastAsiaTheme="minorEastAsia"/>
                      <w:szCs w:val="21"/>
                    </w:rPr>
                  </w:pPr>
                </w:p>
              </w:tc>
              <w:tc>
                <w:tcPr>
                  <w:tcW w:w="1522" w:type="pct"/>
                  <w:vAlign w:val="center"/>
                </w:tcPr>
                <w:p>
                  <w:pPr>
                    <w:wordWrap w:val="0"/>
                    <w:ind w:left="120" w:right="120"/>
                    <w:jc w:val="center"/>
                    <w:rPr>
                      <w:rFonts w:eastAsiaTheme="minorEastAsia"/>
                      <w:szCs w:val="21"/>
                    </w:rPr>
                  </w:pPr>
                  <w:r>
                    <w:rPr>
                      <w:rFonts w:eastAsiaTheme="minorEastAsia"/>
                      <w:szCs w:val="21"/>
                    </w:rPr>
                    <w:t>危险化学品储存间</w:t>
                  </w:r>
                </w:p>
              </w:tc>
              <w:tc>
                <w:tcPr>
                  <w:tcW w:w="1107" w:type="pct"/>
                  <w:vAlign w:val="center"/>
                </w:tcPr>
                <w:p>
                  <w:pPr>
                    <w:wordWrap w:val="0"/>
                    <w:ind w:left="120" w:right="120"/>
                    <w:jc w:val="center"/>
                    <w:rPr>
                      <w:rFonts w:eastAsiaTheme="minorEastAsia"/>
                      <w:szCs w:val="21"/>
                    </w:rPr>
                  </w:pPr>
                  <w:r>
                    <w:rPr>
                      <w:rFonts w:eastAsiaTheme="minorEastAsia"/>
                      <w:szCs w:val="21"/>
                    </w:rPr>
                    <w:t>53.2</w:t>
                  </w:r>
                </w:p>
              </w:tc>
              <w:tc>
                <w:tcPr>
                  <w:tcW w:w="1106" w:type="pct"/>
                  <w:vAlign w:val="center"/>
                </w:tcPr>
                <w:p>
                  <w:pPr>
                    <w:wordWrap w:val="0"/>
                    <w:ind w:left="120" w:right="120"/>
                    <w:jc w:val="center"/>
                    <w:rPr>
                      <w:rFonts w:eastAsiaTheme="minorEastAsia"/>
                      <w:szCs w:val="21"/>
                    </w:rPr>
                  </w:pPr>
                  <w:r>
                    <w:rPr>
                      <w:rFonts w:eastAsiaTheme="minor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4" w:type="pct"/>
                  <w:gridSpan w:val="4"/>
                  <w:vAlign w:val="center"/>
                </w:tcPr>
                <w:p>
                  <w:pPr>
                    <w:wordWrap w:val="0"/>
                    <w:ind w:left="120" w:right="120"/>
                    <w:jc w:val="center"/>
                    <w:rPr>
                      <w:rFonts w:eastAsiaTheme="minorEastAsia"/>
                      <w:szCs w:val="21"/>
                    </w:rPr>
                  </w:pPr>
                  <w:r>
                    <w:rPr>
                      <w:rFonts w:eastAsiaTheme="minorEastAsia"/>
                      <w:szCs w:val="21"/>
                    </w:rPr>
                    <w:t>合计</w:t>
                  </w:r>
                </w:p>
              </w:tc>
              <w:tc>
                <w:tcPr>
                  <w:tcW w:w="1106" w:type="pct"/>
                  <w:vAlign w:val="center"/>
                </w:tcPr>
                <w:p>
                  <w:pPr>
                    <w:wordWrap w:val="0"/>
                    <w:ind w:left="120" w:right="120"/>
                    <w:jc w:val="center"/>
                    <w:rPr>
                      <w:rFonts w:eastAsiaTheme="minorEastAsia"/>
                      <w:szCs w:val="21"/>
                    </w:rPr>
                  </w:pPr>
                  <w:r>
                    <w:rPr>
                      <w:rFonts w:eastAsiaTheme="minorEastAsia"/>
                      <w:szCs w:val="21"/>
                    </w:rPr>
                    <w:t>49.35</w:t>
                  </w:r>
                </w:p>
              </w:tc>
            </w:tr>
          </w:tbl>
          <w:p>
            <w:pPr>
              <w:autoSpaceDE w:val="0"/>
              <w:autoSpaceDN w:val="0"/>
              <w:spacing w:before="156" w:beforeLines="50" w:after="156" w:afterLines="50" w:line="360" w:lineRule="auto"/>
              <w:ind w:right="105" w:rightChars="50"/>
              <w:jc w:val="center"/>
              <w:outlineLvl w:val="0"/>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tcBorders>
            <w:vAlign w:val="center"/>
          </w:tcPr>
          <w:p>
            <w:pPr>
              <w:pStyle w:val="23"/>
              <w:adjustRightInd w:val="0"/>
              <w:snapToGrid w:val="0"/>
              <w:spacing w:before="0" w:beforeAutospacing="0" w:after="0" w:afterAutospacing="0" w:line="360" w:lineRule="auto"/>
              <w:jc w:val="center"/>
              <w:rPr>
                <w:rFonts w:ascii="Times New Roman" w:hAnsi="Times New Roman"/>
                <w:szCs w:val="24"/>
              </w:rPr>
            </w:pPr>
            <w:r>
              <w:rPr>
                <w:rFonts w:ascii="Times New Roman" w:hAnsi="Times New Roman"/>
                <w:szCs w:val="24"/>
              </w:rPr>
              <w:t>工艺流程和产排污环节</w:t>
            </w:r>
          </w:p>
        </w:tc>
        <w:tc>
          <w:tcPr>
            <w:tcW w:w="8953" w:type="dxa"/>
            <w:tcBorders>
              <w:top w:val="single" w:color="auto" w:sz="4" w:space="0"/>
            </w:tcBorders>
          </w:tcPr>
          <w:p>
            <w:pPr>
              <w:numPr>
                <w:ilvl w:val="0"/>
                <w:numId w:val="3"/>
              </w:numPr>
              <w:spacing w:line="360" w:lineRule="auto"/>
              <w:ind w:firstLine="480" w:firstLineChars="200"/>
              <w:rPr>
                <w:sz w:val="24"/>
              </w:rPr>
            </w:pPr>
            <w:r>
              <w:rPr>
                <w:sz w:val="24"/>
              </w:rPr>
              <w:t xml:space="preserve">施工期工艺流程简述  </w:t>
            </w:r>
          </w:p>
          <w:p>
            <w:pPr>
              <w:spacing w:line="360" w:lineRule="auto"/>
              <w:ind w:firstLine="480" w:firstLineChars="200"/>
              <w:rPr>
                <w:sz w:val="24"/>
              </w:rPr>
            </w:pPr>
            <w:r>
              <w:rPr>
                <w:sz w:val="24"/>
              </w:rPr>
              <w:t>本项目位于云南省楚雄州姚安县光禄镇福光村委会，花卉种植大棚年产892吨的玫瑰花。拟建项目包括2台6t生物质锅炉及其附属设施，以及新增部分环保设施，工程量较小，主要涉及锅炉的安装、花卉种植大棚等的修建，施工过程中会产生少量施工废水、建筑垃圾及设备安装时产生的噪声。</w:t>
            </w:r>
          </w:p>
          <w:p>
            <w:pPr>
              <w:spacing w:line="360" w:lineRule="auto"/>
              <w:ind w:firstLine="480" w:firstLineChars="200"/>
              <w:rPr>
                <w:sz w:val="24"/>
              </w:rPr>
            </w:pPr>
            <w:r>
              <w:rPr>
                <w:sz w:val="24"/>
              </w:rPr>
              <w:t>本项目施工过程中产生的污染物包括废气、废水、噪声和固废等，项目施工具有施工时间短，对环境的影响随着施工的结束而消失的特点。施工期工艺及污染环节见图2-1。</w:t>
            </w:r>
          </w:p>
          <w:p>
            <w:pPr>
              <w:spacing w:line="360" w:lineRule="auto"/>
              <w:rPr>
                <w:sz w:val="24"/>
              </w:rPr>
            </w:pPr>
          </w:p>
          <w:p>
            <w:pPr>
              <w:spacing w:line="360" w:lineRule="auto"/>
              <w:rPr>
                <w:sz w:val="24"/>
              </w:rPr>
            </w:pPr>
            <w:r>
              <mc:AlternateContent>
                <mc:Choice Requires="wpc">
                  <w:drawing>
                    <wp:anchor distT="0" distB="0" distL="114300" distR="114300" simplePos="0" relativeHeight="251661312" behindDoc="0" locked="0" layoutInCell="1" allowOverlap="1">
                      <wp:simplePos x="0" y="0"/>
                      <wp:positionH relativeFrom="column">
                        <wp:posOffset>149860</wp:posOffset>
                      </wp:positionH>
                      <wp:positionV relativeFrom="paragraph">
                        <wp:posOffset>67945</wp:posOffset>
                      </wp:positionV>
                      <wp:extent cx="4905375" cy="3223895"/>
                      <wp:effectExtent l="0" t="0" r="0" b="0"/>
                      <wp:wrapTopAndBottom/>
                      <wp:docPr id="91" name="画布 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文本框 64"/>
                              <wps:cNvSpPr txBox="1"/>
                              <wps:spPr>
                                <a:xfrm>
                                  <a:off x="106059" y="728915"/>
                                  <a:ext cx="1332407" cy="295331"/>
                                </a:xfrm>
                                <a:prstGeom prst="rect">
                                  <a:avLst/>
                                </a:prstGeom>
                                <a:noFill/>
                                <a:ln w="9525" cap="flat" cmpd="sng">
                                  <a:solidFill>
                                    <a:srgbClr val="000000"/>
                                  </a:solidFill>
                                  <a:prstDash val="solid"/>
                                  <a:miter/>
                                  <a:headEnd type="none" w="med" len="med"/>
                                  <a:tailEnd type="none" w="med" len="med"/>
                                </a:ln>
                              </wps:spPr>
                              <wps:txbx>
                                <w:txbxContent>
                                  <w:p>
                                    <w:r>
                                      <w:rPr>
                                        <w:rFonts w:hint="eastAsia"/>
                                      </w:rPr>
                                      <w:t>平整场地、道路建设</w:t>
                                    </w:r>
                                  </w:p>
                                </w:txbxContent>
                              </wps:txbx>
                              <wps:bodyPr upright="1"/>
                            </wps:wsp>
                            <wps:wsp>
                              <wps:cNvPr id="10" name="直接连接符 65"/>
                              <wps:cNvCnPr/>
                              <wps:spPr>
                                <a:xfrm flipV="1">
                                  <a:off x="3716515" y="2366256"/>
                                  <a:ext cx="7621" cy="385518"/>
                                </a:xfrm>
                                <a:prstGeom prst="line">
                                  <a:avLst/>
                                </a:prstGeom>
                                <a:ln w="9525" cap="flat" cmpd="sng">
                                  <a:solidFill>
                                    <a:srgbClr val="000000"/>
                                  </a:solidFill>
                                  <a:prstDash val="solid"/>
                                  <a:headEnd type="none" w="med" len="med"/>
                                  <a:tailEnd type="triangle" w="med" len="med"/>
                                </a:ln>
                              </wps:spPr>
                              <wps:bodyPr/>
                            </wps:wsp>
                            <wps:wsp>
                              <wps:cNvPr id="12" name="直接连接符 66"/>
                              <wps:cNvCnPr/>
                              <wps:spPr>
                                <a:xfrm flipH="1" flipV="1">
                                  <a:off x="770993" y="368167"/>
                                  <a:ext cx="635" cy="284534"/>
                                </a:xfrm>
                                <a:prstGeom prst="line">
                                  <a:avLst/>
                                </a:prstGeom>
                                <a:ln w="9525" cap="flat" cmpd="sng">
                                  <a:solidFill>
                                    <a:srgbClr val="000000"/>
                                  </a:solidFill>
                                  <a:prstDash val="dash"/>
                                  <a:headEnd type="none" w="med" len="med"/>
                                  <a:tailEnd type="triangle" w="med" len="med"/>
                                </a:ln>
                              </wps:spPr>
                              <wps:bodyPr/>
                            </wps:wsp>
                            <wps:wsp>
                              <wps:cNvPr id="13" name="文本框 67"/>
                              <wps:cNvSpPr txBox="1"/>
                              <wps:spPr>
                                <a:xfrm>
                                  <a:off x="163217" y="105227"/>
                                  <a:ext cx="1495624" cy="297236"/>
                                </a:xfrm>
                                <a:prstGeom prst="rect">
                                  <a:avLst/>
                                </a:prstGeom>
                                <a:noFill/>
                                <a:ln>
                                  <a:noFill/>
                                </a:ln>
                              </wps:spPr>
                              <wps:txbx>
                                <w:txbxContent>
                                  <w:p>
                                    <w:pPr>
                                      <w:jc w:val="center"/>
                                    </w:pPr>
                                    <w:r>
                                      <w:rPr>
                                        <w:rFonts w:hint="eastAsia"/>
                                      </w:rPr>
                                      <w:t>扬尘、噪声</w:t>
                                    </w:r>
                                  </w:p>
                                </w:txbxContent>
                              </wps:txbx>
                              <wps:bodyPr upright="1"/>
                            </wps:wsp>
                            <wps:wsp>
                              <wps:cNvPr id="16" name="文本框 68"/>
                              <wps:cNvSpPr txBox="1"/>
                              <wps:spPr>
                                <a:xfrm>
                                  <a:off x="1562308" y="105227"/>
                                  <a:ext cx="1543890" cy="297236"/>
                                </a:xfrm>
                                <a:prstGeom prst="rect">
                                  <a:avLst/>
                                </a:prstGeom>
                                <a:noFill/>
                                <a:ln>
                                  <a:noFill/>
                                </a:ln>
                              </wps:spPr>
                              <wps:txbx>
                                <w:txbxContent>
                                  <w:p>
                                    <w:pPr>
                                      <w:jc w:val="center"/>
                                    </w:pPr>
                                    <w:r>
                                      <w:rPr>
                                        <w:rFonts w:hint="eastAsia"/>
                                      </w:rPr>
                                      <w:t>扬尘、噪声</w:t>
                                    </w:r>
                                  </w:p>
                                </w:txbxContent>
                              </wps:txbx>
                              <wps:bodyPr upright="1"/>
                            </wps:wsp>
                            <wps:wsp>
                              <wps:cNvPr id="20" name="直接连接符 69"/>
                              <wps:cNvCnPr/>
                              <wps:spPr>
                                <a:xfrm flipV="1">
                                  <a:off x="3782563" y="386585"/>
                                  <a:ext cx="635" cy="342330"/>
                                </a:xfrm>
                                <a:prstGeom prst="line">
                                  <a:avLst/>
                                </a:prstGeom>
                                <a:ln w="9525" cap="flat" cmpd="sng">
                                  <a:solidFill>
                                    <a:srgbClr val="000000"/>
                                  </a:solidFill>
                                  <a:prstDash val="dash"/>
                                  <a:headEnd type="none" w="med" len="med"/>
                                  <a:tailEnd type="triangle" w="med" len="med"/>
                                </a:ln>
                              </wps:spPr>
                              <wps:bodyPr/>
                            </wps:wsp>
                            <wps:wsp>
                              <wps:cNvPr id="21" name="文本框 70"/>
                              <wps:cNvSpPr txBox="1"/>
                              <wps:spPr>
                                <a:xfrm>
                                  <a:off x="3307520" y="35999"/>
                                  <a:ext cx="800206" cy="297236"/>
                                </a:xfrm>
                                <a:prstGeom prst="rect">
                                  <a:avLst/>
                                </a:prstGeom>
                                <a:noFill/>
                                <a:ln>
                                  <a:noFill/>
                                </a:ln>
                              </wps:spPr>
                              <wps:txbx>
                                <w:txbxContent>
                                  <w:p>
                                    <w:pPr>
                                      <w:jc w:val="center"/>
                                    </w:pPr>
                                    <w:r>
                                      <w:rPr>
                                        <w:rFonts w:hint="eastAsia"/>
                                      </w:rPr>
                                      <w:t>扬尘、噪声</w:t>
                                    </w:r>
                                  </w:p>
                                </w:txbxContent>
                              </wps:txbx>
                              <wps:bodyPr upright="1"/>
                            </wps:wsp>
                            <wps:wsp>
                              <wps:cNvPr id="22" name="文本框 71"/>
                              <wps:cNvSpPr txBox="1"/>
                              <wps:spPr>
                                <a:xfrm>
                                  <a:off x="1905885" y="735900"/>
                                  <a:ext cx="1045349" cy="316290"/>
                                </a:xfrm>
                                <a:prstGeom prst="rect">
                                  <a:avLst/>
                                </a:prstGeom>
                                <a:noFill/>
                                <a:ln w="9525" cap="flat" cmpd="sng">
                                  <a:solidFill>
                                    <a:srgbClr val="000000"/>
                                  </a:solidFill>
                                  <a:prstDash val="solid"/>
                                  <a:miter/>
                                  <a:headEnd type="none" w="med" len="med"/>
                                  <a:tailEnd type="none" w="med" len="med"/>
                                </a:ln>
                              </wps:spPr>
                              <wps:txbx>
                                <w:txbxContent>
                                  <w:p>
                                    <w:pPr>
                                      <w:jc w:val="center"/>
                                      <w:rPr>
                                        <w:color w:val="FF0000"/>
                                      </w:rPr>
                                    </w:pPr>
                                    <w:r>
                                      <w:rPr>
                                        <w:rStyle w:val="32"/>
                                        <w:rFonts w:hint="eastAsia"/>
                                        <w:szCs w:val="21"/>
                                      </w:rPr>
                                      <w:t>建筑施工</w:t>
                                    </w:r>
                                  </w:p>
                                </w:txbxContent>
                              </wps:txbx>
                              <wps:bodyPr upright="1"/>
                            </wps:wsp>
                            <wps:wsp>
                              <wps:cNvPr id="23" name="直接连接符 72"/>
                              <wps:cNvCnPr/>
                              <wps:spPr>
                                <a:xfrm flipV="1">
                                  <a:off x="1465775" y="894047"/>
                                  <a:ext cx="440114" cy="8892"/>
                                </a:xfrm>
                                <a:prstGeom prst="line">
                                  <a:avLst/>
                                </a:prstGeom>
                                <a:ln w="9525" cap="flat" cmpd="sng">
                                  <a:solidFill>
                                    <a:srgbClr val="000000"/>
                                  </a:solidFill>
                                  <a:prstDash val="solid"/>
                                  <a:headEnd type="none" w="med" len="med"/>
                                  <a:tailEnd type="triangle" w="med" len="med"/>
                                </a:ln>
                              </wps:spPr>
                              <wps:bodyPr/>
                            </wps:wsp>
                            <wps:wsp>
                              <wps:cNvPr id="24" name="直接连接符 73"/>
                              <wps:cNvCnPr/>
                              <wps:spPr>
                                <a:xfrm flipV="1">
                                  <a:off x="2361879" y="333235"/>
                                  <a:ext cx="635" cy="395680"/>
                                </a:xfrm>
                                <a:prstGeom prst="line">
                                  <a:avLst/>
                                </a:prstGeom>
                                <a:ln w="9525" cap="flat" cmpd="sng">
                                  <a:solidFill>
                                    <a:srgbClr val="000000"/>
                                  </a:solidFill>
                                  <a:prstDash val="dash"/>
                                  <a:headEnd type="none" w="med" len="med"/>
                                  <a:tailEnd type="triangle" w="med" len="med"/>
                                </a:ln>
                              </wps:spPr>
                              <wps:bodyPr/>
                            </wps:wsp>
                            <wps:wsp>
                              <wps:cNvPr id="25" name="文本框 74"/>
                              <wps:cNvSpPr txBox="1"/>
                              <wps:spPr>
                                <a:xfrm>
                                  <a:off x="3297359" y="1265592"/>
                                  <a:ext cx="932304" cy="334709"/>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设备清洗</w:t>
                                    </w:r>
                                  </w:p>
                                </w:txbxContent>
                              </wps:txbx>
                              <wps:bodyPr upright="1"/>
                            </wps:wsp>
                            <wps:wsp>
                              <wps:cNvPr id="26" name="文本框 75"/>
                              <wps:cNvSpPr txBox="1"/>
                              <wps:spPr>
                                <a:xfrm>
                                  <a:off x="3153830" y="2021386"/>
                                  <a:ext cx="1160299" cy="334709"/>
                                </a:xfrm>
                                <a:prstGeom prst="rect">
                                  <a:avLst/>
                                </a:prstGeom>
                                <a:noFill/>
                                <a:ln w="9525" cap="flat" cmpd="sng">
                                  <a:solidFill>
                                    <a:srgbClr val="000000"/>
                                  </a:solidFill>
                                  <a:prstDash val="solid"/>
                                  <a:miter/>
                                  <a:headEnd type="none" w="med" len="med"/>
                                  <a:tailEnd type="none" w="med" len="med"/>
                                </a:ln>
                              </wps:spPr>
                              <wps:txbx>
                                <w:txbxContent>
                                  <w:p>
                                    <w:pPr>
                                      <w:jc w:val="center"/>
                                      <w:rPr>
                                        <w:color w:val="000000"/>
                                        <w:szCs w:val="21"/>
                                      </w:rPr>
                                    </w:pPr>
                                    <w:r>
                                      <w:rPr>
                                        <w:rFonts w:hint="eastAsia" w:hAnsi="宋体"/>
                                        <w:bCs/>
                                        <w:color w:val="000000"/>
                                        <w:szCs w:val="21"/>
                                      </w:rPr>
                                      <w:t>生活污水收集池</w:t>
                                    </w:r>
                                  </w:p>
                                </w:txbxContent>
                              </wps:txbx>
                              <wps:bodyPr upright="1"/>
                            </wps:wsp>
                            <wps:wsp>
                              <wps:cNvPr id="27" name="直接连接符 76"/>
                              <wps:cNvCnPr/>
                              <wps:spPr>
                                <a:xfrm>
                                  <a:off x="3714609" y="1615544"/>
                                  <a:ext cx="635" cy="396315"/>
                                </a:xfrm>
                                <a:prstGeom prst="line">
                                  <a:avLst/>
                                </a:prstGeom>
                                <a:ln w="9525" cap="flat" cmpd="sng">
                                  <a:solidFill>
                                    <a:srgbClr val="000000"/>
                                  </a:solidFill>
                                  <a:prstDash val="solid"/>
                                  <a:headEnd type="none" w="med" len="med"/>
                                  <a:tailEnd type="triangle" w="med" len="med"/>
                                </a:ln>
                              </wps:spPr>
                              <wps:bodyPr/>
                            </wps:wsp>
                            <wps:wsp>
                              <wps:cNvPr id="28" name="文本框 78"/>
                              <wps:cNvSpPr txBox="1"/>
                              <wps:spPr>
                                <a:xfrm>
                                  <a:off x="3325303" y="2761302"/>
                                  <a:ext cx="798936" cy="334709"/>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施工人员</w:t>
                                    </w:r>
                                  </w:p>
                                </w:txbxContent>
                              </wps:txbx>
                              <wps:bodyPr upright="1"/>
                            </wps:wsp>
                            <wps:wsp>
                              <wps:cNvPr id="29" name="文本框 79"/>
                              <wps:cNvSpPr txBox="1"/>
                              <wps:spPr>
                                <a:xfrm>
                                  <a:off x="3685395" y="1647935"/>
                                  <a:ext cx="828785" cy="297236"/>
                                </a:xfrm>
                                <a:prstGeom prst="rect">
                                  <a:avLst/>
                                </a:prstGeom>
                                <a:noFill/>
                                <a:ln>
                                  <a:noFill/>
                                </a:ln>
                              </wps:spPr>
                              <wps:txbx>
                                <w:txbxContent>
                                  <w:p>
                                    <w:pPr>
                                      <w:jc w:val="center"/>
                                    </w:pPr>
                                    <w:r>
                                      <w:rPr>
                                        <w:rFonts w:hint="eastAsia"/>
                                      </w:rPr>
                                      <w:t>清洗废水</w:t>
                                    </w:r>
                                  </w:p>
                                </w:txbxContent>
                              </wps:txbx>
                              <wps:bodyPr upright="1"/>
                            </wps:wsp>
                            <wps:wsp>
                              <wps:cNvPr id="30" name="文本框 80"/>
                              <wps:cNvSpPr txBox="1"/>
                              <wps:spPr>
                                <a:xfrm>
                                  <a:off x="3488519" y="2395472"/>
                                  <a:ext cx="930399" cy="297236"/>
                                </a:xfrm>
                                <a:prstGeom prst="rect">
                                  <a:avLst/>
                                </a:prstGeom>
                                <a:noFill/>
                                <a:ln>
                                  <a:noFill/>
                                </a:ln>
                              </wps:spPr>
                              <wps:txbx>
                                <w:txbxContent>
                                  <w:p>
                                    <w:pPr>
                                      <w:jc w:val="center"/>
                                    </w:pPr>
                                    <w:r>
                                      <w:rPr>
                                        <w:rFonts w:hint="eastAsia"/>
                                      </w:rPr>
                                      <w:t>污水</w:t>
                                    </w:r>
                                  </w:p>
                                </w:txbxContent>
                              </wps:txbx>
                              <wps:bodyPr upright="1"/>
                            </wps:wsp>
                            <wps:wsp>
                              <wps:cNvPr id="31" name="直接连接符 81"/>
                              <wps:cNvCnPr/>
                              <wps:spPr>
                                <a:xfrm flipV="1">
                                  <a:off x="2943617" y="912465"/>
                                  <a:ext cx="363903" cy="8892"/>
                                </a:xfrm>
                                <a:prstGeom prst="line">
                                  <a:avLst/>
                                </a:prstGeom>
                                <a:ln w="9525" cap="flat" cmpd="sng">
                                  <a:solidFill>
                                    <a:srgbClr val="000000"/>
                                  </a:solidFill>
                                  <a:prstDash val="solid"/>
                                  <a:headEnd type="none" w="med" len="med"/>
                                  <a:tailEnd type="triangle" w="med" len="med"/>
                                </a:ln>
                              </wps:spPr>
                              <wps:bodyPr/>
                            </wps:wsp>
                            <wps:wsp>
                              <wps:cNvPr id="32" name="文本框 82"/>
                              <wps:cNvSpPr txBox="1"/>
                              <wps:spPr>
                                <a:xfrm>
                                  <a:off x="3307520" y="728915"/>
                                  <a:ext cx="932304" cy="323276"/>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设备安装</w:t>
                                    </w:r>
                                  </w:p>
                                </w:txbxContent>
                              </wps:txbx>
                              <wps:bodyPr upright="1"/>
                            </wps:wsp>
                            <wps:wsp>
                              <wps:cNvPr id="33" name="直接连接符 88"/>
                              <wps:cNvCnPr/>
                              <wps:spPr>
                                <a:xfrm>
                                  <a:off x="3789549" y="1041395"/>
                                  <a:ext cx="0" cy="228643"/>
                                </a:xfrm>
                                <a:prstGeom prst="line">
                                  <a:avLst/>
                                </a:prstGeom>
                                <a:ln w="9525" cap="flat" cmpd="sng">
                                  <a:solidFill>
                                    <a:srgbClr val="000000"/>
                                  </a:solidFill>
                                  <a:prstDash val="solid"/>
                                  <a:headEnd type="none" w="med" len="med"/>
                                  <a:tailEnd type="triangle" w="med" len="med"/>
                                </a:ln>
                              </wps:spPr>
                              <wps:bodyPr/>
                            </wps:wsp>
                            <wps:wsp>
                              <wps:cNvPr id="34" name="直接连接符 89"/>
                              <wps:cNvCnPr/>
                              <wps:spPr>
                                <a:xfrm flipH="1" flipV="1">
                                  <a:off x="2732769" y="2949932"/>
                                  <a:ext cx="589994" cy="5716"/>
                                </a:xfrm>
                                <a:prstGeom prst="line">
                                  <a:avLst/>
                                </a:prstGeom>
                                <a:ln w="9525" cap="flat" cmpd="sng">
                                  <a:solidFill>
                                    <a:srgbClr val="000000"/>
                                  </a:solidFill>
                                  <a:prstDash val="solid"/>
                                  <a:headEnd type="none" w="med" len="med"/>
                                  <a:tailEnd type="triangle" w="med" len="med"/>
                                </a:ln>
                              </wps:spPr>
                              <wps:bodyPr/>
                            </wps:wsp>
                            <wps:wsp>
                              <wps:cNvPr id="35" name="文本框 90"/>
                              <wps:cNvSpPr txBox="1"/>
                              <wps:spPr>
                                <a:xfrm>
                                  <a:off x="1694180" y="2678850"/>
                                  <a:ext cx="1057275" cy="529590"/>
                                </a:xfrm>
                                <a:prstGeom prst="rect">
                                  <a:avLst/>
                                </a:prstGeom>
                                <a:noFill/>
                                <a:ln w="12700" cap="flat" cmpd="sng">
                                  <a:solidFill>
                                    <a:schemeClr val="tx1"/>
                                  </a:solidFill>
                                  <a:prstDash val="solid"/>
                                  <a:miter/>
                                  <a:headEnd type="none" w="med" len="med"/>
                                  <a:tailEnd type="none" w="med" len="med"/>
                                </a:ln>
                              </wps:spPr>
                              <wps:txbx>
                                <w:txbxContent>
                                  <w:p>
                                    <w:pPr>
                                      <w:jc w:val="center"/>
                                      <w:rPr>
                                        <w:szCs w:val="21"/>
                                      </w:rPr>
                                    </w:pPr>
                                    <w:r>
                                      <w:rPr>
                                        <w:rFonts w:hint="eastAsia"/>
                                        <w:color w:val="000000"/>
                                        <w:szCs w:val="21"/>
                                      </w:rPr>
                                      <w:t>委托环卫部门清运</w:t>
                                    </w:r>
                                  </w:p>
                                  <w:p/>
                                </w:txbxContent>
                              </wps:txbx>
                              <wps:bodyPr upright="1"/>
                            </wps:wsp>
                            <wps:wsp>
                              <wps:cNvPr id="37" name="文本框 67"/>
                              <wps:cNvSpPr txBox="1"/>
                              <wps:spPr>
                                <a:xfrm>
                                  <a:off x="2589530" y="2919515"/>
                                  <a:ext cx="915035" cy="304800"/>
                                </a:xfrm>
                                <a:prstGeom prst="rect">
                                  <a:avLst/>
                                </a:prstGeom>
                                <a:noFill/>
                                <a:ln>
                                  <a:noFill/>
                                </a:ln>
                              </wps:spPr>
                              <wps:txbx>
                                <w:txbxContent>
                                  <w:p>
                                    <w:pPr>
                                      <w:jc w:val="center"/>
                                    </w:pPr>
                                    <w:r>
                                      <w:rPr>
                                        <w:rFonts w:hint="eastAsia"/>
                                      </w:rPr>
                                      <w:t>生活垃圾</w:t>
                                    </w:r>
                                  </w:p>
                                </w:txbxContent>
                              </wps:txbx>
                              <wps:bodyPr upright="1"/>
                            </wps:wsp>
                          </wpc:wpc>
                        </a:graphicData>
                      </a:graphic>
                    </wp:anchor>
                  </w:drawing>
                </mc:Choice>
                <mc:Fallback>
                  <w:pict>
                    <v:group id="_x0000_s1026" o:spid="_x0000_s1026" o:spt="203" style="position:absolute;left:0pt;margin-left:11.8pt;margin-top:5.35pt;height:253.85pt;width:386.25pt;mso-wrap-distance-bottom:0pt;mso-wrap-distance-top:0pt;z-index:251661312;mso-width-relative:page;mso-height-relative:page;" coordsize="4905375,3223895" editas="canvas" o:gfxdata="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">
                      <o:lock v:ext="edit" aspectratio="f"/>
                      <v:shape id="_x0000_s1026" o:spid="_x0000_s1026" style="position:absolute;left:0;top:0;height:3223895;width:4905375;" filled="f" stroked="f" coordsize="21600,21600" o:gfxdata="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">
                        <v:fill on="f" focussize="0,0"/>
                        <v:stroke on="f"/>
                        <v:imagedata o:title=""/>
                        <o:lock v:ext="edit" aspectratio="t"/>
                      </v:shape>
                      <v:shape id="文本框 64" o:spid="_x0000_s1026" o:spt="202" type="#_x0000_t202" style="position:absolute;left:106059;top:728915;height:295331;width:1332407;" filled="f" stroked="t" coordsize="21600,21600" o:gfxdata="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Kzt+DXAAAACQEAAA8AAAAAAAAA&#10;AQAgAAAAIgAAAGRycy9kb3ducmV2LnhtbFBLAQIUABQAAAAIAIdO4kAQsJ6qEgIAABgEAAAOAAAA&#10;AAAAAAEAIAAAACYBAABkcnMvZTJvRG9jLnhtbFBLBQYAAAAABgAGAFkBAACqBQAAAAA=&#10;">
                        <v:fill on="f" focussize="0,0"/>
                        <v:stroke color="#000000" joinstyle="miter"/>
                        <v:imagedata o:title=""/>
                        <o:lock v:ext="edit" aspectratio="f"/>
                        <v:textbox>
                          <w:txbxContent>
                            <w:p>
                              <w:r>
                                <w:rPr>
                                  <w:rFonts w:hint="eastAsia"/>
                                </w:rPr>
                                <w:t>平整场地、道路建设</w:t>
                              </w:r>
                            </w:p>
                          </w:txbxContent>
                        </v:textbox>
                      </v:shape>
                      <v:line id="直接连接符 65" o:spid="_x0000_s1026" o:spt="20" style="position:absolute;left:3716515;top:2366256;flip:y;height:385518;width:7621;" filled="f" stroked="t" coordsize="21600,21600" o:gfxdata="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rt8a7aAAAACQEAAA8AAAAAAAAAAQAg&#10;AAAAIgAAAGRycy9kb3ducmV2LnhtbFBLAQIUABQAAAAIAIdO4kAW7UdRDAIAAPYDAAAOAAAAAAAA&#10;AAEAIAAAACkBAABkcnMvZTJvRG9jLnhtbFBLBQYAAAAABgAGAFkBAACnBQAAAAA=&#10;">
                        <v:fill on="f" focussize="0,0"/>
                        <v:stroke color="#000000" joinstyle="round" endarrow="block"/>
                        <v:imagedata o:title=""/>
                        <o:lock v:ext="edit" aspectratio="f"/>
                      </v:line>
                      <v:line id="直接连接符 66" o:spid="_x0000_s1026" o:spt="20" style="position:absolute;left:770993;top:368167;flip:x y;height:284534;width:635;" filled="f" stroked="t" coordsize="21600,21600" o:gfxdata="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fdKQO2AAAAAkBAAAPAAAAAAAAAAEA&#10;IAAAACIAAABkcnMvZG93bnJldi54bWxQSwECFAAUAAAACACHTuJAI1ty5Q8CAAD8AwAADgAAAAAA&#10;AAABACAAAAAnAQAAZHJzL2Uyb0RvYy54bWxQSwUGAAAAAAYABgBZAQAAqAUAAAAA&#10;">
                        <v:fill on="f" focussize="0,0"/>
                        <v:stroke color="#000000" joinstyle="round" dashstyle="dash" endarrow="block"/>
                        <v:imagedata o:title=""/>
                        <o:lock v:ext="edit" aspectratio="f"/>
                      </v:line>
                      <v:shape id="文本框 67" o:spid="_x0000_s1026" o:spt="202" type="#_x0000_t202" style="position:absolute;left:163217;top:105227;height:297236;width:1495624;" filled="f" stroked="f" coordsize="21600,21600" o:gfxdata="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IN1WNtcAAAAJAQAADwAAAAAAAAABACAAAAAiAAAAZHJzL2Rvd25yZXYueG1sUEsBAhQAFAAA&#10;AAgAh07iQJyjqQm3AQAAWgMAAA4AAAAAAAAAAQAgAAAAJgEAAGRycy9lMm9Eb2MueG1sUEsFBgAA&#10;AAAGAAYAWQEAAE8FAAAAAA==&#10;">
                        <v:fill on="f" focussize="0,0"/>
                        <v:stroke on="f"/>
                        <v:imagedata o:title=""/>
                        <o:lock v:ext="edit" aspectratio="f"/>
                        <v:textbox>
                          <w:txbxContent>
                            <w:p>
                              <w:pPr>
                                <w:jc w:val="center"/>
                              </w:pPr>
                              <w:r>
                                <w:rPr>
                                  <w:rFonts w:hint="eastAsia"/>
                                </w:rPr>
                                <w:t>扬尘、噪声</w:t>
                              </w:r>
                            </w:p>
                          </w:txbxContent>
                        </v:textbox>
                      </v:shape>
                      <v:shape id="文本框 68" o:spid="_x0000_s1026" o:spt="202" type="#_x0000_t202" style="position:absolute;left:1562308;top:105227;height:297236;width:1543890;" filled="f" stroked="f" coordsize="21600,21600" o:gfxdata="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IN1WNtcAAAAJAQAADwAAAAAAAAABACAAAAAiAAAAZHJzL2Rvd25yZXYueG1sUEsBAhQAFAAA&#10;AAgAh07iQB9fPT23AQAAWwMAAA4AAAAAAAAAAQAgAAAAJgEAAGRycy9lMm9Eb2MueG1sUEsFBgAA&#10;AAAGAAYAWQEAAE8FAAAAAA==&#10;">
                        <v:fill on="f" focussize="0,0"/>
                        <v:stroke on="f"/>
                        <v:imagedata o:title=""/>
                        <o:lock v:ext="edit" aspectratio="f"/>
                        <v:textbox>
                          <w:txbxContent>
                            <w:p>
                              <w:pPr>
                                <w:jc w:val="center"/>
                              </w:pPr>
                              <w:r>
                                <w:rPr>
                                  <w:rFonts w:hint="eastAsia"/>
                                </w:rPr>
                                <w:t>扬尘、噪声</w:t>
                              </w:r>
                            </w:p>
                          </w:txbxContent>
                        </v:textbox>
                      </v:shape>
                      <v:line id="直接连接符 69" o:spid="_x0000_s1026" o:spt="20" style="position:absolute;left:3782563;top:386585;flip:y;height:342330;width:635;" filled="f" stroked="t" coordsize="21600,21600" o:gfxdata="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fKNqU2AAAAAkBAAAPAAAAAAAAAAEAIAAA&#10;ACIAAABkcnMvZG93bnJldi54bWxQSwECFAAUAAAACACHTuJARTUb1QwCAADzAwAADgAAAAAAAAAB&#10;ACAAAAAnAQAAZHJzL2Uyb0RvYy54bWxQSwUGAAAAAAYABgBZAQAApQUAAAAA&#10;">
                        <v:fill on="f" focussize="0,0"/>
                        <v:stroke color="#000000" joinstyle="round" dashstyle="dash" endarrow="block"/>
                        <v:imagedata o:title=""/>
                        <o:lock v:ext="edit" aspectratio="f"/>
                      </v:line>
                      <v:shape id="文本框 70" o:spid="_x0000_s1026" o:spt="202" type="#_x0000_t202" style="position:absolute;left:3307520;top:35999;height:297236;width:800206;" filled="f" stroked="f" coordsize="21600,21600" o:gfxdata="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IN1WNtcAAAAJAQAADwAAAAAAAAABACAAAAAiAAAAZHJzL2Rvd25yZXYueG1sUEsBAhQAFAAA&#10;AAgAh07iQLl4po+3AQAAWQMAAA4AAAAAAAAAAQAgAAAAJgEAAGRycy9lMm9Eb2MueG1sUEsFBgAA&#10;AAAGAAYAWQEAAE8FAAAAAA==&#10;">
                        <v:fill on="f" focussize="0,0"/>
                        <v:stroke on="f"/>
                        <v:imagedata o:title=""/>
                        <o:lock v:ext="edit" aspectratio="f"/>
                        <v:textbox>
                          <w:txbxContent>
                            <w:p>
                              <w:pPr>
                                <w:jc w:val="center"/>
                              </w:pPr>
                              <w:r>
                                <w:rPr>
                                  <w:rFonts w:hint="eastAsia"/>
                                </w:rPr>
                                <w:t>扬尘、噪声</w:t>
                              </w:r>
                            </w:p>
                          </w:txbxContent>
                        </v:textbox>
                      </v:shape>
                      <v:shape id="文本框 71" o:spid="_x0000_s1026" o:spt="202" type="#_x0000_t202" style="position:absolute;left:1905885;top:735900;height:316290;width:1045349;" filled="f" stroked="t" coordsize="21600,21600" o:gfxdata="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Cs7fg1wAAAAkBAAAPAAAAAAAA&#10;AAEAIAAAACIAAABkcnMvZG93bnJldi54bWxQSwECFAAUAAAACACHTuJAi/zI9xMCAAAaBAAADgAA&#10;AAAAAAABACAAAAAmAQAAZHJzL2Uyb0RvYy54bWxQSwUGAAAAAAYABgBZAQAAqwUAAAAA&#10;">
                        <v:fill on="f" focussize="0,0"/>
                        <v:stroke color="#000000" joinstyle="miter"/>
                        <v:imagedata o:title=""/>
                        <o:lock v:ext="edit" aspectratio="f"/>
                        <v:textbox>
                          <w:txbxContent>
                            <w:p>
                              <w:pPr>
                                <w:jc w:val="center"/>
                                <w:rPr>
                                  <w:color w:val="FF0000"/>
                                </w:rPr>
                              </w:pPr>
                              <w:r>
                                <w:rPr>
                                  <w:rStyle w:val="32"/>
                                  <w:rFonts w:hint="eastAsia"/>
                                  <w:szCs w:val="21"/>
                                </w:rPr>
                                <w:t>建筑施工</w:t>
                              </w:r>
                            </w:p>
                          </w:txbxContent>
                        </v:textbox>
                      </v:shape>
                      <v:line id="直接连接符 72" o:spid="_x0000_s1026" o:spt="20" style="position:absolute;left:1465775;top:894047;flip:y;height:8892;width:440114;" filled="f" stroked="t" coordsize="21600,21600" o:gfxdata="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67fGu2gAAAAkBAAAPAAAAAAAAAAEA&#10;IAAAACIAAABkcnMvZG93bnJldi54bWxQSwECFAAUAAAACACHTuJAvhmUCw0CAAD1AwAADgAAAAAA&#10;AAABACAAAAApAQAAZHJzL2Uyb0RvYy54bWxQSwUGAAAAAAYABgBZAQAAqAUAAAAA&#10;">
                        <v:fill on="f" focussize="0,0"/>
                        <v:stroke color="#000000" joinstyle="round" endarrow="block"/>
                        <v:imagedata o:title=""/>
                        <o:lock v:ext="edit" aspectratio="f"/>
                      </v:line>
                      <v:line id="直接连接符 73" o:spid="_x0000_s1026" o:spt="20" style="position:absolute;left:2361879;top:333235;flip:y;height:395680;width:635;" filled="f" stroked="t" coordsize="21600,21600" o:gfxdata="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fKNqU2AAAAAkBAAAPAAAAAAAAAAEAIAAA&#10;ACIAAABkcnMvZG93bnJldi54bWxQSwECFAAUAAAACACHTuJAFCcudQwCAADzAwAADgAAAAAAAAAB&#10;ACAAAAAnAQAAZHJzL2Uyb0RvYy54bWxQSwUGAAAAAAYABgBZAQAApQUAAAAA&#10;">
                        <v:fill on="f" focussize="0,0"/>
                        <v:stroke color="#000000" joinstyle="round" dashstyle="dash" endarrow="block"/>
                        <v:imagedata o:title=""/>
                        <o:lock v:ext="edit" aspectratio="f"/>
                      </v:line>
                      <v:shape id="文本框 74" o:spid="_x0000_s1026" o:spt="202" type="#_x0000_t202" style="position:absolute;left:3297359;top:1265592;height:334709;width:932304;" filled="f" stroked="t" coordsize="21600,21600" o:gfxdata="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rO34NcAAAAJAQAADwAAAAAAAAAB&#10;ACAAAAAiAAAAZHJzL2Rvd25yZXYueG1sUEsBAhQAFAAAAAgAh07iQIc1rbYRAgAAGgQAAA4AAAAA&#10;AAAAAQAgAAAAJgEAAGRycy9lMm9Eb2MueG1sUEsFBgAAAAAGAAYAWQEAAKkFAAAAAA==&#10;">
                        <v:fill on="f" focussize="0,0"/>
                        <v:stroke color="#000000" joinstyle="miter"/>
                        <v:imagedata o:title=""/>
                        <o:lock v:ext="edit" aspectratio="f"/>
                        <v:textbox>
                          <w:txbxContent>
                            <w:p>
                              <w:pPr>
                                <w:jc w:val="center"/>
                              </w:pPr>
                              <w:r>
                                <w:rPr>
                                  <w:rFonts w:hint="eastAsia"/>
                                </w:rPr>
                                <w:t>设备清洗</w:t>
                              </w:r>
                            </w:p>
                          </w:txbxContent>
                        </v:textbox>
                      </v:shape>
                      <v:shape id="文本框 75" o:spid="_x0000_s1026" o:spt="202" type="#_x0000_t202" style="position:absolute;left:3153830;top:2021386;height:334709;width:1160299;" filled="f" stroked="t" coordsize="21600,21600" o:gfxdata="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Cs7fg1wAAAAkBAAAPAAAAAAAA&#10;AAEAIAAAACIAAABkcnMvZG93bnJldi54bWxQSwECFAAUAAAACACHTuJA9RIT7xMCAAAbBAAADgAA&#10;AAAAAAABACAAAAAmAQAAZHJzL2Uyb0RvYy54bWxQSwUGAAAAAAYABgBZAQAAqwUAAAAA&#10;">
                        <v:fill on="f" focussize="0,0"/>
                        <v:stroke color="#000000" joinstyle="miter"/>
                        <v:imagedata o:title=""/>
                        <o:lock v:ext="edit" aspectratio="f"/>
                        <v:textbox>
                          <w:txbxContent>
                            <w:p>
                              <w:pPr>
                                <w:jc w:val="center"/>
                                <w:rPr>
                                  <w:color w:val="000000"/>
                                  <w:szCs w:val="21"/>
                                </w:rPr>
                              </w:pPr>
                              <w:r>
                                <w:rPr>
                                  <w:rFonts w:hint="eastAsia" w:hAnsi="宋体"/>
                                  <w:bCs/>
                                  <w:color w:val="000000"/>
                                  <w:szCs w:val="21"/>
                                </w:rPr>
                                <w:t>生活污水收集池</w:t>
                              </w:r>
                            </w:p>
                          </w:txbxContent>
                        </v:textbox>
                      </v:shape>
                      <v:line id="直接连接符 76" o:spid="_x0000_s1026" o:spt="20" style="position:absolute;left:3714609;top:1615544;height:396315;width:635;" filled="f" stroked="t" coordsize="21600,21600" o:gfxdata="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&#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rPmKXaAAAACQEAAA8AAAAAAAAAAQAgAAAAIgAAAGRy&#10;cy9kb3ducmV2LnhtbFBLAQIUABQAAAAIAIdO4kAOBXEkAwIAAOsDAAAOAAAAAAAAAAEAIAAAACkB&#10;AABkcnMvZTJvRG9jLnhtbFBLBQYAAAAABgAGAFkBAACeBQAAAAA=&#10;">
                        <v:fill on="f" focussize="0,0"/>
                        <v:stroke color="#000000" joinstyle="round" endarrow="block"/>
                        <v:imagedata o:title=""/>
                        <o:lock v:ext="edit" aspectratio="f"/>
                      </v:line>
                      <v:shape id="文本框 78" o:spid="_x0000_s1026" o:spt="202" type="#_x0000_t202" style="position:absolute;left:3325303;top:2761302;height:334709;width:798936;" filled="f" stroked="t" coordsize="21600,21600" o:gfxdata="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rO34NcAAAAJAQAADwAAAAAAAAAB&#10;ACAAAAAiAAAAZHJzL2Rvd25yZXYueG1sUEsBAhQAFAAAAAgAh07iQAi77xYRAgAAGgQAAA4AAAAA&#10;AAAAAQAgAAAAJgEAAGRycy9lMm9Eb2MueG1sUEsFBgAAAAAGAAYAWQEAAKkFAAAAAA==&#10;">
                        <v:fill on="f" focussize="0,0"/>
                        <v:stroke color="#000000" joinstyle="miter"/>
                        <v:imagedata o:title=""/>
                        <o:lock v:ext="edit" aspectratio="f"/>
                        <v:textbox>
                          <w:txbxContent>
                            <w:p>
                              <w:pPr>
                                <w:jc w:val="center"/>
                              </w:pPr>
                              <w:r>
                                <w:rPr>
                                  <w:rFonts w:hint="eastAsia"/>
                                </w:rPr>
                                <w:t>施工人员</w:t>
                              </w:r>
                            </w:p>
                          </w:txbxContent>
                        </v:textbox>
                      </v:shape>
                      <v:shape id="文本框 79" o:spid="_x0000_s1026" o:spt="202" type="#_x0000_t202" style="position:absolute;left:3685395;top:1647935;height:297236;width:828785;" filled="f" stroked="f" coordsize="21600,21600" o:gfxdata="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g3VY21wAAAAkBAAAPAAAAAAAAAAEAIAAAACIAAABkcnMvZG93bnJldi54bWxQSwECFAAU&#10;AAAACACHTuJAITtkB7kBAABbAwAADgAAAAAAAAABACAAAAAmAQAAZHJzL2Uyb0RvYy54bWxQSwUG&#10;AAAAAAYABgBZAQAAUQUAAAAA&#10;">
                        <v:fill on="f" focussize="0,0"/>
                        <v:stroke on="f"/>
                        <v:imagedata o:title=""/>
                        <o:lock v:ext="edit" aspectratio="f"/>
                        <v:textbox>
                          <w:txbxContent>
                            <w:p>
                              <w:pPr>
                                <w:jc w:val="center"/>
                              </w:pPr>
                              <w:r>
                                <w:rPr>
                                  <w:rFonts w:hint="eastAsia"/>
                                </w:rPr>
                                <w:t>清洗废水</w:t>
                              </w:r>
                            </w:p>
                          </w:txbxContent>
                        </v:textbox>
                      </v:shape>
                      <v:shape id="文本框 80" o:spid="_x0000_s1026" o:spt="202" type="#_x0000_t202" style="position:absolute;left:3488519;top:2395472;height:297236;width:930399;" filled="f" stroked="f" coordsize="21600,21600" o:gfxdata="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g3VY21wAAAAkBAAAPAAAAAAAAAAEAIAAAACIAAABkcnMvZG93bnJldi54bWxQSwECFAAU&#10;AAAACACHTuJAsS2VSrkBAABbAwAADgAAAAAAAAABACAAAAAmAQAAZHJzL2Uyb0RvYy54bWxQSwUG&#10;AAAAAAYABgBZAQAAUQUAAAAA&#10;">
                        <v:fill on="f" focussize="0,0"/>
                        <v:stroke on="f"/>
                        <v:imagedata o:title=""/>
                        <o:lock v:ext="edit" aspectratio="f"/>
                        <v:textbox>
                          <w:txbxContent>
                            <w:p>
                              <w:pPr>
                                <w:jc w:val="center"/>
                              </w:pPr>
                              <w:r>
                                <w:rPr>
                                  <w:rFonts w:hint="eastAsia"/>
                                </w:rPr>
                                <w:t>污水</w:t>
                              </w:r>
                            </w:p>
                          </w:txbxContent>
                        </v:textbox>
                      </v:shape>
                      <v:line id="直接连接符 81" o:spid="_x0000_s1026" o:spt="20" style="position:absolute;left:2943617;top:912465;flip:y;height:8892;width:363903;" filled="f" stroked="t" coordsize="21600,21600" o:gfxdata="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67fGu2gAAAAkBAAAPAAAAAAAAAAEA&#10;IAAAACIAAABkcnMvZG93bnJldi54bWxQSwECFAAUAAAACACHTuJAtkhEjQ0CAAD1AwAADgAAAAAA&#10;AAABACAAAAApAQAAZHJzL2Uyb0RvYy54bWxQSwUGAAAAAAYABgBZAQAAqAUAAAAA&#10;">
                        <v:fill on="f" focussize="0,0"/>
                        <v:stroke color="#000000" joinstyle="round" endarrow="block"/>
                        <v:imagedata o:title=""/>
                        <o:lock v:ext="edit" aspectratio="f"/>
                      </v:line>
                      <v:shape id="文本框 82" o:spid="_x0000_s1026" o:spt="202" type="#_x0000_t202" style="position:absolute;left:3307520;top:728915;height:323276;width:932304;" filled="f" stroked="t" coordsize="21600,21600" o:gfxdata="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Cs7fg1wAAAAkBAAAPAAAAAAAAAAEA&#10;IAAAACIAAABkcnMvZG93bnJldi54bWxQSwECFAAUAAAACACHTuJAmJ2WSBACAAAZBAAADgAAAAAA&#10;AAABACAAAAAmAQAAZHJzL2Uyb0RvYy54bWxQSwUGAAAAAAYABgBZAQAAqAUAAAAA&#10;">
                        <v:fill on="f" focussize="0,0"/>
                        <v:stroke color="#000000" joinstyle="miter"/>
                        <v:imagedata o:title=""/>
                        <o:lock v:ext="edit" aspectratio="f"/>
                        <v:textbox>
                          <w:txbxContent>
                            <w:p>
                              <w:pPr>
                                <w:jc w:val="center"/>
                              </w:pPr>
                              <w:r>
                                <w:rPr>
                                  <w:rFonts w:hint="eastAsia"/>
                                </w:rPr>
                                <w:t>设备安装</w:t>
                              </w:r>
                            </w:p>
                          </w:txbxContent>
                        </v:textbox>
                      </v:shape>
                      <v:line id="直接连接符 88" o:spid="_x0000_s1026" o:spt="20" style="position:absolute;left:3789549;top:1041395;height:228643;width:0;" filled="f" stroked="t" coordsize="21600,21600" o:gfxdata="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az5il2gAAAAkBAAAPAAAAAAAAAAEAIAAAACIAAABkcnMv&#10;ZG93bnJldi54bWxQSwECFAAUAAAACACHTuJAdWNOwgECAADpAwAADgAAAAAAAAABACAAAAApAQAA&#10;ZHJzL2Uyb0RvYy54bWxQSwUGAAAAAAYABgBZAQAAnAUAAAAA&#10;">
                        <v:fill on="f" focussize="0,0"/>
                        <v:stroke color="#000000" joinstyle="round" endarrow="block"/>
                        <v:imagedata o:title=""/>
                        <o:lock v:ext="edit" aspectratio="f"/>
                      </v:line>
                      <v:line id="直接连接符 89" o:spid="_x0000_s1026" o:spt="20" style="position:absolute;left:2732769;top:2949932;flip:x y;height:5716;width:589994;" filled="f" stroked="t" coordsize="21600,21600" o:gfxdata="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0m20utkAAAAJAQAADwAAAAAA&#10;AAABACAAAAAiAAAAZHJzL2Rvd25yZXYueG1sUEsBAhQAFAAAAAgAh07iQIMA8YsSAgAAAAQAAA4A&#10;AAAAAAAAAQAgAAAAKAEAAGRycy9lMm9Eb2MueG1sUEsFBgAAAAAGAAYAWQEAAKwFAAAAAA==&#10;">
                        <v:fill on="f" focussize="0,0"/>
                        <v:stroke color="#000000" joinstyle="round" endarrow="block"/>
                        <v:imagedata o:title=""/>
                        <o:lock v:ext="edit" aspectratio="f"/>
                      </v:line>
                      <v:shape id="文本框 90" o:spid="_x0000_s1026" o:spt="202" type="#_x0000_t202" style="position:absolute;left:1694180;top:2678850;height:529590;width:1057275;" filled="f" stroked="t" coordsize="21600,21600" o:gfxdata="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qaPd21wAAAAkBAAAPAAAAAAAAAAEA&#10;IAAAACIAAABkcnMvZG93bnJldi54bWxQSwECFAAUAAAACACHTuJAV2KU/BACAAAcBAAADgAAAAAA&#10;AAABACAAAAAmAQAAZHJzL2Uyb0RvYy54bWxQSwUGAAAAAAYABgBZAQAAqAUAAAAA&#10;">
                        <v:fill on="f" focussize="0,0"/>
                        <v:stroke weight="1pt" color="#000000 [3213]" joinstyle="miter"/>
                        <v:imagedata o:title=""/>
                        <o:lock v:ext="edit" aspectratio="f"/>
                        <v:textbox>
                          <w:txbxContent>
                            <w:p>
                              <w:pPr>
                                <w:jc w:val="center"/>
                                <w:rPr>
                                  <w:szCs w:val="21"/>
                                </w:rPr>
                              </w:pPr>
                              <w:r>
                                <w:rPr>
                                  <w:rFonts w:hint="eastAsia"/>
                                  <w:color w:val="000000"/>
                                  <w:szCs w:val="21"/>
                                </w:rPr>
                                <w:t>委托环卫部门清运</w:t>
                              </w:r>
                            </w:p>
                            <w:p/>
                          </w:txbxContent>
                        </v:textbox>
                      </v:shape>
                      <v:shape id="文本框 67" o:spid="_x0000_s1026" o:spt="202" type="#_x0000_t202" style="position:absolute;left:2589530;top:2919515;height:304800;width:915035;" filled="f" stroked="f" coordsize="21600,21600" o:gfxdata="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DdVjbXAAAACQEAAA8AAAAAAAAAAQAgAAAAIgAAAGRycy9kb3ducmV2LnhtbFBLAQIU&#10;ABQAAAAIAIdO4kDUETQSuwEAAFsDAAAOAAAAAAAAAAEAIAAAACYBAABkcnMvZTJvRG9jLnhtbFBL&#10;BQYAAAAABgAGAFkBAABTBQAAAAA=&#10;">
                        <v:fill on="f" focussize="0,0"/>
                        <v:stroke on="f"/>
                        <v:imagedata o:title=""/>
                        <o:lock v:ext="edit" aspectratio="f"/>
                        <v:textbox>
                          <w:txbxContent>
                            <w:p>
                              <w:pPr>
                                <w:jc w:val="center"/>
                              </w:pPr>
                              <w:r>
                                <w:rPr>
                                  <w:rFonts w:hint="eastAsia"/>
                                </w:rPr>
                                <w:t>生活垃圾</w:t>
                              </w:r>
                            </w:p>
                          </w:txbxContent>
                        </v:textbox>
                      </v:shape>
                      <w10:wrap type="topAndBottom"/>
                    </v:group>
                  </w:pict>
                </mc:Fallback>
              </mc:AlternateContent>
            </w:r>
          </w:p>
          <w:p>
            <w:pPr>
              <w:adjustRightInd w:val="0"/>
              <w:snapToGrid w:val="0"/>
              <w:spacing w:line="360" w:lineRule="auto"/>
              <w:jc w:val="center"/>
              <w:rPr>
                <w:b/>
                <w:bCs/>
                <w:sz w:val="24"/>
              </w:rPr>
            </w:pPr>
            <w:r>
              <w:rPr>
                <w:b/>
                <w:bCs/>
                <w:sz w:val="24"/>
              </w:rPr>
              <w:t>图2-1  施工期工艺流程及产污环节图</w:t>
            </w:r>
          </w:p>
          <w:p>
            <w:pPr>
              <w:spacing w:line="360" w:lineRule="auto"/>
              <w:ind w:firstLine="480" w:firstLineChars="200"/>
              <w:rPr>
                <w:rFonts w:eastAsiaTheme="minorEastAsia"/>
                <w:sz w:val="24"/>
              </w:rPr>
            </w:pPr>
            <w:r>
              <w:rPr>
                <w:rFonts w:eastAsiaTheme="minorEastAsia"/>
                <w:sz w:val="24"/>
              </w:rPr>
              <w:t>a.施工方式：基础建设采取基沟开挖；基沟开挖土方就地回填和用作绿化覆土；道路为水泥路面，采用商品混凝土，施工场地内不设置混凝土搅拌场地。</w:t>
            </w:r>
          </w:p>
          <w:p>
            <w:pPr>
              <w:spacing w:line="360" w:lineRule="auto"/>
              <w:ind w:firstLine="480" w:firstLineChars="200"/>
              <w:rPr>
                <w:rFonts w:eastAsiaTheme="minorEastAsia"/>
                <w:sz w:val="24"/>
              </w:rPr>
            </w:pPr>
            <w:r>
              <w:rPr>
                <w:rFonts w:eastAsiaTheme="minorEastAsia"/>
                <w:sz w:val="24"/>
              </w:rPr>
              <w:t>b.施工场地布置：项目施工场地设置临时施工营地，主要用于值班及施工管理，施工人员为附近村民，不在施工场地内住宿，不设食堂。公厕依托周边村民小组。</w:t>
            </w:r>
          </w:p>
          <w:p>
            <w:pPr>
              <w:spacing w:line="360" w:lineRule="auto"/>
              <w:ind w:firstLine="480" w:firstLineChars="200"/>
              <w:rPr>
                <w:rFonts w:eastAsiaTheme="minorEastAsia"/>
                <w:sz w:val="24"/>
              </w:rPr>
            </w:pPr>
            <w:r>
              <w:rPr>
                <w:rFonts w:eastAsiaTheme="minorEastAsia"/>
                <w:sz w:val="24"/>
              </w:rPr>
              <w:t>c.施工设备：主要为挖掘机、推土机、振捣器、电焊机、运输车辆等。</w:t>
            </w:r>
          </w:p>
          <w:p>
            <w:pPr>
              <w:spacing w:line="360" w:lineRule="auto"/>
              <w:ind w:firstLine="480" w:firstLineChars="200"/>
              <w:rPr>
                <w:rFonts w:eastAsiaTheme="minorEastAsia"/>
                <w:sz w:val="24"/>
              </w:rPr>
            </w:pPr>
            <w:r>
              <w:rPr>
                <w:rFonts w:eastAsiaTheme="minorEastAsia"/>
                <w:sz w:val="24"/>
              </w:rPr>
              <w:t>d.施工材料：项目建设所需使用的混凝土就地人工搅拌，搅拌时尽量避开大风天气。</w:t>
            </w:r>
          </w:p>
          <w:p>
            <w:pPr>
              <w:spacing w:line="360" w:lineRule="auto"/>
              <w:ind w:firstLine="480" w:firstLineChars="200"/>
              <w:rPr>
                <w:rFonts w:eastAsiaTheme="minorEastAsia"/>
                <w:sz w:val="24"/>
              </w:rPr>
            </w:pPr>
            <w:r>
              <w:rPr>
                <w:rFonts w:eastAsiaTheme="minorEastAsia"/>
                <w:sz w:val="24"/>
              </w:rPr>
              <w:t>e.施工人数及施工时间：本项目施工期为5个月，于2023年7月开工，12月完工，施工期平均施工人数为25人/d。施工人员多为附近村民，均不在场地内食宿。</w:t>
            </w:r>
          </w:p>
          <w:p>
            <w:pPr>
              <w:spacing w:line="360" w:lineRule="auto"/>
              <w:ind w:firstLine="480" w:firstLineChars="200"/>
              <w:rPr>
                <w:rFonts w:eastAsiaTheme="minorEastAsia"/>
                <w:sz w:val="24"/>
              </w:rPr>
            </w:pPr>
            <w:r>
              <w:rPr>
                <w:rFonts w:eastAsiaTheme="minorEastAsia"/>
                <w:sz w:val="24"/>
              </w:rPr>
              <w:t>f.施工道路：本项目施工场地出入口设置在项目东面，依托现有乡间道路，无须新修进场道路。</w:t>
            </w:r>
          </w:p>
          <w:p>
            <w:pPr>
              <w:spacing w:line="360" w:lineRule="auto"/>
              <w:ind w:firstLine="240" w:firstLineChars="100"/>
              <w:rPr>
                <w:rFonts w:eastAsiaTheme="minorEastAsia"/>
                <w:sz w:val="24"/>
              </w:rPr>
            </w:pPr>
            <w:r>
              <w:rPr>
                <w:rFonts w:eastAsiaTheme="minorEastAsia"/>
                <w:sz w:val="24"/>
              </w:rPr>
              <w:t>（二）施工期污染工序及源强分析</w:t>
            </w:r>
          </w:p>
          <w:p>
            <w:pPr>
              <w:spacing w:line="360" w:lineRule="auto"/>
              <w:ind w:firstLine="480" w:firstLineChars="200"/>
              <w:rPr>
                <w:rFonts w:eastAsiaTheme="minorEastAsia"/>
                <w:sz w:val="24"/>
              </w:rPr>
            </w:pPr>
            <w:r>
              <w:rPr>
                <w:rFonts w:eastAsiaTheme="minorEastAsia"/>
                <w:sz w:val="24"/>
              </w:rPr>
              <w:t>本项目施工期产生的污染物主要为废气、废水、噪声及固体废物。</w:t>
            </w:r>
          </w:p>
          <w:p>
            <w:pPr>
              <w:spacing w:line="360" w:lineRule="auto"/>
              <w:ind w:firstLine="480" w:firstLineChars="200"/>
              <w:rPr>
                <w:rFonts w:eastAsiaTheme="minorEastAsia"/>
                <w:sz w:val="24"/>
              </w:rPr>
            </w:pPr>
            <w:r>
              <w:rPr>
                <w:rFonts w:eastAsiaTheme="minorEastAsia"/>
                <w:sz w:val="24"/>
              </w:rPr>
              <w:t>1.废气</w:t>
            </w:r>
          </w:p>
          <w:p>
            <w:pPr>
              <w:spacing w:line="360" w:lineRule="auto"/>
              <w:ind w:firstLine="480" w:firstLineChars="200"/>
              <w:rPr>
                <w:rFonts w:eastAsiaTheme="minorEastAsia"/>
                <w:sz w:val="24"/>
              </w:rPr>
            </w:pPr>
            <w:r>
              <w:rPr>
                <w:rFonts w:eastAsiaTheme="minorEastAsia"/>
                <w:sz w:val="24"/>
              </w:rPr>
              <w:t>施工期空气污染物主要是施工扬尘，主要为运输车辆装卸材料和行驶时产生的扬尘，设备、材料等的现场搬运及堆放时产生的扬尘，施工场地清理的扬尘，人来车往造成的现场道路扬尘。本项目蓄水池建设以及土地平整时会开挖地表，但施工简单且施工量较少，施工扬尘产生量较小，为无组织排放。</w:t>
            </w:r>
          </w:p>
          <w:p>
            <w:pPr>
              <w:spacing w:line="360" w:lineRule="auto"/>
              <w:ind w:firstLine="480" w:firstLineChars="200"/>
              <w:rPr>
                <w:rFonts w:eastAsiaTheme="minorEastAsia"/>
                <w:sz w:val="24"/>
              </w:rPr>
            </w:pPr>
            <w:r>
              <w:rPr>
                <w:rFonts w:eastAsiaTheme="minorEastAsia"/>
                <w:sz w:val="24"/>
              </w:rPr>
              <w:t>此外，设备安装过程中，使用电焊等会产生焊接废气，材料、设备运输车辆会排放一定量的CO、NOx以及未完全燃烧的HC等，特点是排放量小，且属间断性无组织排放。</w:t>
            </w:r>
          </w:p>
          <w:p>
            <w:pPr>
              <w:spacing w:line="360" w:lineRule="auto"/>
              <w:ind w:firstLine="480" w:firstLineChars="200"/>
              <w:rPr>
                <w:rFonts w:eastAsiaTheme="minorEastAsia"/>
                <w:sz w:val="24"/>
              </w:rPr>
            </w:pPr>
            <w:r>
              <w:rPr>
                <w:rFonts w:eastAsiaTheme="minorEastAsia"/>
                <w:sz w:val="24"/>
              </w:rPr>
              <w:t>2.废水</w:t>
            </w:r>
          </w:p>
          <w:p>
            <w:pPr>
              <w:spacing w:line="360" w:lineRule="auto"/>
              <w:ind w:firstLine="480" w:firstLineChars="200"/>
              <w:rPr>
                <w:rFonts w:eastAsiaTheme="minorEastAsia"/>
                <w:sz w:val="24"/>
              </w:rPr>
            </w:pPr>
            <w:r>
              <w:rPr>
                <w:rFonts w:eastAsiaTheme="minorEastAsia"/>
                <w:sz w:val="24"/>
              </w:rPr>
              <w:fldChar w:fldCharType="begin"/>
            </w:r>
            <w:r>
              <w:rPr>
                <w:rFonts w:eastAsiaTheme="minorEastAsia"/>
                <w:sz w:val="24"/>
              </w:rPr>
              <w:instrText xml:space="preserve"> = 1 \* GB3 </w:instrText>
            </w:r>
            <w:r>
              <w:rPr>
                <w:rFonts w:eastAsiaTheme="minorEastAsia"/>
                <w:sz w:val="24"/>
              </w:rPr>
              <w:fldChar w:fldCharType="separate"/>
            </w:r>
            <w:r>
              <w:rPr>
                <w:rFonts w:hint="eastAsia" w:ascii="宋体" w:hAnsi="宋体" w:cs="宋体"/>
                <w:sz w:val="24"/>
              </w:rPr>
              <w:t>①</w:t>
            </w:r>
            <w:r>
              <w:rPr>
                <w:rFonts w:eastAsiaTheme="minorEastAsia"/>
                <w:sz w:val="24"/>
              </w:rPr>
              <w:fldChar w:fldCharType="end"/>
            </w:r>
            <w:r>
              <w:rPr>
                <w:rFonts w:eastAsiaTheme="minorEastAsia"/>
                <w:sz w:val="24"/>
              </w:rPr>
              <w:t>由于施工人员均不在建设场地食宿，且公厕依托周边村委会。产生的废水只是少量的清洁废水，主要污染物为SS、CODcr、BOD</w:t>
            </w:r>
            <w:r>
              <w:rPr>
                <w:rFonts w:eastAsiaTheme="minorEastAsia"/>
                <w:sz w:val="24"/>
                <w:vertAlign w:val="subscript"/>
              </w:rPr>
              <w:t>5</w:t>
            </w:r>
            <w:r>
              <w:rPr>
                <w:rFonts w:eastAsiaTheme="minorEastAsia"/>
                <w:sz w:val="24"/>
              </w:rPr>
              <w:t>、NH</w:t>
            </w:r>
            <w:r>
              <w:rPr>
                <w:rFonts w:eastAsiaTheme="minorEastAsia"/>
                <w:sz w:val="24"/>
                <w:vertAlign w:val="subscript"/>
              </w:rPr>
              <w:t>3</w:t>
            </w:r>
            <w:r>
              <w:rPr>
                <w:rFonts w:eastAsiaTheme="minorEastAsia"/>
                <w:sz w:val="24"/>
              </w:rPr>
              <w:t>-N。施工人员生活用水量按20L/人·d计，施工人员按25人/d算，施工期的用水量0.5m</w:t>
            </w:r>
            <w:r>
              <w:rPr>
                <w:rFonts w:eastAsiaTheme="minorEastAsia"/>
                <w:sz w:val="24"/>
                <w:vertAlign w:val="superscript"/>
              </w:rPr>
              <w:t>3</w:t>
            </w:r>
            <w:r>
              <w:rPr>
                <w:rFonts w:eastAsiaTheme="minorEastAsia"/>
                <w:sz w:val="24"/>
              </w:rPr>
              <w:t>/d，生活污水量按用水量的80%计，污水量为0.4m</w:t>
            </w:r>
            <w:r>
              <w:rPr>
                <w:rFonts w:eastAsiaTheme="minorEastAsia"/>
                <w:sz w:val="24"/>
                <w:vertAlign w:val="superscript"/>
              </w:rPr>
              <w:t>3</w:t>
            </w:r>
            <w:r>
              <w:rPr>
                <w:rFonts w:eastAsiaTheme="minorEastAsia"/>
                <w:sz w:val="24"/>
              </w:rPr>
              <w:t>/d。</w:t>
            </w:r>
          </w:p>
          <w:p>
            <w:pPr>
              <w:spacing w:line="360" w:lineRule="auto"/>
              <w:ind w:firstLine="480" w:firstLineChars="200"/>
              <w:rPr>
                <w:rFonts w:eastAsiaTheme="minorEastAsia"/>
                <w:sz w:val="24"/>
              </w:rPr>
            </w:pPr>
            <w:r>
              <w:rPr>
                <w:rFonts w:eastAsiaTheme="minorEastAsia"/>
                <w:sz w:val="24"/>
              </w:rPr>
              <w:fldChar w:fldCharType="begin"/>
            </w:r>
            <w:r>
              <w:rPr>
                <w:rFonts w:eastAsiaTheme="minorEastAsia"/>
                <w:sz w:val="24"/>
              </w:rPr>
              <w:instrText xml:space="preserve"> = 2 \* GB3 </w:instrText>
            </w:r>
            <w:r>
              <w:rPr>
                <w:rFonts w:eastAsiaTheme="minorEastAsia"/>
                <w:sz w:val="24"/>
              </w:rPr>
              <w:fldChar w:fldCharType="separate"/>
            </w:r>
            <w:r>
              <w:rPr>
                <w:rFonts w:hint="eastAsia" w:ascii="宋体" w:hAnsi="宋体" w:cs="宋体"/>
                <w:sz w:val="24"/>
              </w:rPr>
              <w:t>②</w:t>
            </w:r>
            <w:r>
              <w:rPr>
                <w:rFonts w:eastAsiaTheme="minorEastAsia"/>
                <w:sz w:val="24"/>
              </w:rPr>
              <w:fldChar w:fldCharType="end"/>
            </w:r>
            <w:r>
              <w:rPr>
                <w:rFonts w:eastAsiaTheme="minorEastAsia"/>
                <w:sz w:val="24"/>
              </w:rPr>
              <w:t>施工废水</w:t>
            </w:r>
          </w:p>
          <w:p>
            <w:pPr>
              <w:spacing w:line="360" w:lineRule="auto"/>
              <w:ind w:firstLine="480" w:firstLineChars="200"/>
              <w:rPr>
                <w:rFonts w:eastAsiaTheme="minorEastAsia"/>
                <w:sz w:val="24"/>
              </w:rPr>
            </w:pPr>
            <w:r>
              <w:rPr>
                <w:rFonts w:eastAsiaTheme="minorEastAsia"/>
                <w:sz w:val="24"/>
              </w:rPr>
              <w:t>施工废水主要为混凝土养护及设备清洗废水，主要污染物为SS。类比同类项目，项目施工期废水产生量约为1.5m</w:t>
            </w:r>
            <w:r>
              <w:rPr>
                <w:rFonts w:eastAsiaTheme="minorEastAsia"/>
                <w:sz w:val="24"/>
                <w:vertAlign w:val="superscript"/>
              </w:rPr>
              <w:t>3</w:t>
            </w:r>
            <w:r>
              <w:rPr>
                <w:rFonts w:eastAsiaTheme="minorEastAsia"/>
                <w:sz w:val="24"/>
              </w:rPr>
              <w:t>/d。</w:t>
            </w:r>
          </w:p>
          <w:p>
            <w:pPr>
              <w:spacing w:line="360" w:lineRule="auto"/>
              <w:ind w:firstLine="480" w:firstLineChars="200"/>
              <w:rPr>
                <w:rFonts w:eastAsiaTheme="minorEastAsia"/>
                <w:sz w:val="24"/>
              </w:rPr>
            </w:pPr>
            <w:r>
              <w:rPr>
                <w:rFonts w:eastAsiaTheme="minorEastAsia"/>
                <w:sz w:val="24"/>
              </w:rPr>
              <w:t>施工期新建1个4 m</w:t>
            </w:r>
            <w:r>
              <w:rPr>
                <w:rFonts w:eastAsiaTheme="minorEastAsia"/>
                <w:sz w:val="24"/>
                <w:vertAlign w:val="superscript"/>
              </w:rPr>
              <w:t>3</w:t>
            </w:r>
            <w:r>
              <w:rPr>
                <w:rFonts w:eastAsiaTheme="minorEastAsia"/>
                <w:sz w:val="24"/>
              </w:rPr>
              <w:t>的沉淀池，施工期生活污水，施工废水经沉淀池收集处理后用于施工场地及运输道路洒水降尘，不外排。</w:t>
            </w:r>
          </w:p>
          <w:p>
            <w:pPr>
              <w:spacing w:line="360" w:lineRule="auto"/>
              <w:ind w:firstLine="480" w:firstLineChars="200"/>
              <w:rPr>
                <w:rFonts w:eastAsiaTheme="minorEastAsia"/>
                <w:sz w:val="24"/>
              </w:rPr>
            </w:pPr>
            <w:r>
              <w:rPr>
                <w:rFonts w:eastAsiaTheme="minorEastAsia"/>
                <w:sz w:val="24"/>
              </w:rPr>
              <w:t>3.噪声</w:t>
            </w:r>
          </w:p>
          <w:p>
            <w:pPr>
              <w:spacing w:line="360" w:lineRule="auto"/>
              <w:ind w:firstLine="480" w:firstLineChars="200"/>
              <w:rPr>
                <w:rFonts w:eastAsiaTheme="minorEastAsia"/>
                <w:sz w:val="24"/>
              </w:rPr>
            </w:pPr>
            <w:r>
              <w:rPr>
                <w:rFonts w:eastAsiaTheme="minorEastAsia"/>
                <w:sz w:val="24"/>
              </w:rPr>
              <w:t>施工期的噪声主要来自施工现场的各类机械设备及运输车辆等。各施工阶段主要施工机械及运输车辆噪声强度见表2-9。</w:t>
            </w:r>
          </w:p>
          <w:p>
            <w:pPr>
              <w:spacing w:line="360" w:lineRule="auto"/>
              <w:ind w:firstLine="482" w:firstLineChars="200"/>
              <w:jc w:val="center"/>
              <w:rPr>
                <w:b/>
                <w:bCs/>
                <w:sz w:val="24"/>
              </w:rPr>
            </w:pPr>
            <w:bookmarkStart w:id="219" w:name="_Ref475282284"/>
            <w:r>
              <w:rPr>
                <w:b/>
                <w:bCs/>
                <w:sz w:val="24"/>
              </w:rPr>
              <w:t>表</w:t>
            </w:r>
            <w:bookmarkEnd w:id="219"/>
            <w:r>
              <w:rPr>
                <w:b/>
                <w:bCs/>
                <w:sz w:val="24"/>
              </w:rPr>
              <w:t>2-9  主要施工机械设备的噪声声级表</w:t>
            </w:r>
          </w:p>
          <w:tbl>
            <w:tblPr>
              <w:tblStyle w:val="2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6"/>
              <w:gridCol w:w="3550"/>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8" w:type="pct"/>
                  <w:vAlign w:val="center"/>
                </w:tcPr>
                <w:p>
                  <w:pPr>
                    <w:jc w:val="center"/>
                    <w:rPr>
                      <w:b/>
                      <w:bCs/>
                    </w:rPr>
                  </w:pPr>
                  <w:r>
                    <w:rPr>
                      <w:b/>
                      <w:bCs/>
                    </w:rPr>
                    <w:t>序号</w:t>
                  </w:r>
                </w:p>
              </w:tc>
              <w:tc>
                <w:tcPr>
                  <w:tcW w:w="2034" w:type="pct"/>
                  <w:vAlign w:val="center"/>
                </w:tcPr>
                <w:p>
                  <w:pPr>
                    <w:jc w:val="center"/>
                    <w:rPr>
                      <w:b/>
                      <w:bCs/>
                    </w:rPr>
                  </w:pPr>
                  <w:r>
                    <w:rPr>
                      <w:b/>
                      <w:bCs/>
                    </w:rPr>
                    <w:t>声源</w:t>
                  </w:r>
                </w:p>
              </w:tc>
              <w:tc>
                <w:tcPr>
                  <w:tcW w:w="1666" w:type="pct"/>
                  <w:vAlign w:val="center"/>
                </w:tcPr>
                <w:p>
                  <w:pPr>
                    <w:jc w:val="center"/>
                    <w:rPr>
                      <w:b/>
                      <w:bCs/>
                    </w:rPr>
                  </w:pPr>
                  <w:r>
                    <w:rPr>
                      <w:b/>
                      <w:bCs/>
                    </w:rPr>
                    <w:t>噪声级（距声源10m）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8" w:type="pct"/>
                  <w:vAlign w:val="center"/>
                </w:tcPr>
                <w:p>
                  <w:pPr>
                    <w:jc w:val="center"/>
                  </w:pPr>
                  <w:r>
                    <w:t>1</w:t>
                  </w:r>
                </w:p>
              </w:tc>
              <w:tc>
                <w:tcPr>
                  <w:tcW w:w="2034" w:type="pct"/>
                  <w:vAlign w:val="center"/>
                </w:tcPr>
                <w:p>
                  <w:pPr>
                    <w:jc w:val="center"/>
                  </w:pPr>
                  <w:r>
                    <w:t>推土机</w:t>
                  </w:r>
                </w:p>
              </w:tc>
              <w:tc>
                <w:tcPr>
                  <w:tcW w:w="1666" w:type="pct"/>
                  <w:vAlign w:val="center"/>
                </w:tcPr>
                <w:p>
                  <w:pPr>
                    <w:jc w:val="center"/>
                  </w:pPr>
                  <w:r>
                    <w:t>80-85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8" w:type="pct"/>
                  <w:vAlign w:val="center"/>
                </w:tcPr>
                <w:p>
                  <w:pPr>
                    <w:jc w:val="center"/>
                  </w:pPr>
                  <w:r>
                    <w:t>2</w:t>
                  </w:r>
                </w:p>
              </w:tc>
              <w:tc>
                <w:tcPr>
                  <w:tcW w:w="2034" w:type="pct"/>
                  <w:vAlign w:val="center"/>
                </w:tcPr>
                <w:p>
                  <w:pPr>
                    <w:jc w:val="center"/>
                  </w:pPr>
                  <w:r>
                    <w:t>挖掘机</w:t>
                  </w:r>
                </w:p>
              </w:tc>
              <w:tc>
                <w:tcPr>
                  <w:tcW w:w="1666" w:type="pct"/>
                  <w:vAlign w:val="center"/>
                </w:tcPr>
                <w:p>
                  <w:pPr>
                    <w:jc w:val="center"/>
                  </w:pPr>
                  <w:r>
                    <w:t>75-83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8" w:type="pct"/>
                  <w:vAlign w:val="center"/>
                </w:tcPr>
                <w:p>
                  <w:pPr>
                    <w:jc w:val="center"/>
                  </w:pPr>
                  <w:r>
                    <w:t>3</w:t>
                  </w:r>
                </w:p>
              </w:tc>
              <w:tc>
                <w:tcPr>
                  <w:tcW w:w="2034" w:type="pct"/>
                  <w:vAlign w:val="center"/>
                </w:tcPr>
                <w:p>
                  <w:pPr>
                    <w:jc w:val="center"/>
                  </w:pPr>
                  <w:r>
                    <w:t>空压机</w:t>
                  </w:r>
                </w:p>
              </w:tc>
              <w:tc>
                <w:tcPr>
                  <w:tcW w:w="1666" w:type="pct"/>
                  <w:vAlign w:val="center"/>
                </w:tcPr>
                <w:p>
                  <w:pPr>
                    <w:jc w:val="center"/>
                  </w:pPr>
                  <w:r>
                    <w:t>83-88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8" w:type="pct"/>
                  <w:vAlign w:val="center"/>
                </w:tcPr>
                <w:p>
                  <w:pPr>
                    <w:jc w:val="center"/>
                  </w:pPr>
                  <w:r>
                    <w:t>4</w:t>
                  </w:r>
                </w:p>
              </w:tc>
              <w:tc>
                <w:tcPr>
                  <w:tcW w:w="2034" w:type="pct"/>
                  <w:vAlign w:val="center"/>
                </w:tcPr>
                <w:p>
                  <w:pPr>
                    <w:jc w:val="center"/>
                  </w:pPr>
                  <w:r>
                    <w:t>电焊机</w:t>
                  </w:r>
                </w:p>
              </w:tc>
              <w:tc>
                <w:tcPr>
                  <w:tcW w:w="1666" w:type="pct"/>
                  <w:vAlign w:val="center"/>
                </w:tcPr>
                <w:p>
                  <w:pPr>
                    <w:jc w:val="center"/>
                  </w:pPr>
                  <w:r>
                    <w:t>80-85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8" w:type="pct"/>
                  <w:vAlign w:val="center"/>
                </w:tcPr>
                <w:p>
                  <w:pPr>
                    <w:jc w:val="center"/>
                  </w:pPr>
                  <w:r>
                    <w:t>5</w:t>
                  </w:r>
                </w:p>
              </w:tc>
              <w:tc>
                <w:tcPr>
                  <w:tcW w:w="2034" w:type="pct"/>
                  <w:vAlign w:val="center"/>
                </w:tcPr>
                <w:p>
                  <w:pPr>
                    <w:jc w:val="center"/>
                  </w:pPr>
                  <w:r>
                    <w:t>电钻、电锯、手工钻</w:t>
                  </w:r>
                </w:p>
              </w:tc>
              <w:tc>
                <w:tcPr>
                  <w:tcW w:w="1666" w:type="pct"/>
                  <w:vAlign w:val="center"/>
                </w:tcPr>
                <w:p>
                  <w:pPr>
                    <w:jc w:val="center"/>
                  </w:pPr>
                  <w:r>
                    <w:t>90-100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8" w:type="pct"/>
                  <w:vAlign w:val="center"/>
                </w:tcPr>
                <w:p>
                  <w:pPr>
                    <w:jc w:val="center"/>
                  </w:pPr>
                  <w:r>
                    <w:t>6</w:t>
                  </w:r>
                </w:p>
              </w:tc>
              <w:tc>
                <w:tcPr>
                  <w:tcW w:w="2034" w:type="pct"/>
                  <w:vAlign w:val="center"/>
                </w:tcPr>
                <w:p>
                  <w:pPr>
                    <w:jc w:val="center"/>
                  </w:pPr>
                  <w:r>
                    <w:t>运输车辆</w:t>
                  </w:r>
                </w:p>
              </w:tc>
              <w:tc>
                <w:tcPr>
                  <w:tcW w:w="1666" w:type="pct"/>
                  <w:vAlign w:val="center"/>
                </w:tcPr>
                <w:p>
                  <w:pPr>
                    <w:jc w:val="center"/>
                  </w:pPr>
                  <w:r>
                    <w:t>75-85</w:t>
                  </w:r>
                </w:p>
              </w:tc>
            </w:tr>
          </w:tbl>
          <w:p>
            <w:pPr>
              <w:spacing w:line="360" w:lineRule="auto"/>
              <w:ind w:firstLine="480" w:firstLineChars="200"/>
              <w:rPr>
                <w:sz w:val="24"/>
              </w:rPr>
            </w:pPr>
            <w:r>
              <w:rPr>
                <w:sz w:val="24"/>
              </w:rPr>
              <w:t>4.固体废物</w:t>
            </w:r>
          </w:p>
          <w:p>
            <w:pPr>
              <w:spacing w:line="360" w:lineRule="auto"/>
              <w:ind w:firstLine="480" w:firstLineChars="200"/>
              <w:rPr>
                <w:sz w:val="24"/>
              </w:rPr>
            </w:pPr>
            <w:r>
              <w:rPr>
                <w:sz w:val="24"/>
              </w:rPr>
              <w:t>施工期固废主要是建筑垃圾和工人生活垃圾。</w:t>
            </w:r>
          </w:p>
          <w:p>
            <w:pPr>
              <w:numPr>
                <w:ilvl w:val="0"/>
                <w:numId w:val="4"/>
              </w:numPr>
              <w:spacing w:line="360" w:lineRule="auto"/>
              <w:rPr>
                <w:sz w:val="24"/>
              </w:rPr>
            </w:pPr>
            <w:r>
              <w:rPr>
                <w:sz w:val="24"/>
              </w:rPr>
              <w:t>建筑垃圾</w:t>
            </w:r>
          </w:p>
          <w:p>
            <w:pPr>
              <w:spacing w:line="360" w:lineRule="auto"/>
              <w:ind w:firstLine="480" w:firstLineChars="200"/>
            </w:pPr>
            <w:r>
              <w:rPr>
                <w:sz w:val="24"/>
              </w:rPr>
              <w:t>项目施工过程中产生的建筑垃圾（如水泥袋、铁质弃料、废弃混凝土、废包装固废等），类比同类项目，产生量按1kg/m</w:t>
            </w:r>
            <w:r>
              <w:rPr>
                <w:sz w:val="24"/>
                <w:vertAlign w:val="superscript"/>
              </w:rPr>
              <w:t>2</w:t>
            </w:r>
            <w:r>
              <w:rPr>
                <w:sz w:val="24"/>
              </w:rPr>
              <w:t>计，建筑面积54700m</w:t>
            </w:r>
            <w:r>
              <w:rPr>
                <w:sz w:val="24"/>
                <w:vertAlign w:val="superscript"/>
              </w:rPr>
              <w:t>2</w:t>
            </w:r>
            <w:r>
              <w:rPr>
                <w:sz w:val="24"/>
              </w:rPr>
              <w:t>，施工期产生量约为54.7t，可利用的建筑垃圾回收利用，不可利用的部分（如废包装固废、水泥袋等）暂存于施工场地，待施工完毕后全部清运至垃圾堆放点堆放。</w:t>
            </w:r>
          </w:p>
          <w:p>
            <w:pPr>
              <w:numPr>
                <w:ilvl w:val="0"/>
                <w:numId w:val="4"/>
              </w:numPr>
              <w:spacing w:line="360" w:lineRule="auto"/>
              <w:rPr>
                <w:sz w:val="24"/>
              </w:rPr>
            </w:pPr>
            <w:r>
              <w:rPr>
                <w:sz w:val="24"/>
              </w:rPr>
              <w:t>生活垃圾</w:t>
            </w:r>
          </w:p>
          <w:p>
            <w:pPr>
              <w:spacing w:line="360" w:lineRule="auto"/>
              <w:ind w:firstLine="480" w:firstLineChars="200"/>
              <w:rPr>
                <w:sz w:val="24"/>
              </w:rPr>
            </w:pPr>
            <w:r>
              <w:rPr>
                <w:sz w:val="24"/>
              </w:rPr>
              <w:t>项目区内未设置施工营地，施工人员为附近村民，均不在施工场地食宿，根据《城镇生活源产排污系数手册》，生活垃圾的量为0.48kg/人.d，结合项目实际情况，按0.2kg/人·d计，施工人员为25人/d，则生活垃圾产生量为5kg/d，统一收集后委托环卫部门清运处置。</w:t>
            </w:r>
          </w:p>
          <w:p>
            <w:pPr>
              <w:spacing w:line="360" w:lineRule="auto"/>
              <w:ind w:firstLine="480" w:firstLineChars="200"/>
              <w:rPr>
                <w:sz w:val="24"/>
              </w:rPr>
            </w:pPr>
            <w:r>
              <w:rPr>
                <w:sz w:val="24"/>
              </w:rPr>
              <w:t>从上述产污节点说明可知，施工期环境污染问题主要是：扬尘、施工噪声、施工固废。这些污染几乎发生于整个施工期间，但不同的污染因子在不同的施工阶段产生的强度是不同的。</w:t>
            </w:r>
          </w:p>
          <w:p>
            <w:pPr>
              <w:pStyle w:val="13"/>
              <w:spacing w:line="360" w:lineRule="auto"/>
              <w:jc w:val="center"/>
              <w:rPr>
                <w:rFonts w:ascii="Times New Roman"/>
                <w:b/>
                <w:bCs/>
                <w:color w:val="auto"/>
              </w:rPr>
            </w:pPr>
            <w:r>
              <w:rPr>
                <w:rFonts w:ascii="Times New Roman"/>
                <w:b/>
                <w:bCs/>
                <w:color w:val="auto"/>
              </w:rPr>
              <w:t>表2-10 项目产污环节分析一览表（施工期）</w:t>
            </w:r>
          </w:p>
          <w:tbl>
            <w:tblPr>
              <w:tblStyle w:val="28"/>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779"/>
              <w:gridCol w:w="1326"/>
              <w:gridCol w:w="4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457" w:type="pct"/>
                  <w:gridSpan w:val="2"/>
                  <w:vAlign w:val="center"/>
                </w:tcPr>
                <w:p>
                  <w:pPr>
                    <w:pStyle w:val="13"/>
                    <w:jc w:val="center"/>
                    <w:rPr>
                      <w:rFonts w:ascii="Times New Roman"/>
                      <w:b/>
                      <w:color w:val="auto"/>
                      <w:sz w:val="21"/>
                      <w:szCs w:val="21"/>
                    </w:rPr>
                  </w:pPr>
                  <w:r>
                    <w:rPr>
                      <w:rFonts w:ascii="Times New Roman"/>
                      <w:b/>
                      <w:color w:val="auto"/>
                      <w:sz w:val="21"/>
                      <w:szCs w:val="21"/>
                    </w:rPr>
                    <w:t>污染物类型</w:t>
                  </w:r>
                </w:p>
              </w:tc>
              <w:tc>
                <w:tcPr>
                  <w:tcW w:w="750" w:type="pct"/>
                  <w:vAlign w:val="center"/>
                </w:tcPr>
                <w:p>
                  <w:pPr>
                    <w:pStyle w:val="13"/>
                    <w:jc w:val="center"/>
                    <w:rPr>
                      <w:rFonts w:ascii="Times New Roman"/>
                      <w:b/>
                      <w:color w:val="auto"/>
                      <w:sz w:val="21"/>
                      <w:szCs w:val="21"/>
                    </w:rPr>
                  </w:pPr>
                  <w:r>
                    <w:rPr>
                      <w:rFonts w:ascii="Times New Roman"/>
                      <w:b/>
                      <w:color w:val="auto"/>
                      <w:sz w:val="21"/>
                      <w:szCs w:val="21"/>
                    </w:rPr>
                    <w:t>主要污染物</w:t>
                  </w:r>
                </w:p>
              </w:tc>
              <w:tc>
                <w:tcPr>
                  <w:tcW w:w="2793" w:type="pct"/>
                  <w:vAlign w:val="center"/>
                </w:tcPr>
                <w:p>
                  <w:pPr>
                    <w:pStyle w:val="13"/>
                    <w:jc w:val="center"/>
                    <w:rPr>
                      <w:rFonts w:ascii="Times New Roman"/>
                      <w:b/>
                      <w:color w:val="auto"/>
                      <w:sz w:val="21"/>
                      <w:szCs w:val="21"/>
                    </w:rPr>
                  </w:pPr>
                  <w:r>
                    <w:rPr>
                      <w:rFonts w:ascii="Times New Roman"/>
                      <w:b/>
                      <w:color w:val="auto"/>
                      <w:sz w:val="21"/>
                      <w:szCs w:val="21"/>
                    </w:rPr>
                    <w:t>产污环节分析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jc w:val="center"/>
              </w:trPr>
              <w:tc>
                <w:tcPr>
                  <w:tcW w:w="451" w:type="pct"/>
                  <w:vMerge w:val="restart"/>
                  <w:vAlign w:val="center"/>
                </w:tcPr>
                <w:p>
                  <w:pPr>
                    <w:pStyle w:val="13"/>
                    <w:jc w:val="center"/>
                    <w:rPr>
                      <w:rFonts w:ascii="Times New Roman"/>
                      <w:color w:val="auto"/>
                      <w:sz w:val="21"/>
                      <w:szCs w:val="21"/>
                    </w:rPr>
                  </w:pPr>
                  <w:r>
                    <w:rPr>
                      <w:rFonts w:ascii="Times New Roman"/>
                      <w:color w:val="auto"/>
                      <w:sz w:val="21"/>
                      <w:szCs w:val="21"/>
                    </w:rPr>
                    <w:t>废气</w:t>
                  </w:r>
                </w:p>
              </w:tc>
              <w:tc>
                <w:tcPr>
                  <w:tcW w:w="1006" w:type="pct"/>
                  <w:vAlign w:val="center"/>
                </w:tcPr>
                <w:p>
                  <w:pPr>
                    <w:pStyle w:val="13"/>
                    <w:jc w:val="center"/>
                    <w:rPr>
                      <w:rFonts w:ascii="Times New Roman"/>
                      <w:color w:val="auto"/>
                      <w:sz w:val="21"/>
                      <w:szCs w:val="21"/>
                    </w:rPr>
                  </w:pPr>
                  <w:r>
                    <w:rPr>
                      <w:rFonts w:ascii="Times New Roman"/>
                      <w:color w:val="auto"/>
                      <w:sz w:val="21"/>
                      <w:szCs w:val="21"/>
                    </w:rPr>
                    <w:t>施工扬尘</w:t>
                  </w:r>
                </w:p>
              </w:tc>
              <w:tc>
                <w:tcPr>
                  <w:tcW w:w="750" w:type="pct"/>
                  <w:vAlign w:val="center"/>
                </w:tcPr>
                <w:p>
                  <w:pPr>
                    <w:pStyle w:val="13"/>
                    <w:jc w:val="center"/>
                    <w:rPr>
                      <w:rFonts w:ascii="Times New Roman"/>
                      <w:color w:val="auto"/>
                      <w:sz w:val="21"/>
                      <w:szCs w:val="21"/>
                    </w:rPr>
                  </w:pPr>
                  <w:r>
                    <w:rPr>
                      <w:rFonts w:ascii="Times New Roman"/>
                      <w:color w:val="auto"/>
                      <w:sz w:val="21"/>
                      <w:szCs w:val="21"/>
                    </w:rPr>
                    <w:t>颗粒物</w:t>
                  </w:r>
                </w:p>
              </w:tc>
              <w:tc>
                <w:tcPr>
                  <w:tcW w:w="2793" w:type="pct"/>
                  <w:vAlign w:val="center"/>
                </w:tcPr>
                <w:p>
                  <w:pPr>
                    <w:pStyle w:val="13"/>
                    <w:jc w:val="center"/>
                    <w:rPr>
                      <w:rFonts w:ascii="Times New Roman"/>
                      <w:color w:val="auto"/>
                      <w:sz w:val="21"/>
                      <w:szCs w:val="21"/>
                    </w:rPr>
                  </w:pPr>
                  <w:r>
                    <w:rPr>
                      <w:rFonts w:ascii="Times New Roman"/>
                      <w:color w:val="auto"/>
                      <w:sz w:val="21"/>
                      <w:szCs w:val="21"/>
                    </w:rPr>
                    <w:t>项目施工建设时产生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7" w:hRule="atLeast"/>
                <w:jc w:val="center"/>
              </w:trPr>
              <w:tc>
                <w:tcPr>
                  <w:tcW w:w="451" w:type="pct"/>
                  <w:vMerge w:val="continue"/>
                  <w:vAlign w:val="center"/>
                </w:tcPr>
                <w:p>
                  <w:pPr>
                    <w:pStyle w:val="13"/>
                    <w:jc w:val="center"/>
                    <w:rPr>
                      <w:rFonts w:ascii="Times New Roman"/>
                      <w:color w:val="auto"/>
                      <w:sz w:val="21"/>
                      <w:szCs w:val="21"/>
                    </w:rPr>
                  </w:pPr>
                </w:p>
              </w:tc>
              <w:tc>
                <w:tcPr>
                  <w:tcW w:w="1006" w:type="pct"/>
                  <w:vAlign w:val="center"/>
                </w:tcPr>
                <w:p>
                  <w:pPr>
                    <w:pStyle w:val="13"/>
                    <w:jc w:val="center"/>
                    <w:rPr>
                      <w:rFonts w:ascii="Times New Roman"/>
                      <w:color w:val="auto"/>
                      <w:sz w:val="21"/>
                      <w:szCs w:val="21"/>
                    </w:rPr>
                  </w:pPr>
                  <w:r>
                    <w:rPr>
                      <w:rFonts w:ascii="Times New Roman"/>
                      <w:color w:val="auto"/>
                      <w:sz w:val="21"/>
                      <w:szCs w:val="21"/>
                    </w:rPr>
                    <w:t>车辆运输扬尘，尾气</w:t>
                  </w:r>
                </w:p>
              </w:tc>
              <w:tc>
                <w:tcPr>
                  <w:tcW w:w="750" w:type="pct"/>
                  <w:vAlign w:val="center"/>
                </w:tcPr>
                <w:p>
                  <w:pPr>
                    <w:pStyle w:val="13"/>
                    <w:jc w:val="center"/>
                    <w:rPr>
                      <w:rFonts w:ascii="Times New Roman"/>
                      <w:color w:val="auto"/>
                      <w:sz w:val="21"/>
                      <w:szCs w:val="21"/>
                    </w:rPr>
                  </w:pPr>
                  <w:r>
                    <w:rPr>
                      <w:rFonts w:ascii="Times New Roman"/>
                      <w:color w:val="auto"/>
                      <w:sz w:val="21"/>
                      <w:szCs w:val="21"/>
                    </w:rPr>
                    <w:t>颗粒物、CO、NOx</w:t>
                  </w:r>
                </w:p>
              </w:tc>
              <w:tc>
                <w:tcPr>
                  <w:tcW w:w="2793" w:type="pct"/>
                  <w:vAlign w:val="center"/>
                </w:tcPr>
                <w:p>
                  <w:pPr>
                    <w:pStyle w:val="13"/>
                    <w:jc w:val="center"/>
                    <w:rPr>
                      <w:rFonts w:ascii="Times New Roman"/>
                      <w:color w:val="auto"/>
                      <w:sz w:val="21"/>
                      <w:szCs w:val="21"/>
                    </w:rPr>
                  </w:pPr>
                  <w:r>
                    <w:rPr>
                      <w:rFonts w:ascii="Times New Roman"/>
                      <w:color w:val="auto"/>
                      <w:sz w:val="21"/>
                      <w:szCs w:val="21"/>
                    </w:rPr>
                    <w:t>车辆运输时产生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451" w:type="pct"/>
                  <w:vMerge w:val="continue"/>
                  <w:vAlign w:val="center"/>
                </w:tcPr>
                <w:p>
                  <w:pPr>
                    <w:pStyle w:val="13"/>
                    <w:jc w:val="center"/>
                    <w:rPr>
                      <w:rFonts w:ascii="Times New Roman"/>
                      <w:color w:val="auto"/>
                      <w:sz w:val="21"/>
                      <w:szCs w:val="21"/>
                    </w:rPr>
                  </w:pPr>
                </w:p>
              </w:tc>
              <w:tc>
                <w:tcPr>
                  <w:tcW w:w="1006" w:type="pct"/>
                  <w:vAlign w:val="center"/>
                </w:tcPr>
                <w:p>
                  <w:pPr>
                    <w:pStyle w:val="13"/>
                    <w:jc w:val="center"/>
                    <w:rPr>
                      <w:rFonts w:ascii="Times New Roman"/>
                      <w:color w:val="auto"/>
                      <w:sz w:val="21"/>
                      <w:szCs w:val="21"/>
                    </w:rPr>
                  </w:pPr>
                  <w:r>
                    <w:rPr>
                      <w:rFonts w:ascii="Times New Roman"/>
                      <w:color w:val="auto"/>
                      <w:sz w:val="21"/>
                      <w:szCs w:val="21"/>
                    </w:rPr>
                    <w:t>焊接废气</w:t>
                  </w:r>
                </w:p>
              </w:tc>
              <w:tc>
                <w:tcPr>
                  <w:tcW w:w="750" w:type="pct"/>
                  <w:vAlign w:val="center"/>
                </w:tcPr>
                <w:p>
                  <w:pPr>
                    <w:pStyle w:val="13"/>
                    <w:jc w:val="center"/>
                    <w:rPr>
                      <w:rFonts w:ascii="Times New Roman"/>
                      <w:color w:val="auto"/>
                      <w:sz w:val="21"/>
                      <w:szCs w:val="21"/>
                    </w:rPr>
                  </w:pPr>
                  <w:r>
                    <w:rPr>
                      <w:rFonts w:ascii="Times New Roman"/>
                      <w:color w:val="auto"/>
                      <w:sz w:val="21"/>
                      <w:szCs w:val="21"/>
                    </w:rPr>
                    <w:t>未完全燃烧的HC</w:t>
                  </w:r>
                </w:p>
              </w:tc>
              <w:tc>
                <w:tcPr>
                  <w:tcW w:w="2793" w:type="pct"/>
                  <w:vAlign w:val="center"/>
                </w:tcPr>
                <w:p>
                  <w:pPr>
                    <w:pStyle w:val="13"/>
                    <w:jc w:val="center"/>
                    <w:rPr>
                      <w:rFonts w:ascii="Times New Roman"/>
                      <w:color w:val="auto"/>
                      <w:sz w:val="21"/>
                      <w:szCs w:val="21"/>
                    </w:rPr>
                  </w:pPr>
                  <w:r>
                    <w:rPr>
                      <w:rFonts w:ascii="Times New Roman"/>
                      <w:color w:val="auto"/>
                      <w:sz w:val="21"/>
                      <w:szCs w:val="21"/>
                    </w:rPr>
                    <w:t>设备安装过程中产生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451" w:type="pct"/>
                  <w:vMerge w:val="restart"/>
                  <w:vAlign w:val="center"/>
                </w:tcPr>
                <w:p>
                  <w:pPr>
                    <w:pStyle w:val="13"/>
                    <w:jc w:val="center"/>
                    <w:rPr>
                      <w:rFonts w:ascii="Times New Roman"/>
                      <w:color w:val="auto"/>
                      <w:sz w:val="21"/>
                      <w:szCs w:val="21"/>
                    </w:rPr>
                  </w:pPr>
                  <w:r>
                    <w:rPr>
                      <w:rFonts w:ascii="Times New Roman"/>
                      <w:color w:val="auto"/>
                      <w:sz w:val="21"/>
                      <w:szCs w:val="21"/>
                    </w:rPr>
                    <w:t>废水</w:t>
                  </w:r>
                </w:p>
              </w:tc>
              <w:tc>
                <w:tcPr>
                  <w:tcW w:w="1006" w:type="pct"/>
                  <w:vAlign w:val="center"/>
                </w:tcPr>
                <w:p>
                  <w:pPr>
                    <w:pStyle w:val="13"/>
                    <w:jc w:val="center"/>
                    <w:rPr>
                      <w:rFonts w:ascii="Times New Roman"/>
                      <w:color w:val="auto"/>
                      <w:sz w:val="21"/>
                      <w:szCs w:val="21"/>
                    </w:rPr>
                  </w:pPr>
                  <w:r>
                    <w:rPr>
                      <w:rFonts w:ascii="Times New Roman"/>
                      <w:color w:val="auto"/>
                      <w:sz w:val="21"/>
                      <w:szCs w:val="21"/>
                    </w:rPr>
                    <w:t>生活污水</w:t>
                  </w:r>
                </w:p>
              </w:tc>
              <w:tc>
                <w:tcPr>
                  <w:tcW w:w="750" w:type="pct"/>
                  <w:vAlign w:val="center"/>
                </w:tcPr>
                <w:p>
                  <w:pPr>
                    <w:pStyle w:val="13"/>
                    <w:jc w:val="center"/>
                    <w:rPr>
                      <w:rFonts w:ascii="Times New Roman"/>
                      <w:color w:val="auto"/>
                      <w:sz w:val="21"/>
                      <w:szCs w:val="21"/>
                    </w:rPr>
                  </w:pPr>
                  <w:r>
                    <w:rPr>
                      <w:rFonts w:ascii="Times New Roman"/>
                      <w:color w:val="auto"/>
                      <w:sz w:val="21"/>
                      <w:szCs w:val="21"/>
                    </w:rPr>
                    <w:t>SS、CODcr、BOD</w:t>
                  </w:r>
                  <w:r>
                    <w:rPr>
                      <w:rFonts w:ascii="Times New Roman"/>
                      <w:color w:val="auto"/>
                      <w:sz w:val="21"/>
                      <w:szCs w:val="21"/>
                      <w:vertAlign w:val="subscript"/>
                    </w:rPr>
                    <w:t>5</w:t>
                  </w:r>
                  <w:r>
                    <w:rPr>
                      <w:rFonts w:ascii="Times New Roman"/>
                      <w:color w:val="auto"/>
                      <w:sz w:val="21"/>
                      <w:szCs w:val="21"/>
                    </w:rPr>
                    <w:t>、NH</w:t>
                  </w:r>
                  <w:r>
                    <w:rPr>
                      <w:rFonts w:ascii="Times New Roman"/>
                      <w:color w:val="auto"/>
                      <w:sz w:val="21"/>
                      <w:szCs w:val="21"/>
                      <w:vertAlign w:val="subscript"/>
                    </w:rPr>
                    <w:t>3</w:t>
                  </w:r>
                  <w:r>
                    <w:rPr>
                      <w:rFonts w:ascii="Times New Roman"/>
                      <w:color w:val="auto"/>
                      <w:sz w:val="21"/>
                      <w:szCs w:val="21"/>
                    </w:rPr>
                    <w:t>-N</w:t>
                  </w:r>
                </w:p>
              </w:tc>
              <w:tc>
                <w:tcPr>
                  <w:tcW w:w="2793" w:type="pct"/>
                  <w:vAlign w:val="center"/>
                </w:tcPr>
                <w:p>
                  <w:pPr>
                    <w:pStyle w:val="13"/>
                    <w:jc w:val="center"/>
                    <w:rPr>
                      <w:rFonts w:ascii="Times New Roman"/>
                      <w:color w:val="auto"/>
                      <w:sz w:val="21"/>
                      <w:szCs w:val="21"/>
                    </w:rPr>
                  </w:pPr>
                  <w:r>
                    <w:rPr>
                      <w:rFonts w:ascii="Times New Roman"/>
                      <w:color w:val="auto"/>
                      <w:sz w:val="21"/>
                      <w:szCs w:val="21"/>
                    </w:rPr>
                    <w:t>生活产生的清洁废水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451" w:type="pct"/>
                  <w:vMerge w:val="continue"/>
                  <w:vAlign w:val="center"/>
                </w:tcPr>
                <w:p>
                  <w:pPr>
                    <w:pStyle w:val="13"/>
                    <w:jc w:val="center"/>
                    <w:rPr>
                      <w:rFonts w:ascii="Times New Roman"/>
                      <w:color w:val="auto"/>
                      <w:sz w:val="21"/>
                      <w:szCs w:val="21"/>
                    </w:rPr>
                  </w:pPr>
                </w:p>
              </w:tc>
              <w:tc>
                <w:tcPr>
                  <w:tcW w:w="1006" w:type="pct"/>
                  <w:vAlign w:val="center"/>
                </w:tcPr>
                <w:p>
                  <w:pPr>
                    <w:pStyle w:val="13"/>
                    <w:jc w:val="center"/>
                    <w:rPr>
                      <w:rFonts w:ascii="Times New Roman"/>
                      <w:color w:val="auto"/>
                      <w:sz w:val="21"/>
                      <w:szCs w:val="21"/>
                    </w:rPr>
                  </w:pPr>
                  <w:r>
                    <w:rPr>
                      <w:rFonts w:ascii="Times New Roman"/>
                      <w:color w:val="auto"/>
                      <w:sz w:val="21"/>
                      <w:szCs w:val="21"/>
                    </w:rPr>
                    <w:t>施工废水</w:t>
                  </w:r>
                </w:p>
              </w:tc>
              <w:tc>
                <w:tcPr>
                  <w:tcW w:w="750" w:type="pct"/>
                  <w:vAlign w:val="center"/>
                </w:tcPr>
                <w:p>
                  <w:pPr>
                    <w:pStyle w:val="13"/>
                    <w:jc w:val="center"/>
                    <w:rPr>
                      <w:rFonts w:ascii="Times New Roman"/>
                      <w:color w:val="auto"/>
                      <w:sz w:val="21"/>
                      <w:szCs w:val="21"/>
                    </w:rPr>
                  </w:pPr>
                  <w:r>
                    <w:rPr>
                      <w:rFonts w:ascii="Times New Roman"/>
                      <w:color w:val="auto"/>
                      <w:sz w:val="21"/>
                      <w:szCs w:val="21"/>
                    </w:rPr>
                    <w:t>SS</w:t>
                  </w:r>
                </w:p>
              </w:tc>
              <w:tc>
                <w:tcPr>
                  <w:tcW w:w="2793" w:type="pct"/>
                  <w:vAlign w:val="center"/>
                </w:tcPr>
                <w:p>
                  <w:pPr>
                    <w:pStyle w:val="13"/>
                    <w:jc w:val="center"/>
                    <w:rPr>
                      <w:rFonts w:ascii="Times New Roman"/>
                      <w:color w:val="auto"/>
                      <w:sz w:val="21"/>
                      <w:szCs w:val="21"/>
                    </w:rPr>
                  </w:pPr>
                  <w:r>
                    <w:rPr>
                      <w:rFonts w:ascii="Times New Roman"/>
                      <w:color w:val="auto"/>
                      <w:sz w:val="21"/>
                      <w:szCs w:val="21"/>
                    </w:rPr>
                    <w:t>施工过程中产生；混凝土养护及设备清洗废水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51" w:type="pct"/>
                  <w:vAlign w:val="center"/>
                </w:tcPr>
                <w:p>
                  <w:pPr>
                    <w:pStyle w:val="13"/>
                    <w:jc w:val="center"/>
                    <w:rPr>
                      <w:rFonts w:ascii="Times New Roman"/>
                      <w:color w:val="auto"/>
                      <w:sz w:val="21"/>
                      <w:szCs w:val="21"/>
                    </w:rPr>
                  </w:pPr>
                  <w:r>
                    <w:rPr>
                      <w:rFonts w:ascii="Times New Roman"/>
                      <w:color w:val="auto"/>
                      <w:sz w:val="21"/>
                      <w:szCs w:val="21"/>
                    </w:rPr>
                    <w:t>噪声</w:t>
                  </w:r>
                </w:p>
              </w:tc>
              <w:tc>
                <w:tcPr>
                  <w:tcW w:w="1006" w:type="pct"/>
                  <w:vAlign w:val="center"/>
                </w:tcPr>
                <w:p>
                  <w:pPr>
                    <w:pStyle w:val="13"/>
                    <w:jc w:val="center"/>
                    <w:rPr>
                      <w:rFonts w:ascii="Times New Roman"/>
                      <w:color w:val="auto"/>
                      <w:sz w:val="21"/>
                      <w:szCs w:val="21"/>
                    </w:rPr>
                  </w:pPr>
                  <w:r>
                    <w:rPr>
                      <w:rFonts w:ascii="Times New Roman"/>
                      <w:color w:val="auto"/>
                      <w:sz w:val="21"/>
                      <w:szCs w:val="21"/>
                    </w:rPr>
                    <w:t>施工机械</w:t>
                  </w:r>
                </w:p>
              </w:tc>
              <w:tc>
                <w:tcPr>
                  <w:tcW w:w="750" w:type="pct"/>
                  <w:vAlign w:val="center"/>
                </w:tcPr>
                <w:p>
                  <w:pPr>
                    <w:pStyle w:val="13"/>
                    <w:jc w:val="center"/>
                    <w:rPr>
                      <w:rFonts w:ascii="Times New Roman"/>
                      <w:color w:val="auto"/>
                      <w:sz w:val="21"/>
                      <w:szCs w:val="21"/>
                    </w:rPr>
                  </w:pPr>
                  <w:r>
                    <w:rPr>
                      <w:rFonts w:ascii="Times New Roman"/>
                      <w:color w:val="auto"/>
                      <w:sz w:val="21"/>
                      <w:szCs w:val="21"/>
                    </w:rPr>
                    <w:t>噪音</w:t>
                  </w:r>
                </w:p>
              </w:tc>
              <w:tc>
                <w:tcPr>
                  <w:tcW w:w="2793" w:type="pct"/>
                  <w:vAlign w:val="center"/>
                </w:tcPr>
                <w:p>
                  <w:pPr>
                    <w:pStyle w:val="13"/>
                    <w:jc w:val="center"/>
                    <w:rPr>
                      <w:rFonts w:ascii="Times New Roman"/>
                      <w:color w:val="auto"/>
                      <w:sz w:val="21"/>
                      <w:szCs w:val="21"/>
                    </w:rPr>
                  </w:pPr>
                  <w:r>
                    <w:rPr>
                      <w:rFonts w:ascii="Times New Roman"/>
                      <w:color w:val="auto"/>
                      <w:sz w:val="21"/>
                      <w:szCs w:val="21"/>
                    </w:rPr>
                    <w:t>主要在施工过程中施工机械运行时产生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7" w:hRule="atLeast"/>
                <w:jc w:val="center"/>
              </w:trPr>
              <w:tc>
                <w:tcPr>
                  <w:tcW w:w="451" w:type="pct"/>
                  <w:vMerge w:val="restart"/>
                  <w:vAlign w:val="center"/>
                </w:tcPr>
                <w:p>
                  <w:pPr>
                    <w:pStyle w:val="13"/>
                    <w:jc w:val="center"/>
                    <w:rPr>
                      <w:rFonts w:ascii="Times New Roman"/>
                      <w:color w:val="auto"/>
                      <w:sz w:val="21"/>
                      <w:szCs w:val="21"/>
                    </w:rPr>
                  </w:pPr>
                  <w:r>
                    <w:rPr>
                      <w:rFonts w:ascii="Times New Roman"/>
                      <w:color w:val="auto"/>
                      <w:sz w:val="21"/>
                      <w:szCs w:val="21"/>
                    </w:rPr>
                    <w:t>固体废物</w:t>
                  </w:r>
                </w:p>
              </w:tc>
              <w:tc>
                <w:tcPr>
                  <w:tcW w:w="1006" w:type="pct"/>
                  <w:vAlign w:val="center"/>
                </w:tcPr>
                <w:p>
                  <w:pPr>
                    <w:pStyle w:val="13"/>
                    <w:jc w:val="center"/>
                    <w:rPr>
                      <w:rFonts w:ascii="Times New Roman"/>
                      <w:color w:val="auto"/>
                      <w:sz w:val="21"/>
                      <w:szCs w:val="21"/>
                    </w:rPr>
                  </w:pPr>
                  <w:r>
                    <w:rPr>
                      <w:rFonts w:ascii="Times New Roman"/>
                      <w:color w:val="auto"/>
                      <w:sz w:val="21"/>
                      <w:szCs w:val="21"/>
                    </w:rPr>
                    <w:t>建筑垃圾</w:t>
                  </w:r>
                </w:p>
              </w:tc>
              <w:tc>
                <w:tcPr>
                  <w:tcW w:w="750" w:type="pct"/>
                  <w:vAlign w:val="center"/>
                </w:tcPr>
                <w:p>
                  <w:pPr>
                    <w:pStyle w:val="13"/>
                    <w:jc w:val="center"/>
                    <w:rPr>
                      <w:rFonts w:ascii="Times New Roman"/>
                      <w:color w:val="auto"/>
                      <w:sz w:val="21"/>
                      <w:szCs w:val="21"/>
                    </w:rPr>
                  </w:pPr>
                  <w:r>
                    <w:rPr>
                      <w:rFonts w:ascii="Times New Roman"/>
                      <w:color w:val="auto"/>
                      <w:sz w:val="21"/>
                      <w:szCs w:val="21"/>
                    </w:rPr>
                    <w:t>一般固废</w:t>
                  </w:r>
                </w:p>
              </w:tc>
              <w:tc>
                <w:tcPr>
                  <w:tcW w:w="2793" w:type="pct"/>
                  <w:vAlign w:val="center"/>
                </w:tcPr>
                <w:p>
                  <w:pPr>
                    <w:pStyle w:val="13"/>
                    <w:jc w:val="center"/>
                    <w:rPr>
                      <w:rFonts w:ascii="Times New Roman"/>
                      <w:color w:val="auto"/>
                      <w:sz w:val="21"/>
                      <w:szCs w:val="21"/>
                    </w:rPr>
                  </w:pPr>
                  <w:r>
                    <w:rPr>
                      <w:rFonts w:ascii="Times New Roman"/>
                      <w:color w:val="auto"/>
                      <w:sz w:val="21"/>
                      <w:szCs w:val="21"/>
                    </w:rPr>
                    <w:t>施工过程中产生的建筑垃圾（如水泥袋、铁质弃料、废弃混凝土、废包装固废等）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51" w:type="pct"/>
                  <w:vMerge w:val="continue"/>
                  <w:vAlign w:val="center"/>
                </w:tcPr>
                <w:p>
                  <w:pPr>
                    <w:pStyle w:val="13"/>
                    <w:jc w:val="center"/>
                    <w:rPr>
                      <w:rFonts w:ascii="Times New Roman"/>
                      <w:color w:val="auto"/>
                      <w:sz w:val="21"/>
                      <w:szCs w:val="21"/>
                    </w:rPr>
                  </w:pPr>
                </w:p>
              </w:tc>
              <w:tc>
                <w:tcPr>
                  <w:tcW w:w="1006" w:type="pct"/>
                  <w:vAlign w:val="center"/>
                </w:tcPr>
                <w:p>
                  <w:pPr>
                    <w:pStyle w:val="13"/>
                    <w:jc w:val="center"/>
                    <w:rPr>
                      <w:rFonts w:ascii="Times New Roman"/>
                      <w:color w:val="auto"/>
                      <w:sz w:val="21"/>
                      <w:szCs w:val="21"/>
                    </w:rPr>
                  </w:pPr>
                  <w:r>
                    <w:rPr>
                      <w:rFonts w:ascii="Times New Roman"/>
                      <w:color w:val="auto"/>
                      <w:sz w:val="21"/>
                      <w:szCs w:val="21"/>
                    </w:rPr>
                    <w:t>生活垃圾</w:t>
                  </w:r>
                </w:p>
              </w:tc>
              <w:tc>
                <w:tcPr>
                  <w:tcW w:w="750" w:type="pct"/>
                  <w:vAlign w:val="center"/>
                </w:tcPr>
                <w:p>
                  <w:pPr>
                    <w:pStyle w:val="13"/>
                    <w:jc w:val="center"/>
                    <w:rPr>
                      <w:rFonts w:ascii="Times New Roman"/>
                      <w:color w:val="auto"/>
                      <w:sz w:val="21"/>
                      <w:szCs w:val="21"/>
                    </w:rPr>
                  </w:pPr>
                  <w:r>
                    <w:rPr>
                      <w:rFonts w:ascii="Times New Roman"/>
                      <w:color w:val="auto"/>
                      <w:sz w:val="21"/>
                      <w:szCs w:val="21"/>
                    </w:rPr>
                    <w:t>一般固废</w:t>
                  </w:r>
                </w:p>
              </w:tc>
              <w:tc>
                <w:tcPr>
                  <w:tcW w:w="2793" w:type="pct"/>
                  <w:vAlign w:val="center"/>
                </w:tcPr>
                <w:p>
                  <w:pPr>
                    <w:pStyle w:val="13"/>
                    <w:jc w:val="center"/>
                    <w:rPr>
                      <w:rFonts w:ascii="Times New Roman"/>
                      <w:color w:val="auto"/>
                      <w:sz w:val="21"/>
                      <w:szCs w:val="21"/>
                    </w:rPr>
                  </w:pPr>
                  <w:r>
                    <w:rPr>
                      <w:rFonts w:ascii="Times New Roman"/>
                      <w:color w:val="auto"/>
                      <w:sz w:val="21"/>
                      <w:szCs w:val="21"/>
                    </w:rPr>
                    <w:t>工人生活中产生</w:t>
                  </w:r>
                </w:p>
              </w:tc>
            </w:tr>
          </w:tbl>
          <w:p>
            <w:pPr>
              <w:spacing w:line="360" w:lineRule="auto"/>
              <w:ind w:firstLine="480" w:firstLineChars="200"/>
              <w:rPr>
                <w:sz w:val="24"/>
              </w:rPr>
            </w:pPr>
            <w:r>
              <w:rPr>
                <w:sz w:val="24"/>
              </w:rPr>
              <w:t>（三）运营期工艺流程及产污环节</w:t>
            </w:r>
          </w:p>
          <w:p>
            <w:pPr>
              <w:spacing w:line="360" w:lineRule="auto"/>
              <w:ind w:firstLine="480" w:firstLineChars="200"/>
              <w:rPr>
                <w:sz w:val="24"/>
              </w:rPr>
            </w:pPr>
            <w:r>
              <w:rPr>
                <w:sz w:val="24"/>
              </w:rPr>
              <w:t>1.工艺流程及产污环节</w:t>
            </w:r>
          </w:p>
          <w:p>
            <w:pPr>
              <w:spacing w:line="360" w:lineRule="auto"/>
              <w:ind w:firstLine="480" w:firstLineChars="200"/>
              <w:rPr>
                <w:sz w:val="24"/>
              </w:rPr>
            </w:pPr>
            <w:r>
              <w:rPr>
                <w:sz w:val="24"/>
              </w:rPr>
              <w:t>项目为玫瑰花大棚种植，运营期工艺流程为基质泡发消毒、栽种花苗、病虫害防治、田间采收、包花成品等。项目生产工艺流程及产污节点图见下2-2。</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jc w:val="center"/>
              <w:rPr>
                <w:sz w:val="24"/>
              </w:rPr>
            </w:pPr>
            <w:r>
              <w:rPr>
                <w:rFonts w:eastAsiaTheme="minorEastAsia"/>
              </w:rPr>
              <w:drawing>
                <wp:inline distT="0" distB="0" distL="114300" distR="114300">
                  <wp:extent cx="5271135" cy="2992755"/>
                  <wp:effectExtent l="0" t="0" r="0" b="0"/>
                  <wp:docPr id="4" name="ECB019B1-382A-4266-B25C-5B523AA43C14-1" descr="C:/Users/ASUS/AppData/Local/Temp/wps.CSaDBs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B019B1-382A-4266-B25C-5B523AA43C14-1" descr="C:/Users/ASUS/AppData/Local/Temp/wps.CSaDBswps"/>
                          <pic:cNvPicPr>
                            <a:picLocks noChangeAspect="1"/>
                          </pic:cNvPicPr>
                        </pic:nvPicPr>
                        <pic:blipFill>
                          <a:blip r:embed="rId6"/>
                          <a:stretch>
                            <a:fillRect/>
                          </a:stretch>
                        </pic:blipFill>
                        <pic:spPr>
                          <a:xfrm>
                            <a:off x="0" y="0"/>
                            <a:ext cx="5271135" cy="2992755"/>
                          </a:xfrm>
                          <a:prstGeom prst="rect">
                            <a:avLst/>
                          </a:prstGeom>
                        </pic:spPr>
                      </pic:pic>
                    </a:graphicData>
                  </a:graphic>
                </wp:inline>
              </w:drawing>
            </w:r>
            <w:r>
              <w:rPr>
                <w:sz w:val="24"/>
              </w:rPr>
              <w:t xml:space="preserve"> </w:t>
            </w:r>
          </w:p>
          <w:p>
            <w:pPr>
              <w:spacing w:before="156" w:beforeLines="50" w:line="360" w:lineRule="auto"/>
              <w:jc w:val="center"/>
              <w:rPr>
                <w:sz w:val="24"/>
              </w:rPr>
            </w:pPr>
            <w:r>
              <w:rPr>
                <w:b/>
                <w:bCs/>
                <w:sz w:val="24"/>
              </w:rPr>
              <w:t>图2-2  项目生产工艺及产污节点图</w:t>
            </w:r>
          </w:p>
          <w:p>
            <w:pPr>
              <w:spacing w:line="360" w:lineRule="auto"/>
              <w:ind w:firstLine="480" w:firstLineChars="200"/>
              <w:rPr>
                <w:sz w:val="24"/>
              </w:rPr>
            </w:pPr>
            <w:r>
              <w:rPr>
                <w:sz w:val="24"/>
              </w:rPr>
              <w:t>种植工艺流程如下：</w:t>
            </w:r>
          </w:p>
          <w:p>
            <w:pPr>
              <w:spacing w:line="360" w:lineRule="auto"/>
              <w:ind w:firstLine="482" w:firstLineChars="200"/>
              <w:rPr>
                <w:sz w:val="24"/>
              </w:rPr>
            </w:pPr>
            <w:r>
              <w:rPr>
                <w:b/>
                <w:bCs/>
                <w:sz w:val="24"/>
              </w:rPr>
              <w:t>育苗、育苗状态检查：</w:t>
            </w:r>
            <w:r>
              <w:rPr>
                <w:sz w:val="24"/>
              </w:rPr>
              <w:t>育苗有分株、扦插、嫁接、播种繁殖均可。分株于早春发芽前进行，分株频繁则滋生更茂。扦插多在春末夏初用嫩枝为材料。嫁接繁殖则多以蔷薇作砧木，采用芽接、切接均可，前者以8月-9月为妥，后者以春季为佳。单瓣品种易于结种，采种后应经沙藏，于来年初春播种。玫瑰系适应性较强的植物，以向阳、干燥处为宜，忌水涝，但花前要适时浇水，适时剪除枯萎老干，分蘖过盛时应及时分株，保持通风透光，花前花后均应施肥，以促进花蕾形成和补充开花消耗的养分，使整个植株常年生长健壮，同时病虫害也较少。育苗后人工检查育苗状态，将不合格玫瑰苗去除。</w:t>
            </w:r>
          </w:p>
          <w:p>
            <w:pPr>
              <w:spacing w:line="360" w:lineRule="auto"/>
              <w:ind w:firstLine="482" w:firstLineChars="200"/>
              <w:rPr>
                <w:rFonts w:eastAsiaTheme="minorEastAsia"/>
                <w:sz w:val="24"/>
              </w:rPr>
            </w:pPr>
            <w:r>
              <w:rPr>
                <w:b/>
                <w:bCs/>
                <w:sz w:val="24"/>
              </w:rPr>
              <w:t>定植、栽培：</w:t>
            </w:r>
            <w:r>
              <w:rPr>
                <w:sz w:val="24"/>
              </w:rPr>
              <w:t>栽植时间没有严格的界限，一年四季均可定植，最佳时间为春秋两季。定植时每栽2行，行距40cm，株距10～12cm，栽培床的两边间隔40cm，平均7～8株/m</w:t>
            </w:r>
            <w:r>
              <w:rPr>
                <w:sz w:val="24"/>
                <w:vertAlign w:val="superscript"/>
              </w:rPr>
              <w:t>2</w:t>
            </w:r>
            <w:r>
              <w:rPr>
                <w:sz w:val="24"/>
              </w:rPr>
              <w:t>，保苗6.3万株/hm</w:t>
            </w:r>
            <w:r>
              <w:rPr>
                <w:sz w:val="24"/>
                <w:vertAlign w:val="superscript"/>
              </w:rPr>
              <w:t>2</w:t>
            </w:r>
            <w:r>
              <w:rPr>
                <w:sz w:val="24"/>
              </w:rPr>
              <w:t>左右。不同品种的栽植密度有所差别。定植缓苗后及时中耕松土，并防治红蜘蛛、蚜虫、白粉病。当植株长到25cm左右时，开始压枝，压枝时间在晴天中午进行，否则易折断。栽苗前7d左右浇水，保护床土湿润。定植后自动滴灌系统会进行浇水及施肥。浇水追肥要根据土壤条件、气候条件和枝叶的生长状态进行。在玫瑰的栽培过程中，如果土壤水分不足，就会引起植株整叶脱落。地表见干时应及时浇水，保持地面湿润。本项目玫瑰花采用温室种植，采用全自动水肥系统。</w:t>
            </w:r>
          </w:p>
          <w:p>
            <w:pPr>
              <w:spacing w:line="360" w:lineRule="auto"/>
              <w:ind w:firstLine="482" w:firstLineChars="200"/>
              <w:rPr>
                <w:rFonts w:eastAsiaTheme="minorEastAsia"/>
                <w:sz w:val="24"/>
              </w:rPr>
            </w:pPr>
            <w:r>
              <w:rPr>
                <w:rFonts w:eastAsiaTheme="minorEastAsia"/>
                <w:b/>
                <w:bCs/>
                <w:sz w:val="24"/>
              </w:rPr>
              <w:t>冬季温室加温：</w:t>
            </w:r>
            <w:r>
              <w:rPr>
                <w:rFonts w:eastAsiaTheme="minorEastAsia"/>
                <w:sz w:val="24"/>
              </w:rPr>
              <w:t>锅炉及储能罐部分，2台6t的生物质成型燃料锅炉，两锅炉同时运行进行供暖。加温管部分，分为加温主管、加温主管保温层和苗床环绕双管加温管。运营期自来水经软水制备系统软化（离子交换树脂吸附水中的钙、镁离子，释放钠离子）后由成套给水设备供给锅炉，而后锅炉房的锅炉产生的热水通过供热管网供给温室达到采暖的目的。热交换后的水体循环加热、散热；生物质成型燃料锅炉亦如此。根据燃料及热值差异，并考虑锅炉效率，锅炉年运行152天，每天运行10小时。每年的运行时间在11月－次年3月（以冬季气温较低时为主）。因此，在此过程中锅炉运行产生噪声N1，软水制备产生浓水W1,生物质燃烧产生废气G1，锅炉清洗水垢W2,生的固体废物S4。</w:t>
            </w:r>
          </w:p>
          <w:p>
            <w:pPr>
              <w:spacing w:line="360" w:lineRule="auto"/>
              <w:ind w:firstLine="482" w:firstLineChars="200"/>
              <w:rPr>
                <w:rFonts w:eastAsiaTheme="minorEastAsia"/>
                <w:sz w:val="24"/>
              </w:rPr>
            </w:pPr>
            <w:r>
              <w:rPr>
                <w:rFonts w:eastAsiaTheme="minorEastAsia"/>
                <w:b/>
                <w:bCs/>
                <w:sz w:val="24"/>
              </w:rPr>
              <w:t>水肥系统：</w:t>
            </w:r>
            <w:r>
              <w:rPr>
                <w:rFonts w:eastAsiaTheme="minorEastAsia"/>
                <w:sz w:val="24"/>
              </w:rPr>
              <w:t>水肥一体化系统的组成包括水源工程（水质符合灌溉要求的江河、渠道、湖泊、井、水库等）、首部枢纽（水泵、过滤器、压力和流量监测设备、压力保护装置、施肥设备 （水肥一体机）和自动化控制设备）、田间输配水管网系统（干管、支管、毛管组成）和控制软件平台等部分组成。运行时当环境指标超过设定阈值时能够可以自动控制温室湿帘、风机、喷淋滴灌、内外遮阳、顶窗侧窗、加温补光等设备以调节温室环境指标，实现温室大棚的智能化控制。根据植物实时的生长环境信息，通过各个类型的传感器可监测土壤水分、土壤温湿度、空气温湿度、光照强度等参数。进行自动灌溉、自动降温自动卷模、自动进行固态或液态肥料施肥、自动喷药等全自动化控制。随时随地掌握现场信息，随时随地控制现场设备。因此，水肥系统运行产生噪声N2，滴灌过程有少量废水渗出W3。</w:t>
            </w:r>
          </w:p>
          <w:p>
            <w:pPr>
              <w:spacing w:line="360" w:lineRule="auto"/>
              <w:ind w:firstLine="482" w:firstLineChars="200"/>
              <w:rPr>
                <w:rFonts w:eastAsiaTheme="minorEastAsia"/>
                <w:sz w:val="24"/>
              </w:rPr>
            </w:pPr>
            <w:r>
              <w:rPr>
                <w:rFonts w:eastAsiaTheme="minorEastAsia"/>
                <w:b/>
                <w:bCs/>
                <w:sz w:val="24"/>
              </w:rPr>
              <w:t>采收：</w:t>
            </w:r>
            <w:r>
              <w:rPr>
                <w:rFonts w:eastAsiaTheme="minorEastAsia"/>
                <w:sz w:val="24"/>
              </w:rPr>
              <w:t>玫瑰花从花蕾形成到花全开放的过程可分为现蕾期、中蕾期、蕾饱满期、花瓣始绽期、半开期和全开期6个时期。观赏性玫瑰花，应在半开呈杯状，即花半开期采摘。</w:t>
            </w:r>
          </w:p>
          <w:p>
            <w:pPr>
              <w:spacing w:line="360" w:lineRule="auto"/>
              <w:ind w:firstLine="482" w:firstLineChars="200"/>
              <w:rPr>
                <w:rFonts w:eastAsiaTheme="minorEastAsia"/>
                <w:sz w:val="24"/>
              </w:rPr>
            </w:pPr>
            <w:r>
              <w:rPr>
                <w:rFonts w:eastAsiaTheme="minorEastAsia"/>
                <w:b/>
                <w:bCs/>
                <w:sz w:val="24"/>
              </w:rPr>
              <w:t>毛花入库：</w:t>
            </w:r>
            <w:r>
              <w:rPr>
                <w:rFonts w:eastAsiaTheme="minorEastAsia"/>
                <w:sz w:val="24"/>
              </w:rPr>
              <w:t>将采收毛花，运送至产品加工区进行包装，此过程不产生三废。</w:t>
            </w:r>
          </w:p>
          <w:p>
            <w:pPr>
              <w:spacing w:line="360" w:lineRule="auto"/>
              <w:ind w:firstLine="482" w:firstLineChars="200"/>
              <w:rPr>
                <w:rFonts w:eastAsiaTheme="minorEastAsia"/>
                <w:sz w:val="24"/>
              </w:rPr>
            </w:pPr>
            <w:r>
              <w:rPr>
                <w:rFonts w:eastAsiaTheme="minorEastAsia"/>
                <w:b/>
                <w:bCs/>
                <w:sz w:val="24"/>
              </w:rPr>
              <w:t>选花分级：</w:t>
            </w:r>
            <w:r>
              <w:rPr>
                <w:rFonts w:eastAsiaTheme="minorEastAsia"/>
                <w:sz w:val="24"/>
              </w:rPr>
              <w:t>根据花头有没有病变有无色差，开放度是否一致，枝条是否齐整，粗细均匀，有无老桩，花型好不好，有无圆圆的花柱花心，夹枝多不多，粗细是否均匀，有过枝细条，新鲜度，叶片是否鲜绿，无农药损伤等，由人工将玫瑰花分为5个等级。</w:t>
            </w:r>
          </w:p>
          <w:p>
            <w:pPr>
              <w:spacing w:line="360" w:lineRule="auto"/>
              <w:ind w:firstLine="482" w:firstLineChars="200"/>
              <w:rPr>
                <w:rFonts w:eastAsiaTheme="minorEastAsia"/>
                <w:sz w:val="24"/>
              </w:rPr>
            </w:pPr>
            <w:r>
              <w:rPr>
                <w:rFonts w:eastAsiaTheme="minorEastAsia"/>
                <w:b/>
                <w:bCs/>
                <w:sz w:val="24"/>
              </w:rPr>
              <w:t>包花：</w:t>
            </w:r>
            <w:r>
              <w:rPr>
                <w:rFonts w:eastAsiaTheme="minorEastAsia"/>
                <w:sz w:val="24"/>
              </w:rPr>
              <w:t>将鲜花进行简单分级修建，并进行预清洗，预清洗废水回用于项目区中种植浇灌，用包材将玫瑰花初步包装，防止运输过程鲜花的损耗，保护鲜花品质。在此过程中会产生废水W4和固体废物S3</w:t>
            </w:r>
          </w:p>
          <w:p>
            <w:pPr>
              <w:spacing w:line="360" w:lineRule="auto"/>
              <w:ind w:firstLine="482" w:firstLineChars="200"/>
              <w:rPr>
                <w:rFonts w:eastAsiaTheme="minorEastAsia"/>
                <w:sz w:val="24"/>
              </w:rPr>
            </w:pPr>
            <w:r>
              <w:rPr>
                <w:rFonts w:eastAsiaTheme="minorEastAsia"/>
                <w:b/>
                <w:bCs/>
                <w:sz w:val="24"/>
              </w:rPr>
              <w:t>装箱打包：</w:t>
            </w:r>
            <w:r>
              <w:rPr>
                <w:rFonts w:eastAsiaTheme="minorEastAsia"/>
                <w:sz w:val="24"/>
              </w:rPr>
              <w:t>将包好的鲜花装箱打包，准备外运。</w:t>
            </w:r>
          </w:p>
          <w:p>
            <w:pPr>
              <w:spacing w:line="360" w:lineRule="auto"/>
              <w:ind w:firstLine="480"/>
              <w:jc w:val="left"/>
              <w:rPr>
                <w:rFonts w:eastAsiaTheme="minorEastAsia"/>
                <w:sz w:val="24"/>
              </w:rPr>
            </w:pPr>
            <w:r>
              <w:rPr>
                <w:rFonts w:eastAsiaTheme="minorEastAsia"/>
                <w:sz w:val="24"/>
              </w:rPr>
              <w:t>其他辅助性工艺流程如下：</w:t>
            </w:r>
          </w:p>
          <w:p>
            <w:pPr>
              <w:spacing w:line="360" w:lineRule="auto"/>
              <w:ind w:firstLine="480"/>
              <w:jc w:val="left"/>
              <w:rPr>
                <w:sz w:val="24"/>
              </w:rPr>
            </w:pPr>
            <w:r>
              <w:rPr>
                <w:sz w:val="24"/>
              </w:rPr>
              <mc:AlternateContent>
                <mc:Choice Requires="wpc">
                  <w:drawing>
                    <wp:inline distT="0" distB="0" distL="114300" distR="114300">
                      <wp:extent cx="4566920" cy="3171190"/>
                      <wp:effectExtent l="0" t="0" r="0" b="29845"/>
                      <wp:docPr id="63" name="画布 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3" name="矩形 44"/>
                              <wps:cNvSpPr/>
                              <wps:spPr>
                                <a:xfrm>
                                  <a:off x="1922392" y="213400"/>
                                  <a:ext cx="1040899" cy="2972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制冷风机</w:t>
                                    </w:r>
                                  </w:p>
                                </w:txbxContent>
                              </wps:txbx>
                              <wps:bodyPr upright="1"/>
                            </wps:wsp>
                            <wps:wsp>
                              <wps:cNvPr id="94" name="直接连接符 45"/>
                              <wps:cNvCnPr/>
                              <wps:spPr>
                                <a:xfrm flipH="1">
                                  <a:off x="2988059" y="381071"/>
                                  <a:ext cx="906262" cy="635"/>
                                </a:xfrm>
                                <a:prstGeom prst="line">
                                  <a:avLst/>
                                </a:prstGeom>
                                <a:ln w="9525" cap="flat" cmpd="sng">
                                  <a:solidFill>
                                    <a:srgbClr val="000000"/>
                                  </a:solidFill>
                                  <a:prstDash val="solid"/>
                                  <a:headEnd type="none" w="med" len="med"/>
                                  <a:tailEnd type="triangle" w="med" len="med"/>
                                </a:ln>
                              </wps:spPr>
                              <wps:bodyPr/>
                            </wps:wsp>
                            <wps:wsp>
                              <wps:cNvPr id="95" name="矩形 46"/>
                              <wps:cNvSpPr/>
                              <wps:spPr>
                                <a:xfrm>
                                  <a:off x="1950336" y="1448068"/>
                                  <a:ext cx="869427" cy="2972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蒸发器</w:t>
                                    </w:r>
                                  </w:p>
                                </w:txbxContent>
                              </wps:txbx>
                              <wps:bodyPr upright="1"/>
                            </wps:wsp>
                            <wps:wsp>
                              <wps:cNvPr id="96" name="直接连接符 47"/>
                              <wps:cNvCnPr/>
                              <wps:spPr>
                                <a:xfrm flipV="1">
                                  <a:off x="2857867" y="1592875"/>
                                  <a:ext cx="663660" cy="635"/>
                                </a:xfrm>
                                <a:prstGeom prst="line">
                                  <a:avLst/>
                                </a:prstGeom>
                                <a:ln w="9525" cap="flat" cmpd="sng">
                                  <a:solidFill>
                                    <a:srgbClr val="000000"/>
                                  </a:solidFill>
                                  <a:prstDash val="solid"/>
                                  <a:headEnd type="none" w="med" len="med"/>
                                  <a:tailEnd type="triangle" w="med" len="med"/>
                                </a:ln>
                              </wps:spPr>
                              <wps:bodyPr/>
                            </wps:wsp>
                            <wps:wsp>
                              <wps:cNvPr id="97" name="直接连接符 48"/>
                              <wps:cNvCnPr/>
                              <wps:spPr>
                                <a:xfrm flipH="1" flipV="1">
                                  <a:off x="3879714" y="404570"/>
                                  <a:ext cx="635" cy="1013013"/>
                                </a:xfrm>
                                <a:prstGeom prst="line">
                                  <a:avLst/>
                                </a:prstGeom>
                                <a:ln w="9525" cap="flat" cmpd="sng">
                                  <a:solidFill>
                                    <a:srgbClr val="000000"/>
                                  </a:solidFill>
                                  <a:prstDash val="solid"/>
                                  <a:headEnd type="none" w="med" len="med"/>
                                  <a:tailEnd type="triangle" w="med" len="med"/>
                                </a:ln>
                              </wps:spPr>
                              <wps:bodyPr/>
                            </wps:wsp>
                            <wps:wsp>
                              <wps:cNvPr id="98" name="矩形 49"/>
                              <wps:cNvSpPr/>
                              <wps:spPr>
                                <a:xfrm>
                                  <a:off x="350565" y="783100"/>
                                  <a:ext cx="609678" cy="316289"/>
                                </a:xfrm>
                                <a:prstGeom prst="rect">
                                  <a:avLst/>
                                </a:prstGeom>
                                <a:noFill/>
                                <a:ln>
                                  <a:noFill/>
                                </a:ln>
                              </wps:spPr>
                              <wps:txbx>
                                <w:txbxContent>
                                  <w:p>
                                    <w:pPr>
                                      <w:jc w:val="center"/>
                                    </w:pPr>
                                    <w:r>
                                      <w:rPr>
                                        <w:rFonts w:hint="eastAsia"/>
                                      </w:rPr>
                                      <w:t>膨胀阀</w:t>
                                    </w:r>
                                  </w:p>
                                </w:txbxContent>
                              </wps:txbx>
                              <wps:bodyPr upright="1"/>
                            </wps:wsp>
                            <wps:wsp>
                              <wps:cNvPr id="99" name="矩形 50"/>
                              <wps:cNvSpPr/>
                              <wps:spPr>
                                <a:xfrm>
                                  <a:off x="3552012" y="1446798"/>
                                  <a:ext cx="538549" cy="52079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压缩机组</w:t>
                                    </w:r>
                                  </w:p>
                                </w:txbxContent>
                              </wps:txbx>
                              <wps:bodyPr upright="1"/>
                            </wps:wsp>
                            <wps:wsp>
                              <wps:cNvPr id="100" name="直接连接符 51"/>
                              <wps:cNvCnPr/>
                              <wps:spPr>
                                <a:xfrm flipH="1">
                                  <a:off x="1009780" y="370274"/>
                                  <a:ext cx="889749" cy="635"/>
                                </a:xfrm>
                                <a:prstGeom prst="line">
                                  <a:avLst/>
                                </a:prstGeom>
                                <a:ln w="9525" cap="flat" cmpd="sng">
                                  <a:solidFill>
                                    <a:srgbClr val="000000"/>
                                  </a:solidFill>
                                  <a:prstDash val="solid"/>
                                  <a:headEnd type="none" w="med" len="med"/>
                                  <a:tailEnd type="triangle" w="med" len="med"/>
                                </a:ln>
                              </wps:spPr>
                              <wps:bodyPr/>
                            </wps:wsp>
                            <wps:wsp>
                              <wps:cNvPr id="101" name="直接连接符 52"/>
                              <wps:cNvCnPr/>
                              <wps:spPr>
                                <a:xfrm>
                                  <a:off x="1025657" y="367733"/>
                                  <a:ext cx="9526" cy="1269600"/>
                                </a:xfrm>
                                <a:prstGeom prst="line">
                                  <a:avLst/>
                                </a:prstGeom>
                                <a:ln w="9525" cap="flat" cmpd="sng">
                                  <a:solidFill>
                                    <a:srgbClr val="000000"/>
                                  </a:solidFill>
                                  <a:prstDash val="solid"/>
                                  <a:headEnd type="none" w="med" len="med"/>
                                  <a:tailEnd type="triangle" w="med" len="med"/>
                                </a:ln>
                              </wps:spPr>
                              <wps:bodyPr/>
                            </wps:wsp>
                            <wps:wsp>
                              <wps:cNvPr id="102" name="直接连接符 53"/>
                              <wps:cNvCnPr/>
                              <wps:spPr>
                                <a:xfrm flipV="1">
                                  <a:off x="1079004" y="1604307"/>
                                  <a:ext cx="835132" cy="635"/>
                                </a:xfrm>
                                <a:prstGeom prst="line">
                                  <a:avLst/>
                                </a:prstGeom>
                                <a:ln w="9525" cap="flat" cmpd="sng">
                                  <a:solidFill>
                                    <a:srgbClr val="000000"/>
                                  </a:solidFill>
                                  <a:prstDash val="solid"/>
                                  <a:headEnd type="none" w="med" len="med"/>
                                  <a:tailEnd type="triangle" w="med" len="med"/>
                                </a:ln>
                              </wps:spPr>
                              <wps:bodyPr/>
                            </wps:wsp>
                            <wps:wsp>
                              <wps:cNvPr id="103" name="直接连接符 54"/>
                              <wps:cNvCnPr/>
                              <wps:spPr>
                                <a:xfrm>
                                  <a:off x="3868282" y="1998715"/>
                                  <a:ext cx="6986" cy="1122253"/>
                                </a:xfrm>
                                <a:prstGeom prst="line">
                                  <a:avLst/>
                                </a:prstGeom>
                                <a:ln w="9525" cap="flat" cmpd="sng">
                                  <a:solidFill>
                                    <a:srgbClr val="000000"/>
                                  </a:solidFill>
                                  <a:prstDash val="solid"/>
                                  <a:headEnd type="none" w="med" len="med"/>
                                  <a:tailEnd type="triangle" w="med" len="med"/>
                                </a:ln>
                              </wps:spPr>
                              <wps:bodyPr/>
                            </wps:wsp>
                            <wps:wsp>
                              <wps:cNvPr id="104" name="矩形 55"/>
                              <wps:cNvSpPr/>
                              <wps:spPr>
                                <a:xfrm>
                                  <a:off x="1886828" y="2892961"/>
                                  <a:ext cx="1028832" cy="29215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制冷风机</w:t>
                                    </w:r>
                                  </w:p>
                                </w:txbxContent>
                              </wps:txbx>
                              <wps:bodyPr upright="1"/>
                            </wps:wsp>
                            <wps:wsp>
                              <wps:cNvPr id="105" name="直接连接符 56"/>
                              <wps:cNvCnPr/>
                              <wps:spPr>
                                <a:xfrm flipH="1">
                                  <a:off x="2953765" y="3058091"/>
                                  <a:ext cx="901816" cy="0"/>
                                </a:xfrm>
                                <a:prstGeom prst="line">
                                  <a:avLst/>
                                </a:prstGeom>
                                <a:ln w="9525" cap="flat" cmpd="sng">
                                  <a:solidFill>
                                    <a:srgbClr val="000000"/>
                                  </a:solidFill>
                                  <a:prstDash val="solid"/>
                                  <a:headEnd type="none" w="med" len="med"/>
                                  <a:tailEnd type="triangle" w="med" len="med"/>
                                </a:ln>
                              </wps:spPr>
                              <wps:bodyPr/>
                            </wps:wsp>
                            <wps:wsp>
                              <wps:cNvPr id="106" name="直接连接符 57"/>
                              <wps:cNvCnPr/>
                              <wps:spPr>
                                <a:xfrm flipH="1">
                                  <a:off x="972310" y="3045389"/>
                                  <a:ext cx="889114" cy="0"/>
                                </a:xfrm>
                                <a:prstGeom prst="line">
                                  <a:avLst/>
                                </a:prstGeom>
                                <a:ln w="9525" cap="flat" cmpd="sng">
                                  <a:solidFill>
                                    <a:srgbClr val="000000"/>
                                  </a:solidFill>
                                  <a:prstDash val="solid"/>
                                  <a:headEnd type="none" w="med" len="med"/>
                                  <a:tailEnd type="triangle" w="med" len="med"/>
                                </a:ln>
                              </wps:spPr>
                              <wps:bodyPr/>
                            </wps:wsp>
                            <wps:wsp>
                              <wps:cNvPr id="107" name="直接连接符 58"/>
                              <wps:cNvCnPr/>
                              <wps:spPr>
                                <a:xfrm flipV="1">
                                  <a:off x="1018036" y="1902177"/>
                                  <a:ext cx="635" cy="1112091"/>
                                </a:xfrm>
                                <a:prstGeom prst="line">
                                  <a:avLst/>
                                </a:prstGeom>
                                <a:ln w="9525" cap="flat" cmpd="sng">
                                  <a:solidFill>
                                    <a:srgbClr val="000000"/>
                                  </a:solidFill>
                                  <a:prstDash val="solid"/>
                                  <a:headEnd type="none" w="med" len="med"/>
                                  <a:tailEnd type="triangle" w="med" len="med"/>
                                </a:ln>
                              </wps:spPr>
                              <wps:bodyPr/>
                            </wps:wsp>
                            <wps:wsp>
                              <wps:cNvPr id="112" name="矩形 59"/>
                              <wps:cNvSpPr/>
                              <wps:spPr>
                                <a:xfrm>
                                  <a:off x="362632" y="2374705"/>
                                  <a:ext cx="609678" cy="304856"/>
                                </a:xfrm>
                                <a:prstGeom prst="rect">
                                  <a:avLst/>
                                </a:prstGeom>
                                <a:noFill/>
                                <a:ln>
                                  <a:noFill/>
                                </a:ln>
                              </wps:spPr>
                              <wps:txbx>
                                <w:txbxContent>
                                  <w:p>
                                    <w:pPr>
                                      <w:jc w:val="center"/>
                                    </w:pPr>
                                    <w:r>
                                      <w:rPr>
                                        <w:rFonts w:hint="eastAsia"/>
                                      </w:rPr>
                                      <w:t>膨胀阀</w:t>
                                    </w:r>
                                  </w:p>
                                </w:txbxContent>
                              </wps:txbx>
                              <wps:bodyPr upright="1"/>
                            </wps:wsp>
                            <wps:wsp>
                              <wps:cNvPr id="113" name="矩形 60"/>
                              <wps:cNvSpPr/>
                              <wps:spPr>
                                <a:xfrm>
                                  <a:off x="1947795" y="1833585"/>
                                  <a:ext cx="863711" cy="29215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蒸发器</w:t>
                                    </w:r>
                                  </w:p>
                                </w:txbxContent>
                              </wps:txbx>
                              <wps:bodyPr upright="1"/>
                            </wps:wsp>
                            <wps:wsp>
                              <wps:cNvPr id="116" name="直接连接符 61"/>
                              <wps:cNvCnPr/>
                              <wps:spPr>
                                <a:xfrm flipV="1">
                                  <a:off x="2862313" y="1947906"/>
                                  <a:ext cx="660485" cy="0"/>
                                </a:xfrm>
                                <a:prstGeom prst="line">
                                  <a:avLst/>
                                </a:prstGeom>
                                <a:ln w="9525" cap="flat" cmpd="sng">
                                  <a:solidFill>
                                    <a:srgbClr val="000000"/>
                                  </a:solidFill>
                                  <a:prstDash val="solid"/>
                                  <a:headEnd type="none" w="med" len="med"/>
                                  <a:tailEnd type="triangle" w="med" len="med"/>
                                </a:ln>
                              </wps:spPr>
                              <wps:bodyPr/>
                            </wps:wsp>
                            <wps:wsp>
                              <wps:cNvPr id="117" name="直接连接符 62"/>
                              <wps:cNvCnPr/>
                              <wps:spPr>
                                <a:xfrm flipV="1">
                                  <a:off x="1071383" y="1960608"/>
                                  <a:ext cx="825606" cy="0"/>
                                </a:xfrm>
                                <a:prstGeom prst="line">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249.7pt;width:359.6pt;" coordsize="4566920,3171190" editas="canvas" o:gfxdata="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">
                      <o:lock v:ext="edit" aspectratio="f"/>
                      <v:shape id="_x0000_s1026" o:spid="_x0000_s1026" style="position:absolute;left:0;top:0;height:3171190;width:4566920;" filled="f" stroked="f" coordsize="21600,21600" o:gfxdata="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">
                        <v:fill on="f" focussize="0,0"/>
                        <v:stroke on="f"/>
                        <v:imagedata o:title=""/>
                        <o:lock v:ext="edit" aspectratio="t"/>
                      </v:shape>
                      <v:rect id="矩形 44" o:spid="_x0000_s1026" o:spt="1" style="position:absolute;left:1922392;top:213400;height:297235;width:1040899;" fillcolor="#FFFFFF" filled="t" stroked="t" coordsize="21600,21600" o:gfxdata="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l3PPh1QAAAAUBAAAPAAAAAAAAAAEAIAAAACIA&#10;AABkcnMvZG93bnJldi54bWxQSwECFAAUAAAACACHTuJAzImJjAwCAAA2BAAADgAAAAAAAAABACAA&#10;AAAkAQAAZHJzL2Uyb0RvYy54bWxQSwUGAAAAAAYABgBZAQAAogUAAAAA&#10;">
                        <v:fill on="t" focussize="0,0"/>
                        <v:stroke color="#000000" joinstyle="miter"/>
                        <v:imagedata o:title=""/>
                        <o:lock v:ext="edit" aspectratio="f"/>
                        <v:textbox>
                          <w:txbxContent>
                            <w:p>
                              <w:pPr>
                                <w:jc w:val="center"/>
                              </w:pPr>
                              <w:r>
                                <w:rPr>
                                  <w:rFonts w:hint="eastAsia"/>
                                </w:rPr>
                                <w:t>制冷风机</w:t>
                              </w:r>
                            </w:p>
                          </w:txbxContent>
                        </v:textbox>
                      </v:rect>
                      <v:line id="直接连接符 45" o:spid="_x0000_s1026" o:spt="20" style="position:absolute;left:2988059;top:381071;flip:x;height:635;width:906262;" filled="f" stroked="t" coordsize="21600,21600" o:gfxdata="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lpOF41wAAAAUBAAAPAAAAAAAAAAEAIAAA&#10;ACIAAABkcnMvZG93bnJldi54bWxQSwECFAAUAAAACACHTuJAjwJ0eg0CAAD0AwAADgAAAAAAAAAB&#10;ACAAAAAmAQAAZHJzL2Uyb0RvYy54bWxQSwUGAAAAAAYABgBZAQAApQUAAAAA&#10;">
                        <v:fill on="f" focussize="0,0"/>
                        <v:stroke color="#000000" joinstyle="round" endarrow="block"/>
                        <v:imagedata o:title=""/>
                        <o:lock v:ext="edit" aspectratio="f"/>
                      </v:line>
                      <v:rect id="矩形 46" o:spid="_x0000_s1026" o:spt="1" style="position:absolute;left:1950336;top:1448068;height:297235;width:869427;" fillcolor="#FFFFFF" filled="t" stroked="t" coordsize="21600,21600" o:gfxdata="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Xc8+HVAAAABQEAAA8AAAAAAAAAAQAgAAAA&#10;IgAAAGRycy9kb3ducmV2LnhtbFBLAQIUABQAAAAIAIdO4kAVdaiHDgIAADYEAAAOAAAAAAAAAAEA&#10;IAAAACQBAABkcnMvZTJvRG9jLnhtbFBLBQYAAAAABgAGAFkBAACkBQAAAAA=&#10;">
                        <v:fill on="t" focussize="0,0"/>
                        <v:stroke color="#000000" joinstyle="miter"/>
                        <v:imagedata o:title=""/>
                        <o:lock v:ext="edit" aspectratio="f"/>
                        <v:textbox>
                          <w:txbxContent>
                            <w:p>
                              <w:pPr>
                                <w:jc w:val="center"/>
                              </w:pPr>
                              <w:r>
                                <w:rPr>
                                  <w:rFonts w:hint="eastAsia"/>
                                </w:rPr>
                                <w:t>蒸发器</w:t>
                              </w:r>
                            </w:p>
                          </w:txbxContent>
                        </v:textbox>
                      </v:rect>
                      <v:line id="直接连接符 47" o:spid="_x0000_s1026" o:spt="20" style="position:absolute;left:2857867;top:1592875;flip:y;height:635;width:663660;" filled="f" stroked="t" coordsize="21600,21600" o:gfxdata="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lpOF41wAAAAUBAAAPAAAAAAAAAAEAIAAA&#10;ACIAAABkcnMvZG93bnJldi54bWxQSwECFAAUAAAACACHTuJAExxsVQ0CAAD1AwAADgAAAAAAAAAB&#10;ACAAAAAmAQAAZHJzL2Uyb0RvYy54bWxQSwUGAAAAAAYABgBZAQAApQUAAAAA&#10;">
                        <v:fill on="f" focussize="0,0"/>
                        <v:stroke color="#000000" joinstyle="round" endarrow="block"/>
                        <v:imagedata o:title=""/>
                        <o:lock v:ext="edit" aspectratio="f"/>
                      </v:line>
                      <v:line id="直接连接符 48" o:spid="_x0000_s1026" o:spt="20" style="position:absolute;left:3879714;top:404570;flip:x y;height:1013013;width:635;" filled="f" stroked="t" coordsize="21600,21600" o:gfxdata="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tzmI7XAAAABQEAAA8AAAAAAAAAAQAg&#10;AAAAIgAAAGRycy9kb3ducmV2LnhtbFBLAQIUABQAAAAIAIdO4kCLGCFWDwIAAP8DAAAOAAAAAAAA&#10;AAEAIAAAACYBAABkcnMvZTJvRG9jLnhtbFBLBQYAAAAABgAGAFkBAACnBQAAAAA=&#10;">
                        <v:fill on="f" focussize="0,0"/>
                        <v:stroke color="#000000" joinstyle="round" endarrow="block"/>
                        <v:imagedata o:title=""/>
                        <o:lock v:ext="edit" aspectratio="f"/>
                      </v:line>
                      <v:rect id="矩形 49" o:spid="_x0000_s1026" o:spt="1" style="position:absolute;left:350565;top:783100;height:316289;width:609678;" filled="f" stroked="f" coordsize="21600,21600" o:gfxdata="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C86TTX&#10;AAAABQEAAA8AAAAAAAAAAQAgAAAAIgAAAGRycy9kb3ducmV2LnhtbFBLAQIUABQAAAAIAIdO4kAK&#10;wD8UrwEAAEwDAAAOAAAAAAAAAAEAIAAAACYBAABkcnMvZTJvRG9jLnhtbFBLBQYAAAAABgAGAFkB&#10;AABHBQAAAAA=&#10;">
                        <v:fill on="f" focussize="0,0"/>
                        <v:stroke on="f"/>
                        <v:imagedata o:title=""/>
                        <o:lock v:ext="edit" aspectratio="f"/>
                        <v:textbox>
                          <w:txbxContent>
                            <w:p>
                              <w:pPr>
                                <w:jc w:val="center"/>
                              </w:pPr>
                              <w:r>
                                <w:rPr>
                                  <w:rFonts w:hint="eastAsia"/>
                                </w:rPr>
                                <w:t>膨胀阀</w:t>
                              </w:r>
                            </w:p>
                          </w:txbxContent>
                        </v:textbox>
                      </v:rect>
                      <v:rect id="矩形 50" o:spid="_x0000_s1026" o:spt="1" style="position:absolute;left:3552012;top:1446798;height:520796;width:538549;" fillcolor="#FFFFFF" filled="t" stroked="t" coordsize="21600,21600" o:gfxdata="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l3PPh1QAAAAUBAAAPAAAAAAAAAAEAIAAAACIA&#10;AABkcnMvZG93bnJldi54bWxQSwECFAAUAAAACACHTuJAe/KkMgwCAAA2BAAADgAAAAAAAAABACAA&#10;AAAkAQAAZHJzL2Uyb0RvYy54bWxQSwUGAAAAAAYABgBZAQAAogUAAAAA&#10;">
                        <v:fill on="t" focussize="0,0"/>
                        <v:stroke color="#000000" joinstyle="miter"/>
                        <v:imagedata o:title=""/>
                        <o:lock v:ext="edit" aspectratio="f"/>
                        <v:textbox>
                          <w:txbxContent>
                            <w:p>
                              <w:pPr>
                                <w:jc w:val="center"/>
                              </w:pPr>
                              <w:r>
                                <w:rPr>
                                  <w:rFonts w:hint="eastAsia"/>
                                </w:rPr>
                                <w:t>压缩机组</w:t>
                              </w:r>
                            </w:p>
                          </w:txbxContent>
                        </v:textbox>
                      </v:rect>
                      <v:line id="直接连接符 51" o:spid="_x0000_s1026" o:spt="20" style="position:absolute;left:1009780;top:370274;flip:x;height:635;width:889749;" filled="f" stroked="t" coordsize="21600,21600" o:gfxdata="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aTheNcAAAAFAQAADwAAAAAAAAABACAAAAAi&#10;AAAAZHJzL2Rvd25yZXYueG1sUEsBAhQAFAAAAAgAh07iQJkq42ILAgAA9QMAAA4AAAAAAAAAAQAg&#10;AAAAJgEAAGRycy9lMm9Eb2MueG1sUEsFBgAAAAAGAAYAWQEAAKMFAAAAAA==&#10;">
                        <v:fill on="f" focussize="0,0"/>
                        <v:stroke color="#000000" joinstyle="round" endarrow="block"/>
                        <v:imagedata o:title=""/>
                        <o:lock v:ext="edit" aspectratio="f"/>
                      </v:line>
                      <v:line id="直接连接符 52" o:spid="_x0000_s1026" o:spt="20" style="position:absolute;left:1025657;top:367733;height:1269600;width:9526;" filled="f" stroked="t" coordsize="21600,21600" o:gfxdata="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tzHQr1wAAAAUBAAAPAAAAAAAAAAEAIAAAACIAAABkcnMv&#10;ZG93bnJldi54bWxQSwECFAAUAAAACACHTuJAkpr7lQQCAADtAwAADgAAAAAAAAABACAAAAAmAQAA&#10;ZHJzL2Uyb0RvYy54bWxQSwUGAAAAAAYABgBZAQAAnAUAAAAA&#10;">
                        <v:fill on="f" focussize="0,0"/>
                        <v:stroke color="#000000" joinstyle="round" endarrow="block"/>
                        <v:imagedata o:title=""/>
                        <o:lock v:ext="edit" aspectratio="f"/>
                      </v:line>
                      <v:line id="直接连接符 53" o:spid="_x0000_s1026" o:spt="20" style="position:absolute;left:1079004;top:1604307;flip:y;height:635;width:835132;" filled="f" stroked="t" coordsize="21600,21600" o:gfxdata="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aTheNcAAAAFAQAADwAAAAAAAAABACAAAAAi&#10;AAAAZHJzL2Rvd25yZXYueG1sUEsBAhQAFAAAAAgAh07iQHCn/54LAgAA9gMAAA4AAAAAAAAAAQAg&#10;AAAAJgEAAGRycy9lMm9Eb2MueG1sUEsFBgAAAAAGAAYAWQEAAKMFAAAAAA==&#10;">
                        <v:fill on="f" focussize="0,0"/>
                        <v:stroke color="#000000" joinstyle="round" endarrow="block"/>
                        <v:imagedata o:title=""/>
                        <o:lock v:ext="edit" aspectratio="f"/>
                      </v:line>
                      <v:line id="直接连接符 54" o:spid="_x0000_s1026" o:spt="20" style="position:absolute;left:3868282;top:1998715;height:1122253;width:6986;" filled="f" stroked="t" coordsize="21600,21600" o:gfxdata="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cx0K9cAAAAFAQAADwAAAAAAAAABACAAAAAiAAAAZHJz&#10;L2Rvd25yZXYueG1sUEsBAhQAFAAAAAgAh07iQKg8JRgFAgAA7gMAAA4AAAAAAAAAAQAgAAAAJgEA&#10;AGRycy9lMm9Eb2MueG1sUEsFBgAAAAAGAAYAWQEAAJ0FAAAAAA==&#10;">
                        <v:fill on="f" focussize="0,0"/>
                        <v:stroke color="#000000" joinstyle="round" endarrow="block"/>
                        <v:imagedata o:title=""/>
                        <o:lock v:ext="edit" aspectratio="f"/>
                      </v:line>
                      <v:rect id="矩形 55" o:spid="_x0000_s1026" o:spt="1" style="position:absolute;left:1886828;top:2892961;height:292154;width:1028832;" fillcolor="#FFFFFF" filled="t" stroked="t" coordsize="21600,21600" o:gfxdata="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Xc8+HVAAAABQEAAA8AAAAAAAAAAQAgAAAA&#10;IgAAAGRycy9kb3ducmV2LnhtbFBLAQIUABQAAAAIAIdO4kAbYoi8DgIAADgEAAAOAAAAAAAAAAEA&#10;IAAAACQBAABkcnMvZTJvRG9jLnhtbFBLBQYAAAAABgAGAFkBAACkBQAAAAA=&#10;">
                        <v:fill on="t" focussize="0,0"/>
                        <v:stroke color="#000000" joinstyle="miter"/>
                        <v:imagedata o:title=""/>
                        <o:lock v:ext="edit" aspectratio="f"/>
                        <v:textbox>
                          <w:txbxContent>
                            <w:p>
                              <w:pPr>
                                <w:jc w:val="center"/>
                              </w:pPr>
                              <w:r>
                                <w:rPr>
                                  <w:rFonts w:hint="eastAsia"/>
                                </w:rPr>
                                <w:t>制冷风机</w:t>
                              </w:r>
                            </w:p>
                          </w:txbxContent>
                        </v:textbox>
                      </v:rect>
                      <v:line id="直接连接符 56" o:spid="_x0000_s1026" o:spt="20" style="position:absolute;left:2953765;top:3058091;flip:x;height:0;width:901816;" filled="f" stroked="t" coordsize="21600,21600" o:gfxdata="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aTheNcAAAAFAQAADwAAAAAAAAABACAAAAAi&#10;AAAAZHJzL2Rvd25yZXYueG1sUEsBAhQAFAAAAAgAh07iQC9/mfcLAgAA9AMAAA4AAAAAAAAAAQAg&#10;AAAAJgEAAGRycy9lMm9Eb2MueG1sUEsFBgAAAAAGAAYAWQEAAKMFAAAAAA==&#10;">
                        <v:fill on="f" focussize="0,0"/>
                        <v:stroke color="#000000" joinstyle="round" endarrow="block"/>
                        <v:imagedata o:title=""/>
                        <o:lock v:ext="edit" aspectratio="f"/>
                      </v:line>
                      <v:line id="直接连接符 57" o:spid="_x0000_s1026" o:spt="20" style="position:absolute;left:972310;top:3045389;flip:x;height:0;width:889114;" filled="f" stroked="t" coordsize="21600,21600" o:gfxdata="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lpOF41wAAAAUBAAAPAAAAAAAAAAEAIAAA&#10;ACIAAABkcnMvZG93bnJldi54bWxQSwECFAAUAAAACACHTuJAgNI+0A0CAADzAwAADgAAAAAAAAAB&#10;ACAAAAAmAQAAZHJzL2Uyb0RvYy54bWxQSwUGAAAAAAYABgBZAQAApQUAAAAA&#10;">
                        <v:fill on="f" focussize="0,0"/>
                        <v:stroke color="#000000" joinstyle="round" endarrow="block"/>
                        <v:imagedata o:title=""/>
                        <o:lock v:ext="edit" aspectratio="f"/>
                      </v:line>
                      <v:line id="直接连接符 58" o:spid="_x0000_s1026" o:spt="20" style="position:absolute;left:1018036;top:1902177;flip:y;height:1112091;width:635;" filled="f" stroked="t" coordsize="21600,21600" o:gfxdata="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lpOF41wAAAAUBAAAPAAAAAAAAAAEAIAAAACIA&#10;AABkcnMvZG93bnJldi54bWxQSwECFAAUAAAACACHTuJA6tOCPAoCAAD3AwAADgAAAAAAAAABACAA&#10;AAAmAQAAZHJzL2Uyb0RvYy54bWxQSwUGAAAAAAYABgBZAQAAogUAAAAA&#10;">
                        <v:fill on="f" focussize="0,0"/>
                        <v:stroke color="#000000" joinstyle="round" endarrow="block"/>
                        <v:imagedata o:title=""/>
                        <o:lock v:ext="edit" aspectratio="f"/>
                      </v:line>
                      <v:rect id="矩形 59" o:spid="_x0000_s1026" o:spt="1" style="position:absolute;left:362632;top:2374705;height:304856;width:609678;" filled="f" stroked="f" coordsize="21600,21600" o:gfxdata="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4Lzp&#10;NNcAAAAFAQAADwAAAAAAAAABACAAAAAiAAAAZHJzL2Rvd25yZXYueG1sUEsBAhQAFAAAAAgAh07i&#10;QJbC7G6xAQAATgMAAA4AAAAAAAAAAQAgAAAAJgEAAGRycy9lMm9Eb2MueG1sUEsFBgAAAAAGAAYA&#10;WQEAAEkFAAAAAA==&#10;">
                        <v:fill on="f" focussize="0,0"/>
                        <v:stroke on="f"/>
                        <v:imagedata o:title=""/>
                        <o:lock v:ext="edit" aspectratio="f"/>
                        <v:textbox>
                          <w:txbxContent>
                            <w:p>
                              <w:pPr>
                                <w:jc w:val="center"/>
                              </w:pPr>
                              <w:r>
                                <w:rPr>
                                  <w:rFonts w:hint="eastAsia"/>
                                </w:rPr>
                                <w:t>膨胀阀</w:t>
                              </w:r>
                            </w:p>
                          </w:txbxContent>
                        </v:textbox>
                      </v:rect>
                      <v:rect id="矩形 60" o:spid="_x0000_s1026" o:spt="1" style="position:absolute;left:1947795;top:1833585;height:292154;width:863711;" fillcolor="#FFFFFF" filled="t" stroked="t" coordsize="21600,21600" o:gfxdata="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Xc8+HVAAAABQEAAA8AAAAAAAAAAQAgAAAA&#10;IgAAAGRycy9kb3ducmV2LnhtbFBLAQIUABQAAAAIAIdO4kDbc7vnDgIAADcEAAAOAAAAAAAAAAEA&#10;IAAAACQBAABkcnMvZTJvRG9jLnhtbFBLBQYAAAAABgAGAFkBAACkBQAAAAA=&#10;">
                        <v:fill on="t" focussize="0,0"/>
                        <v:stroke color="#000000" joinstyle="miter"/>
                        <v:imagedata o:title=""/>
                        <o:lock v:ext="edit" aspectratio="f"/>
                        <v:textbox>
                          <w:txbxContent>
                            <w:p>
                              <w:pPr>
                                <w:jc w:val="center"/>
                              </w:pPr>
                              <w:r>
                                <w:rPr>
                                  <w:rFonts w:hint="eastAsia"/>
                                </w:rPr>
                                <w:t>蒸发器</w:t>
                              </w:r>
                            </w:p>
                          </w:txbxContent>
                        </v:textbox>
                      </v:rect>
                      <v:line id="直接连接符 61" o:spid="_x0000_s1026" o:spt="20" style="position:absolute;left:2862313;top:1947906;flip:y;height:0;width:660485;" filled="f" stroked="t" coordsize="21600,21600" o:gfxdata="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Wk4XjXAAAABQEAAA8AAAAAAAAAAQAgAAAA&#10;IgAAAGRycy9kb3ducmV2LnhtbFBLAQIUABQAAAAIAIdO4kCCIwUjDAIAAPQDAAAOAAAAAAAAAAEA&#10;IAAAACYBAABkcnMvZTJvRG9jLnhtbFBLBQYAAAAABgAGAFkBAACkBQAAAAA=&#10;">
                        <v:fill on="f" focussize="0,0"/>
                        <v:stroke color="#000000" joinstyle="round" endarrow="block"/>
                        <v:imagedata o:title=""/>
                        <o:lock v:ext="edit" aspectratio="f"/>
                      </v:line>
                      <v:line id="直接连接符 62" o:spid="_x0000_s1026" o:spt="20" style="position:absolute;left:1071383;top:1960608;flip:y;height:0;width:825606;" filled="f" stroked="t" coordsize="21600,21600" o:gfxdata="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lpOF41wAAAAUBAAAPAAAAAAAAAAEAIAAAACIA&#10;AABkcnMvZG93bnJldi54bWxQSwECFAAUAAAACACHTuJAVTi4OgoCAAD0AwAADgAAAAAAAAABACAA&#10;AAAmAQAAZHJzL2Uyb0RvYy54bWxQSwUGAAAAAAYABgBZAQAAogUAAAAA&#10;">
                        <v:fill on="f" focussize="0,0"/>
                        <v:stroke color="#000000" joinstyle="round" endarrow="block"/>
                        <v:imagedata o:title=""/>
                        <o:lock v:ext="edit" aspectratio="f"/>
                      </v:line>
                      <w10:wrap type="none"/>
                      <w10:anchorlock/>
                    </v:group>
                  </w:pict>
                </mc:Fallback>
              </mc:AlternateContent>
            </w:r>
          </w:p>
          <w:p>
            <w:pPr>
              <w:spacing w:line="360" w:lineRule="auto"/>
              <w:jc w:val="center"/>
              <w:rPr>
                <w:b/>
                <w:bCs/>
                <w:sz w:val="24"/>
              </w:rPr>
            </w:pPr>
            <w:r>
              <w:rPr>
                <w:b/>
                <w:bCs/>
                <w:sz w:val="24"/>
              </w:rPr>
              <w:t>图2-3 冷库工艺</w:t>
            </w:r>
          </w:p>
          <w:p>
            <w:pPr>
              <w:spacing w:line="360" w:lineRule="auto"/>
              <w:ind w:firstLine="480" w:firstLineChars="200"/>
              <w:rPr>
                <w:sz w:val="24"/>
              </w:rPr>
            </w:pPr>
            <w:r>
              <w:rPr>
                <w:sz w:val="24"/>
              </w:rPr>
              <w:t>冷库工艺流程描述如下：</w:t>
            </w:r>
          </w:p>
          <w:p>
            <w:pPr>
              <w:spacing w:line="360" w:lineRule="auto"/>
              <w:ind w:firstLine="480" w:firstLineChars="200"/>
              <w:rPr>
                <w:sz w:val="24"/>
              </w:rPr>
            </w:pPr>
            <w:r>
              <w:rPr>
                <w:sz w:val="24"/>
              </w:rPr>
              <w:t>制冷剂从压缩机吸气管吸入为低温低压气体，通过电机运转带动活塞后对其进行压缩后为高温高压的制冷剂气体，向排气管排出，高温的气态制冷剂通过制冷风机散热，温度下降并凝结成液体。通过膨胀阀节流后变成低温低压制冷剂进入蒸发器，蒸发器中的液态制冷剂吸收热量并开始蒸发，形成一定的温度差，液态制冷剂亦完全蒸发变为气态，后被压缩机吸入并压缩，完成制冷剂循环过程。</w:t>
            </w:r>
          </w:p>
          <w:p>
            <w:pPr>
              <w:spacing w:line="360" w:lineRule="auto"/>
              <w:ind w:firstLine="422" w:firstLineChars="200"/>
              <w:rPr>
                <w:rFonts w:eastAsiaTheme="minorEastAsia"/>
                <w:sz w:val="24"/>
              </w:rPr>
            </w:pPr>
            <w:r>
              <w:rPr>
                <w:rFonts w:eastAsiaTheme="minorEastAsia"/>
                <w:b/>
              </w:rPr>
              <mc:AlternateContent>
                <mc:Choice Requires="wpc">
                  <w:drawing>
                    <wp:anchor distT="0" distB="0" distL="114300" distR="114300" simplePos="0" relativeHeight="251662336" behindDoc="0" locked="0" layoutInCell="1" allowOverlap="1">
                      <wp:simplePos x="0" y="0"/>
                      <wp:positionH relativeFrom="column">
                        <wp:posOffset>495935</wp:posOffset>
                      </wp:positionH>
                      <wp:positionV relativeFrom="paragraph">
                        <wp:posOffset>504825</wp:posOffset>
                      </wp:positionV>
                      <wp:extent cx="4511675" cy="2206625"/>
                      <wp:effectExtent l="0" t="0" r="3175" b="0"/>
                      <wp:wrapTopAndBottom/>
                      <wp:docPr id="38" name="画布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9" name="矩形 29"/>
                              <wps:cNvSpPr/>
                              <wps:spPr>
                                <a:xfrm>
                                  <a:off x="1952625" y="80010"/>
                                  <a:ext cx="7429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自来水箱</w:t>
                                    </w:r>
                                  </w:p>
                                </w:txbxContent>
                              </wps:txbx>
                              <wps:bodyPr upright="1"/>
                            </wps:wsp>
                            <wps:wsp>
                              <wps:cNvPr id="40" name="直接连接符 30"/>
                              <wps:cNvCnPr/>
                              <wps:spPr>
                                <a:xfrm>
                                  <a:off x="2305050" y="396240"/>
                                  <a:ext cx="635" cy="297180"/>
                                </a:xfrm>
                                <a:prstGeom prst="line">
                                  <a:avLst/>
                                </a:prstGeom>
                                <a:ln w="9525" cap="flat" cmpd="sng">
                                  <a:solidFill>
                                    <a:srgbClr val="000000"/>
                                  </a:solidFill>
                                  <a:prstDash val="solid"/>
                                  <a:headEnd type="none" w="med" len="med"/>
                                  <a:tailEnd type="triangle" w="med" len="med"/>
                                </a:ln>
                              </wps:spPr>
                              <wps:bodyPr/>
                            </wps:wsp>
                            <wps:wsp>
                              <wps:cNvPr id="41" name="矩形 31"/>
                              <wps:cNvSpPr/>
                              <wps:spPr>
                                <a:xfrm>
                                  <a:off x="1794510" y="710565"/>
                                  <a:ext cx="99758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多介质过滤器</w:t>
                                    </w:r>
                                  </w:p>
                                </w:txbxContent>
                              </wps:txbx>
                              <wps:bodyPr upright="1"/>
                            </wps:wsp>
                            <wps:wsp>
                              <wps:cNvPr id="43" name="矩形 33"/>
                              <wps:cNvSpPr/>
                              <wps:spPr>
                                <a:xfrm>
                                  <a:off x="1577340" y="1280160"/>
                                  <a:ext cx="134874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离子交换装置</w:t>
                                    </w:r>
                                  </w:p>
                                </w:txbxContent>
                              </wps:txbx>
                              <wps:bodyPr upright="1"/>
                            </wps:wsp>
                            <wps:wsp>
                              <wps:cNvPr id="44" name="直接连接符 34"/>
                              <wps:cNvCnPr/>
                              <wps:spPr>
                                <a:xfrm>
                                  <a:off x="2286000" y="1022985"/>
                                  <a:ext cx="635" cy="297180"/>
                                </a:xfrm>
                                <a:prstGeom prst="line">
                                  <a:avLst/>
                                </a:prstGeom>
                                <a:ln w="9525" cap="flat" cmpd="sng">
                                  <a:solidFill>
                                    <a:srgbClr val="000000"/>
                                  </a:solidFill>
                                  <a:prstDash val="solid"/>
                                  <a:headEnd type="none" w="med" len="med"/>
                                  <a:tailEnd type="triangle" w="med" len="med"/>
                                </a:ln>
                              </wps:spPr>
                              <wps:bodyPr/>
                            </wps:wsp>
                            <wps:wsp>
                              <wps:cNvPr id="45" name="直接连接符 35"/>
                              <wps:cNvCnPr/>
                              <wps:spPr>
                                <a:xfrm>
                                  <a:off x="2263140" y="1569720"/>
                                  <a:ext cx="635" cy="297180"/>
                                </a:xfrm>
                                <a:prstGeom prst="line">
                                  <a:avLst/>
                                </a:prstGeom>
                                <a:ln w="9525" cap="flat" cmpd="sng">
                                  <a:solidFill>
                                    <a:srgbClr val="000000"/>
                                  </a:solidFill>
                                  <a:prstDash val="solid"/>
                                  <a:headEnd type="none" w="med" len="med"/>
                                  <a:tailEnd type="triangle" w="med" len="med"/>
                                </a:ln>
                              </wps:spPr>
                              <wps:bodyPr/>
                            </wps:wsp>
                            <wps:wsp>
                              <wps:cNvPr id="46" name="矩形 36"/>
                              <wps:cNvSpPr/>
                              <wps:spPr>
                                <a:xfrm>
                                  <a:off x="1645920" y="1835150"/>
                                  <a:ext cx="124142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软水用水环节</w:t>
                                    </w:r>
                                  </w:p>
                                </w:txbxContent>
                              </wps:txbx>
                              <wps:bodyPr upright="1"/>
                            </wps:wsp>
                            <wps:wsp>
                              <wps:cNvPr id="47" name="直接连接符 37"/>
                              <wps:cNvCnPr/>
                              <wps:spPr>
                                <a:xfrm flipV="1">
                                  <a:off x="2956560" y="1424940"/>
                                  <a:ext cx="381000" cy="635"/>
                                </a:xfrm>
                                <a:prstGeom prst="line">
                                  <a:avLst/>
                                </a:prstGeom>
                                <a:ln w="9525" cap="flat" cmpd="sng">
                                  <a:solidFill>
                                    <a:srgbClr val="000000"/>
                                  </a:solidFill>
                                  <a:prstDash val="dash"/>
                                  <a:headEnd type="none" w="med" len="med"/>
                                  <a:tailEnd type="triangle" w="med" len="med"/>
                                </a:ln>
                              </wps:spPr>
                              <wps:bodyPr/>
                            </wps:wsp>
                            <wps:wsp>
                              <wps:cNvPr id="48" name="矩形 38"/>
                              <wps:cNvSpPr/>
                              <wps:spPr>
                                <a:xfrm>
                                  <a:off x="2945130" y="1110615"/>
                                  <a:ext cx="473710" cy="268605"/>
                                </a:xfrm>
                                <a:prstGeom prst="rect">
                                  <a:avLst/>
                                </a:prstGeom>
                                <a:noFill/>
                                <a:ln>
                                  <a:noFill/>
                                </a:ln>
                              </wps:spPr>
                              <wps:txbx>
                                <w:txbxContent>
                                  <w:p>
                                    <w:r>
                                      <w:rPr>
                                        <w:rFonts w:hint="eastAsia"/>
                                      </w:rPr>
                                      <w:t>浓水</w:t>
                                    </w:r>
                                  </w:p>
                                </w:txbxContent>
                              </wps:txbx>
                              <wps:bodyPr upright="1"/>
                            </wps:wsp>
                            <wps:wsp>
                              <wps:cNvPr id="49" name="直接连接符 39"/>
                              <wps:cNvCnPr/>
                              <wps:spPr>
                                <a:xfrm>
                                  <a:off x="1363980" y="236220"/>
                                  <a:ext cx="571500" cy="635"/>
                                </a:xfrm>
                                <a:prstGeom prst="line">
                                  <a:avLst/>
                                </a:prstGeom>
                                <a:ln w="9525" cap="flat" cmpd="sng">
                                  <a:solidFill>
                                    <a:srgbClr val="000000"/>
                                  </a:solidFill>
                                  <a:prstDash val="solid"/>
                                  <a:headEnd type="none" w="med" len="med"/>
                                  <a:tailEnd type="triangle" w="med" len="med"/>
                                </a:ln>
                              </wps:spPr>
                              <wps:bodyPr/>
                            </wps:wsp>
                            <wps:wsp>
                              <wps:cNvPr id="50" name="矩形 40"/>
                              <wps:cNvSpPr/>
                              <wps:spPr>
                                <a:xfrm>
                                  <a:off x="775335" y="64770"/>
                                  <a:ext cx="586740" cy="297180"/>
                                </a:xfrm>
                                <a:prstGeom prst="rect">
                                  <a:avLst/>
                                </a:prstGeom>
                                <a:noFill/>
                                <a:ln>
                                  <a:noFill/>
                                </a:ln>
                              </wps:spPr>
                              <wps:txbx>
                                <w:txbxContent>
                                  <w:p>
                                    <w:pPr>
                                      <w:jc w:val="center"/>
                                    </w:pPr>
                                    <w:r>
                                      <w:rPr>
                                        <w:rFonts w:hint="eastAsia"/>
                                      </w:rPr>
                                      <w:t>自来水</w:t>
                                    </w:r>
                                  </w:p>
                                </w:txbxContent>
                              </wps:txbx>
                              <wps:bodyPr upright="1"/>
                            </wps:wsp>
                            <wps:wsp>
                              <wps:cNvPr id="52" name="文本框 42"/>
                              <wps:cNvSpPr txBox="1"/>
                              <wps:spPr>
                                <a:xfrm>
                                  <a:off x="3395345" y="1285240"/>
                                  <a:ext cx="1043305" cy="274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szCs w:val="21"/>
                                      </w:rPr>
                                    </w:pPr>
                                    <w:r>
                                      <w:rPr>
                                        <w:rFonts w:hint="eastAsia"/>
                                        <w:szCs w:val="21"/>
                                      </w:rPr>
                                      <w:t>种植基地浇灌</w:t>
                                    </w:r>
                                  </w:p>
                                  <w:p/>
                                </w:txbxContent>
                              </wps:txbx>
                              <wps:bodyPr upright="1"/>
                            </wps:wsp>
                          </wpc:wpc>
                        </a:graphicData>
                      </a:graphic>
                    </wp:anchor>
                  </w:drawing>
                </mc:Choice>
                <mc:Fallback>
                  <w:pict>
                    <v:group id="_x0000_s1026" o:spid="_x0000_s1026" o:spt="203" style="position:absolute;left:0pt;margin-left:39.05pt;margin-top:39.75pt;height:173.75pt;width:355.25pt;mso-wrap-distance-bottom:0pt;mso-wrap-distance-top:0pt;z-index:251662336;mso-width-relative:page;mso-height-relative:page;" coordsize="4511675,2206625" editas="canvas" o:gfxdata="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">
                      <o:lock v:ext="edit" aspectratio="f"/>
                      <v:shape id="_x0000_s1026" o:spid="_x0000_s1026" style="position:absolute;left:0;top:0;height:2206625;width:4511675;" filled="f" stroked="f" coordsize="21600,21600" o:gfxdata="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">
                        <v:fill on="f" focussize="0,0"/>
                        <v:stroke on="f"/>
                        <v:imagedata o:title=""/>
                        <o:lock v:ext="edit" aspectratio="t"/>
                      </v:shape>
                      <v:rect id="矩形 29" o:spid="_x0000_s1026" o:spt="1" style="position:absolute;left:1952625;top:80010;height:297180;width:742950;" fillcolor="#FFFFFF" filled="t" stroked="t" coordsize="21600,21600" o:gfxdata="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z5fidgAAAAJAQAADwAAAAAAAAABACAA&#10;AAAiAAAAZHJzL2Rvd25yZXYueG1sUEsBAhQAFAAAAAgAh07iQKpIepoNAgAANAQAAA4AAAAAAAAA&#10;AQAgAAAAJwEAAGRycy9lMm9Eb2MueG1sUEsFBgAAAAAGAAYAWQEAAKYFAAAAAA==&#10;">
                        <v:fill on="t" focussize="0,0"/>
                        <v:stroke color="#000000" joinstyle="miter"/>
                        <v:imagedata o:title=""/>
                        <o:lock v:ext="edit" aspectratio="f"/>
                        <v:textbox>
                          <w:txbxContent>
                            <w:p>
                              <w:pPr>
                                <w:jc w:val="center"/>
                              </w:pPr>
                              <w:r>
                                <w:rPr>
                                  <w:rFonts w:hint="eastAsia"/>
                                </w:rPr>
                                <w:t>自来水箱</w:t>
                              </w:r>
                            </w:p>
                          </w:txbxContent>
                        </v:textbox>
                      </v:rect>
                      <v:line id="直接连接符 30" o:spid="_x0000_s1026" o:spt="20" style="position:absolute;left:2305050;top:396240;height:297180;width:635;" filled="f" stroked="t" coordsize="21600,21600" o:gfxdata="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fyKrE2gAAAAkBAAAPAAAAAAAAAAEAIAAAACIAAABkcnMv&#10;ZG93bnJldi54bWxQSwECFAAUAAAACACHTuJAIvrUmAECAADqAwAADgAAAAAAAAABACAAAAApAQAA&#10;ZHJzL2Uyb0RvYy54bWxQSwUGAAAAAAYABgBZAQAAnAUAAAAA&#10;">
                        <v:fill on="f" focussize="0,0"/>
                        <v:stroke color="#000000" joinstyle="round" endarrow="block"/>
                        <v:imagedata o:title=""/>
                        <o:lock v:ext="edit" aspectratio="f"/>
                      </v:line>
                      <v:rect id="矩形 31" o:spid="_x0000_s1026" o:spt="1" style="position:absolute;left:1794510;top:710565;height:297180;width:997585;" fillcolor="#FFFFFF" filled="t" stroked="t" coordsize="21600,21600" o:gfxdata="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fPl+J2AAAAAkBAAAPAAAAAAAAAAEA&#10;IAAAACIAAABkcnMvZG93bnJldi54bWxQSwECFAAUAAAACACHTuJAUhLjwA8CAAA1BAAADgAAAAAA&#10;AAABACAAAAAnAQAAZHJzL2Uyb0RvYy54bWxQSwUGAAAAAAYABgBZAQAAqAUAAAAA&#10;">
                        <v:fill on="t" focussize="0,0"/>
                        <v:stroke color="#000000" joinstyle="miter"/>
                        <v:imagedata o:title=""/>
                        <o:lock v:ext="edit" aspectratio="f"/>
                        <v:textbox>
                          <w:txbxContent>
                            <w:p>
                              <w:pPr>
                                <w:jc w:val="center"/>
                              </w:pPr>
                              <w:r>
                                <w:rPr>
                                  <w:rFonts w:hint="eastAsia"/>
                                </w:rPr>
                                <w:t>多介质过滤器</w:t>
                              </w:r>
                            </w:p>
                          </w:txbxContent>
                        </v:textbox>
                      </v:rect>
                      <v:rect id="矩形 33" o:spid="_x0000_s1026" o:spt="1" style="position:absolute;left:1577340;top:1280160;height:297180;width:1348740;" fillcolor="#FFFFFF" filled="t" stroked="t" coordsize="21600,21600" o:gfxdata="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z5fidgAAAAJAQAADwAAAAAAAAAB&#10;ACAAAAAiAAAAZHJzL2Rvd25yZXYueG1sUEsBAhQAFAAAAAgAh07iQFp9ibcQAgAANwQAAA4AAAAA&#10;AAAAAQAgAAAAJwEAAGRycy9lMm9Eb2MueG1sUEsFBgAAAAAGAAYAWQEAAKkFAAAAAA==&#10;">
                        <v:fill on="t" focussize="0,0"/>
                        <v:stroke color="#000000" joinstyle="miter"/>
                        <v:imagedata o:title=""/>
                        <o:lock v:ext="edit" aspectratio="f"/>
                        <v:textbox>
                          <w:txbxContent>
                            <w:p>
                              <w:pPr>
                                <w:jc w:val="center"/>
                              </w:pPr>
                              <w:r>
                                <w:rPr>
                                  <w:rFonts w:hint="eastAsia"/>
                                </w:rPr>
                                <w:t>离子交换装置</w:t>
                              </w:r>
                            </w:p>
                          </w:txbxContent>
                        </v:textbox>
                      </v:rect>
                      <v:line id="直接连接符 34" o:spid="_x0000_s1026" o:spt="20" style="position:absolute;left:2286000;top:1022985;height:297180;width:635;" filled="f" stroked="t" coordsize="21600,21600" o:gfxdata="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IqsTaAAAACQEAAA8AAAAAAAAAAQAgAAAAIgAA&#10;AGRycy9kb3ducmV2LnhtbFBLAQIUABQAAAAIAIdO4kBeml2TBgIAAOsDAAAOAAAAAAAAAAEAIAAA&#10;ACkBAABkcnMvZTJvRG9jLnhtbFBLBQYAAAAABgAGAFkBAAChBQAAAAA=&#10;">
                        <v:fill on="f" focussize="0,0"/>
                        <v:stroke color="#000000" joinstyle="round" endarrow="block"/>
                        <v:imagedata o:title=""/>
                        <o:lock v:ext="edit" aspectratio="f"/>
                      </v:line>
                      <v:line id="直接连接符 35" o:spid="_x0000_s1026" o:spt="20" style="position:absolute;left:2263140;top:1569720;height:297180;width:635;" filled="f" stroked="t" coordsize="21600,21600" o:gfxdata="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&#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fyKrE2gAAAAkBAAAPAAAAAAAAAAEAIAAAACIAAABk&#10;cnMvZG93bnJldi54bWxQSwECFAAUAAAACACHTuJA+qWk4gQCAADrAwAADgAAAAAAAAABACAAAAAp&#10;AQAAZHJzL2Uyb0RvYy54bWxQSwUGAAAAAAYABgBZAQAAnwUAAAAA&#10;">
                        <v:fill on="f" focussize="0,0"/>
                        <v:stroke color="#000000" joinstyle="round" endarrow="block"/>
                        <v:imagedata o:title=""/>
                        <o:lock v:ext="edit" aspectratio="f"/>
                      </v:line>
                      <v:rect id="矩形 36" o:spid="_x0000_s1026" o:spt="1" style="position:absolute;left:1645920;top:1835150;height:297180;width:1241425;" fillcolor="#FFFFFF" filled="t" stroked="t" coordsize="21600,21600" o:gfxdata="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z5fidgAAAAJAQAADwAAAAAAAAAB&#10;ACAAAAAiAAAAZHJzL2Rvd25yZXYueG1sUEsBAhQAFAAAAAgAh07iQCP0Z3MQAgAANwQAAA4AAAAA&#10;AAAAAQAgAAAAJwEAAGRycy9lMm9Eb2MueG1sUEsFBgAAAAAGAAYAWQEAAKkFAAAAAA==&#10;">
                        <v:fill on="t" focussize="0,0"/>
                        <v:stroke color="#000000" joinstyle="miter"/>
                        <v:imagedata o:title=""/>
                        <o:lock v:ext="edit" aspectratio="f"/>
                        <v:textbox>
                          <w:txbxContent>
                            <w:p>
                              <w:pPr>
                                <w:jc w:val="center"/>
                              </w:pPr>
                              <w:r>
                                <w:rPr>
                                  <w:rFonts w:hint="eastAsia"/>
                                </w:rPr>
                                <w:t>软水用水环节</w:t>
                              </w:r>
                            </w:p>
                          </w:txbxContent>
                        </v:textbox>
                      </v:rect>
                      <v:line id="直接连接符 37" o:spid="_x0000_s1026" o:spt="20" style="position:absolute;left:2956560;top:1424940;flip:y;height:635;width:381000;" filled="f" stroked="t" coordsize="21600,21600" o:gfxdata="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aL+j11wAAAAkBAAAPAAAAAAAAAAEAIAAAACIA&#10;AABkcnMvZG93bnJldi54bWxQSwECFAAUAAAACACHTuJAivnvUQoCAAD0AwAADgAAAAAAAAABACAA&#10;AAAmAQAAZHJzL2Uyb0RvYy54bWxQSwUGAAAAAAYABgBZAQAAogUAAAAA&#10;">
                        <v:fill on="f" focussize="0,0"/>
                        <v:stroke color="#000000" joinstyle="round" dashstyle="dash" endarrow="block"/>
                        <v:imagedata o:title=""/>
                        <o:lock v:ext="edit" aspectratio="f"/>
                      </v:line>
                      <v:rect id="矩形 38" o:spid="_x0000_s1026" o:spt="1" style="position:absolute;left:2945130;top:1110615;height:268605;width:473710;" filled="f" stroked="f" coordsize="21600,21600" o:gfxdata="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yzePxtsAAAAJAQAADwAAAAAAAAABACAAAAAiAAAAZHJzL2Rvd25yZXYueG1sUEsBAhQAFAAAAAgA&#10;h07iQD5EdEOwAQAATgMAAA4AAAAAAAAAAQAgAAAAKgEAAGRycy9lMm9Eb2MueG1sUEsFBgAAAAAG&#10;AAYAWQEAAEwFAAAAAA==&#10;">
                        <v:fill on="f" focussize="0,0"/>
                        <v:stroke on="f"/>
                        <v:imagedata o:title=""/>
                        <o:lock v:ext="edit" aspectratio="f"/>
                        <v:textbox>
                          <w:txbxContent>
                            <w:p>
                              <w:r>
                                <w:rPr>
                                  <w:rFonts w:hint="eastAsia"/>
                                </w:rPr>
                                <w:t>浓水</w:t>
                              </w:r>
                            </w:p>
                          </w:txbxContent>
                        </v:textbox>
                      </v:rect>
                      <v:line id="直接连接符 39" o:spid="_x0000_s1026" o:spt="20" style="position:absolute;left:1363980;top:236220;height:635;width:571500;" filled="f" stroked="t" coordsize="21600,21600" o:gfxdata="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fyKrE2gAAAAkBAAAPAAAAAAAAAAEAIAAAACIAAABkcnMv&#10;ZG93bnJldi54bWxQSwECFAAUAAAACACHTuJAcFgy3gECAADqAwAADgAAAAAAAAABACAAAAApAQAA&#10;ZHJzL2Uyb0RvYy54bWxQSwUGAAAAAAYABgBZAQAAnAUAAAAA&#10;">
                        <v:fill on="f" focussize="0,0"/>
                        <v:stroke color="#000000" joinstyle="round" endarrow="block"/>
                        <v:imagedata o:title=""/>
                        <o:lock v:ext="edit" aspectratio="f"/>
                      </v:line>
                      <v:rect id="矩形 40" o:spid="_x0000_s1026" o:spt="1" style="position:absolute;left:775335;top:64770;height:297180;width:586740;" filled="f" stroked="f" coordsize="21600,21600" o:gfxdata="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yzeP&#10;xtsAAAAJAQAADwAAAAAAAAABACAAAAAiAAAAZHJzL2Rvd25yZXYueG1sUEsBAhQAFAAAAAgAh07i&#10;QPbsdqitAQAASwMAAA4AAAAAAAAAAQAgAAAAKgEAAGRycy9lMm9Eb2MueG1sUEsFBgAAAAAGAAYA&#10;WQEAAEkFAAAAAA==&#10;">
                        <v:fill on="f" focussize="0,0"/>
                        <v:stroke on="f"/>
                        <v:imagedata o:title=""/>
                        <o:lock v:ext="edit" aspectratio="f"/>
                        <v:textbox>
                          <w:txbxContent>
                            <w:p>
                              <w:pPr>
                                <w:jc w:val="center"/>
                              </w:pPr>
                              <w:r>
                                <w:rPr>
                                  <w:rFonts w:hint="eastAsia"/>
                                </w:rPr>
                                <w:t>自来水</w:t>
                              </w:r>
                            </w:p>
                          </w:txbxContent>
                        </v:textbox>
                      </v:rect>
                      <v:shape id="文本框 42" o:spid="_x0000_s1026" o:spt="202" type="#_x0000_t202" style="position:absolute;left:3395345;top:1285240;height:274320;width:1043305;" fillcolor="#FFFFFF" filled="t" stroked="t" coordsize="21600,21600" o:gfxdata="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xvVDd2QAAAAkBAAAP&#10;AAAAAAAAAAEAIAAAACIAAABkcnMvZG93bnJldi54bWxQSwECFAAUAAAACACHTuJAFP4u8RcCAABE&#10;BAAADgAAAAAAAAABACAAAAAoAQAAZHJzL2Uyb0RvYy54bWxQSwUGAAAAAAYABgBZAQAAsQUAAAAA&#10;">
                        <v:fill on="t" focussize="0,0"/>
                        <v:stroke color="#000000" joinstyle="miter"/>
                        <v:imagedata o:title=""/>
                        <o:lock v:ext="edit" aspectratio="f"/>
                        <v:textbox>
                          <w:txbxContent>
                            <w:p>
                              <w:pPr>
                                <w:adjustRightInd w:val="0"/>
                                <w:snapToGrid w:val="0"/>
                                <w:jc w:val="center"/>
                                <w:rPr>
                                  <w:szCs w:val="21"/>
                                </w:rPr>
                              </w:pPr>
                              <w:r>
                                <w:rPr>
                                  <w:rFonts w:hint="eastAsia"/>
                                  <w:szCs w:val="21"/>
                                </w:rPr>
                                <w:t>种植基地浇灌</w:t>
                              </w:r>
                            </w:p>
                            <w:p/>
                          </w:txbxContent>
                        </v:textbox>
                      </v:shape>
                      <w10:wrap type="topAndBottom"/>
                    </v:group>
                  </w:pict>
                </mc:Fallback>
              </mc:AlternateContent>
            </w:r>
            <w:r>
              <w:rPr>
                <w:rFonts w:eastAsiaTheme="minorEastAsia"/>
                <w:sz w:val="24"/>
              </w:rPr>
              <w:t>软化水处理工艺流程描述如下：</w:t>
            </w:r>
          </w:p>
          <w:p>
            <w:pPr>
              <w:spacing w:line="360" w:lineRule="auto"/>
              <w:ind w:firstLine="480" w:firstLineChars="200"/>
              <w:rPr>
                <w:rFonts w:eastAsiaTheme="minorEastAsia"/>
                <w:sz w:val="24"/>
              </w:rPr>
            </w:pPr>
            <w:r>
              <w:rPr>
                <w:rFonts w:eastAsiaTheme="minorEastAsia"/>
                <w:sz w:val="24"/>
              </w:rPr>
              <w:t>自来水首先经过软水器进行软化处理，去除水中的杂质（主要是钙镁等），以免水中的钙、镁在高温下形成水垢附着在锅炉内壁上，降低锅炉热效率、浪费燃料、使锅炉出力不足、甚至引起事故等，此过程会产生软化废水。</w:t>
            </w:r>
          </w:p>
          <w:p>
            <w:pPr>
              <w:spacing w:line="360" w:lineRule="auto"/>
              <w:ind w:firstLine="480" w:firstLineChars="200"/>
              <w:rPr>
                <w:sz w:val="24"/>
              </w:rPr>
            </w:pPr>
            <w:r>
              <w:rPr>
                <w:rFonts w:eastAsiaTheme="minorEastAsia"/>
                <w:sz w:val="24"/>
              </w:rPr>
              <w:t>软化水处理器的填料是离子交换树脂，使用过程中定期用盐水对交换树脂进行再生清洗，反冲洗过程会产生冲洗废水，主要污染物是盐量等。自来水通过软水器内树脂层时，水中的钙、镁离子被树脂交换吸附，同时等物质释放出钠离子，从而使出水软化。当树脂吸收一定量的钙、镁离子后，就必须进行再生。再生采用食盐水冲洗树脂层，把树脂上的硬度离子再置换出来，随再生废水排出，树脂恢复软化交换能力。盐水再生反应的化学方程式如下：</w:t>
            </w:r>
          </w:p>
          <w:p>
            <w:pPr>
              <w:pStyle w:val="12"/>
              <w:spacing w:line="360" w:lineRule="auto"/>
              <w:ind w:firstLine="480" w:firstLineChars="200"/>
              <w:rPr>
                <w:rFonts w:ascii="Times New Roman" w:hAnsi="Times New Roman"/>
              </w:rPr>
            </w:pPr>
            <w:r>
              <w:rPr>
                <w:rFonts w:ascii="Times New Roman" w:hAnsi="Times New Roman"/>
                <w:sz w:val="24"/>
              </w:rPr>
              <w:t>产污环节分析见下表：</w:t>
            </w:r>
          </w:p>
          <w:p>
            <w:pPr>
              <w:pStyle w:val="13"/>
              <w:spacing w:line="360" w:lineRule="auto"/>
              <w:jc w:val="center"/>
              <w:rPr>
                <w:rFonts w:ascii="Times New Roman"/>
                <w:b/>
                <w:bCs/>
                <w:color w:val="auto"/>
              </w:rPr>
            </w:pPr>
            <w:r>
              <w:rPr>
                <w:rFonts w:ascii="Times New Roman"/>
                <w:b/>
                <w:bCs/>
                <w:color w:val="auto"/>
              </w:rPr>
              <w:t>表2-11 项目产污环节分析一览表（运营期）</w:t>
            </w:r>
          </w:p>
          <w:tbl>
            <w:tblPr>
              <w:tblStyle w:val="28"/>
              <w:tblW w:w="8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461"/>
              <w:gridCol w:w="2121"/>
              <w:gridCol w:w="4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090" w:type="dxa"/>
                  <w:gridSpan w:val="2"/>
                  <w:vAlign w:val="center"/>
                </w:tcPr>
                <w:p>
                  <w:pPr>
                    <w:pStyle w:val="13"/>
                    <w:jc w:val="center"/>
                    <w:rPr>
                      <w:rFonts w:ascii="Times New Roman" w:eastAsiaTheme="minorEastAsia"/>
                      <w:b/>
                      <w:color w:val="auto"/>
                      <w:sz w:val="21"/>
                      <w:szCs w:val="21"/>
                    </w:rPr>
                  </w:pPr>
                  <w:r>
                    <w:rPr>
                      <w:rFonts w:ascii="Times New Roman" w:eastAsiaTheme="minorEastAsia"/>
                      <w:b/>
                      <w:color w:val="auto"/>
                      <w:sz w:val="21"/>
                      <w:szCs w:val="21"/>
                    </w:rPr>
                    <w:t>污染物类型</w:t>
                  </w:r>
                </w:p>
              </w:tc>
              <w:tc>
                <w:tcPr>
                  <w:tcW w:w="2121" w:type="dxa"/>
                  <w:vAlign w:val="center"/>
                </w:tcPr>
                <w:p>
                  <w:pPr>
                    <w:pStyle w:val="13"/>
                    <w:jc w:val="center"/>
                    <w:rPr>
                      <w:rFonts w:ascii="Times New Roman" w:eastAsiaTheme="minorEastAsia"/>
                      <w:b/>
                      <w:color w:val="auto"/>
                      <w:sz w:val="21"/>
                      <w:szCs w:val="21"/>
                    </w:rPr>
                  </w:pPr>
                  <w:r>
                    <w:rPr>
                      <w:rFonts w:ascii="Times New Roman" w:eastAsiaTheme="minorEastAsia"/>
                      <w:b/>
                      <w:color w:val="auto"/>
                      <w:sz w:val="21"/>
                      <w:szCs w:val="21"/>
                    </w:rPr>
                    <w:t>主要污染物</w:t>
                  </w:r>
                </w:p>
              </w:tc>
              <w:tc>
                <w:tcPr>
                  <w:tcW w:w="4621" w:type="dxa"/>
                  <w:vAlign w:val="center"/>
                </w:tcPr>
                <w:p>
                  <w:pPr>
                    <w:pStyle w:val="13"/>
                    <w:jc w:val="center"/>
                    <w:rPr>
                      <w:rFonts w:ascii="Times New Roman" w:eastAsiaTheme="minorEastAsia"/>
                      <w:b/>
                      <w:color w:val="auto"/>
                      <w:sz w:val="21"/>
                      <w:szCs w:val="21"/>
                    </w:rPr>
                  </w:pPr>
                  <w:r>
                    <w:rPr>
                      <w:rFonts w:ascii="Times New Roman" w:eastAsiaTheme="minorEastAsia"/>
                      <w:b/>
                      <w:color w:val="auto"/>
                      <w:sz w:val="21"/>
                      <w:szCs w:val="21"/>
                    </w:rPr>
                    <w:t>产污环节分析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29" w:type="dxa"/>
                  <w:vMerge w:val="restart"/>
                  <w:vAlign w:val="center"/>
                </w:tcPr>
                <w:p>
                  <w:pPr>
                    <w:pStyle w:val="13"/>
                    <w:jc w:val="center"/>
                    <w:rPr>
                      <w:rFonts w:ascii="Times New Roman" w:eastAsiaTheme="minorEastAsia"/>
                      <w:color w:val="auto"/>
                      <w:sz w:val="21"/>
                      <w:szCs w:val="21"/>
                    </w:rPr>
                  </w:pPr>
                  <w:r>
                    <w:rPr>
                      <w:rFonts w:ascii="Times New Roman" w:eastAsiaTheme="minorEastAsia"/>
                      <w:color w:val="auto"/>
                      <w:sz w:val="21"/>
                      <w:szCs w:val="21"/>
                    </w:rPr>
                    <w:t>废气</w:t>
                  </w:r>
                </w:p>
              </w:tc>
              <w:tc>
                <w:tcPr>
                  <w:tcW w:w="1461" w:type="dxa"/>
                  <w:vAlign w:val="center"/>
                </w:tcPr>
                <w:p>
                  <w:pPr>
                    <w:pStyle w:val="13"/>
                    <w:jc w:val="center"/>
                    <w:rPr>
                      <w:rFonts w:ascii="Times New Roman" w:eastAsiaTheme="minorEastAsia"/>
                      <w:color w:val="auto"/>
                      <w:sz w:val="21"/>
                      <w:szCs w:val="21"/>
                    </w:rPr>
                  </w:pPr>
                  <w:r>
                    <w:rPr>
                      <w:rFonts w:ascii="Times New Roman" w:eastAsiaTheme="minorEastAsia"/>
                      <w:color w:val="auto"/>
                      <w:sz w:val="21"/>
                      <w:szCs w:val="21"/>
                    </w:rPr>
                    <w:t>锅炉废气（G1）</w:t>
                  </w:r>
                </w:p>
              </w:tc>
              <w:tc>
                <w:tcPr>
                  <w:tcW w:w="2121" w:type="dxa"/>
                  <w:vAlign w:val="center"/>
                </w:tcPr>
                <w:p>
                  <w:pPr>
                    <w:pStyle w:val="13"/>
                    <w:jc w:val="center"/>
                    <w:rPr>
                      <w:rFonts w:ascii="Times New Roman" w:eastAsiaTheme="minorEastAsia"/>
                      <w:color w:val="auto"/>
                      <w:sz w:val="21"/>
                      <w:szCs w:val="21"/>
                    </w:rPr>
                  </w:pPr>
                  <w:r>
                    <w:rPr>
                      <w:rFonts w:ascii="Times New Roman" w:eastAsiaTheme="minorEastAsia"/>
                      <w:color w:val="auto"/>
                      <w:sz w:val="21"/>
                      <w:szCs w:val="21"/>
                    </w:rPr>
                    <w:t>SO</w:t>
                  </w:r>
                  <w:r>
                    <w:rPr>
                      <w:rFonts w:ascii="Times New Roman" w:eastAsiaTheme="minorEastAsia"/>
                      <w:color w:val="auto"/>
                      <w:sz w:val="21"/>
                      <w:szCs w:val="21"/>
                      <w:vertAlign w:val="subscript"/>
                    </w:rPr>
                    <w:t>2</w:t>
                  </w:r>
                  <w:r>
                    <w:rPr>
                      <w:rFonts w:ascii="Times New Roman" w:eastAsiaTheme="minorEastAsia"/>
                      <w:color w:val="auto"/>
                      <w:sz w:val="21"/>
                      <w:szCs w:val="21"/>
                    </w:rPr>
                    <w:t>、NO</w:t>
                  </w:r>
                  <w:r>
                    <w:rPr>
                      <w:rFonts w:ascii="Times New Roman" w:eastAsiaTheme="minorEastAsia"/>
                      <w:color w:val="auto"/>
                      <w:sz w:val="21"/>
                      <w:szCs w:val="21"/>
                      <w:vertAlign w:val="subscript"/>
                    </w:rPr>
                    <w:t>x</w:t>
                  </w:r>
                  <w:r>
                    <w:rPr>
                      <w:rFonts w:ascii="Times New Roman" w:eastAsiaTheme="minorEastAsia"/>
                      <w:color w:val="auto"/>
                      <w:sz w:val="21"/>
                      <w:szCs w:val="21"/>
                    </w:rPr>
                    <w:t>、颗粒物、烟气黑度</w:t>
                  </w:r>
                </w:p>
              </w:tc>
              <w:tc>
                <w:tcPr>
                  <w:tcW w:w="4621" w:type="dxa"/>
                  <w:vAlign w:val="center"/>
                </w:tcPr>
                <w:p>
                  <w:pPr>
                    <w:pStyle w:val="13"/>
                    <w:jc w:val="center"/>
                    <w:rPr>
                      <w:rFonts w:ascii="Times New Roman" w:eastAsiaTheme="minorEastAsia"/>
                      <w:color w:val="auto"/>
                      <w:sz w:val="21"/>
                      <w:szCs w:val="21"/>
                    </w:rPr>
                  </w:pPr>
                  <w:r>
                    <w:rPr>
                      <w:rFonts w:ascii="Times New Roman" w:eastAsiaTheme="minorEastAsia"/>
                      <w:color w:val="auto"/>
                      <w:sz w:val="21"/>
                      <w:szCs w:val="21"/>
                    </w:rPr>
                    <w:t>生物质锅炉加温过程中产生，主要污染物为SO</w:t>
                  </w:r>
                  <w:r>
                    <w:rPr>
                      <w:rFonts w:ascii="Times New Roman" w:eastAsiaTheme="minorEastAsia"/>
                      <w:color w:val="auto"/>
                      <w:sz w:val="21"/>
                      <w:szCs w:val="21"/>
                      <w:vertAlign w:val="subscript"/>
                    </w:rPr>
                    <w:t>2</w:t>
                  </w:r>
                  <w:r>
                    <w:rPr>
                      <w:rFonts w:ascii="Times New Roman" w:eastAsiaTheme="minorEastAsia"/>
                      <w:color w:val="auto"/>
                      <w:sz w:val="21"/>
                      <w:szCs w:val="21"/>
                    </w:rPr>
                    <w:t>、NO</w:t>
                  </w:r>
                  <w:r>
                    <w:rPr>
                      <w:rFonts w:ascii="Times New Roman" w:eastAsiaTheme="minorEastAsia"/>
                      <w:color w:val="auto"/>
                      <w:sz w:val="21"/>
                      <w:szCs w:val="21"/>
                      <w:vertAlign w:val="subscript"/>
                    </w:rPr>
                    <w:t>x</w:t>
                  </w:r>
                  <w:r>
                    <w:rPr>
                      <w:rFonts w:ascii="Times New Roman" w:eastAsiaTheme="minorEastAsia"/>
                      <w:color w:val="auto"/>
                      <w:sz w:val="21"/>
                      <w:szCs w:val="21"/>
                    </w:rPr>
                    <w:t>、烟气黑度。温室大棚加温温度为80℃，加温后多余热量返回储能罐中进行储存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629" w:type="dxa"/>
                  <w:vMerge w:val="continue"/>
                  <w:vAlign w:val="center"/>
                </w:tcPr>
                <w:p>
                  <w:pPr>
                    <w:pStyle w:val="13"/>
                    <w:jc w:val="center"/>
                    <w:rPr>
                      <w:rFonts w:ascii="Times New Roman" w:eastAsiaTheme="minorEastAsia"/>
                      <w:color w:val="auto"/>
                      <w:sz w:val="21"/>
                      <w:szCs w:val="21"/>
                    </w:rPr>
                  </w:pPr>
                </w:p>
              </w:tc>
              <w:tc>
                <w:tcPr>
                  <w:tcW w:w="1461" w:type="dxa"/>
                  <w:vAlign w:val="center"/>
                </w:tcPr>
                <w:p>
                  <w:pPr>
                    <w:pStyle w:val="13"/>
                    <w:jc w:val="center"/>
                    <w:rPr>
                      <w:rFonts w:ascii="Times New Roman" w:eastAsiaTheme="minorEastAsia"/>
                      <w:color w:val="auto"/>
                      <w:sz w:val="21"/>
                      <w:szCs w:val="21"/>
                    </w:rPr>
                  </w:pPr>
                  <w:r>
                    <w:rPr>
                      <w:rFonts w:ascii="Times New Roman" w:eastAsiaTheme="minorEastAsia"/>
                      <w:color w:val="auto"/>
                      <w:sz w:val="21"/>
                      <w:szCs w:val="21"/>
                    </w:rPr>
                    <w:t>食堂油烟</w:t>
                  </w:r>
                </w:p>
              </w:tc>
              <w:tc>
                <w:tcPr>
                  <w:tcW w:w="2121" w:type="dxa"/>
                  <w:vAlign w:val="center"/>
                </w:tcPr>
                <w:p>
                  <w:pPr>
                    <w:pStyle w:val="13"/>
                    <w:jc w:val="center"/>
                    <w:rPr>
                      <w:rFonts w:ascii="Times New Roman" w:eastAsiaTheme="minorEastAsia"/>
                      <w:color w:val="auto"/>
                      <w:sz w:val="21"/>
                      <w:szCs w:val="21"/>
                    </w:rPr>
                  </w:pPr>
                  <w:r>
                    <w:rPr>
                      <w:rFonts w:ascii="Times New Roman" w:eastAsiaTheme="minorEastAsia"/>
                      <w:color w:val="auto"/>
                      <w:sz w:val="21"/>
                      <w:szCs w:val="21"/>
                    </w:rPr>
                    <w:t>油烟废气</w:t>
                  </w:r>
                </w:p>
              </w:tc>
              <w:tc>
                <w:tcPr>
                  <w:tcW w:w="4621" w:type="dxa"/>
                  <w:vAlign w:val="center"/>
                </w:tcPr>
                <w:p>
                  <w:pPr>
                    <w:pStyle w:val="13"/>
                    <w:jc w:val="center"/>
                    <w:rPr>
                      <w:rFonts w:ascii="Times New Roman" w:eastAsiaTheme="minorEastAsia"/>
                      <w:color w:val="auto"/>
                      <w:sz w:val="21"/>
                      <w:szCs w:val="21"/>
                    </w:rPr>
                  </w:pPr>
                  <w:r>
                    <w:rPr>
                      <w:rFonts w:ascii="Times New Roman" w:eastAsiaTheme="minorEastAsia"/>
                      <w:color w:val="auto"/>
                      <w:sz w:val="21"/>
                      <w:szCs w:val="21"/>
                    </w:rPr>
                    <w:t>食堂油烟在项目食堂烹饪时产生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29" w:type="dxa"/>
                  <w:vMerge w:val="continue"/>
                  <w:vAlign w:val="center"/>
                </w:tcPr>
                <w:p>
                  <w:pPr>
                    <w:pStyle w:val="13"/>
                    <w:jc w:val="center"/>
                    <w:rPr>
                      <w:rFonts w:ascii="Times New Roman" w:eastAsiaTheme="minorEastAsia"/>
                      <w:color w:val="auto"/>
                      <w:sz w:val="21"/>
                      <w:szCs w:val="21"/>
                    </w:rPr>
                  </w:pPr>
                </w:p>
              </w:tc>
              <w:tc>
                <w:tcPr>
                  <w:tcW w:w="1461" w:type="dxa"/>
                  <w:vAlign w:val="center"/>
                </w:tcPr>
                <w:p>
                  <w:pPr>
                    <w:pStyle w:val="13"/>
                    <w:jc w:val="center"/>
                    <w:rPr>
                      <w:rFonts w:ascii="Times New Roman" w:eastAsiaTheme="minorEastAsia"/>
                      <w:color w:val="auto"/>
                      <w:sz w:val="21"/>
                      <w:szCs w:val="21"/>
                    </w:rPr>
                  </w:pPr>
                  <w:r>
                    <w:rPr>
                      <w:rFonts w:ascii="Times New Roman" w:eastAsiaTheme="minorEastAsia"/>
                      <w:color w:val="auto"/>
                      <w:sz w:val="21"/>
                      <w:szCs w:val="21"/>
                    </w:rPr>
                    <w:t>农药废气无组织排放（G2）</w:t>
                  </w:r>
                </w:p>
              </w:tc>
              <w:tc>
                <w:tcPr>
                  <w:tcW w:w="2121" w:type="dxa"/>
                  <w:vAlign w:val="center"/>
                </w:tcPr>
                <w:p>
                  <w:pPr>
                    <w:pStyle w:val="13"/>
                    <w:jc w:val="center"/>
                    <w:rPr>
                      <w:rFonts w:ascii="Times New Roman" w:eastAsiaTheme="minorEastAsia"/>
                      <w:color w:val="auto"/>
                      <w:sz w:val="21"/>
                      <w:szCs w:val="21"/>
                    </w:rPr>
                  </w:pPr>
                  <w:r>
                    <w:rPr>
                      <w:rFonts w:ascii="Times New Roman" w:eastAsiaTheme="minorEastAsia"/>
                      <w:color w:val="auto"/>
                      <w:sz w:val="21"/>
                      <w:szCs w:val="21"/>
                    </w:rPr>
                    <w:t>异味</w:t>
                  </w:r>
                </w:p>
              </w:tc>
              <w:tc>
                <w:tcPr>
                  <w:tcW w:w="4621" w:type="dxa"/>
                  <w:vAlign w:val="center"/>
                </w:tcPr>
                <w:p>
                  <w:pPr>
                    <w:pStyle w:val="13"/>
                    <w:jc w:val="center"/>
                    <w:rPr>
                      <w:rFonts w:ascii="Times New Roman" w:eastAsiaTheme="minorEastAsia"/>
                      <w:color w:val="auto"/>
                      <w:sz w:val="21"/>
                      <w:szCs w:val="21"/>
                    </w:rPr>
                  </w:pPr>
                  <w:r>
                    <w:rPr>
                      <w:rFonts w:ascii="Times New Roman" w:eastAsiaTheme="minorEastAsia"/>
                      <w:color w:val="auto"/>
                      <w:sz w:val="21"/>
                      <w:szCs w:val="21"/>
                    </w:rPr>
                    <w:t>在花卉种植大棚中施用农药时产生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629" w:type="dxa"/>
                  <w:vMerge w:val="restart"/>
                  <w:vAlign w:val="center"/>
                </w:tcPr>
                <w:p>
                  <w:pPr>
                    <w:pStyle w:val="13"/>
                    <w:jc w:val="center"/>
                    <w:rPr>
                      <w:rFonts w:ascii="Times New Roman" w:eastAsiaTheme="minorEastAsia"/>
                      <w:color w:val="auto"/>
                      <w:sz w:val="21"/>
                      <w:szCs w:val="21"/>
                    </w:rPr>
                  </w:pPr>
                  <w:r>
                    <w:rPr>
                      <w:rFonts w:ascii="Times New Roman" w:eastAsiaTheme="minorEastAsia"/>
                      <w:color w:val="auto"/>
                      <w:sz w:val="21"/>
                      <w:szCs w:val="21"/>
                    </w:rPr>
                    <w:t>废水</w:t>
                  </w:r>
                </w:p>
              </w:tc>
              <w:tc>
                <w:tcPr>
                  <w:tcW w:w="1461" w:type="dxa"/>
                  <w:vAlign w:val="center"/>
                </w:tcPr>
                <w:p>
                  <w:pPr>
                    <w:pStyle w:val="13"/>
                    <w:jc w:val="center"/>
                    <w:rPr>
                      <w:rFonts w:ascii="Times New Roman" w:eastAsiaTheme="minorEastAsia"/>
                      <w:color w:val="auto"/>
                      <w:sz w:val="21"/>
                      <w:szCs w:val="21"/>
                    </w:rPr>
                  </w:pPr>
                  <w:r>
                    <w:rPr>
                      <w:rFonts w:ascii="Times New Roman" w:eastAsiaTheme="minorEastAsia"/>
                      <w:color w:val="auto"/>
                      <w:sz w:val="21"/>
                      <w:szCs w:val="21"/>
                    </w:rPr>
                    <w:t>浓水（W1）</w:t>
                  </w:r>
                </w:p>
              </w:tc>
              <w:tc>
                <w:tcPr>
                  <w:tcW w:w="2121" w:type="dxa"/>
                  <w:vAlign w:val="center"/>
                </w:tcPr>
                <w:p>
                  <w:pPr>
                    <w:pStyle w:val="13"/>
                    <w:jc w:val="center"/>
                    <w:rPr>
                      <w:rFonts w:ascii="Times New Roman" w:eastAsiaTheme="minorEastAsia"/>
                      <w:color w:val="auto"/>
                      <w:sz w:val="21"/>
                      <w:szCs w:val="21"/>
                    </w:rPr>
                  </w:pPr>
                  <w:r>
                    <w:rPr>
                      <w:rFonts w:ascii="Times New Roman" w:eastAsiaTheme="minorEastAsia"/>
                      <w:color w:val="auto"/>
                      <w:sz w:val="21"/>
                      <w:szCs w:val="21"/>
                    </w:rPr>
                    <w:t>少量SS</w:t>
                  </w:r>
                </w:p>
              </w:tc>
              <w:tc>
                <w:tcPr>
                  <w:tcW w:w="4621" w:type="dxa"/>
                  <w:vAlign w:val="center"/>
                </w:tcPr>
                <w:p>
                  <w:pPr>
                    <w:pStyle w:val="13"/>
                    <w:jc w:val="center"/>
                    <w:rPr>
                      <w:rFonts w:ascii="Times New Roman" w:eastAsiaTheme="minorEastAsia"/>
                      <w:color w:val="auto"/>
                      <w:sz w:val="21"/>
                      <w:szCs w:val="21"/>
                    </w:rPr>
                  </w:pPr>
                  <w:r>
                    <w:rPr>
                      <w:rFonts w:ascii="Times New Roman"/>
                      <w:color w:val="auto"/>
                      <w:kern w:val="2"/>
                      <w:sz w:val="21"/>
                      <w:szCs w:val="21"/>
                      <w:lang w:bidi="ar"/>
                    </w:rPr>
                    <w:t>在软水制备过程中产生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629" w:type="dxa"/>
                  <w:vMerge w:val="continue"/>
                  <w:vAlign w:val="center"/>
                </w:tcPr>
                <w:p>
                  <w:pPr>
                    <w:pStyle w:val="13"/>
                    <w:jc w:val="center"/>
                    <w:rPr>
                      <w:rFonts w:ascii="Times New Roman" w:eastAsiaTheme="minorEastAsia"/>
                      <w:color w:val="auto"/>
                      <w:sz w:val="21"/>
                      <w:szCs w:val="21"/>
                    </w:rPr>
                  </w:pPr>
                </w:p>
              </w:tc>
              <w:tc>
                <w:tcPr>
                  <w:tcW w:w="1461" w:type="dxa"/>
                  <w:vAlign w:val="center"/>
                </w:tcPr>
                <w:p>
                  <w:pPr>
                    <w:pStyle w:val="13"/>
                    <w:jc w:val="center"/>
                    <w:rPr>
                      <w:rFonts w:ascii="Times New Roman" w:eastAsiaTheme="minorEastAsia"/>
                      <w:color w:val="auto"/>
                      <w:sz w:val="21"/>
                      <w:szCs w:val="21"/>
                    </w:rPr>
                  </w:pPr>
                  <w:r>
                    <w:rPr>
                      <w:rFonts w:ascii="Times New Roman" w:eastAsiaTheme="minorEastAsia"/>
                      <w:color w:val="auto"/>
                      <w:sz w:val="21"/>
                      <w:szCs w:val="21"/>
                    </w:rPr>
                    <w:t>锅炉废水（W2）</w:t>
                  </w:r>
                </w:p>
              </w:tc>
              <w:tc>
                <w:tcPr>
                  <w:tcW w:w="2121" w:type="dxa"/>
                  <w:vAlign w:val="center"/>
                </w:tcPr>
                <w:p>
                  <w:pPr>
                    <w:pStyle w:val="13"/>
                    <w:jc w:val="center"/>
                    <w:rPr>
                      <w:rFonts w:ascii="Times New Roman" w:eastAsiaTheme="minorEastAsia"/>
                      <w:color w:val="auto"/>
                      <w:sz w:val="21"/>
                      <w:szCs w:val="21"/>
                    </w:rPr>
                  </w:pPr>
                  <w:r>
                    <w:rPr>
                      <w:rFonts w:ascii="Times New Roman" w:eastAsiaTheme="minorEastAsia"/>
                      <w:color w:val="auto"/>
                      <w:sz w:val="21"/>
                      <w:szCs w:val="21"/>
                    </w:rPr>
                    <w:t>少量SS</w:t>
                  </w:r>
                </w:p>
              </w:tc>
              <w:tc>
                <w:tcPr>
                  <w:tcW w:w="4621" w:type="dxa"/>
                  <w:vAlign w:val="center"/>
                </w:tcPr>
                <w:p>
                  <w:pPr>
                    <w:pStyle w:val="13"/>
                    <w:jc w:val="center"/>
                    <w:rPr>
                      <w:rFonts w:ascii="Times New Roman" w:eastAsiaTheme="minorEastAsia"/>
                      <w:color w:val="auto"/>
                      <w:sz w:val="21"/>
                      <w:szCs w:val="21"/>
                    </w:rPr>
                  </w:pPr>
                  <w:r>
                    <w:rPr>
                      <w:rFonts w:ascii="Times New Roman" w:eastAsiaTheme="minorEastAsia"/>
                      <w:color w:val="auto"/>
                      <w:sz w:val="21"/>
                      <w:szCs w:val="21"/>
                    </w:rPr>
                    <w:t>在锅炉使用过程中产生少量锅炉废水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629" w:type="dxa"/>
                  <w:vMerge w:val="continue"/>
                  <w:vAlign w:val="center"/>
                </w:tcPr>
                <w:p>
                  <w:pPr>
                    <w:pStyle w:val="13"/>
                    <w:jc w:val="center"/>
                    <w:rPr>
                      <w:rFonts w:ascii="Times New Roman" w:eastAsiaTheme="minorEastAsia"/>
                      <w:color w:val="auto"/>
                      <w:sz w:val="21"/>
                      <w:szCs w:val="21"/>
                    </w:rPr>
                  </w:pPr>
                </w:p>
              </w:tc>
              <w:tc>
                <w:tcPr>
                  <w:tcW w:w="1461" w:type="dxa"/>
                  <w:vAlign w:val="center"/>
                </w:tcPr>
                <w:p>
                  <w:pPr>
                    <w:pStyle w:val="13"/>
                    <w:jc w:val="center"/>
                    <w:rPr>
                      <w:rFonts w:ascii="Times New Roman" w:eastAsiaTheme="minorEastAsia"/>
                      <w:color w:val="auto"/>
                      <w:sz w:val="21"/>
                      <w:szCs w:val="21"/>
                    </w:rPr>
                  </w:pPr>
                  <w:r>
                    <w:rPr>
                      <w:rFonts w:ascii="Times New Roman" w:eastAsiaTheme="minorEastAsia"/>
                      <w:color w:val="auto"/>
                      <w:sz w:val="21"/>
                      <w:szCs w:val="21"/>
                    </w:rPr>
                    <w:t>种植浇灌渗出水（W3）</w:t>
                  </w:r>
                </w:p>
              </w:tc>
              <w:tc>
                <w:tcPr>
                  <w:tcW w:w="2121" w:type="dxa"/>
                  <w:vAlign w:val="center"/>
                </w:tcPr>
                <w:p>
                  <w:pPr>
                    <w:pStyle w:val="13"/>
                    <w:jc w:val="center"/>
                    <w:rPr>
                      <w:rFonts w:ascii="Times New Roman" w:eastAsiaTheme="minorEastAsia"/>
                      <w:color w:val="auto"/>
                      <w:sz w:val="21"/>
                      <w:szCs w:val="21"/>
                    </w:rPr>
                  </w:pPr>
                  <w:r>
                    <w:rPr>
                      <w:rFonts w:ascii="Times New Roman" w:eastAsiaTheme="minorEastAsia"/>
                      <w:color w:val="auto"/>
                      <w:sz w:val="21"/>
                      <w:szCs w:val="21"/>
                    </w:rPr>
                    <w:t>pH、CODcr、BOD</w:t>
                  </w:r>
                  <w:r>
                    <w:rPr>
                      <w:rFonts w:ascii="Times New Roman" w:eastAsiaTheme="minorEastAsia"/>
                      <w:color w:val="auto"/>
                      <w:sz w:val="21"/>
                      <w:szCs w:val="21"/>
                      <w:vertAlign w:val="subscript"/>
                    </w:rPr>
                    <w:t>5</w:t>
                  </w:r>
                  <w:r>
                    <w:rPr>
                      <w:rFonts w:ascii="Times New Roman" w:eastAsiaTheme="minorEastAsia"/>
                      <w:color w:val="auto"/>
                      <w:sz w:val="21"/>
                      <w:szCs w:val="21"/>
                    </w:rPr>
                    <w:t>、SS、NH</w:t>
                  </w:r>
                  <w:r>
                    <w:rPr>
                      <w:rFonts w:ascii="Times New Roman" w:eastAsiaTheme="minorEastAsia"/>
                      <w:color w:val="auto"/>
                      <w:sz w:val="21"/>
                      <w:szCs w:val="21"/>
                      <w:vertAlign w:val="subscript"/>
                    </w:rPr>
                    <w:t>3</w:t>
                  </w:r>
                  <w:r>
                    <w:rPr>
                      <w:rFonts w:ascii="Times New Roman" w:eastAsiaTheme="minorEastAsia"/>
                      <w:color w:val="auto"/>
                      <w:sz w:val="21"/>
                      <w:szCs w:val="21"/>
                    </w:rPr>
                    <w:t>-N、总磷、动植物油</w:t>
                  </w:r>
                </w:p>
              </w:tc>
              <w:tc>
                <w:tcPr>
                  <w:tcW w:w="4621" w:type="dxa"/>
                  <w:vAlign w:val="center"/>
                </w:tcPr>
                <w:p>
                  <w:pPr>
                    <w:pStyle w:val="13"/>
                    <w:jc w:val="center"/>
                    <w:rPr>
                      <w:rFonts w:ascii="Times New Roman" w:eastAsiaTheme="minorEastAsia"/>
                      <w:color w:val="auto"/>
                      <w:sz w:val="21"/>
                      <w:szCs w:val="21"/>
                    </w:rPr>
                  </w:pPr>
                  <w:r>
                    <w:rPr>
                      <w:rFonts w:ascii="Times New Roman" w:eastAsiaTheme="minorEastAsia"/>
                      <w:color w:val="auto"/>
                      <w:sz w:val="21"/>
                      <w:szCs w:val="21"/>
                    </w:rPr>
                    <w:t>在种植滴灌的过程中产生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29" w:type="dxa"/>
                  <w:vMerge w:val="continue"/>
                  <w:vAlign w:val="center"/>
                </w:tcPr>
                <w:p>
                  <w:pPr>
                    <w:pStyle w:val="13"/>
                    <w:jc w:val="center"/>
                    <w:rPr>
                      <w:rFonts w:ascii="Times New Roman" w:eastAsiaTheme="minorEastAsia"/>
                      <w:color w:val="auto"/>
                      <w:sz w:val="21"/>
                      <w:szCs w:val="21"/>
                    </w:rPr>
                  </w:pPr>
                </w:p>
              </w:tc>
              <w:tc>
                <w:tcPr>
                  <w:tcW w:w="1461" w:type="dxa"/>
                  <w:vAlign w:val="center"/>
                </w:tcPr>
                <w:p>
                  <w:pPr>
                    <w:pStyle w:val="13"/>
                    <w:jc w:val="center"/>
                    <w:rPr>
                      <w:rFonts w:ascii="Times New Roman" w:eastAsiaTheme="minorEastAsia"/>
                      <w:color w:val="auto"/>
                      <w:sz w:val="21"/>
                      <w:szCs w:val="21"/>
                    </w:rPr>
                  </w:pPr>
                  <w:r>
                    <w:rPr>
                      <w:rFonts w:ascii="Times New Roman" w:eastAsiaTheme="minorEastAsia"/>
                      <w:color w:val="auto"/>
                      <w:sz w:val="21"/>
                      <w:szCs w:val="21"/>
                    </w:rPr>
                    <w:t>包花预清洗废水（W4）</w:t>
                  </w:r>
                </w:p>
              </w:tc>
              <w:tc>
                <w:tcPr>
                  <w:tcW w:w="2121" w:type="dxa"/>
                  <w:vAlign w:val="center"/>
                </w:tcPr>
                <w:p>
                  <w:pPr>
                    <w:pStyle w:val="13"/>
                    <w:jc w:val="center"/>
                    <w:rPr>
                      <w:rFonts w:ascii="Times New Roman" w:eastAsiaTheme="minorEastAsia"/>
                      <w:color w:val="auto"/>
                      <w:sz w:val="21"/>
                      <w:szCs w:val="21"/>
                    </w:rPr>
                  </w:pPr>
                  <w:r>
                    <w:rPr>
                      <w:rFonts w:ascii="Times New Roman" w:eastAsiaTheme="minorEastAsia"/>
                      <w:color w:val="auto"/>
                      <w:sz w:val="21"/>
                      <w:szCs w:val="21"/>
                    </w:rPr>
                    <w:t>少量SS</w:t>
                  </w:r>
                </w:p>
              </w:tc>
              <w:tc>
                <w:tcPr>
                  <w:tcW w:w="4621" w:type="dxa"/>
                  <w:vAlign w:val="center"/>
                </w:tcPr>
                <w:p>
                  <w:pPr>
                    <w:pStyle w:val="13"/>
                    <w:jc w:val="center"/>
                    <w:rPr>
                      <w:rFonts w:ascii="Times New Roman" w:eastAsiaTheme="minorEastAsia"/>
                      <w:color w:val="auto"/>
                      <w:sz w:val="21"/>
                      <w:szCs w:val="21"/>
                    </w:rPr>
                  </w:pPr>
                  <w:r>
                    <w:rPr>
                      <w:rFonts w:ascii="Times New Roman" w:eastAsiaTheme="minorEastAsia"/>
                      <w:color w:val="auto"/>
                      <w:sz w:val="21"/>
                      <w:szCs w:val="21"/>
                    </w:rPr>
                    <w:t>在包花车间进行花朵清洗过程中产生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629" w:type="dxa"/>
                  <w:vMerge w:val="continue"/>
                  <w:vAlign w:val="center"/>
                </w:tcPr>
                <w:p>
                  <w:pPr>
                    <w:pStyle w:val="13"/>
                    <w:jc w:val="center"/>
                    <w:rPr>
                      <w:rFonts w:ascii="Times New Roman" w:eastAsiaTheme="minorEastAsia"/>
                      <w:color w:val="auto"/>
                      <w:sz w:val="21"/>
                      <w:szCs w:val="21"/>
                    </w:rPr>
                  </w:pPr>
                </w:p>
              </w:tc>
              <w:tc>
                <w:tcPr>
                  <w:tcW w:w="1461" w:type="dxa"/>
                  <w:vAlign w:val="center"/>
                </w:tcPr>
                <w:p>
                  <w:pPr>
                    <w:pStyle w:val="13"/>
                    <w:jc w:val="center"/>
                    <w:rPr>
                      <w:rFonts w:ascii="Times New Roman" w:eastAsiaTheme="minorEastAsia"/>
                      <w:color w:val="auto"/>
                      <w:sz w:val="21"/>
                      <w:szCs w:val="21"/>
                    </w:rPr>
                  </w:pPr>
                  <w:r>
                    <w:rPr>
                      <w:rFonts w:ascii="Times New Roman" w:eastAsiaTheme="minorEastAsia"/>
                      <w:color w:val="auto"/>
                      <w:sz w:val="21"/>
                      <w:szCs w:val="21"/>
                    </w:rPr>
                    <w:t>员工生活污水</w:t>
                  </w:r>
                </w:p>
              </w:tc>
              <w:tc>
                <w:tcPr>
                  <w:tcW w:w="2121" w:type="dxa"/>
                  <w:vAlign w:val="center"/>
                </w:tcPr>
                <w:p>
                  <w:pPr>
                    <w:pStyle w:val="13"/>
                    <w:jc w:val="center"/>
                    <w:rPr>
                      <w:rFonts w:ascii="Times New Roman" w:eastAsiaTheme="minorEastAsia"/>
                      <w:color w:val="auto"/>
                      <w:sz w:val="21"/>
                      <w:szCs w:val="21"/>
                    </w:rPr>
                  </w:pPr>
                  <w:r>
                    <w:rPr>
                      <w:rFonts w:ascii="Times New Roman" w:eastAsiaTheme="minorEastAsia"/>
                      <w:color w:val="auto"/>
                      <w:sz w:val="21"/>
                      <w:szCs w:val="21"/>
                    </w:rPr>
                    <w:t>pH、CODcr、BOD</w:t>
                  </w:r>
                  <w:r>
                    <w:rPr>
                      <w:rFonts w:ascii="Times New Roman" w:eastAsiaTheme="minorEastAsia"/>
                      <w:color w:val="auto"/>
                      <w:sz w:val="21"/>
                      <w:szCs w:val="21"/>
                      <w:vertAlign w:val="subscript"/>
                    </w:rPr>
                    <w:t>5</w:t>
                  </w:r>
                  <w:r>
                    <w:rPr>
                      <w:rFonts w:ascii="Times New Roman" w:eastAsiaTheme="minorEastAsia"/>
                      <w:color w:val="auto"/>
                      <w:sz w:val="21"/>
                      <w:szCs w:val="21"/>
                    </w:rPr>
                    <w:t>、SS、NH</w:t>
                  </w:r>
                  <w:r>
                    <w:rPr>
                      <w:rFonts w:ascii="Times New Roman" w:eastAsiaTheme="minorEastAsia"/>
                      <w:color w:val="auto"/>
                      <w:sz w:val="21"/>
                      <w:szCs w:val="21"/>
                      <w:vertAlign w:val="subscript"/>
                    </w:rPr>
                    <w:t>3</w:t>
                  </w:r>
                  <w:r>
                    <w:rPr>
                      <w:rFonts w:ascii="Times New Roman" w:eastAsiaTheme="minorEastAsia"/>
                      <w:color w:val="auto"/>
                      <w:sz w:val="21"/>
                      <w:szCs w:val="21"/>
                    </w:rPr>
                    <w:t>-N、总磷、动植物油</w:t>
                  </w:r>
                </w:p>
              </w:tc>
              <w:tc>
                <w:tcPr>
                  <w:tcW w:w="4621" w:type="dxa"/>
                  <w:vAlign w:val="center"/>
                </w:tcPr>
                <w:p>
                  <w:pPr>
                    <w:pStyle w:val="13"/>
                    <w:jc w:val="center"/>
                    <w:rPr>
                      <w:rFonts w:ascii="Times New Roman" w:eastAsiaTheme="minorEastAsia"/>
                      <w:color w:val="auto"/>
                      <w:sz w:val="21"/>
                      <w:szCs w:val="21"/>
                    </w:rPr>
                  </w:pPr>
                  <w:r>
                    <w:rPr>
                      <w:rFonts w:ascii="Times New Roman" w:eastAsiaTheme="minorEastAsia"/>
                      <w:color w:val="auto"/>
                      <w:sz w:val="21"/>
                      <w:szCs w:val="21"/>
                    </w:rPr>
                    <w:t>在员工盥洗及食堂产生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629" w:type="dxa"/>
                  <w:vMerge w:val="continue"/>
                  <w:vAlign w:val="center"/>
                </w:tcPr>
                <w:p>
                  <w:pPr>
                    <w:pStyle w:val="13"/>
                    <w:jc w:val="center"/>
                    <w:rPr>
                      <w:rFonts w:ascii="Times New Roman" w:eastAsiaTheme="minorEastAsia"/>
                      <w:color w:val="auto"/>
                      <w:sz w:val="21"/>
                      <w:szCs w:val="21"/>
                    </w:rPr>
                  </w:pPr>
                </w:p>
              </w:tc>
              <w:tc>
                <w:tcPr>
                  <w:tcW w:w="1461" w:type="dxa"/>
                  <w:vAlign w:val="center"/>
                </w:tcPr>
                <w:p>
                  <w:pPr>
                    <w:pStyle w:val="13"/>
                    <w:jc w:val="center"/>
                    <w:rPr>
                      <w:rFonts w:ascii="Times New Roman" w:eastAsiaTheme="minorEastAsia"/>
                      <w:color w:val="auto"/>
                      <w:sz w:val="21"/>
                      <w:szCs w:val="21"/>
                    </w:rPr>
                  </w:pPr>
                  <w:r>
                    <w:rPr>
                      <w:rFonts w:ascii="Times New Roman" w:eastAsiaTheme="minorEastAsia"/>
                      <w:color w:val="auto"/>
                      <w:sz w:val="21"/>
                      <w:szCs w:val="21"/>
                    </w:rPr>
                    <w:t>初期雨水</w:t>
                  </w:r>
                </w:p>
              </w:tc>
              <w:tc>
                <w:tcPr>
                  <w:tcW w:w="2121" w:type="dxa"/>
                  <w:vAlign w:val="center"/>
                </w:tcPr>
                <w:p>
                  <w:pPr>
                    <w:pStyle w:val="13"/>
                    <w:jc w:val="center"/>
                    <w:rPr>
                      <w:rFonts w:ascii="Times New Roman" w:eastAsiaTheme="minorEastAsia"/>
                      <w:color w:val="auto"/>
                      <w:sz w:val="21"/>
                      <w:szCs w:val="21"/>
                    </w:rPr>
                  </w:pPr>
                  <w:r>
                    <w:rPr>
                      <w:rFonts w:ascii="Times New Roman" w:eastAsiaTheme="minorEastAsia"/>
                      <w:color w:val="auto"/>
                      <w:sz w:val="21"/>
                      <w:szCs w:val="21"/>
                    </w:rPr>
                    <w:t>少量SS</w:t>
                  </w:r>
                </w:p>
              </w:tc>
              <w:tc>
                <w:tcPr>
                  <w:tcW w:w="4621" w:type="dxa"/>
                  <w:vAlign w:val="center"/>
                </w:tcPr>
                <w:p>
                  <w:pPr>
                    <w:pStyle w:val="13"/>
                    <w:jc w:val="center"/>
                    <w:rPr>
                      <w:rFonts w:ascii="Times New Roman" w:eastAsiaTheme="minorEastAsia"/>
                      <w:color w:val="auto"/>
                      <w:sz w:val="21"/>
                      <w:szCs w:val="21"/>
                    </w:rPr>
                  </w:pPr>
                  <w:r>
                    <w:rPr>
                      <w:rFonts w:ascii="Times New Roman" w:eastAsiaTheme="minorEastAsia"/>
                      <w:color w:val="auto"/>
                      <w:sz w:val="21"/>
                      <w:szCs w:val="21"/>
                    </w:rPr>
                    <w:t>主要在降雨过程中产生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629" w:type="dxa"/>
                  <w:vAlign w:val="center"/>
                </w:tcPr>
                <w:p>
                  <w:pPr>
                    <w:pStyle w:val="13"/>
                    <w:jc w:val="center"/>
                    <w:rPr>
                      <w:rFonts w:ascii="Times New Roman" w:eastAsiaTheme="minorEastAsia"/>
                      <w:color w:val="auto"/>
                      <w:sz w:val="21"/>
                      <w:szCs w:val="21"/>
                    </w:rPr>
                  </w:pPr>
                  <w:r>
                    <w:rPr>
                      <w:rFonts w:ascii="Times New Roman" w:eastAsiaTheme="minorEastAsia"/>
                      <w:color w:val="auto"/>
                      <w:sz w:val="21"/>
                      <w:szCs w:val="21"/>
                    </w:rPr>
                    <w:t>噪声</w:t>
                  </w:r>
                </w:p>
              </w:tc>
              <w:tc>
                <w:tcPr>
                  <w:tcW w:w="1461" w:type="dxa"/>
                  <w:vAlign w:val="center"/>
                </w:tcPr>
                <w:p>
                  <w:pPr>
                    <w:pStyle w:val="13"/>
                    <w:jc w:val="center"/>
                    <w:rPr>
                      <w:rFonts w:ascii="Times New Roman" w:eastAsiaTheme="minorEastAsia"/>
                      <w:color w:val="auto"/>
                      <w:sz w:val="21"/>
                      <w:szCs w:val="21"/>
                    </w:rPr>
                  </w:pPr>
                  <w:r>
                    <w:rPr>
                      <w:rFonts w:ascii="Times New Roman" w:eastAsiaTheme="minorEastAsia"/>
                      <w:color w:val="auto"/>
                      <w:sz w:val="21"/>
                      <w:szCs w:val="21"/>
                    </w:rPr>
                    <w:t>生产设备噪声</w:t>
                  </w:r>
                </w:p>
              </w:tc>
              <w:tc>
                <w:tcPr>
                  <w:tcW w:w="2121" w:type="dxa"/>
                  <w:vAlign w:val="center"/>
                </w:tcPr>
                <w:p>
                  <w:pPr>
                    <w:pStyle w:val="13"/>
                    <w:jc w:val="center"/>
                    <w:rPr>
                      <w:rFonts w:ascii="Times New Roman" w:eastAsiaTheme="minorEastAsia"/>
                      <w:color w:val="auto"/>
                      <w:sz w:val="21"/>
                      <w:szCs w:val="21"/>
                    </w:rPr>
                  </w:pPr>
                  <w:r>
                    <w:rPr>
                      <w:rFonts w:ascii="Times New Roman" w:eastAsiaTheme="minorEastAsia"/>
                      <w:color w:val="auto"/>
                      <w:sz w:val="21"/>
                      <w:szCs w:val="21"/>
                    </w:rPr>
                    <w:t>dB（A）</w:t>
                  </w:r>
                </w:p>
              </w:tc>
              <w:tc>
                <w:tcPr>
                  <w:tcW w:w="4621" w:type="dxa"/>
                  <w:vAlign w:val="center"/>
                </w:tcPr>
                <w:p>
                  <w:pPr>
                    <w:pStyle w:val="13"/>
                    <w:jc w:val="center"/>
                    <w:rPr>
                      <w:rFonts w:ascii="Times New Roman" w:eastAsiaTheme="minorEastAsia"/>
                      <w:color w:val="auto"/>
                      <w:sz w:val="21"/>
                      <w:szCs w:val="21"/>
                    </w:rPr>
                  </w:pPr>
                  <w:r>
                    <w:rPr>
                      <w:rFonts w:ascii="Times New Roman" w:eastAsiaTheme="minorEastAsia"/>
                      <w:color w:val="auto"/>
                      <w:sz w:val="21"/>
                      <w:szCs w:val="21"/>
                    </w:rPr>
                    <w:t>主要在生产设备运行时产生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629" w:type="dxa"/>
                  <w:vMerge w:val="restart"/>
                  <w:vAlign w:val="center"/>
                </w:tcPr>
                <w:p>
                  <w:pPr>
                    <w:pStyle w:val="13"/>
                    <w:jc w:val="center"/>
                    <w:rPr>
                      <w:rFonts w:ascii="Times New Roman" w:eastAsiaTheme="minorEastAsia"/>
                      <w:color w:val="auto"/>
                      <w:sz w:val="21"/>
                      <w:szCs w:val="21"/>
                    </w:rPr>
                  </w:pPr>
                  <w:r>
                    <w:rPr>
                      <w:rFonts w:ascii="Times New Roman" w:eastAsiaTheme="minorEastAsia"/>
                      <w:color w:val="auto"/>
                      <w:sz w:val="21"/>
                      <w:szCs w:val="21"/>
                    </w:rPr>
                    <w:t>固体废物</w:t>
                  </w:r>
                </w:p>
              </w:tc>
              <w:tc>
                <w:tcPr>
                  <w:tcW w:w="1461" w:type="dxa"/>
                  <w:vAlign w:val="center"/>
                </w:tcPr>
                <w:p>
                  <w:pPr>
                    <w:pStyle w:val="13"/>
                    <w:jc w:val="center"/>
                    <w:rPr>
                      <w:rFonts w:ascii="Times New Roman" w:eastAsiaTheme="minorEastAsia"/>
                      <w:color w:val="auto"/>
                      <w:sz w:val="21"/>
                      <w:szCs w:val="21"/>
                    </w:rPr>
                  </w:pPr>
                  <w:r>
                    <w:rPr>
                      <w:rFonts w:ascii="Times New Roman" w:eastAsiaTheme="minorEastAsia"/>
                      <w:color w:val="auto"/>
                      <w:sz w:val="21"/>
                      <w:szCs w:val="21"/>
                    </w:rPr>
                    <w:t>枯萎玫瑰花（S1）</w:t>
                  </w:r>
                </w:p>
              </w:tc>
              <w:tc>
                <w:tcPr>
                  <w:tcW w:w="2121" w:type="dxa"/>
                  <w:vAlign w:val="center"/>
                </w:tcPr>
                <w:p>
                  <w:pPr>
                    <w:pStyle w:val="13"/>
                    <w:jc w:val="center"/>
                    <w:rPr>
                      <w:rFonts w:ascii="Times New Roman" w:eastAsiaTheme="minorEastAsia"/>
                      <w:color w:val="auto"/>
                      <w:sz w:val="21"/>
                      <w:szCs w:val="21"/>
                    </w:rPr>
                  </w:pPr>
                  <w:r>
                    <w:rPr>
                      <w:rFonts w:ascii="Times New Roman" w:eastAsiaTheme="minorEastAsia"/>
                      <w:color w:val="auto"/>
                      <w:sz w:val="21"/>
                      <w:szCs w:val="21"/>
                    </w:rPr>
                    <w:t>一般固废</w:t>
                  </w:r>
                </w:p>
              </w:tc>
              <w:tc>
                <w:tcPr>
                  <w:tcW w:w="4621" w:type="dxa"/>
                  <w:vAlign w:val="center"/>
                </w:tcPr>
                <w:p>
                  <w:pPr>
                    <w:pStyle w:val="13"/>
                    <w:jc w:val="center"/>
                    <w:rPr>
                      <w:rFonts w:ascii="Times New Roman" w:eastAsiaTheme="minorEastAsia"/>
                      <w:color w:val="auto"/>
                      <w:sz w:val="21"/>
                      <w:szCs w:val="21"/>
                    </w:rPr>
                  </w:pPr>
                  <w:r>
                    <w:rPr>
                      <w:rFonts w:ascii="Times New Roman" w:eastAsiaTheme="minorEastAsia"/>
                      <w:color w:val="auto"/>
                      <w:sz w:val="21"/>
                      <w:szCs w:val="21"/>
                    </w:rPr>
                    <w:t>主要在玫瑰花采收过程中产生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29" w:type="dxa"/>
                  <w:vMerge w:val="continue"/>
                  <w:vAlign w:val="center"/>
                </w:tcPr>
                <w:p>
                  <w:pPr>
                    <w:pStyle w:val="13"/>
                    <w:jc w:val="center"/>
                    <w:rPr>
                      <w:rFonts w:ascii="Times New Roman" w:eastAsiaTheme="minorEastAsia"/>
                      <w:color w:val="auto"/>
                      <w:sz w:val="21"/>
                      <w:szCs w:val="21"/>
                    </w:rPr>
                  </w:pPr>
                </w:p>
              </w:tc>
              <w:tc>
                <w:tcPr>
                  <w:tcW w:w="1461" w:type="dxa"/>
                  <w:vAlign w:val="center"/>
                </w:tcPr>
                <w:p>
                  <w:pPr>
                    <w:pStyle w:val="13"/>
                    <w:jc w:val="center"/>
                    <w:rPr>
                      <w:rFonts w:ascii="Times New Roman" w:eastAsiaTheme="minorEastAsia"/>
                      <w:color w:val="auto"/>
                      <w:sz w:val="21"/>
                      <w:szCs w:val="21"/>
                    </w:rPr>
                  </w:pPr>
                  <w:r>
                    <w:rPr>
                      <w:rFonts w:ascii="Times New Roman" w:eastAsiaTheme="minorEastAsia"/>
                      <w:color w:val="auto"/>
                      <w:sz w:val="21"/>
                      <w:szCs w:val="21"/>
                    </w:rPr>
                    <w:t>不合格玫瑰花（S2）</w:t>
                  </w:r>
                </w:p>
              </w:tc>
              <w:tc>
                <w:tcPr>
                  <w:tcW w:w="2121" w:type="dxa"/>
                  <w:vAlign w:val="center"/>
                </w:tcPr>
                <w:p>
                  <w:pPr>
                    <w:pStyle w:val="13"/>
                    <w:jc w:val="center"/>
                    <w:rPr>
                      <w:rFonts w:ascii="Times New Roman" w:eastAsiaTheme="minorEastAsia"/>
                      <w:color w:val="auto"/>
                      <w:sz w:val="21"/>
                      <w:szCs w:val="21"/>
                    </w:rPr>
                  </w:pPr>
                  <w:r>
                    <w:rPr>
                      <w:rFonts w:ascii="Times New Roman" w:eastAsiaTheme="minorEastAsia"/>
                      <w:color w:val="auto"/>
                      <w:sz w:val="21"/>
                      <w:szCs w:val="21"/>
                    </w:rPr>
                    <w:t>一般固废</w:t>
                  </w:r>
                </w:p>
              </w:tc>
              <w:tc>
                <w:tcPr>
                  <w:tcW w:w="4621" w:type="dxa"/>
                  <w:vAlign w:val="center"/>
                </w:tcPr>
                <w:p>
                  <w:pPr>
                    <w:pStyle w:val="13"/>
                    <w:jc w:val="center"/>
                    <w:rPr>
                      <w:rFonts w:ascii="Times New Roman" w:eastAsiaTheme="minorEastAsia"/>
                      <w:color w:val="auto"/>
                      <w:sz w:val="21"/>
                      <w:szCs w:val="21"/>
                    </w:rPr>
                  </w:pPr>
                  <w:r>
                    <w:rPr>
                      <w:rFonts w:ascii="Times New Roman" w:eastAsiaTheme="minorEastAsia"/>
                      <w:color w:val="auto"/>
                      <w:sz w:val="21"/>
                      <w:szCs w:val="21"/>
                    </w:rPr>
                    <w:t>主要在玫瑰花筛选过程中产生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629" w:type="dxa"/>
                  <w:vMerge w:val="continue"/>
                  <w:vAlign w:val="center"/>
                </w:tcPr>
                <w:p>
                  <w:pPr>
                    <w:pStyle w:val="13"/>
                    <w:jc w:val="center"/>
                    <w:rPr>
                      <w:rFonts w:ascii="Times New Roman" w:eastAsiaTheme="minorEastAsia"/>
                      <w:color w:val="auto"/>
                      <w:sz w:val="21"/>
                      <w:szCs w:val="21"/>
                    </w:rPr>
                  </w:pPr>
                </w:p>
              </w:tc>
              <w:tc>
                <w:tcPr>
                  <w:tcW w:w="1461" w:type="dxa"/>
                  <w:vAlign w:val="center"/>
                </w:tcPr>
                <w:p>
                  <w:pPr>
                    <w:pStyle w:val="13"/>
                    <w:jc w:val="center"/>
                    <w:rPr>
                      <w:rFonts w:ascii="Times New Roman" w:eastAsiaTheme="minorEastAsia"/>
                      <w:color w:val="auto"/>
                      <w:sz w:val="21"/>
                      <w:szCs w:val="21"/>
                    </w:rPr>
                  </w:pPr>
                  <w:r>
                    <w:rPr>
                      <w:rFonts w:ascii="Times New Roman" w:eastAsiaTheme="minorEastAsia"/>
                      <w:color w:val="auto"/>
                      <w:sz w:val="21"/>
                      <w:szCs w:val="21"/>
                    </w:rPr>
                    <w:t>废包材（S3）</w:t>
                  </w:r>
                </w:p>
              </w:tc>
              <w:tc>
                <w:tcPr>
                  <w:tcW w:w="2121" w:type="dxa"/>
                  <w:vAlign w:val="center"/>
                </w:tcPr>
                <w:p>
                  <w:pPr>
                    <w:pStyle w:val="13"/>
                    <w:jc w:val="center"/>
                    <w:rPr>
                      <w:rFonts w:ascii="Times New Roman" w:eastAsiaTheme="minorEastAsia"/>
                      <w:color w:val="auto"/>
                      <w:sz w:val="21"/>
                      <w:szCs w:val="21"/>
                    </w:rPr>
                  </w:pPr>
                  <w:r>
                    <w:rPr>
                      <w:rFonts w:ascii="Times New Roman" w:eastAsiaTheme="minorEastAsia"/>
                      <w:color w:val="auto"/>
                      <w:sz w:val="21"/>
                      <w:szCs w:val="21"/>
                    </w:rPr>
                    <w:t>一般固废</w:t>
                  </w:r>
                </w:p>
              </w:tc>
              <w:tc>
                <w:tcPr>
                  <w:tcW w:w="4621" w:type="dxa"/>
                  <w:vAlign w:val="center"/>
                </w:tcPr>
                <w:p>
                  <w:pPr>
                    <w:pStyle w:val="13"/>
                    <w:jc w:val="center"/>
                    <w:rPr>
                      <w:rFonts w:ascii="Times New Roman" w:eastAsiaTheme="minorEastAsia"/>
                      <w:color w:val="auto"/>
                      <w:sz w:val="21"/>
                      <w:szCs w:val="21"/>
                    </w:rPr>
                  </w:pPr>
                  <w:r>
                    <w:rPr>
                      <w:rFonts w:ascii="Times New Roman" w:eastAsiaTheme="minorEastAsia"/>
                      <w:color w:val="auto"/>
                      <w:sz w:val="21"/>
                      <w:szCs w:val="21"/>
                    </w:rPr>
                    <w:t>主要在包花过程中产生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629" w:type="dxa"/>
                  <w:vMerge w:val="continue"/>
                  <w:vAlign w:val="center"/>
                </w:tcPr>
                <w:p>
                  <w:pPr>
                    <w:pStyle w:val="13"/>
                    <w:jc w:val="center"/>
                    <w:rPr>
                      <w:rFonts w:ascii="Times New Roman" w:eastAsiaTheme="minorEastAsia"/>
                      <w:color w:val="auto"/>
                      <w:sz w:val="21"/>
                      <w:szCs w:val="21"/>
                    </w:rPr>
                  </w:pPr>
                </w:p>
              </w:tc>
              <w:tc>
                <w:tcPr>
                  <w:tcW w:w="1461" w:type="dxa"/>
                  <w:vAlign w:val="center"/>
                </w:tcPr>
                <w:p>
                  <w:pPr>
                    <w:pStyle w:val="13"/>
                    <w:jc w:val="center"/>
                    <w:rPr>
                      <w:rFonts w:ascii="Times New Roman" w:eastAsiaTheme="minorEastAsia"/>
                      <w:color w:val="auto"/>
                      <w:sz w:val="21"/>
                      <w:szCs w:val="21"/>
                    </w:rPr>
                  </w:pPr>
                  <w:r>
                    <w:rPr>
                      <w:rFonts w:ascii="Times New Roman" w:eastAsiaTheme="minorEastAsia"/>
                      <w:color w:val="auto"/>
                      <w:sz w:val="21"/>
                      <w:szCs w:val="21"/>
                    </w:rPr>
                    <w:t>生活垃圾</w:t>
                  </w:r>
                </w:p>
              </w:tc>
              <w:tc>
                <w:tcPr>
                  <w:tcW w:w="2121" w:type="dxa"/>
                  <w:vAlign w:val="center"/>
                </w:tcPr>
                <w:p>
                  <w:pPr>
                    <w:pStyle w:val="13"/>
                    <w:jc w:val="center"/>
                    <w:rPr>
                      <w:rFonts w:ascii="Times New Roman" w:eastAsiaTheme="minorEastAsia"/>
                      <w:color w:val="auto"/>
                      <w:sz w:val="21"/>
                      <w:szCs w:val="21"/>
                    </w:rPr>
                  </w:pPr>
                  <w:r>
                    <w:rPr>
                      <w:rFonts w:ascii="Times New Roman" w:eastAsiaTheme="minorEastAsia"/>
                      <w:color w:val="auto"/>
                      <w:sz w:val="21"/>
                      <w:szCs w:val="21"/>
                    </w:rPr>
                    <w:t>一般固废</w:t>
                  </w:r>
                </w:p>
              </w:tc>
              <w:tc>
                <w:tcPr>
                  <w:tcW w:w="4621" w:type="dxa"/>
                  <w:vAlign w:val="center"/>
                </w:tcPr>
                <w:p>
                  <w:pPr>
                    <w:pStyle w:val="13"/>
                    <w:jc w:val="center"/>
                    <w:rPr>
                      <w:rFonts w:ascii="Times New Roman" w:eastAsiaTheme="minorEastAsia"/>
                      <w:color w:val="auto"/>
                      <w:sz w:val="21"/>
                      <w:szCs w:val="21"/>
                    </w:rPr>
                  </w:pPr>
                  <w:r>
                    <w:rPr>
                      <w:rFonts w:ascii="Times New Roman" w:eastAsiaTheme="minorEastAsia"/>
                      <w:color w:val="auto"/>
                      <w:sz w:val="21"/>
                      <w:szCs w:val="21"/>
                    </w:rPr>
                    <w:t>员工生产生活中产生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29" w:type="dxa"/>
                  <w:vMerge w:val="continue"/>
                  <w:vAlign w:val="center"/>
                </w:tcPr>
                <w:p>
                  <w:pPr>
                    <w:pStyle w:val="13"/>
                    <w:jc w:val="center"/>
                    <w:rPr>
                      <w:rFonts w:ascii="Times New Roman" w:eastAsiaTheme="minorEastAsia"/>
                      <w:color w:val="auto"/>
                      <w:sz w:val="21"/>
                      <w:szCs w:val="21"/>
                    </w:rPr>
                  </w:pPr>
                </w:p>
              </w:tc>
              <w:tc>
                <w:tcPr>
                  <w:tcW w:w="1461" w:type="dxa"/>
                  <w:vAlign w:val="center"/>
                </w:tcPr>
                <w:p>
                  <w:pPr>
                    <w:pStyle w:val="13"/>
                    <w:jc w:val="center"/>
                    <w:rPr>
                      <w:rFonts w:ascii="Times New Roman" w:eastAsiaTheme="minorEastAsia"/>
                      <w:color w:val="auto"/>
                      <w:sz w:val="21"/>
                      <w:szCs w:val="21"/>
                    </w:rPr>
                  </w:pPr>
                  <w:r>
                    <w:rPr>
                      <w:rFonts w:ascii="Times New Roman" w:eastAsiaTheme="minorEastAsia"/>
                      <w:color w:val="auto"/>
                      <w:sz w:val="21"/>
                      <w:szCs w:val="21"/>
                    </w:rPr>
                    <w:t>农药包装物</w:t>
                  </w:r>
                </w:p>
              </w:tc>
              <w:tc>
                <w:tcPr>
                  <w:tcW w:w="2121" w:type="dxa"/>
                  <w:vAlign w:val="center"/>
                </w:tcPr>
                <w:p>
                  <w:pPr>
                    <w:pStyle w:val="13"/>
                    <w:jc w:val="center"/>
                    <w:rPr>
                      <w:rFonts w:ascii="Times New Roman" w:eastAsiaTheme="minorEastAsia"/>
                      <w:color w:val="auto"/>
                      <w:sz w:val="21"/>
                      <w:szCs w:val="21"/>
                    </w:rPr>
                  </w:pPr>
                  <w:r>
                    <w:rPr>
                      <w:rFonts w:ascii="Times New Roman" w:eastAsiaTheme="minorEastAsia"/>
                      <w:color w:val="auto"/>
                      <w:sz w:val="21"/>
                      <w:szCs w:val="21"/>
                    </w:rPr>
                    <w:t>危险废物</w:t>
                  </w:r>
                </w:p>
              </w:tc>
              <w:tc>
                <w:tcPr>
                  <w:tcW w:w="4621" w:type="dxa"/>
                  <w:vAlign w:val="center"/>
                </w:tcPr>
                <w:p>
                  <w:pPr>
                    <w:pStyle w:val="13"/>
                    <w:jc w:val="center"/>
                    <w:rPr>
                      <w:rFonts w:ascii="Times New Roman" w:eastAsiaTheme="minorEastAsia"/>
                      <w:color w:val="auto"/>
                      <w:sz w:val="21"/>
                      <w:szCs w:val="21"/>
                    </w:rPr>
                  </w:pPr>
                  <w:r>
                    <w:rPr>
                      <w:rFonts w:ascii="Times New Roman" w:eastAsiaTheme="minorEastAsia"/>
                      <w:color w:val="auto"/>
                      <w:sz w:val="21"/>
                      <w:szCs w:val="21"/>
                    </w:rPr>
                    <w:t>在农药使用过后产生，储存在危险废物贮存库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29" w:type="dxa"/>
                  <w:vMerge w:val="continue"/>
                  <w:vAlign w:val="center"/>
                </w:tcPr>
                <w:p>
                  <w:pPr>
                    <w:pStyle w:val="13"/>
                    <w:jc w:val="center"/>
                    <w:rPr>
                      <w:rFonts w:ascii="Times New Roman" w:eastAsiaTheme="minorEastAsia"/>
                      <w:color w:val="auto"/>
                      <w:sz w:val="21"/>
                      <w:szCs w:val="21"/>
                    </w:rPr>
                  </w:pPr>
                </w:p>
              </w:tc>
              <w:tc>
                <w:tcPr>
                  <w:tcW w:w="1461" w:type="dxa"/>
                  <w:vAlign w:val="center"/>
                </w:tcPr>
                <w:p>
                  <w:pPr>
                    <w:pStyle w:val="13"/>
                    <w:jc w:val="center"/>
                    <w:rPr>
                      <w:rFonts w:ascii="Times New Roman" w:eastAsiaTheme="minorEastAsia"/>
                      <w:color w:val="auto"/>
                      <w:sz w:val="21"/>
                      <w:szCs w:val="21"/>
                    </w:rPr>
                  </w:pPr>
                  <w:r>
                    <w:rPr>
                      <w:rFonts w:ascii="Times New Roman" w:eastAsiaTheme="minorEastAsia"/>
                      <w:color w:val="auto"/>
                      <w:sz w:val="21"/>
                      <w:szCs w:val="21"/>
                    </w:rPr>
                    <w:t>化肥包装物</w:t>
                  </w:r>
                </w:p>
              </w:tc>
              <w:tc>
                <w:tcPr>
                  <w:tcW w:w="2121" w:type="dxa"/>
                  <w:vAlign w:val="center"/>
                </w:tcPr>
                <w:p>
                  <w:pPr>
                    <w:pStyle w:val="13"/>
                    <w:jc w:val="center"/>
                    <w:rPr>
                      <w:rFonts w:ascii="Times New Roman" w:eastAsiaTheme="minorEastAsia"/>
                      <w:color w:val="auto"/>
                      <w:sz w:val="21"/>
                      <w:szCs w:val="21"/>
                    </w:rPr>
                  </w:pPr>
                  <w:r>
                    <w:rPr>
                      <w:rFonts w:ascii="Times New Roman" w:eastAsiaTheme="minorEastAsia"/>
                      <w:color w:val="auto"/>
                      <w:sz w:val="21"/>
                      <w:szCs w:val="21"/>
                    </w:rPr>
                    <w:t>危险废物</w:t>
                  </w:r>
                </w:p>
              </w:tc>
              <w:tc>
                <w:tcPr>
                  <w:tcW w:w="4621" w:type="dxa"/>
                  <w:vAlign w:val="center"/>
                </w:tcPr>
                <w:p>
                  <w:pPr>
                    <w:pStyle w:val="13"/>
                    <w:jc w:val="center"/>
                    <w:rPr>
                      <w:rFonts w:ascii="Times New Roman" w:eastAsiaTheme="minorEastAsia"/>
                      <w:color w:val="auto"/>
                      <w:sz w:val="21"/>
                      <w:szCs w:val="21"/>
                    </w:rPr>
                  </w:pPr>
                  <w:r>
                    <w:rPr>
                      <w:rFonts w:ascii="Times New Roman" w:eastAsiaTheme="minorEastAsia"/>
                      <w:color w:val="auto"/>
                      <w:sz w:val="21"/>
                      <w:szCs w:val="21"/>
                    </w:rPr>
                    <w:t>主要在配肥过程中产生，储存在危险废物贮存库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29" w:type="dxa"/>
                  <w:vMerge w:val="continue"/>
                  <w:vAlign w:val="center"/>
                </w:tcPr>
                <w:p>
                  <w:pPr>
                    <w:pStyle w:val="13"/>
                    <w:jc w:val="center"/>
                    <w:rPr>
                      <w:rFonts w:ascii="Times New Roman" w:eastAsiaTheme="minorEastAsia"/>
                      <w:color w:val="auto"/>
                      <w:sz w:val="21"/>
                      <w:szCs w:val="21"/>
                    </w:rPr>
                  </w:pPr>
                </w:p>
              </w:tc>
              <w:tc>
                <w:tcPr>
                  <w:tcW w:w="1461" w:type="dxa"/>
                  <w:vAlign w:val="center"/>
                </w:tcPr>
                <w:p>
                  <w:pPr>
                    <w:pStyle w:val="13"/>
                    <w:jc w:val="center"/>
                    <w:rPr>
                      <w:rFonts w:ascii="Times New Roman" w:eastAsiaTheme="minorEastAsia"/>
                      <w:color w:val="auto"/>
                      <w:sz w:val="21"/>
                      <w:szCs w:val="21"/>
                    </w:rPr>
                  </w:pPr>
                  <w:r>
                    <w:rPr>
                      <w:rFonts w:ascii="Times New Roman" w:eastAsiaTheme="minorEastAsia"/>
                      <w:color w:val="auto"/>
                      <w:sz w:val="21"/>
                      <w:szCs w:val="21"/>
                    </w:rPr>
                    <w:t>废机油</w:t>
                  </w:r>
                </w:p>
              </w:tc>
              <w:tc>
                <w:tcPr>
                  <w:tcW w:w="2121" w:type="dxa"/>
                  <w:vAlign w:val="center"/>
                </w:tcPr>
                <w:p>
                  <w:pPr>
                    <w:pStyle w:val="13"/>
                    <w:jc w:val="center"/>
                    <w:rPr>
                      <w:rFonts w:ascii="Times New Roman" w:eastAsiaTheme="minorEastAsia"/>
                      <w:color w:val="auto"/>
                      <w:sz w:val="21"/>
                      <w:szCs w:val="21"/>
                    </w:rPr>
                  </w:pPr>
                  <w:r>
                    <w:rPr>
                      <w:rFonts w:ascii="Times New Roman" w:eastAsiaTheme="minorEastAsia"/>
                      <w:color w:val="auto"/>
                      <w:sz w:val="21"/>
                      <w:szCs w:val="21"/>
                    </w:rPr>
                    <w:t>危险废物</w:t>
                  </w:r>
                </w:p>
              </w:tc>
              <w:tc>
                <w:tcPr>
                  <w:tcW w:w="4621" w:type="dxa"/>
                  <w:vAlign w:val="center"/>
                </w:tcPr>
                <w:p>
                  <w:pPr>
                    <w:pStyle w:val="13"/>
                    <w:jc w:val="center"/>
                    <w:rPr>
                      <w:rFonts w:ascii="Times New Roman" w:eastAsiaTheme="minorEastAsia"/>
                      <w:color w:val="auto"/>
                      <w:sz w:val="21"/>
                      <w:szCs w:val="21"/>
                    </w:rPr>
                  </w:pPr>
                  <w:r>
                    <w:rPr>
                      <w:rFonts w:ascii="Times New Roman" w:eastAsiaTheme="minorEastAsia"/>
                      <w:color w:val="auto"/>
                      <w:sz w:val="21"/>
                      <w:szCs w:val="21"/>
                    </w:rPr>
                    <w:t>主要在生产设备维修和机油更换中产生，暂存在危险废物贮存库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29" w:type="dxa"/>
                  <w:vMerge w:val="continue"/>
                  <w:vAlign w:val="center"/>
                </w:tcPr>
                <w:p>
                  <w:pPr>
                    <w:pStyle w:val="13"/>
                    <w:jc w:val="center"/>
                    <w:rPr>
                      <w:rFonts w:ascii="Times New Roman" w:eastAsiaTheme="minorEastAsia"/>
                      <w:color w:val="auto"/>
                      <w:sz w:val="21"/>
                      <w:szCs w:val="21"/>
                    </w:rPr>
                  </w:pPr>
                </w:p>
              </w:tc>
              <w:tc>
                <w:tcPr>
                  <w:tcW w:w="1461" w:type="dxa"/>
                  <w:vAlign w:val="center"/>
                </w:tcPr>
                <w:p>
                  <w:pPr>
                    <w:pStyle w:val="13"/>
                    <w:jc w:val="center"/>
                    <w:rPr>
                      <w:rFonts w:ascii="Times New Roman" w:eastAsiaTheme="minorEastAsia"/>
                      <w:color w:val="auto"/>
                      <w:sz w:val="21"/>
                      <w:szCs w:val="21"/>
                    </w:rPr>
                  </w:pPr>
                  <w:r>
                    <w:rPr>
                      <w:rFonts w:ascii="Times New Roman" w:eastAsiaTheme="minorEastAsia"/>
                      <w:color w:val="auto"/>
                      <w:sz w:val="21"/>
                      <w:szCs w:val="21"/>
                    </w:rPr>
                    <w:t>废含油手套</w:t>
                  </w:r>
                </w:p>
              </w:tc>
              <w:tc>
                <w:tcPr>
                  <w:tcW w:w="2121" w:type="dxa"/>
                  <w:vAlign w:val="center"/>
                </w:tcPr>
                <w:p>
                  <w:pPr>
                    <w:pStyle w:val="13"/>
                    <w:jc w:val="center"/>
                    <w:rPr>
                      <w:rFonts w:ascii="Times New Roman" w:eastAsiaTheme="minorEastAsia"/>
                      <w:color w:val="auto"/>
                      <w:sz w:val="21"/>
                      <w:szCs w:val="21"/>
                    </w:rPr>
                  </w:pPr>
                  <w:r>
                    <w:rPr>
                      <w:rFonts w:ascii="Times New Roman" w:eastAsiaTheme="minorEastAsia"/>
                      <w:color w:val="auto"/>
                      <w:sz w:val="21"/>
                      <w:szCs w:val="21"/>
                    </w:rPr>
                    <w:t>危险废物（豁免）</w:t>
                  </w:r>
                </w:p>
              </w:tc>
              <w:tc>
                <w:tcPr>
                  <w:tcW w:w="4621" w:type="dxa"/>
                  <w:vAlign w:val="center"/>
                </w:tcPr>
                <w:p>
                  <w:pPr>
                    <w:pStyle w:val="13"/>
                    <w:jc w:val="center"/>
                    <w:rPr>
                      <w:rFonts w:ascii="Times New Roman" w:eastAsiaTheme="minorEastAsia"/>
                      <w:color w:val="auto"/>
                      <w:sz w:val="21"/>
                      <w:szCs w:val="21"/>
                    </w:rPr>
                  </w:pPr>
                  <w:r>
                    <w:rPr>
                      <w:rFonts w:ascii="Times New Roman" w:eastAsiaTheme="minorEastAsia"/>
                      <w:color w:val="auto"/>
                      <w:sz w:val="21"/>
                      <w:szCs w:val="21"/>
                    </w:rPr>
                    <w:t>设备维修过程中使用的手套废弃后产生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9" w:type="dxa"/>
                  <w:vMerge w:val="continue"/>
                  <w:vAlign w:val="center"/>
                </w:tcPr>
                <w:p>
                  <w:pPr>
                    <w:pStyle w:val="13"/>
                    <w:jc w:val="center"/>
                    <w:rPr>
                      <w:rFonts w:ascii="Times New Roman" w:eastAsiaTheme="minorEastAsia"/>
                      <w:color w:val="auto"/>
                      <w:sz w:val="21"/>
                      <w:szCs w:val="21"/>
                    </w:rPr>
                  </w:pPr>
                </w:p>
              </w:tc>
              <w:tc>
                <w:tcPr>
                  <w:tcW w:w="1461" w:type="dxa"/>
                  <w:vAlign w:val="center"/>
                </w:tcPr>
                <w:p>
                  <w:pPr>
                    <w:pStyle w:val="13"/>
                    <w:jc w:val="center"/>
                    <w:rPr>
                      <w:rFonts w:ascii="Times New Roman" w:eastAsiaTheme="minorEastAsia"/>
                      <w:color w:val="auto"/>
                      <w:sz w:val="21"/>
                      <w:szCs w:val="21"/>
                    </w:rPr>
                  </w:pPr>
                  <w:r>
                    <w:rPr>
                      <w:rFonts w:ascii="Times New Roman" w:eastAsiaTheme="minorEastAsia"/>
                      <w:color w:val="auto"/>
                      <w:sz w:val="21"/>
                      <w:szCs w:val="21"/>
                    </w:rPr>
                    <w:t>废渗透膜</w:t>
                  </w:r>
                </w:p>
              </w:tc>
              <w:tc>
                <w:tcPr>
                  <w:tcW w:w="2121" w:type="dxa"/>
                  <w:vAlign w:val="center"/>
                </w:tcPr>
                <w:p>
                  <w:pPr>
                    <w:pStyle w:val="13"/>
                    <w:jc w:val="center"/>
                    <w:rPr>
                      <w:rFonts w:ascii="Times New Roman" w:eastAsiaTheme="minorEastAsia"/>
                      <w:color w:val="auto"/>
                      <w:sz w:val="21"/>
                      <w:szCs w:val="21"/>
                    </w:rPr>
                  </w:pPr>
                  <w:r>
                    <w:rPr>
                      <w:rFonts w:hint="eastAsia" w:ascii="Times New Roman" w:eastAsiaTheme="minorEastAsia"/>
                      <w:color w:val="auto"/>
                      <w:sz w:val="21"/>
                      <w:szCs w:val="21"/>
                    </w:rPr>
                    <w:t>一般固废</w:t>
                  </w:r>
                </w:p>
              </w:tc>
              <w:tc>
                <w:tcPr>
                  <w:tcW w:w="4621" w:type="dxa"/>
                  <w:vAlign w:val="center"/>
                </w:tcPr>
                <w:p>
                  <w:pPr>
                    <w:pStyle w:val="13"/>
                    <w:jc w:val="center"/>
                    <w:rPr>
                      <w:rFonts w:ascii="Times New Roman" w:eastAsiaTheme="minorEastAsia"/>
                      <w:color w:val="auto"/>
                      <w:sz w:val="21"/>
                      <w:szCs w:val="21"/>
                    </w:rPr>
                  </w:pPr>
                  <w:r>
                    <w:rPr>
                      <w:rFonts w:ascii="Times New Roman" w:eastAsiaTheme="minorEastAsia"/>
                      <w:color w:val="auto"/>
                      <w:sz w:val="21"/>
                      <w:szCs w:val="21"/>
                    </w:rPr>
                    <w:t>软化水设备中更换离子交换树脂过程中产生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29" w:type="dxa"/>
                  <w:vMerge w:val="continue"/>
                  <w:vAlign w:val="center"/>
                </w:tcPr>
                <w:p>
                  <w:pPr>
                    <w:pStyle w:val="13"/>
                    <w:jc w:val="center"/>
                    <w:rPr>
                      <w:rFonts w:ascii="Times New Roman" w:eastAsiaTheme="minorEastAsia"/>
                      <w:color w:val="auto"/>
                      <w:sz w:val="21"/>
                      <w:szCs w:val="21"/>
                    </w:rPr>
                  </w:pPr>
                </w:p>
              </w:tc>
              <w:tc>
                <w:tcPr>
                  <w:tcW w:w="1461" w:type="dxa"/>
                  <w:vAlign w:val="center"/>
                </w:tcPr>
                <w:p>
                  <w:pPr>
                    <w:pStyle w:val="13"/>
                    <w:jc w:val="center"/>
                    <w:rPr>
                      <w:rFonts w:ascii="Times New Roman" w:eastAsiaTheme="minorEastAsia"/>
                      <w:color w:val="auto"/>
                      <w:sz w:val="21"/>
                      <w:szCs w:val="21"/>
                    </w:rPr>
                  </w:pPr>
                  <w:r>
                    <w:rPr>
                      <w:rFonts w:ascii="Times New Roman" w:eastAsiaTheme="minorEastAsia"/>
                      <w:color w:val="auto"/>
                      <w:kern w:val="2"/>
                      <w:sz w:val="21"/>
                      <w:szCs w:val="21"/>
                    </w:rPr>
                    <w:t>生物质锅炉灰渣（S4）</w:t>
                  </w:r>
                </w:p>
              </w:tc>
              <w:tc>
                <w:tcPr>
                  <w:tcW w:w="2121" w:type="dxa"/>
                  <w:vAlign w:val="center"/>
                </w:tcPr>
                <w:p>
                  <w:pPr>
                    <w:pStyle w:val="13"/>
                    <w:jc w:val="center"/>
                    <w:rPr>
                      <w:rFonts w:ascii="Times New Roman" w:eastAsiaTheme="minorEastAsia"/>
                      <w:color w:val="auto"/>
                      <w:sz w:val="21"/>
                      <w:szCs w:val="21"/>
                    </w:rPr>
                  </w:pPr>
                  <w:r>
                    <w:rPr>
                      <w:rFonts w:ascii="Times New Roman" w:eastAsiaTheme="minorEastAsia"/>
                      <w:color w:val="auto"/>
                      <w:sz w:val="21"/>
                      <w:szCs w:val="21"/>
                    </w:rPr>
                    <w:t>一般固废</w:t>
                  </w:r>
                </w:p>
              </w:tc>
              <w:tc>
                <w:tcPr>
                  <w:tcW w:w="4621" w:type="dxa"/>
                  <w:vAlign w:val="center"/>
                </w:tcPr>
                <w:p>
                  <w:pPr>
                    <w:pStyle w:val="13"/>
                    <w:jc w:val="center"/>
                    <w:rPr>
                      <w:rFonts w:ascii="Times New Roman" w:eastAsiaTheme="minorEastAsia"/>
                      <w:color w:val="auto"/>
                      <w:sz w:val="21"/>
                      <w:szCs w:val="21"/>
                    </w:rPr>
                  </w:pPr>
                  <w:r>
                    <w:rPr>
                      <w:rFonts w:ascii="Times New Roman" w:eastAsiaTheme="minorEastAsia"/>
                      <w:color w:val="auto"/>
                      <w:sz w:val="21"/>
                      <w:szCs w:val="21"/>
                    </w:rPr>
                    <w:t>主要在生物质燃料锅炉使用过程中产生</w:t>
                  </w:r>
                </w:p>
              </w:tc>
            </w:tr>
          </w:tbl>
          <w:p>
            <w:pPr>
              <w:spacing w:line="360" w:lineRule="auto"/>
              <w:ind w:firstLine="480" w:firstLineChars="200"/>
              <w:rPr>
                <w:sz w:val="24"/>
              </w:rPr>
            </w:pPr>
            <w:r>
              <w:rPr>
                <w:sz w:val="24"/>
              </w:rPr>
              <w:t>2.水平衡</w:t>
            </w:r>
          </w:p>
          <w:p>
            <w:pPr>
              <w:spacing w:line="360" w:lineRule="auto"/>
              <w:ind w:firstLine="480" w:firstLineChars="200"/>
              <w:rPr>
                <w:rStyle w:val="32"/>
                <w:kern w:val="0"/>
                <w:szCs w:val="20"/>
              </w:rPr>
            </w:pPr>
            <w:r>
              <w:rPr>
                <w:sz w:val="24"/>
              </w:rPr>
              <w:t>（1）生活用水</w:t>
            </w:r>
          </w:p>
          <w:p>
            <w:pPr>
              <w:numPr>
                <w:ilvl w:val="0"/>
                <w:numId w:val="5"/>
              </w:numPr>
              <w:snapToGrid w:val="0"/>
              <w:spacing w:line="360" w:lineRule="auto"/>
              <w:rPr>
                <w:sz w:val="24"/>
              </w:rPr>
            </w:pPr>
            <w:r>
              <w:rPr>
                <w:sz w:val="24"/>
              </w:rPr>
              <w:t>食堂用水</w:t>
            </w:r>
          </w:p>
          <w:p>
            <w:pPr>
              <w:snapToGrid w:val="0"/>
              <w:spacing w:line="360" w:lineRule="auto"/>
              <w:ind w:firstLine="480" w:firstLineChars="200"/>
              <w:rPr>
                <w:sz w:val="24"/>
              </w:rPr>
            </w:pPr>
            <w:r>
              <w:rPr>
                <w:sz w:val="24"/>
              </w:rPr>
              <w:t>根据《建筑给水排水设计规范》（GB50015-2010），项目食堂用水量一般在20L～40L/人·d，取平均值30L/人·d，项目共有职工28人，则用水量为0.84m</w:t>
            </w:r>
            <w:r>
              <w:rPr>
                <w:sz w:val="24"/>
                <w:vertAlign w:val="superscript"/>
              </w:rPr>
              <w:t>3</w:t>
            </w:r>
            <w:r>
              <w:rPr>
                <w:sz w:val="24"/>
              </w:rPr>
              <w:t>/d，306.6m</w:t>
            </w:r>
            <w:r>
              <w:rPr>
                <w:sz w:val="24"/>
                <w:vertAlign w:val="superscript"/>
              </w:rPr>
              <w:t>3</w:t>
            </w:r>
            <w:r>
              <w:rPr>
                <w:sz w:val="24"/>
              </w:rPr>
              <w:t>/a，排放系数按照0.8计，则食堂污水产生量为0.67m</w:t>
            </w:r>
            <w:r>
              <w:rPr>
                <w:sz w:val="24"/>
                <w:vertAlign w:val="superscript"/>
              </w:rPr>
              <w:t>3</w:t>
            </w:r>
            <w:r>
              <w:rPr>
                <w:sz w:val="24"/>
              </w:rPr>
              <w:t>/d，245.3m</w:t>
            </w:r>
            <w:r>
              <w:rPr>
                <w:sz w:val="24"/>
                <w:vertAlign w:val="superscript"/>
              </w:rPr>
              <w:t>3</w:t>
            </w:r>
            <w:r>
              <w:rPr>
                <w:sz w:val="24"/>
              </w:rPr>
              <w:t>/a。</w:t>
            </w:r>
          </w:p>
          <w:p>
            <w:pPr>
              <w:numPr>
                <w:ilvl w:val="0"/>
                <w:numId w:val="5"/>
              </w:numPr>
              <w:snapToGrid w:val="0"/>
              <w:spacing w:line="360" w:lineRule="auto"/>
              <w:rPr>
                <w:sz w:val="24"/>
              </w:rPr>
            </w:pPr>
            <w:r>
              <w:rPr>
                <w:sz w:val="24"/>
              </w:rPr>
              <w:t>员工生活用水</w:t>
            </w:r>
          </w:p>
          <w:p>
            <w:pPr>
              <w:snapToGrid w:val="0"/>
              <w:spacing w:line="360" w:lineRule="auto"/>
              <w:ind w:firstLine="480" w:firstLineChars="200"/>
              <w:rPr>
                <w:sz w:val="24"/>
              </w:rPr>
            </w:pPr>
            <w:r>
              <w:rPr>
                <w:sz w:val="24"/>
              </w:rPr>
              <w:t>项目共有职工28人，员工不在场内食宿，根据</w:t>
            </w:r>
            <w:r>
              <w:fldChar w:fldCharType="begin"/>
            </w:r>
            <w:r>
              <w:instrText xml:space="preserve"> HYPERLINK "https://www.so.com/link?m=whm5dpl9QWW/sgEgWj3cG3dZOO7n+iwO5McNw0nEkucpNmmxlwTtkb3HMqjqGpmtegcMwSjNp9MT/iy6qH6HfpYiqt93EQg+O5WLpAHJbqQfeXXTcg9FIM7IDDjIA4b528LFde4x/PQlasT0ky+mI42svSL58xz8iKlSoTnNawQg3UrmTMLB2Hdbuq5vfVSAUExZHqORWkVQNTELE" \t "https://www.so.com/_blank" </w:instrText>
            </w:r>
            <w:r>
              <w:fldChar w:fldCharType="separate"/>
            </w:r>
            <w:r>
              <w:rPr>
                <w:sz w:val="24"/>
              </w:rPr>
              <w:t>DB53T168-2019《云南省用水定额》</w:t>
            </w:r>
            <w:r>
              <w:rPr>
                <w:sz w:val="24"/>
              </w:rPr>
              <w:fldChar w:fldCharType="end"/>
            </w:r>
            <w:r>
              <w:rPr>
                <w:sz w:val="24"/>
              </w:rPr>
              <w:t>，城镇居民用水定额为100L/（人·d）。生活用水量按80L/（人·d）计，则生活用水量2.2m</w:t>
            </w:r>
            <w:r>
              <w:rPr>
                <w:sz w:val="24"/>
                <w:vertAlign w:val="superscript"/>
              </w:rPr>
              <w:t>3</w:t>
            </w:r>
            <w:r>
              <w:rPr>
                <w:sz w:val="24"/>
              </w:rPr>
              <w:t>/d，803m</w:t>
            </w:r>
            <w:r>
              <w:rPr>
                <w:sz w:val="24"/>
                <w:vertAlign w:val="superscript"/>
              </w:rPr>
              <w:t>3</w:t>
            </w:r>
            <w:r>
              <w:rPr>
                <w:sz w:val="24"/>
              </w:rPr>
              <w:t>/a。其废水产生量按80%计，则产生生活废水1.76m</w:t>
            </w:r>
            <w:r>
              <w:rPr>
                <w:sz w:val="24"/>
                <w:vertAlign w:val="superscript"/>
              </w:rPr>
              <w:t>3</w:t>
            </w:r>
            <w:r>
              <w:rPr>
                <w:sz w:val="24"/>
              </w:rPr>
              <w:t>/d，642.4m</w:t>
            </w:r>
            <w:r>
              <w:rPr>
                <w:sz w:val="24"/>
                <w:vertAlign w:val="superscript"/>
              </w:rPr>
              <w:t>3</w:t>
            </w:r>
            <w:r>
              <w:rPr>
                <w:sz w:val="24"/>
              </w:rPr>
              <w:t>/a（按365天计）。</w:t>
            </w:r>
          </w:p>
          <w:p>
            <w:pPr>
              <w:snapToGrid w:val="0"/>
              <w:spacing w:line="360" w:lineRule="auto"/>
              <w:ind w:firstLine="480" w:firstLineChars="200"/>
              <w:rPr>
                <w:sz w:val="24"/>
              </w:rPr>
            </w:pPr>
            <w:r>
              <w:rPr>
                <w:sz w:val="24"/>
              </w:rPr>
              <w:t>（2）生产用水</w:t>
            </w:r>
          </w:p>
          <w:p>
            <w:pPr>
              <w:numPr>
                <w:ilvl w:val="0"/>
                <w:numId w:val="6"/>
              </w:numPr>
              <w:snapToGrid w:val="0"/>
              <w:spacing w:line="360" w:lineRule="auto"/>
              <w:rPr>
                <w:sz w:val="24"/>
              </w:rPr>
            </w:pPr>
            <w:r>
              <w:rPr>
                <w:sz w:val="24"/>
              </w:rPr>
              <w:t>冷凝用水</w:t>
            </w:r>
          </w:p>
          <w:p>
            <w:pPr>
              <w:snapToGrid w:val="0"/>
              <w:spacing w:line="360" w:lineRule="auto"/>
              <w:ind w:firstLine="480" w:firstLineChars="200"/>
              <w:rPr>
                <w:sz w:val="24"/>
              </w:rPr>
            </w:pPr>
            <w:r>
              <w:rPr>
                <w:sz w:val="24"/>
              </w:rPr>
              <w:t>根据业主提供资料，项目水源来自市政自来水管网，本项目加热过程中冷却用水循环使用，新鲜水补充量约为5m</w:t>
            </w:r>
            <w:r>
              <w:rPr>
                <w:sz w:val="24"/>
                <w:vertAlign w:val="superscript"/>
              </w:rPr>
              <w:t>3</w:t>
            </w:r>
            <w:r>
              <w:rPr>
                <w:sz w:val="24"/>
              </w:rPr>
              <w:t>/a。</w:t>
            </w:r>
          </w:p>
          <w:p>
            <w:pPr>
              <w:numPr>
                <w:ilvl w:val="0"/>
                <w:numId w:val="6"/>
              </w:numPr>
              <w:snapToGrid w:val="0"/>
              <w:spacing w:line="360" w:lineRule="auto"/>
              <w:rPr>
                <w:sz w:val="24"/>
              </w:rPr>
            </w:pPr>
            <w:r>
              <w:rPr>
                <w:sz w:val="24"/>
              </w:rPr>
              <w:t>锅炉用水</w:t>
            </w:r>
          </w:p>
          <w:p>
            <w:pPr>
              <w:snapToGrid w:val="0"/>
              <w:spacing w:line="360" w:lineRule="auto"/>
              <w:ind w:firstLine="480" w:firstLineChars="200"/>
              <w:rPr>
                <w:sz w:val="24"/>
              </w:rPr>
            </w:pPr>
            <w:r>
              <w:rPr>
                <w:sz w:val="24"/>
              </w:rPr>
              <w:t>本项目大棚加温所需蒸汽来自锅炉，项目设置2台6t/h的生物质锅炉，两锅炉同时使用。锅炉每天工作时间约为10h，锅炉制造蒸汽用水量为120m</w:t>
            </w:r>
            <w:r>
              <w:rPr>
                <w:sz w:val="24"/>
                <w:vertAlign w:val="superscript"/>
              </w:rPr>
              <w:t>3</w:t>
            </w:r>
            <w:r>
              <w:rPr>
                <w:sz w:val="24"/>
              </w:rPr>
              <w:t>/d，排锅炉底部水垢用水（锅炉废水）产污系数为0.295吨/吨-原料，因此</w:t>
            </w:r>
            <w:r>
              <w:rPr>
                <w:sz w:val="24"/>
                <w:lang w:bidi="ar"/>
              </w:rPr>
              <w:t>生物质锅炉排锅炉底部水垢水为</w:t>
            </w:r>
            <w:r>
              <w:rPr>
                <w:sz w:val="24"/>
              </w:rPr>
              <w:t>35.4m</w:t>
            </w:r>
            <w:r>
              <w:rPr>
                <w:sz w:val="24"/>
                <w:vertAlign w:val="superscript"/>
              </w:rPr>
              <w:t>3</w:t>
            </w:r>
            <w:r>
              <w:rPr>
                <w:sz w:val="24"/>
              </w:rPr>
              <w:t>/d；</w:t>
            </w:r>
            <w:r>
              <w:rPr>
                <w:sz w:val="24"/>
                <w:lang w:bidi="ar"/>
              </w:rPr>
              <w:t>所需软化水为155.4</w:t>
            </w:r>
            <w:r>
              <w:rPr>
                <w:sz w:val="24"/>
              </w:rPr>
              <w:t>m</w:t>
            </w:r>
            <w:r>
              <w:rPr>
                <w:sz w:val="24"/>
                <w:vertAlign w:val="superscript"/>
              </w:rPr>
              <w:t>3</w:t>
            </w:r>
            <w:r>
              <w:rPr>
                <w:sz w:val="24"/>
              </w:rPr>
              <w:t>/d。</w:t>
            </w:r>
          </w:p>
          <w:p>
            <w:pPr>
              <w:numPr>
                <w:ilvl w:val="0"/>
                <w:numId w:val="6"/>
              </w:numPr>
              <w:snapToGrid w:val="0"/>
              <w:spacing w:line="360" w:lineRule="auto"/>
              <w:rPr>
                <w:sz w:val="24"/>
              </w:rPr>
            </w:pPr>
            <w:r>
              <w:rPr>
                <w:sz w:val="24"/>
                <w:lang w:bidi="ar"/>
              </w:rPr>
              <w:t>纯水制备产生的浓水（W1）</w:t>
            </w:r>
          </w:p>
          <w:p>
            <w:pPr>
              <w:snapToGrid w:val="0"/>
              <w:spacing w:line="360" w:lineRule="auto"/>
              <w:ind w:firstLine="480" w:firstLineChars="200"/>
              <w:rPr>
                <w:sz w:val="24"/>
              </w:rPr>
            </w:pPr>
            <w:r>
              <w:rPr>
                <w:sz w:val="24"/>
                <w:lang w:bidi="ar"/>
              </w:rPr>
              <w:t>根据类比有关资料，纯净水转化效率=1×67%+1×33%×15%=72%，</w:t>
            </w:r>
            <w:r>
              <w:rPr>
                <w:sz w:val="24"/>
              </w:rPr>
              <w:t>本项目所需软化水共为155.4m</w:t>
            </w:r>
            <w:r>
              <w:rPr>
                <w:sz w:val="24"/>
                <w:vertAlign w:val="superscript"/>
              </w:rPr>
              <w:t>3</w:t>
            </w:r>
            <w:r>
              <w:rPr>
                <w:sz w:val="24"/>
              </w:rPr>
              <w:t>/d，则需要自来水198.9m</w:t>
            </w:r>
            <w:r>
              <w:rPr>
                <w:sz w:val="24"/>
                <w:vertAlign w:val="superscript"/>
              </w:rPr>
              <w:t>3</w:t>
            </w:r>
            <w:r>
              <w:rPr>
                <w:sz w:val="24"/>
              </w:rPr>
              <w:t>/d，则制备软水所产生的浓水为43.512m</w:t>
            </w:r>
            <w:r>
              <w:rPr>
                <w:sz w:val="24"/>
                <w:vertAlign w:val="superscript"/>
              </w:rPr>
              <w:t>3</w:t>
            </w:r>
            <w:r>
              <w:rPr>
                <w:sz w:val="24"/>
              </w:rPr>
              <w:t>/d，6613.8</w:t>
            </w:r>
            <w:r>
              <w:rPr>
                <w:bCs/>
                <w:sz w:val="24"/>
                <w:lang w:bidi="ar"/>
              </w:rPr>
              <w:t>m</w:t>
            </w:r>
            <w:r>
              <w:rPr>
                <w:bCs/>
                <w:sz w:val="24"/>
                <w:vertAlign w:val="superscript"/>
                <w:lang w:bidi="ar"/>
              </w:rPr>
              <w:t>3</w:t>
            </w:r>
            <w:r>
              <w:rPr>
                <w:sz w:val="24"/>
                <w:lang w:bidi="ar"/>
              </w:rPr>
              <w:t>/a。</w:t>
            </w:r>
          </w:p>
          <w:p>
            <w:pPr>
              <w:snapToGrid w:val="0"/>
              <w:spacing w:line="360" w:lineRule="auto"/>
              <w:ind w:firstLine="480" w:firstLineChars="200"/>
              <w:rPr>
                <w:sz w:val="24"/>
              </w:rPr>
            </w:pPr>
            <w:r>
              <w:rPr>
                <w:sz w:val="24"/>
                <w:lang w:bidi="ar"/>
              </w:rPr>
              <w:t>根据《水与健康》（张志义主编，2012年版），自来水的成分如下表，项目纯水制备产生的浓水水质情况见下表。</w:t>
            </w:r>
          </w:p>
          <w:p>
            <w:pPr>
              <w:snapToGrid w:val="0"/>
              <w:spacing w:line="360" w:lineRule="auto"/>
              <w:jc w:val="center"/>
              <w:rPr>
                <w:b/>
                <w:bCs/>
                <w:sz w:val="24"/>
              </w:rPr>
            </w:pPr>
            <w:r>
              <w:rPr>
                <w:b/>
                <w:bCs/>
                <w:sz w:val="24"/>
                <w:lang w:bidi="ar"/>
              </w:rPr>
              <w:t>表2-11 本项目自来水及纯水中素含量情况表</w:t>
            </w:r>
          </w:p>
          <w:p>
            <w:pPr>
              <w:pStyle w:val="13"/>
              <w:numPr>
                <w:ilvl w:val="0"/>
                <w:numId w:val="6"/>
              </w:numPr>
              <w:spacing w:line="360" w:lineRule="auto"/>
              <w:rPr>
                <w:rFonts w:ascii="Times New Roman"/>
                <w:color w:val="auto"/>
              </w:rPr>
            </w:pPr>
            <w:r>
              <w:rPr>
                <w:rFonts w:ascii="Times New Roman"/>
                <w:color w:val="auto"/>
              </w:rPr>
              <w:t>包花废水（W3）</w:t>
            </w:r>
          </w:p>
          <w:p>
            <w:pPr>
              <w:pStyle w:val="12"/>
              <w:spacing w:line="360" w:lineRule="auto"/>
              <w:ind w:firstLine="480" w:firstLineChars="200"/>
              <w:rPr>
                <w:rFonts w:ascii="Times New Roman" w:hAnsi="Times New Roman"/>
                <w:sz w:val="24"/>
              </w:rPr>
            </w:pPr>
            <w:r>
              <w:rPr>
                <w:rFonts w:ascii="Times New Roman" w:hAnsi="Times New Roman"/>
                <w:sz w:val="24"/>
              </w:rPr>
              <w:t>根据业主提供资料，采后处理中心给水1.5m</w:t>
            </w:r>
            <w:r>
              <w:rPr>
                <w:rFonts w:ascii="Times New Roman" w:hAnsi="Times New Roman"/>
                <w:sz w:val="24"/>
                <w:vertAlign w:val="superscript"/>
              </w:rPr>
              <w:t>3</w:t>
            </w:r>
            <w:r>
              <w:rPr>
                <w:rFonts w:ascii="Times New Roman" w:hAnsi="Times New Roman"/>
                <w:sz w:val="24"/>
              </w:rPr>
              <w:t>/d，用于包花前预清洗，清洗产生废水按80%计，故产生废水量为1.2m</w:t>
            </w:r>
            <w:r>
              <w:rPr>
                <w:rFonts w:ascii="Times New Roman" w:hAnsi="Times New Roman"/>
                <w:sz w:val="24"/>
                <w:vertAlign w:val="superscript"/>
              </w:rPr>
              <w:t>3</w:t>
            </w:r>
            <w:r>
              <w:rPr>
                <w:rFonts w:ascii="Times New Roman" w:hAnsi="Times New Roman"/>
                <w:sz w:val="24"/>
              </w:rPr>
              <w:t>/d。</w:t>
            </w:r>
          </w:p>
          <w:p>
            <w:pPr>
              <w:pStyle w:val="12"/>
              <w:numPr>
                <w:ilvl w:val="0"/>
                <w:numId w:val="6"/>
              </w:numPr>
              <w:spacing w:line="360" w:lineRule="auto"/>
              <w:rPr>
                <w:rFonts w:ascii="Times New Roman" w:hAnsi="Times New Roman"/>
                <w:sz w:val="24"/>
              </w:rPr>
            </w:pPr>
            <w:r>
              <w:rPr>
                <w:rFonts w:ascii="Times New Roman" w:hAnsi="Times New Roman"/>
                <w:sz w:val="24"/>
              </w:rPr>
              <w:t>锅炉底部水垢水（W1）</w:t>
            </w:r>
          </w:p>
          <w:p>
            <w:pPr>
              <w:pStyle w:val="12"/>
              <w:spacing w:line="360" w:lineRule="auto"/>
              <w:ind w:firstLine="480" w:firstLineChars="200"/>
              <w:rPr>
                <w:rFonts w:ascii="Times New Roman" w:hAnsi="Times New Roman"/>
                <w:sz w:val="24"/>
              </w:rPr>
            </w:pPr>
            <w:r>
              <w:rPr>
                <w:rFonts w:ascii="Times New Roman" w:hAnsi="Times New Roman"/>
                <w:sz w:val="24"/>
              </w:rPr>
              <w:t>本项目使用锅炉时，锅炉排水量为35.4m</w:t>
            </w:r>
            <w:r>
              <w:rPr>
                <w:rFonts w:ascii="Times New Roman" w:hAnsi="Times New Roman"/>
                <w:sz w:val="24"/>
                <w:vertAlign w:val="superscript"/>
              </w:rPr>
              <w:t>3</w:t>
            </w:r>
            <w:r>
              <w:rPr>
                <w:rFonts w:ascii="Times New Roman" w:hAnsi="Times New Roman"/>
                <w:sz w:val="24"/>
              </w:rPr>
              <w:t>/d。</w:t>
            </w:r>
          </w:p>
          <w:p>
            <w:pPr>
              <w:pStyle w:val="12"/>
              <w:spacing w:line="360" w:lineRule="auto"/>
              <w:ind w:firstLine="480" w:firstLineChars="200"/>
              <w:rPr>
                <w:rFonts w:ascii="Times New Roman" w:hAnsi="Times New Roman"/>
                <w:sz w:val="24"/>
              </w:rPr>
            </w:pPr>
            <w:r>
              <w:rPr>
                <w:rFonts w:ascii="Times New Roman" w:hAnsi="Times New Roman"/>
                <w:sz w:val="24"/>
              </w:rPr>
              <w:t>项目生产废水产生为锅炉排水和清洗废水，生产废水收集处理后回用于项目生产区灌溉，不外排。</w:t>
            </w:r>
          </w:p>
          <w:p>
            <w:pPr>
              <w:numPr>
                <w:ilvl w:val="0"/>
                <w:numId w:val="6"/>
              </w:numPr>
              <w:snapToGrid w:val="0"/>
              <w:spacing w:line="360" w:lineRule="auto"/>
              <w:rPr>
                <w:sz w:val="24"/>
              </w:rPr>
            </w:pPr>
            <w:r>
              <w:rPr>
                <w:sz w:val="24"/>
              </w:rPr>
              <w:t>种植浇灌渗出水（W2）</w:t>
            </w:r>
          </w:p>
          <w:p>
            <w:pPr>
              <w:snapToGrid w:val="0"/>
              <w:spacing w:line="360" w:lineRule="auto"/>
              <w:ind w:firstLine="480" w:firstLineChars="200"/>
              <w:rPr>
                <w:sz w:val="24"/>
              </w:rPr>
            </w:pPr>
            <w:r>
              <w:rPr>
                <w:sz w:val="24"/>
              </w:rPr>
              <w:t>玫瑰种植过程中需要浇水灌溉，本项目采用全自动灌溉系统，根据业主提供玫瑰种植用水量为2m</w:t>
            </w:r>
            <w:r>
              <w:rPr>
                <w:sz w:val="24"/>
                <w:vertAlign w:val="superscript"/>
              </w:rPr>
              <w:t>3</w:t>
            </w:r>
            <w:r>
              <w:rPr>
                <w:sz w:val="24"/>
              </w:rPr>
              <w:t>/亩·天。本项目种植区82亩，则用水量为59860m</w:t>
            </w:r>
            <w:r>
              <w:rPr>
                <w:sz w:val="24"/>
                <w:vertAlign w:val="superscript"/>
              </w:rPr>
              <w:t>3</w:t>
            </w:r>
            <w:r>
              <w:rPr>
                <w:sz w:val="24"/>
              </w:rPr>
              <w:t>/a，164m</w:t>
            </w:r>
            <w:r>
              <w:rPr>
                <w:sz w:val="24"/>
                <w:vertAlign w:val="superscript"/>
              </w:rPr>
              <w:t>3</w:t>
            </w:r>
            <w:r>
              <w:rPr>
                <w:sz w:val="24"/>
              </w:rPr>
              <w:t>/d。滴灌渗出废水约为灌溉用水的1%，则产生滴灌渗出废水约为1.64m</w:t>
            </w:r>
            <w:r>
              <w:rPr>
                <w:sz w:val="24"/>
                <w:vertAlign w:val="superscript"/>
              </w:rPr>
              <w:t>3</w:t>
            </w:r>
            <w:r>
              <w:rPr>
                <w:sz w:val="24"/>
              </w:rPr>
              <w:t>/d，通过沉淀池沉淀后回用于水肥系统。</w:t>
            </w:r>
          </w:p>
          <w:p>
            <w:pPr>
              <w:pStyle w:val="12"/>
              <w:numPr>
                <w:ilvl w:val="0"/>
                <w:numId w:val="6"/>
              </w:numPr>
              <w:spacing w:line="360" w:lineRule="auto"/>
              <w:rPr>
                <w:rFonts w:ascii="Times New Roman" w:hAnsi="Times New Roman"/>
                <w:sz w:val="24"/>
              </w:rPr>
            </w:pPr>
            <w:r>
              <w:rPr>
                <w:rFonts w:ascii="Times New Roman" w:hAnsi="Times New Roman"/>
                <w:sz w:val="24"/>
              </w:rPr>
              <w:t>冷库冷凝水</w:t>
            </w:r>
          </w:p>
          <w:p>
            <w:pPr>
              <w:pStyle w:val="13"/>
              <w:spacing w:line="360" w:lineRule="auto"/>
              <w:ind w:firstLine="480" w:firstLineChars="200"/>
              <w:rPr>
                <w:rFonts w:ascii="Times New Roman"/>
                <w:color w:val="auto"/>
                <w:kern w:val="2"/>
              </w:rPr>
            </w:pPr>
            <w:r>
              <w:rPr>
                <w:rFonts w:ascii="Times New Roman"/>
                <w:color w:val="auto"/>
                <w:kern w:val="2"/>
              </w:rPr>
              <w:t>项目冷库面积为135m</w:t>
            </w:r>
            <w:r>
              <w:rPr>
                <w:rFonts w:ascii="Times New Roman"/>
                <w:color w:val="auto"/>
                <w:kern w:val="2"/>
                <w:vertAlign w:val="superscript"/>
              </w:rPr>
              <w:t>2</w:t>
            </w:r>
            <w:r>
              <w:rPr>
                <w:rFonts w:ascii="Times New Roman"/>
                <w:color w:val="auto"/>
                <w:kern w:val="2"/>
              </w:rPr>
              <w:t>，冷库冷凝水为循环使用，消耗量不大，则根据业主提供冷库冷凝用水为6m</w:t>
            </w:r>
            <w:r>
              <w:rPr>
                <w:rFonts w:ascii="Times New Roman"/>
                <w:color w:val="auto"/>
                <w:kern w:val="2"/>
                <w:vertAlign w:val="superscript"/>
              </w:rPr>
              <w:t>3</w:t>
            </w:r>
            <w:r>
              <w:rPr>
                <w:rFonts w:ascii="Times New Roman"/>
                <w:color w:val="auto"/>
                <w:kern w:val="2"/>
              </w:rPr>
              <w:t>/a</w:t>
            </w:r>
            <w:r>
              <w:rPr>
                <w:rFonts w:hint="eastAsia" w:ascii="Times New Roman"/>
                <w:color w:val="auto"/>
                <w:kern w:val="2"/>
              </w:rPr>
              <w:t>。</w:t>
            </w:r>
          </w:p>
          <w:p>
            <w:pPr>
              <w:spacing w:line="360" w:lineRule="auto"/>
              <w:ind w:left="630"/>
              <w:rPr>
                <w:sz w:val="24"/>
              </w:rPr>
            </w:pPr>
            <w:r>
              <w:rPr>
                <w:sz w:val="24"/>
              </w:rPr>
              <w:t>（3）初期雨水</w:t>
            </w:r>
          </w:p>
          <w:p>
            <w:pPr>
              <w:pStyle w:val="13"/>
              <w:spacing w:line="360" w:lineRule="auto"/>
              <w:ind w:firstLine="480" w:firstLineChars="200"/>
              <w:rPr>
                <w:rFonts w:ascii="Times New Roman"/>
                <w:color w:val="auto"/>
                <w:kern w:val="2"/>
              </w:rPr>
            </w:pPr>
            <w:r>
              <w:rPr>
                <w:rFonts w:ascii="Times New Roman"/>
                <w:color w:val="auto"/>
                <w:kern w:val="2"/>
              </w:rPr>
              <w:t>根据《建筑与小区雨水利用工程技术规范》的规定，雨水储存设施的有初期雨水径流弃流量，本设计取一年。根据统计姚安县年降雨日数为148天，年均降水量775.8mm，日降水量为10mm，本次设计水池容量计算取10mm。本次评价对项目区初期径流弃流量的核算如下：</w:t>
            </w:r>
          </w:p>
          <w:p>
            <w:pPr>
              <w:spacing w:line="360" w:lineRule="auto"/>
              <w:ind w:firstLine="720" w:firstLineChars="300"/>
              <w:jc w:val="center"/>
              <w:rPr>
                <w:sz w:val="24"/>
              </w:rPr>
            </w:pPr>
            <w:r>
              <w:rPr>
                <w:sz w:val="24"/>
              </w:rPr>
              <w:t>Wi=10×δ×F</w:t>
            </w:r>
          </w:p>
          <w:p>
            <w:pPr>
              <w:spacing w:line="360" w:lineRule="auto"/>
              <w:ind w:firstLine="720" w:firstLineChars="300"/>
              <w:rPr>
                <w:sz w:val="24"/>
              </w:rPr>
            </w:pPr>
            <w:r>
              <w:rPr>
                <w:sz w:val="24"/>
              </w:rPr>
              <w:t>式中：Wi—初期径流弃流量（m</w:t>
            </w:r>
            <w:r>
              <w:rPr>
                <w:sz w:val="24"/>
                <w:vertAlign w:val="superscript"/>
              </w:rPr>
              <w:t>3</w:t>
            </w:r>
            <w:r>
              <w:rPr>
                <w:sz w:val="24"/>
              </w:rPr>
              <w:t>）；</w:t>
            </w:r>
          </w:p>
          <w:p>
            <w:pPr>
              <w:spacing w:line="360" w:lineRule="auto"/>
              <w:ind w:firstLine="720" w:firstLineChars="300"/>
              <w:rPr>
                <w:sz w:val="24"/>
              </w:rPr>
            </w:pPr>
            <w:r>
              <w:rPr>
                <w:sz w:val="24"/>
              </w:rPr>
              <w:t>F—采区降雨汇水面积（hm</w:t>
            </w:r>
            <w:r>
              <w:rPr>
                <w:sz w:val="24"/>
                <w:vertAlign w:val="superscript"/>
              </w:rPr>
              <w:t>2</w:t>
            </w:r>
            <w:r>
              <w:rPr>
                <w:sz w:val="24"/>
              </w:rPr>
              <w:t>）；</w:t>
            </w:r>
          </w:p>
          <w:p>
            <w:pPr>
              <w:spacing w:line="360" w:lineRule="auto"/>
              <w:ind w:firstLine="720" w:firstLineChars="300"/>
              <w:rPr>
                <w:sz w:val="24"/>
              </w:rPr>
            </w:pPr>
            <w:r>
              <w:rPr>
                <w:sz w:val="24"/>
              </w:rPr>
              <w:t>  δ—初期径流弃流厚度（mm）。</w:t>
            </w:r>
          </w:p>
          <w:p>
            <w:pPr>
              <w:spacing w:line="360" w:lineRule="auto"/>
              <w:ind w:firstLine="480" w:firstLineChars="200"/>
              <w:rPr>
                <w:sz w:val="24"/>
              </w:rPr>
            </w:pPr>
            <w:r>
              <w:rPr>
                <w:sz w:val="24"/>
              </w:rPr>
              <w:t>项目区域内一场降雨共收集雨水量为：328.2m</w:t>
            </w:r>
            <w:r>
              <w:rPr>
                <w:sz w:val="24"/>
                <w:vertAlign w:val="superscript"/>
              </w:rPr>
              <w:t>3</w:t>
            </w:r>
          </w:p>
          <w:p>
            <w:pPr>
              <w:spacing w:line="360" w:lineRule="auto"/>
              <w:ind w:firstLine="480" w:firstLineChars="200"/>
              <w:rPr>
                <w:sz w:val="24"/>
              </w:rPr>
            </w:pPr>
            <w:r>
              <w:rPr>
                <w:sz w:val="24"/>
              </w:rPr>
              <w:t>按照10mm降雨厚度计算，下垫面3mm可收集的雨水量为：98.46m</w:t>
            </w:r>
            <w:r>
              <w:rPr>
                <w:sz w:val="24"/>
                <w:vertAlign w:val="superscript"/>
              </w:rPr>
              <w:t>3</w:t>
            </w:r>
            <w:r>
              <w:rPr>
                <w:sz w:val="24"/>
              </w:rPr>
              <w:t>。</w:t>
            </w:r>
          </w:p>
          <w:p>
            <w:pPr>
              <w:spacing w:line="360" w:lineRule="auto"/>
              <w:ind w:firstLine="480" w:firstLineChars="200"/>
              <w:rPr>
                <w:sz w:val="24"/>
              </w:rPr>
            </w:pPr>
            <w:r>
              <w:rPr>
                <w:sz w:val="24"/>
              </w:rPr>
              <w:t>项目区一场降雨共收集雨水：328.2-98.46=229.71m</w:t>
            </w:r>
            <w:r>
              <w:rPr>
                <w:sz w:val="24"/>
                <w:vertAlign w:val="superscript"/>
              </w:rPr>
              <w:t>3</w:t>
            </w:r>
            <w:r>
              <w:rPr>
                <w:sz w:val="24"/>
              </w:rPr>
              <w:t>。</w:t>
            </w:r>
          </w:p>
          <w:p>
            <w:pPr>
              <w:spacing w:line="360" w:lineRule="auto"/>
              <w:ind w:firstLine="480" w:firstLineChars="200"/>
              <w:rPr>
                <w:sz w:val="24"/>
              </w:rPr>
            </w:pPr>
            <w:r>
              <w:rPr>
                <w:sz w:val="24"/>
              </w:rPr>
              <w:t>沉淀池容积核算采用姚安县30年一遇最大日降雨量按照暴雨强度公式进行核算，姚安县30年一遇最大日降雨量为132.57mm，暴雨强度按照15分钟计，设计降雨重现期为5年，公式如下：</w:t>
            </w:r>
          </w:p>
          <w:p>
            <w:pPr>
              <w:spacing w:line="360" w:lineRule="auto"/>
              <w:jc w:val="center"/>
              <w:rPr>
                <w:sz w:val="24"/>
              </w:rPr>
            </w:pPr>
            <w:r>
              <w:rPr>
                <w:sz w:val="24"/>
              </w:rPr>
              <w:t>Q=Ψ·q·F</w:t>
            </w:r>
          </w:p>
          <w:p>
            <w:pPr>
              <w:spacing w:line="360" w:lineRule="auto"/>
              <w:ind w:left="479" w:leftChars="228"/>
              <w:rPr>
                <w:sz w:val="24"/>
              </w:rPr>
            </w:pPr>
            <w:r>
              <w:rPr>
                <w:sz w:val="24"/>
              </w:rPr>
              <w:t>式中：Q —雨水流量，L/s；</w:t>
            </w:r>
          </w:p>
          <w:p>
            <w:pPr>
              <w:spacing w:line="360" w:lineRule="auto"/>
              <w:ind w:left="479" w:leftChars="228"/>
              <w:rPr>
                <w:sz w:val="24"/>
              </w:rPr>
            </w:pPr>
            <w:r>
              <w:rPr>
                <w:sz w:val="24"/>
              </w:rPr>
              <w:t>Ψ—径流系数，经验数值为0.6；</w:t>
            </w:r>
          </w:p>
          <w:p>
            <w:pPr>
              <w:spacing w:line="360" w:lineRule="auto"/>
              <w:ind w:left="479" w:leftChars="228"/>
              <w:rPr>
                <w:sz w:val="24"/>
              </w:rPr>
            </w:pPr>
            <w:r>
              <w:rPr>
                <w:sz w:val="24"/>
              </w:rPr>
              <w:t>q—设计暴雨强度，</w:t>
            </w:r>
            <w:r>
              <w:rPr>
                <w:sz w:val="24"/>
                <w:lang w:bidi="ar"/>
              </w:rPr>
              <w:t>L/s·hm</w:t>
            </w:r>
            <w:r>
              <w:rPr>
                <w:sz w:val="24"/>
                <w:vertAlign w:val="superscript"/>
                <w:lang w:bidi="ar"/>
              </w:rPr>
              <w:t>2</w:t>
            </w:r>
            <w:r>
              <w:rPr>
                <w:sz w:val="24"/>
              </w:rPr>
              <w:t>；</w:t>
            </w:r>
          </w:p>
          <w:p>
            <w:pPr>
              <w:spacing w:line="360" w:lineRule="auto"/>
              <w:ind w:left="479" w:leftChars="228"/>
              <w:rPr>
                <w:sz w:val="24"/>
              </w:rPr>
            </w:pPr>
            <w:r>
              <w:rPr>
                <w:sz w:val="24"/>
              </w:rPr>
              <w:t>F—汇水面积，m</w:t>
            </w:r>
            <w:r>
              <w:rPr>
                <w:sz w:val="24"/>
                <w:vertAlign w:val="superscript"/>
              </w:rPr>
              <w:t>2</w:t>
            </w:r>
            <w:r>
              <w:rPr>
                <w:sz w:val="24"/>
              </w:rPr>
              <w:t>；</w:t>
            </w:r>
          </w:p>
          <w:p>
            <w:pPr>
              <w:spacing w:line="360" w:lineRule="auto"/>
              <w:rPr>
                <w:sz w:val="24"/>
              </w:rPr>
            </w:pPr>
            <w:r>
              <w:rPr>
                <w:sz w:val="24"/>
              </w:rPr>
              <w:t>因姚安县与下关距离较近，气象条件相似，所以姚安县降雨强度参照下关地区暴雨强度公式计算：</w:t>
            </w:r>
          </w:p>
          <w:p>
            <w:pPr>
              <w:spacing w:line="360" w:lineRule="auto"/>
              <w:jc w:val="center"/>
              <w:rPr>
                <w:sz w:val="24"/>
                <w:vertAlign w:val="superscript"/>
              </w:rPr>
            </w:pPr>
            <w:r>
              <w:rPr>
                <w:sz w:val="24"/>
              </w:rPr>
              <w:t>q=1534(1+1.0351lgP)/（t+9.86）</w:t>
            </w:r>
            <w:r>
              <w:rPr>
                <w:sz w:val="24"/>
                <w:vertAlign w:val="superscript"/>
              </w:rPr>
              <w:t>0.762</w:t>
            </w:r>
          </w:p>
          <w:p>
            <w:pPr>
              <w:spacing w:line="360" w:lineRule="auto"/>
              <w:rPr>
                <w:sz w:val="24"/>
              </w:rPr>
            </w:pPr>
            <w:r>
              <w:rPr>
                <w:sz w:val="24"/>
              </w:rPr>
              <w:t>式中：P—设计降雨重现期5a，</w:t>
            </w:r>
          </w:p>
          <w:p>
            <w:pPr>
              <w:spacing w:line="360" w:lineRule="auto"/>
              <w:rPr>
                <w:sz w:val="24"/>
              </w:rPr>
            </w:pPr>
            <w:r>
              <w:rPr>
                <w:sz w:val="24"/>
              </w:rPr>
              <w:t>t—降雨历时，15min。</w:t>
            </w:r>
          </w:p>
          <w:p>
            <w:pPr>
              <w:spacing w:line="360" w:lineRule="auto"/>
              <w:ind w:firstLine="480" w:firstLineChars="200"/>
              <w:rPr>
                <w:sz w:val="24"/>
              </w:rPr>
            </w:pPr>
            <w:r>
              <w:rPr>
                <w:sz w:val="24"/>
              </w:rPr>
              <w:t>通过核算，项目区最大雨水量为749.9m</w:t>
            </w:r>
            <w:r>
              <w:rPr>
                <w:sz w:val="24"/>
                <w:vertAlign w:val="superscript"/>
              </w:rPr>
              <w:t>3</w:t>
            </w:r>
            <w:r>
              <w:rPr>
                <w:sz w:val="24"/>
              </w:rPr>
              <w:t>，设计沉淀池容积760m</w:t>
            </w:r>
            <w:r>
              <w:rPr>
                <w:sz w:val="24"/>
                <w:vertAlign w:val="superscript"/>
              </w:rPr>
              <w:t>3</w:t>
            </w:r>
            <w:r>
              <w:rPr>
                <w:sz w:val="24"/>
              </w:rPr>
              <w:t>，能够满足要求。</w:t>
            </w:r>
          </w:p>
          <w:p>
            <w:pPr>
              <w:spacing w:line="360" w:lineRule="auto"/>
              <w:ind w:firstLine="480" w:firstLineChars="200"/>
              <w:rPr>
                <w:sz w:val="24"/>
              </w:rPr>
            </w:pPr>
            <w:r>
              <w:rPr>
                <w:sz w:val="24"/>
              </w:rPr>
              <w:t>沉淀雨水可用于项目区种植浇灌和配肥。</w:t>
            </w:r>
          </w:p>
          <w:p>
            <w:pPr>
              <w:pStyle w:val="12"/>
              <w:spacing w:line="360" w:lineRule="auto"/>
              <w:ind w:firstLine="480" w:firstLineChars="200"/>
              <w:rPr>
                <w:rFonts w:ascii="Times New Roman" w:hAnsi="Times New Roman"/>
                <w:sz w:val="24"/>
              </w:rPr>
            </w:pPr>
            <w:r>
              <w:rPr>
                <w:rFonts w:ascii="Times New Roman" w:hAnsi="Times New Roman"/>
                <w:sz w:val="24"/>
              </w:rPr>
              <w:t>使用锅炉和不使用锅炉时日供排水情况以及使用锅炉年供排水情况见下表2-11、2-12、2-13。</w:t>
            </w:r>
          </w:p>
          <w:p>
            <w:pPr>
              <w:spacing w:line="360" w:lineRule="auto"/>
              <w:ind w:firstLine="482" w:firstLineChars="200"/>
              <w:jc w:val="center"/>
              <w:rPr>
                <w:b/>
                <w:bCs/>
                <w:sz w:val="24"/>
              </w:rPr>
            </w:pPr>
          </w:p>
          <w:p>
            <w:pPr>
              <w:spacing w:line="360" w:lineRule="auto"/>
              <w:ind w:firstLine="482" w:firstLineChars="200"/>
              <w:jc w:val="center"/>
              <w:rPr>
                <w:b/>
                <w:bCs/>
                <w:sz w:val="24"/>
              </w:rPr>
            </w:pPr>
            <w:r>
              <w:rPr>
                <w:b/>
                <w:bCs/>
                <w:sz w:val="24"/>
              </w:rPr>
              <w:t>表2-11 项目使用锅炉时日供排水情况表（单位：m</w:t>
            </w:r>
            <w:r>
              <w:rPr>
                <w:b/>
                <w:bCs/>
                <w:sz w:val="24"/>
                <w:vertAlign w:val="superscript"/>
              </w:rPr>
              <w:t>3</w:t>
            </w:r>
            <w:r>
              <w:rPr>
                <w:b/>
                <w:bCs/>
                <w:sz w:val="24"/>
              </w:rPr>
              <w:t>/d）</w:t>
            </w:r>
          </w:p>
          <w:tbl>
            <w:tblPr>
              <w:tblStyle w:val="27"/>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324"/>
              <w:gridCol w:w="1134"/>
              <w:gridCol w:w="1701"/>
              <w:gridCol w:w="1917"/>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263" w:type="dxa"/>
                  <w:vAlign w:val="center"/>
                </w:tcPr>
                <w:p>
                  <w:pPr>
                    <w:autoSpaceDE w:val="0"/>
                    <w:autoSpaceDN w:val="0"/>
                    <w:adjustRightInd w:val="0"/>
                    <w:snapToGrid w:val="0"/>
                    <w:jc w:val="center"/>
                    <w:rPr>
                      <w:rFonts w:eastAsiaTheme="minorEastAsia"/>
                      <w:b/>
                      <w:bCs/>
                      <w:szCs w:val="21"/>
                    </w:rPr>
                  </w:pPr>
                  <w:r>
                    <w:rPr>
                      <w:rFonts w:eastAsiaTheme="minorEastAsia"/>
                      <w:b/>
                      <w:bCs/>
                      <w:szCs w:val="21"/>
                    </w:rPr>
                    <w:t>用水项目</w:t>
                  </w:r>
                </w:p>
              </w:tc>
              <w:tc>
                <w:tcPr>
                  <w:tcW w:w="1324" w:type="dxa"/>
                  <w:vAlign w:val="center"/>
                </w:tcPr>
                <w:p>
                  <w:pPr>
                    <w:autoSpaceDE w:val="0"/>
                    <w:autoSpaceDN w:val="0"/>
                    <w:adjustRightInd w:val="0"/>
                    <w:snapToGrid w:val="0"/>
                    <w:jc w:val="center"/>
                    <w:rPr>
                      <w:rFonts w:eastAsiaTheme="minorEastAsia"/>
                      <w:b/>
                      <w:bCs/>
                      <w:szCs w:val="21"/>
                    </w:rPr>
                  </w:pPr>
                  <w:r>
                    <w:rPr>
                      <w:rFonts w:eastAsiaTheme="minorEastAsia"/>
                      <w:b/>
                      <w:bCs/>
                      <w:szCs w:val="21"/>
                    </w:rPr>
                    <w:t>新鲜水用量</w:t>
                  </w:r>
                </w:p>
              </w:tc>
              <w:tc>
                <w:tcPr>
                  <w:tcW w:w="1134" w:type="dxa"/>
                  <w:vAlign w:val="center"/>
                </w:tcPr>
                <w:p>
                  <w:pPr>
                    <w:autoSpaceDE w:val="0"/>
                    <w:autoSpaceDN w:val="0"/>
                    <w:adjustRightInd w:val="0"/>
                    <w:snapToGrid w:val="0"/>
                    <w:jc w:val="center"/>
                    <w:rPr>
                      <w:rFonts w:eastAsiaTheme="minorEastAsia"/>
                      <w:b/>
                      <w:bCs/>
                      <w:szCs w:val="21"/>
                    </w:rPr>
                  </w:pPr>
                  <w:r>
                    <w:rPr>
                      <w:rFonts w:eastAsiaTheme="minorEastAsia"/>
                      <w:b/>
                      <w:bCs/>
                      <w:szCs w:val="21"/>
                    </w:rPr>
                    <w:t>回用水量</w:t>
                  </w:r>
                </w:p>
              </w:tc>
              <w:tc>
                <w:tcPr>
                  <w:tcW w:w="1701" w:type="dxa"/>
                  <w:vAlign w:val="center"/>
                </w:tcPr>
                <w:p>
                  <w:pPr>
                    <w:autoSpaceDE w:val="0"/>
                    <w:autoSpaceDN w:val="0"/>
                    <w:adjustRightInd w:val="0"/>
                    <w:snapToGrid w:val="0"/>
                    <w:jc w:val="center"/>
                    <w:rPr>
                      <w:rFonts w:eastAsiaTheme="minorEastAsia"/>
                      <w:b/>
                      <w:bCs/>
                      <w:szCs w:val="21"/>
                    </w:rPr>
                  </w:pPr>
                  <w:r>
                    <w:rPr>
                      <w:rFonts w:eastAsiaTheme="minorEastAsia"/>
                      <w:b/>
                      <w:bCs/>
                      <w:szCs w:val="21"/>
                    </w:rPr>
                    <w:t>污水量</w:t>
                  </w:r>
                </w:p>
              </w:tc>
              <w:tc>
                <w:tcPr>
                  <w:tcW w:w="1917" w:type="dxa"/>
                  <w:vAlign w:val="center"/>
                </w:tcPr>
                <w:p>
                  <w:pPr>
                    <w:autoSpaceDE w:val="0"/>
                    <w:autoSpaceDN w:val="0"/>
                    <w:adjustRightInd w:val="0"/>
                    <w:snapToGrid w:val="0"/>
                    <w:jc w:val="center"/>
                    <w:rPr>
                      <w:rFonts w:eastAsiaTheme="minorEastAsia"/>
                      <w:b/>
                      <w:bCs/>
                      <w:szCs w:val="21"/>
                    </w:rPr>
                  </w:pPr>
                  <w:r>
                    <w:rPr>
                      <w:rFonts w:eastAsiaTheme="minorEastAsia"/>
                      <w:b/>
                      <w:bCs/>
                      <w:szCs w:val="21"/>
                    </w:rPr>
                    <w:t>废水回用量</w:t>
                  </w:r>
                </w:p>
              </w:tc>
              <w:tc>
                <w:tcPr>
                  <w:tcW w:w="1438" w:type="dxa"/>
                  <w:vAlign w:val="center"/>
                </w:tcPr>
                <w:p>
                  <w:pPr>
                    <w:autoSpaceDE w:val="0"/>
                    <w:autoSpaceDN w:val="0"/>
                    <w:adjustRightInd w:val="0"/>
                    <w:snapToGrid w:val="0"/>
                    <w:jc w:val="center"/>
                    <w:rPr>
                      <w:rFonts w:eastAsiaTheme="minorEastAsia"/>
                      <w:b/>
                      <w:bCs/>
                      <w:szCs w:val="21"/>
                    </w:rPr>
                  </w:pPr>
                  <w:r>
                    <w:rPr>
                      <w:rFonts w:eastAsiaTheme="minorEastAsia"/>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263" w:type="dxa"/>
                  <w:shd w:val="clear" w:color="auto" w:fill="auto"/>
                  <w:vAlign w:val="center"/>
                </w:tcPr>
                <w:p>
                  <w:pPr>
                    <w:autoSpaceDE w:val="0"/>
                    <w:autoSpaceDN w:val="0"/>
                    <w:adjustRightInd w:val="0"/>
                    <w:snapToGrid w:val="0"/>
                    <w:jc w:val="center"/>
                    <w:rPr>
                      <w:rFonts w:eastAsiaTheme="minorEastAsia"/>
                      <w:szCs w:val="21"/>
                    </w:rPr>
                  </w:pPr>
                  <w:r>
                    <w:rPr>
                      <w:rFonts w:eastAsiaTheme="minorEastAsia"/>
                      <w:szCs w:val="21"/>
                    </w:rPr>
                    <w:t>锅炉用水</w:t>
                  </w:r>
                </w:p>
              </w:tc>
              <w:tc>
                <w:tcPr>
                  <w:tcW w:w="1324" w:type="dxa"/>
                  <w:vAlign w:val="center"/>
                </w:tcPr>
                <w:p>
                  <w:pPr>
                    <w:autoSpaceDE w:val="0"/>
                    <w:autoSpaceDN w:val="0"/>
                    <w:adjustRightInd w:val="0"/>
                    <w:snapToGrid w:val="0"/>
                    <w:jc w:val="center"/>
                    <w:rPr>
                      <w:rFonts w:eastAsiaTheme="minorEastAsia"/>
                      <w:szCs w:val="21"/>
                    </w:rPr>
                  </w:pPr>
                  <w:r>
                    <w:rPr>
                      <w:rFonts w:eastAsiaTheme="minorEastAsia"/>
                      <w:szCs w:val="21"/>
                    </w:rPr>
                    <w:t>0</w:t>
                  </w:r>
                </w:p>
              </w:tc>
              <w:tc>
                <w:tcPr>
                  <w:tcW w:w="1134" w:type="dxa"/>
                  <w:vAlign w:val="center"/>
                </w:tcPr>
                <w:p>
                  <w:pPr>
                    <w:autoSpaceDE w:val="0"/>
                    <w:autoSpaceDN w:val="0"/>
                    <w:adjustRightInd w:val="0"/>
                    <w:snapToGrid w:val="0"/>
                    <w:jc w:val="center"/>
                    <w:rPr>
                      <w:rFonts w:eastAsiaTheme="minorEastAsia"/>
                      <w:szCs w:val="21"/>
                    </w:rPr>
                  </w:pPr>
                  <w:r>
                    <w:rPr>
                      <w:rFonts w:eastAsiaTheme="minorEastAsia"/>
                      <w:szCs w:val="21"/>
                    </w:rPr>
                    <w:t>0</w:t>
                  </w:r>
                </w:p>
              </w:tc>
              <w:tc>
                <w:tcPr>
                  <w:tcW w:w="1701" w:type="dxa"/>
                  <w:vAlign w:val="center"/>
                </w:tcPr>
                <w:p>
                  <w:pPr>
                    <w:autoSpaceDE w:val="0"/>
                    <w:autoSpaceDN w:val="0"/>
                    <w:adjustRightInd w:val="0"/>
                    <w:snapToGrid w:val="0"/>
                    <w:jc w:val="center"/>
                    <w:rPr>
                      <w:rFonts w:eastAsiaTheme="minorEastAsia"/>
                      <w:szCs w:val="21"/>
                    </w:rPr>
                  </w:pPr>
                  <w:r>
                    <w:rPr>
                      <w:rFonts w:eastAsiaTheme="minorEastAsia"/>
                      <w:szCs w:val="21"/>
                    </w:rPr>
                    <w:t>35.4</w:t>
                  </w:r>
                </w:p>
              </w:tc>
              <w:tc>
                <w:tcPr>
                  <w:tcW w:w="1917" w:type="dxa"/>
                  <w:vAlign w:val="center"/>
                </w:tcPr>
                <w:p>
                  <w:pPr>
                    <w:autoSpaceDE w:val="0"/>
                    <w:autoSpaceDN w:val="0"/>
                    <w:adjustRightInd w:val="0"/>
                    <w:snapToGrid w:val="0"/>
                    <w:jc w:val="center"/>
                    <w:rPr>
                      <w:rFonts w:eastAsiaTheme="minorEastAsia"/>
                      <w:szCs w:val="21"/>
                    </w:rPr>
                  </w:pPr>
                  <w:r>
                    <w:rPr>
                      <w:rFonts w:eastAsiaTheme="minorEastAsia"/>
                      <w:szCs w:val="21"/>
                    </w:rPr>
                    <w:t>35.4</w:t>
                  </w:r>
                </w:p>
              </w:tc>
              <w:tc>
                <w:tcPr>
                  <w:tcW w:w="1438" w:type="dxa"/>
                  <w:vAlign w:val="center"/>
                </w:tcPr>
                <w:p>
                  <w:pPr>
                    <w:autoSpaceDE w:val="0"/>
                    <w:autoSpaceDN w:val="0"/>
                    <w:adjustRightInd w:val="0"/>
                    <w:snapToGrid w:val="0"/>
                    <w:jc w:val="center"/>
                    <w:rPr>
                      <w:rFonts w:eastAsiaTheme="minorEastAsia"/>
                      <w:szCs w:val="21"/>
                    </w:rPr>
                  </w:pPr>
                  <w:r>
                    <w:rPr>
                      <w:rFonts w:eastAsiaTheme="minorEastAsia"/>
                      <w:szCs w:val="21"/>
                    </w:rPr>
                    <w:t>新鲜用水量为软化水设备软化后水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jc w:val="center"/>
              </w:trPr>
              <w:tc>
                <w:tcPr>
                  <w:tcW w:w="1263" w:type="dxa"/>
                  <w:shd w:val="clear" w:color="auto" w:fill="auto"/>
                  <w:vAlign w:val="center"/>
                </w:tcPr>
                <w:p>
                  <w:pPr>
                    <w:autoSpaceDE w:val="0"/>
                    <w:autoSpaceDN w:val="0"/>
                    <w:adjustRightInd w:val="0"/>
                    <w:snapToGrid w:val="0"/>
                    <w:jc w:val="center"/>
                    <w:rPr>
                      <w:rFonts w:eastAsiaTheme="minorEastAsia"/>
                      <w:szCs w:val="21"/>
                    </w:rPr>
                  </w:pPr>
                  <w:r>
                    <w:rPr>
                      <w:rFonts w:eastAsiaTheme="minorEastAsia"/>
                      <w:szCs w:val="21"/>
                    </w:rPr>
                    <w:t>花卉种植用水</w:t>
                  </w:r>
                </w:p>
              </w:tc>
              <w:tc>
                <w:tcPr>
                  <w:tcW w:w="1324" w:type="dxa"/>
                  <w:vAlign w:val="center"/>
                </w:tcPr>
                <w:p>
                  <w:pPr>
                    <w:autoSpaceDE w:val="0"/>
                    <w:autoSpaceDN w:val="0"/>
                    <w:adjustRightInd w:val="0"/>
                    <w:snapToGrid w:val="0"/>
                    <w:jc w:val="center"/>
                    <w:rPr>
                      <w:rFonts w:eastAsiaTheme="minorEastAsia"/>
                      <w:szCs w:val="21"/>
                    </w:rPr>
                  </w:pPr>
                  <w:r>
                    <w:rPr>
                      <w:rFonts w:eastAsiaTheme="minorEastAsia"/>
                      <w:szCs w:val="21"/>
                    </w:rPr>
                    <w:t>0</w:t>
                  </w:r>
                </w:p>
              </w:tc>
              <w:tc>
                <w:tcPr>
                  <w:tcW w:w="1134" w:type="dxa"/>
                  <w:vAlign w:val="center"/>
                </w:tcPr>
                <w:p>
                  <w:pPr>
                    <w:autoSpaceDE w:val="0"/>
                    <w:autoSpaceDN w:val="0"/>
                    <w:adjustRightInd w:val="0"/>
                    <w:snapToGrid w:val="0"/>
                    <w:jc w:val="center"/>
                    <w:rPr>
                      <w:rFonts w:eastAsiaTheme="minorEastAsia"/>
                      <w:szCs w:val="21"/>
                    </w:rPr>
                  </w:pPr>
                  <w:r>
                    <w:rPr>
                      <w:rFonts w:eastAsiaTheme="minorEastAsia"/>
                      <w:szCs w:val="21"/>
                    </w:rPr>
                    <w:t>164</w:t>
                  </w:r>
                </w:p>
              </w:tc>
              <w:tc>
                <w:tcPr>
                  <w:tcW w:w="1701" w:type="dxa"/>
                  <w:vAlign w:val="center"/>
                </w:tcPr>
                <w:p>
                  <w:pPr>
                    <w:autoSpaceDE w:val="0"/>
                    <w:autoSpaceDN w:val="0"/>
                    <w:adjustRightInd w:val="0"/>
                    <w:snapToGrid w:val="0"/>
                    <w:jc w:val="center"/>
                    <w:rPr>
                      <w:rFonts w:eastAsiaTheme="minorEastAsia"/>
                      <w:szCs w:val="21"/>
                    </w:rPr>
                  </w:pPr>
                  <w:r>
                    <w:rPr>
                      <w:rFonts w:eastAsiaTheme="minorEastAsia"/>
                      <w:szCs w:val="21"/>
                    </w:rPr>
                    <w:t>1.64</w:t>
                  </w:r>
                </w:p>
              </w:tc>
              <w:tc>
                <w:tcPr>
                  <w:tcW w:w="1917" w:type="dxa"/>
                  <w:vAlign w:val="center"/>
                </w:tcPr>
                <w:p>
                  <w:pPr>
                    <w:autoSpaceDE w:val="0"/>
                    <w:autoSpaceDN w:val="0"/>
                    <w:adjustRightInd w:val="0"/>
                    <w:snapToGrid w:val="0"/>
                    <w:jc w:val="center"/>
                    <w:rPr>
                      <w:rFonts w:eastAsiaTheme="minorEastAsia"/>
                      <w:szCs w:val="21"/>
                    </w:rPr>
                  </w:pPr>
                  <w:r>
                    <w:rPr>
                      <w:rFonts w:eastAsiaTheme="minorEastAsia"/>
                      <w:szCs w:val="21"/>
                    </w:rPr>
                    <w:t>1.64</w:t>
                  </w:r>
                </w:p>
              </w:tc>
              <w:tc>
                <w:tcPr>
                  <w:tcW w:w="1438" w:type="dxa"/>
                  <w:vAlign w:val="center"/>
                </w:tcPr>
                <w:p>
                  <w:pPr>
                    <w:autoSpaceDE w:val="0"/>
                    <w:autoSpaceDN w:val="0"/>
                    <w:adjustRightInd w:val="0"/>
                    <w:snapToGrid w:val="0"/>
                    <w:jc w:val="center"/>
                    <w:rPr>
                      <w:rFonts w:eastAsiaTheme="minorEastAsia"/>
                      <w:szCs w:val="21"/>
                    </w:rPr>
                  </w:pPr>
                  <w:r>
                    <w:rPr>
                      <w:rFonts w:eastAsiaTheme="minorEastAsia"/>
                      <w:szCs w:val="21"/>
                    </w:rPr>
                    <w:t>污水为种植浇灌渗出水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263" w:type="dxa"/>
                  <w:shd w:val="clear" w:color="auto" w:fill="auto"/>
                  <w:vAlign w:val="center"/>
                </w:tcPr>
                <w:p>
                  <w:pPr>
                    <w:autoSpaceDE w:val="0"/>
                    <w:autoSpaceDN w:val="0"/>
                    <w:adjustRightInd w:val="0"/>
                    <w:snapToGrid w:val="0"/>
                    <w:jc w:val="center"/>
                    <w:rPr>
                      <w:rFonts w:eastAsiaTheme="minorEastAsia"/>
                      <w:szCs w:val="21"/>
                    </w:rPr>
                  </w:pPr>
                  <w:r>
                    <w:rPr>
                      <w:rFonts w:eastAsiaTheme="minorEastAsia"/>
                      <w:szCs w:val="21"/>
                    </w:rPr>
                    <w:t>纯水制备用水</w:t>
                  </w:r>
                </w:p>
              </w:tc>
              <w:tc>
                <w:tcPr>
                  <w:tcW w:w="1324" w:type="dxa"/>
                  <w:vAlign w:val="center"/>
                </w:tcPr>
                <w:p>
                  <w:pPr>
                    <w:autoSpaceDE w:val="0"/>
                    <w:autoSpaceDN w:val="0"/>
                    <w:adjustRightInd w:val="0"/>
                    <w:snapToGrid w:val="0"/>
                    <w:jc w:val="center"/>
                    <w:rPr>
                      <w:rFonts w:eastAsiaTheme="minorEastAsia"/>
                      <w:szCs w:val="21"/>
                    </w:rPr>
                  </w:pPr>
                  <w:r>
                    <w:rPr>
                      <w:rFonts w:eastAsiaTheme="minorEastAsia"/>
                      <w:szCs w:val="21"/>
                    </w:rPr>
                    <w:t>198.9</w:t>
                  </w:r>
                </w:p>
              </w:tc>
              <w:tc>
                <w:tcPr>
                  <w:tcW w:w="1134" w:type="dxa"/>
                  <w:vAlign w:val="center"/>
                </w:tcPr>
                <w:p>
                  <w:pPr>
                    <w:autoSpaceDE w:val="0"/>
                    <w:autoSpaceDN w:val="0"/>
                    <w:adjustRightInd w:val="0"/>
                    <w:snapToGrid w:val="0"/>
                    <w:jc w:val="center"/>
                    <w:rPr>
                      <w:rFonts w:eastAsiaTheme="minorEastAsia"/>
                      <w:szCs w:val="21"/>
                    </w:rPr>
                  </w:pPr>
                  <w:r>
                    <w:rPr>
                      <w:rFonts w:eastAsiaTheme="minorEastAsia"/>
                      <w:szCs w:val="21"/>
                    </w:rPr>
                    <w:t>0</w:t>
                  </w:r>
                </w:p>
              </w:tc>
              <w:tc>
                <w:tcPr>
                  <w:tcW w:w="1701" w:type="dxa"/>
                  <w:vAlign w:val="center"/>
                </w:tcPr>
                <w:p>
                  <w:pPr>
                    <w:autoSpaceDE w:val="0"/>
                    <w:autoSpaceDN w:val="0"/>
                    <w:adjustRightInd w:val="0"/>
                    <w:snapToGrid w:val="0"/>
                    <w:jc w:val="center"/>
                    <w:rPr>
                      <w:rFonts w:eastAsiaTheme="minorEastAsia"/>
                      <w:szCs w:val="21"/>
                    </w:rPr>
                  </w:pPr>
                  <w:r>
                    <w:rPr>
                      <w:rFonts w:eastAsiaTheme="minorEastAsia"/>
                      <w:szCs w:val="21"/>
                    </w:rPr>
                    <w:t>43.5</w:t>
                  </w:r>
                </w:p>
              </w:tc>
              <w:tc>
                <w:tcPr>
                  <w:tcW w:w="1917" w:type="dxa"/>
                  <w:vAlign w:val="center"/>
                </w:tcPr>
                <w:p>
                  <w:pPr>
                    <w:autoSpaceDE w:val="0"/>
                    <w:autoSpaceDN w:val="0"/>
                    <w:adjustRightInd w:val="0"/>
                    <w:snapToGrid w:val="0"/>
                    <w:jc w:val="center"/>
                    <w:rPr>
                      <w:rFonts w:eastAsiaTheme="minorEastAsia"/>
                      <w:szCs w:val="21"/>
                    </w:rPr>
                  </w:pPr>
                  <w:r>
                    <w:rPr>
                      <w:rFonts w:eastAsiaTheme="minorEastAsia"/>
                      <w:szCs w:val="21"/>
                    </w:rPr>
                    <w:t>43.5</w:t>
                  </w:r>
                </w:p>
              </w:tc>
              <w:tc>
                <w:tcPr>
                  <w:tcW w:w="1438" w:type="dxa"/>
                  <w:vAlign w:val="center"/>
                </w:tcPr>
                <w:p>
                  <w:pPr>
                    <w:autoSpaceDE w:val="0"/>
                    <w:autoSpaceDN w:val="0"/>
                    <w:adjustRightInd w:val="0"/>
                    <w:snapToGrid w:val="0"/>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jc w:val="center"/>
              </w:trPr>
              <w:tc>
                <w:tcPr>
                  <w:tcW w:w="1263" w:type="dxa"/>
                  <w:shd w:val="clear" w:color="auto" w:fill="auto"/>
                  <w:vAlign w:val="center"/>
                </w:tcPr>
                <w:p>
                  <w:pPr>
                    <w:autoSpaceDE w:val="0"/>
                    <w:autoSpaceDN w:val="0"/>
                    <w:adjustRightInd w:val="0"/>
                    <w:snapToGrid w:val="0"/>
                    <w:jc w:val="center"/>
                    <w:rPr>
                      <w:rFonts w:eastAsiaTheme="minorEastAsia"/>
                      <w:szCs w:val="21"/>
                    </w:rPr>
                  </w:pPr>
                  <w:r>
                    <w:rPr>
                      <w:rFonts w:eastAsiaTheme="minorEastAsia"/>
                      <w:szCs w:val="21"/>
                    </w:rPr>
                    <w:t>包花预清洗用水</w:t>
                  </w:r>
                </w:p>
              </w:tc>
              <w:tc>
                <w:tcPr>
                  <w:tcW w:w="1324" w:type="dxa"/>
                  <w:vAlign w:val="center"/>
                </w:tcPr>
                <w:p>
                  <w:pPr>
                    <w:autoSpaceDE w:val="0"/>
                    <w:autoSpaceDN w:val="0"/>
                    <w:adjustRightInd w:val="0"/>
                    <w:snapToGrid w:val="0"/>
                    <w:jc w:val="center"/>
                    <w:rPr>
                      <w:rFonts w:eastAsiaTheme="minorEastAsia"/>
                      <w:szCs w:val="21"/>
                    </w:rPr>
                  </w:pPr>
                  <w:r>
                    <w:rPr>
                      <w:rFonts w:eastAsiaTheme="minorEastAsia"/>
                      <w:szCs w:val="21"/>
                    </w:rPr>
                    <w:t>1.5</w:t>
                  </w:r>
                </w:p>
              </w:tc>
              <w:tc>
                <w:tcPr>
                  <w:tcW w:w="1134" w:type="dxa"/>
                  <w:vAlign w:val="center"/>
                </w:tcPr>
                <w:p>
                  <w:pPr>
                    <w:autoSpaceDE w:val="0"/>
                    <w:autoSpaceDN w:val="0"/>
                    <w:adjustRightInd w:val="0"/>
                    <w:snapToGrid w:val="0"/>
                    <w:jc w:val="center"/>
                    <w:rPr>
                      <w:rFonts w:eastAsiaTheme="minorEastAsia"/>
                      <w:szCs w:val="21"/>
                    </w:rPr>
                  </w:pPr>
                  <w:r>
                    <w:rPr>
                      <w:rFonts w:eastAsiaTheme="minorEastAsia"/>
                      <w:szCs w:val="21"/>
                    </w:rPr>
                    <w:t>0</w:t>
                  </w:r>
                </w:p>
              </w:tc>
              <w:tc>
                <w:tcPr>
                  <w:tcW w:w="1701" w:type="dxa"/>
                  <w:vAlign w:val="center"/>
                </w:tcPr>
                <w:p>
                  <w:pPr>
                    <w:autoSpaceDE w:val="0"/>
                    <w:autoSpaceDN w:val="0"/>
                    <w:adjustRightInd w:val="0"/>
                    <w:snapToGrid w:val="0"/>
                    <w:jc w:val="center"/>
                    <w:rPr>
                      <w:rFonts w:eastAsiaTheme="minorEastAsia"/>
                      <w:szCs w:val="21"/>
                    </w:rPr>
                  </w:pPr>
                  <w:r>
                    <w:rPr>
                      <w:rFonts w:eastAsiaTheme="minorEastAsia"/>
                      <w:szCs w:val="21"/>
                    </w:rPr>
                    <w:t>1.2</w:t>
                  </w:r>
                </w:p>
              </w:tc>
              <w:tc>
                <w:tcPr>
                  <w:tcW w:w="1917" w:type="dxa"/>
                  <w:vAlign w:val="center"/>
                </w:tcPr>
                <w:p>
                  <w:pPr>
                    <w:autoSpaceDE w:val="0"/>
                    <w:autoSpaceDN w:val="0"/>
                    <w:adjustRightInd w:val="0"/>
                    <w:snapToGrid w:val="0"/>
                    <w:jc w:val="center"/>
                    <w:rPr>
                      <w:rFonts w:eastAsiaTheme="minorEastAsia"/>
                      <w:szCs w:val="21"/>
                    </w:rPr>
                  </w:pPr>
                  <w:r>
                    <w:rPr>
                      <w:rFonts w:eastAsiaTheme="minorEastAsia"/>
                      <w:szCs w:val="21"/>
                    </w:rPr>
                    <w:t>1.2</w:t>
                  </w:r>
                </w:p>
              </w:tc>
              <w:tc>
                <w:tcPr>
                  <w:tcW w:w="1438" w:type="dxa"/>
                  <w:vAlign w:val="center"/>
                </w:tcPr>
                <w:p>
                  <w:pPr>
                    <w:autoSpaceDE w:val="0"/>
                    <w:autoSpaceDN w:val="0"/>
                    <w:adjustRightInd w:val="0"/>
                    <w:snapToGrid w:val="0"/>
                    <w:jc w:val="center"/>
                    <w:rPr>
                      <w:rFonts w:eastAsiaTheme="minorEastAsia"/>
                      <w:szCs w:val="21"/>
                    </w:rPr>
                  </w:pPr>
                  <w:r>
                    <w:rPr>
                      <w:rFonts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8" w:hRule="atLeast"/>
                <w:jc w:val="center"/>
              </w:trPr>
              <w:tc>
                <w:tcPr>
                  <w:tcW w:w="1263" w:type="dxa"/>
                  <w:shd w:val="clear" w:color="auto" w:fill="auto"/>
                  <w:vAlign w:val="center"/>
                </w:tcPr>
                <w:p>
                  <w:pPr>
                    <w:autoSpaceDE w:val="0"/>
                    <w:autoSpaceDN w:val="0"/>
                    <w:adjustRightInd w:val="0"/>
                    <w:snapToGrid w:val="0"/>
                    <w:jc w:val="center"/>
                    <w:rPr>
                      <w:rFonts w:eastAsiaTheme="minorEastAsia"/>
                      <w:szCs w:val="21"/>
                    </w:rPr>
                  </w:pPr>
                  <w:r>
                    <w:rPr>
                      <w:rFonts w:eastAsiaTheme="minorEastAsia"/>
                      <w:szCs w:val="21"/>
                    </w:rPr>
                    <w:t>生活用水</w:t>
                  </w:r>
                </w:p>
              </w:tc>
              <w:tc>
                <w:tcPr>
                  <w:tcW w:w="1324" w:type="dxa"/>
                  <w:vAlign w:val="center"/>
                </w:tcPr>
                <w:p>
                  <w:pPr>
                    <w:autoSpaceDE w:val="0"/>
                    <w:autoSpaceDN w:val="0"/>
                    <w:adjustRightInd w:val="0"/>
                    <w:snapToGrid w:val="0"/>
                    <w:jc w:val="center"/>
                    <w:rPr>
                      <w:rFonts w:eastAsiaTheme="minorEastAsia"/>
                      <w:szCs w:val="21"/>
                    </w:rPr>
                  </w:pPr>
                  <w:r>
                    <w:rPr>
                      <w:rFonts w:eastAsiaTheme="minorEastAsia"/>
                      <w:szCs w:val="21"/>
                    </w:rPr>
                    <w:t>3.04</w:t>
                  </w:r>
                </w:p>
              </w:tc>
              <w:tc>
                <w:tcPr>
                  <w:tcW w:w="1134" w:type="dxa"/>
                  <w:vAlign w:val="center"/>
                </w:tcPr>
                <w:p>
                  <w:pPr>
                    <w:autoSpaceDE w:val="0"/>
                    <w:autoSpaceDN w:val="0"/>
                    <w:adjustRightInd w:val="0"/>
                    <w:snapToGrid w:val="0"/>
                    <w:jc w:val="center"/>
                    <w:rPr>
                      <w:rFonts w:eastAsiaTheme="minorEastAsia"/>
                      <w:szCs w:val="21"/>
                    </w:rPr>
                  </w:pPr>
                  <w:r>
                    <w:rPr>
                      <w:rFonts w:eastAsiaTheme="minorEastAsia"/>
                      <w:szCs w:val="21"/>
                    </w:rPr>
                    <w:t>0</w:t>
                  </w:r>
                </w:p>
              </w:tc>
              <w:tc>
                <w:tcPr>
                  <w:tcW w:w="1701" w:type="dxa"/>
                  <w:vAlign w:val="center"/>
                </w:tcPr>
                <w:p>
                  <w:pPr>
                    <w:autoSpaceDE w:val="0"/>
                    <w:autoSpaceDN w:val="0"/>
                    <w:adjustRightInd w:val="0"/>
                    <w:snapToGrid w:val="0"/>
                    <w:jc w:val="center"/>
                    <w:rPr>
                      <w:rFonts w:eastAsiaTheme="minorEastAsia"/>
                      <w:szCs w:val="21"/>
                    </w:rPr>
                  </w:pPr>
                  <w:r>
                    <w:rPr>
                      <w:rFonts w:eastAsiaTheme="minorEastAsia"/>
                      <w:szCs w:val="21"/>
                    </w:rPr>
                    <w:t>2.43</w:t>
                  </w:r>
                </w:p>
              </w:tc>
              <w:tc>
                <w:tcPr>
                  <w:tcW w:w="1917" w:type="dxa"/>
                  <w:vAlign w:val="center"/>
                </w:tcPr>
                <w:p>
                  <w:pPr>
                    <w:autoSpaceDE w:val="0"/>
                    <w:autoSpaceDN w:val="0"/>
                    <w:adjustRightInd w:val="0"/>
                    <w:snapToGrid w:val="0"/>
                    <w:jc w:val="center"/>
                    <w:rPr>
                      <w:rFonts w:eastAsiaTheme="minorEastAsia"/>
                      <w:szCs w:val="21"/>
                    </w:rPr>
                  </w:pPr>
                  <w:r>
                    <w:rPr>
                      <w:rFonts w:eastAsiaTheme="minorEastAsia"/>
                      <w:szCs w:val="21"/>
                    </w:rPr>
                    <w:t>2.43（0）</w:t>
                  </w:r>
                </w:p>
              </w:tc>
              <w:tc>
                <w:tcPr>
                  <w:tcW w:w="1438" w:type="dxa"/>
                  <w:vAlign w:val="center"/>
                </w:tcPr>
                <w:p>
                  <w:pPr>
                    <w:autoSpaceDE w:val="0"/>
                    <w:autoSpaceDN w:val="0"/>
                    <w:adjustRightInd w:val="0"/>
                    <w:snapToGrid w:val="0"/>
                    <w:jc w:val="center"/>
                    <w:rPr>
                      <w:rFonts w:eastAsiaTheme="minorEastAsia"/>
                      <w:szCs w:val="21"/>
                    </w:rPr>
                  </w:pPr>
                  <w:r>
                    <w:rPr>
                      <w:rFonts w:eastAsiaTheme="minorEastAsia"/>
                      <w:szCs w:val="21"/>
                    </w:rPr>
                    <w:t>括号中为园区污水管网接通时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jc w:val="center"/>
              </w:trPr>
              <w:tc>
                <w:tcPr>
                  <w:tcW w:w="1263" w:type="dxa"/>
                  <w:shd w:val="clear" w:color="auto" w:fill="auto"/>
                  <w:vAlign w:val="center"/>
                </w:tcPr>
                <w:p>
                  <w:pPr>
                    <w:autoSpaceDE w:val="0"/>
                    <w:autoSpaceDN w:val="0"/>
                    <w:adjustRightInd w:val="0"/>
                    <w:snapToGrid w:val="0"/>
                    <w:jc w:val="center"/>
                    <w:rPr>
                      <w:rFonts w:eastAsiaTheme="minorEastAsia"/>
                      <w:szCs w:val="21"/>
                    </w:rPr>
                  </w:pPr>
                  <w:r>
                    <w:rPr>
                      <w:rFonts w:eastAsiaTheme="minorEastAsia"/>
                      <w:szCs w:val="21"/>
                    </w:rPr>
                    <w:t>冷库冷凝用水</w:t>
                  </w:r>
                </w:p>
              </w:tc>
              <w:tc>
                <w:tcPr>
                  <w:tcW w:w="1324" w:type="dxa"/>
                  <w:vAlign w:val="center"/>
                </w:tcPr>
                <w:p>
                  <w:pPr>
                    <w:autoSpaceDE w:val="0"/>
                    <w:autoSpaceDN w:val="0"/>
                    <w:adjustRightInd w:val="0"/>
                    <w:snapToGrid w:val="0"/>
                    <w:jc w:val="center"/>
                    <w:rPr>
                      <w:rFonts w:eastAsiaTheme="minorEastAsia"/>
                      <w:szCs w:val="21"/>
                    </w:rPr>
                  </w:pPr>
                  <w:r>
                    <w:rPr>
                      <w:rFonts w:eastAsiaTheme="minorEastAsia"/>
                      <w:szCs w:val="21"/>
                    </w:rPr>
                    <w:t>0.016</w:t>
                  </w:r>
                </w:p>
              </w:tc>
              <w:tc>
                <w:tcPr>
                  <w:tcW w:w="1134" w:type="dxa"/>
                  <w:vAlign w:val="center"/>
                </w:tcPr>
                <w:p>
                  <w:pPr>
                    <w:autoSpaceDE w:val="0"/>
                    <w:autoSpaceDN w:val="0"/>
                    <w:adjustRightInd w:val="0"/>
                    <w:snapToGrid w:val="0"/>
                    <w:jc w:val="center"/>
                    <w:rPr>
                      <w:rFonts w:eastAsiaTheme="minorEastAsia"/>
                      <w:szCs w:val="21"/>
                    </w:rPr>
                  </w:pPr>
                  <w:r>
                    <w:rPr>
                      <w:rFonts w:eastAsiaTheme="minorEastAsia"/>
                      <w:szCs w:val="21"/>
                    </w:rPr>
                    <w:t>0</w:t>
                  </w:r>
                </w:p>
              </w:tc>
              <w:tc>
                <w:tcPr>
                  <w:tcW w:w="1701" w:type="dxa"/>
                  <w:vAlign w:val="center"/>
                </w:tcPr>
                <w:p>
                  <w:pPr>
                    <w:autoSpaceDE w:val="0"/>
                    <w:autoSpaceDN w:val="0"/>
                    <w:adjustRightInd w:val="0"/>
                    <w:snapToGrid w:val="0"/>
                    <w:jc w:val="center"/>
                    <w:rPr>
                      <w:rFonts w:eastAsiaTheme="minorEastAsia"/>
                      <w:szCs w:val="21"/>
                    </w:rPr>
                  </w:pPr>
                  <w:r>
                    <w:rPr>
                      <w:rFonts w:eastAsiaTheme="minorEastAsia"/>
                      <w:szCs w:val="21"/>
                    </w:rPr>
                    <w:t>0</w:t>
                  </w:r>
                </w:p>
              </w:tc>
              <w:tc>
                <w:tcPr>
                  <w:tcW w:w="1917" w:type="dxa"/>
                  <w:vAlign w:val="center"/>
                </w:tcPr>
                <w:p>
                  <w:pPr>
                    <w:autoSpaceDE w:val="0"/>
                    <w:autoSpaceDN w:val="0"/>
                    <w:adjustRightInd w:val="0"/>
                    <w:snapToGrid w:val="0"/>
                    <w:jc w:val="center"/>
                    <w:rPr>
                      <w:rFonts w:eastAsiaTheme="minorEastAsia"/>
                      <w:szCs w:val="21"/>
                    </w:rPr>
                  </w:pPr>
                  <w:r>
                    <w:rPr>
                      <w:rFonts w:eastAsiaTheme="minorEastAsia"/>
                      <w:szCs w:val="21"/>
                    </w:rPr>
                    <w:t>0</w:t>
                  </w:r>
                </w:p>
              </w:tc>
              <w:tc>
                <w:tcPr>
                  <w:tcW w:w="1438" w:type="dxa"/>
                  <w:vAlign w:val="center"/>
                </w:tcPr>
                <w:p>
                  <w:pPr>
                    <w:autoSpaceDE w:val="0"/>
                    <w:autoSpaceDN w:val="0"/>
                    <w:adjustRightInd w:val="0"/>
                    <w:snapToGrid w:val="0"/>
                    <w:jc w:val="center"/>
                    <w:rPr>
                      <w:rFonts w:eastAsiaTheme="minorEastAsia"/>
                      <w:szCs w:val="21"/>
                    </w:rPr>
                  </w:pPr>
                  <w:r>
                    <w:rPr>
                      <w:rFonts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263" w:type="dxa"/>
                  <w:shd w:val="clear" w:color="auto" w:fill="auto"/>
                  <w:vAlign w:val="center"/>
                </w:tcPr>
                <w:p>
                  <w:pPr>
                    <w:autoSpaceDE w:val="0"/>
                    <w:autoSpaceDN w:val="0"/>
                    <w:adjustRightInd w:val="0"/>
                    <w:snapToGrid w:val="0"/>
                    <w:jc w:val="center"/>
                    <w:rPr>
                      <w:rFonts w:eastAsiaTheme="minorEastAsia"/>
                      <w:szCs w:val="21"/>
                    </w:rPr>
                  </w:pPr>
                  <w:r>
                    <w:rPr>
                      <w:rFonts w:eastAsiaTheme="minorEastAsia"/>
                      <w:szCs w:val="21"/>
                    </w:rPr>
                    <w:t>初期雨水</w:t>
                  </w:r>
                </w:p>
              </w:tc>
              <w:tc>
                <w:tcPr>
                  <w:tcW w:w="1324" w:type="dxa"/>
                  <w:vAlign w:val="center"/>
                </w:tcPr>
                <w:p>
                  <w:pPr>
                    <w:autoSpaceDE w:val="0"/>
                    <w:autoSpaceDN w:val="0"/>
                    <w:adjustRightInd w:val="0"/>
                    <w:snapToGrid w:val="0"/>
                    <w:jc w:val="center"/>
                    <w:rPr>
                      <w:rFonts w:eastAsiaTheme="minorEastAsia"/>
                      <w:szCs w:val="21"/>
                    </w:rPr>
                  </w:pPr>
                  <w:r>
                    <w:rPr>
                      <w:rFonts w:eastAsiaTheme="minorEastAsia"/>
                      <w:szCs w:val="21"/>
                    </w:rPr>
                    <w:t>/</w:t>
                  </w:r>
                </w:p>
              </w:tc>
              <w:tc>
                <w:tcPr>
                  <w:tcW w:w="1134" w:type="dxa"/>
                  <w:vAlign w:val="center"/>
                </w:tcPr>
                <w:p>
                  <w:pPr>
                    <w:autoSpaceDE w:val="0"/>
                    <w:autoSpaceDN w:val="0"/>
                    <w:adjustRightInd w:val="0"/>
                    <w:snapToGrid w:val="0"/>
                    <w:jc w:val="center"/>
                    <w:rPr>
                      <w:rFonts w:eastAsiaTheme="minorEastAsia"/>
                      <w:szCs w:val="21"/>
                    </w:rPr>
                  </w:pPr>
                  <w:r>
                    <w:rPr>
                      <w:rFonts w:eastAsiaTheme="minorEastAsia"/>
                      <w:szCs w:val="21"/>
                    </w:rPr>
                    <w:t>/</w:t>
                  </w:r>
                </w:p>
              </w:tc>
              <w:tc>
                <w:tcPr>
                  <w:tcW w:w="1701" w:type="dxa"/>
                  <w:vAlign w:val="center"/>
                </w:tcPr>
                <w:p>
                  <w:pPr>
                    <w:autoSpaceDE w:val="0"/>
                    <w:autoSpaceDN w:val="0"/>
                    <w:adjustRightInd w:val="0"/>
                    <w:snapToGrid w:val="0"/>
                    <w:jc w:val="center"/>
                    <w:rPr>
                      <w:rFonts w:eastAsiaTheme="minorEastAsia"/>
                      <w:szCs w:val="21"/>
                    </w:rPr>
                  </w:pPr>
                  <w:r>
                    <w:rPr>
                      <w:rFonts w:eastAsiaTheme="minorEastAsia"/>
                      <w:szCs w:val="21"/>
                    </w:rPr>
                    <w:t>229.71（0）</w:t>
                  </w:r>
                </w:p>
              </w:tc>
              <w:tc>
                <w:tcPr>
                  <w:tcW w:w="1917" w:type="dxa"/>
                  <w:vAlign w:val="center"/>
                </w:tcPr>
                <w:p>
                  <w:pPr>
                    <w:autoSpaceDE w:val="0"/>
                    <w:autoSpaceDN w:val="0"/>
                    <w:adjustRightInd w:val="0"/>
                    <w:snapToGrid w:val="0"/>
                    <w:jc w:val="center"/>
                    <w:rPr>
                      <w:rFonts w:eastAsiaTheme="minorEastAsia"/>
                      <w:szCs w:val="21"/>
                    </w:rPr>
                  </w:pPr>
                  <w:r>
                    <w:rPr>
                      <w:rFonts w:eastAsiaTheme="minorEastAsia"/>
                      <w:szCs w:val="21"/>
                    </w:rPr>
                    <w:t>229.71（0）</w:t>
                  </w:r>
                </w:p>
              </w:tc>
              <w:tc>
                <w:tcPr>
                  <w:tcW w:w="1438" w:type="dxa"/>
                  <w:vAlign w:val="center"/>
                </w:tcPr>
                <w:p>
                  <w:pPr>
                    <w:autoSpaceDE w:val="0"/>
                    <w:autoSpaceDN w:val="0"/>
                    <w:adjustRightInd w:val="0"/>
                    <w:snapToGrid w:val="0"/>
                    <w:jc w:val="center"/>
                    <w:rPr>
                      <w:rFonts w:eastAsiaTheme="minorEastAsia"/>
                      <w:szCs w:val="21"/>
                    </w:rPr>
                  </w:pPr>
                  <w:r>
                    <w:rPr>
                      <w:rFonts w:eastAsiaTheme="minorEastAsia"/>
                      <w:szCs w:val="21"/>
                    </w:rPr>
                    <w:t>括号中为非雨天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63" w:type="dxa"/>
                  <w:vAlign w:val="center"/>
                </w:tcPr>
                <w:p>
                  <w:pPr>
                    <w:autoSpaceDE w:val="0"/>
                    <w:autoSpaceDN w:val="0"/>
                    <w:adjustRightInd w:val="0"/>
                    <w:snapToGrid w:val="0"/>
                    <w:jc w:val="center"/>
                    <w:rPr>
                      <w:rFonts w:eastAsiaTheme="minorEastAsia"/>
                      <w:szCs w:val="21"/>
                    </w:rPr>
                  </w:pPr>
                  <w:r>
                    <w:rPr>
                      <w:rFonts w:eastAsiaTheme="minorEastAsia"/>
                      <w:szCs w:val="21"/>
                    </w:rPr>
                    <w:t>合计</w:t>
                  </w:r>
                </w:p>
              </w:tc>
              <w:tc>
                <w:tcPr>
                  <w:tcW w:w="1324" w:type="dxa"/>
                  <w:vAlign w:val="center"/>
                </w:tcPr>
                <w:p>
                  <w:pPr>
                    <w:autoSpaceDE w:val="0"/>
                    <w:autoSpaceDN w:val="0"/>
                    <w:adjustRightInd w:val="0"/>
                    <w:snapToGrid w:val="0"/>
                    <w:jc w:val="center"/>
                    <w:rPr>
                      <w:rFonts w:eastAsiaTheme="minorEastAsia"/>
                      <w:szCs w:val="21"/>
                    </w:rPr>
                  </w:pPr>
                  <w:r>
                    <w:rPr>
                      <w:rFonts w:eastAsiaTheme="minorEastAsia"/>
                      <w:szCs w:val="21"/>
                    </w:rPr>
                    <w:t>203.4</w:t>
                  </w:r>
                </w:p>
              </w:tc>
              <w:tc>
                <w:tcPr>
                  <w:tcW w:w="1134" w:type="dxa"/>
                  <w:vAlign w:val="center"/>
                </w:tcPr>
                <w:p>
                  <w:pPr>
                    <w:autoSpaceDE w:val="0"/>
                    <w:autoSpaceDN w:val="0"/>
                    <w:adjustRightInd w:val="0"/>
                    <w:snapToGrid w:val="0"/>
                    <w:jc w:val="center"/>
                    <w:rPr>
                      <w:rFonts w:eastAsiaTheme="minorEastAsia"/>
                      <w:szCs w:val="21"/>
                    </w:rPr>
                  </w:pPr>
                  <w:r>
                    <w:rPr>
                      <w:rFonts w:eastAsiaTheme="minorEastAsia"/>
                      <w:szCs w:val="21"/>
                    </w:rPr>
                    <w:t>164</w:t>
                  </w:r>
                </w:p>
              </w:tc>
              <w:tc>
                <w:tcPr>
                  <w:tcW w:w="1701" w:type="dxa"/>
                  <w:vAlign w:val="center"/>
                </w:tcPr>
                <w:p>
                  <w:pPr>
                    <w:autoSpaceDE w:val="0"/>
                    <w:autoSpaceDN w:val="0"/>
                    <w:adjustRightInd w:val="0"/>
                    <w:snapToGrid w:val="0"/>
                    <w:jc w:val="center"/>
                    <w:rPr>
                      <w:rFonts w:eastAsiaTheme="minorEastAsia"/>
                      <w:szCs w:val="21"/>
                    </w:rPr>
                  </w:pPr>
                  <w:r>
                    <w:rPr>
                      <w:rFonts w:eastAsiaTheme="minorEastAsia"/>
                      <w:szCs w:val="21"/>
                    </w:rPr>
                    <w:t>313.88（84.17 ）</w:t>
                  </w:r>
                </w:p>
              </w:tc>
              <w:tc>
                <w:tcPr>
                  <w:tcW w:w="1917" w:type="dxa"/>
                  <w:vAlign w:val="center"/>
                </w:tcPr>
                <w:p>
                  <w:pPr>
                    <w:autoSpaceDE w:val="0"/>
                    <w:autoSpaceDN w:val="0"/>
                    <w:adjustRightInd w:val="0"/>
                    <w:snapToGrid w:val="0"/>
                    <w:jc w:val="center"/>
                    <w:rPr>
                      <w:rFonts w:eastAsiaTheme="minorEastAsia"/>
                      <w:szCs w:val="21"/>
                    </w:rPr>
                  </w:pPr>
                  <w:r>
                    <w:rPr>
                      <w:rFonts w:eastAsiaTheme="minorEastAsia"/>
                      <w:szCs w:val="21"/>
                    </w:rPr>
                    <w:t>313.88（84.17）</w:t>
                  </w:r>
                </w:p>
              </w:tc>
              <w:tc>
                <w:tcPr>
                  <w:tcW w:w="1438" w:type="dxa"/>
                  <w:vAlign w:val="center"/>
                </w:tcPr>
                <w:p>
                  <w:pPr>
                    <w:autoSpaceDE w:val="0"/>
                    <w:autoSpaceDN w:val="0"/>
                    <w:adjustRightInd w:val="0"/>
                    <w:snapToGrid w:val="0"/>
                    <w:jc w:val="center"/>
                    <w:rPr>
                      <w:rFonts w:eastAsiaTheme="minorEastAsia"/>
                      <w:szCs w:val="21"/>
                    </w:rPr>
                  </w:pPr>
                  <w:r>
                    <w:rPr>
                      <w:rFonts w:eastAsiaTheme="minorEastAsia"/>
                      <w:szCs w:val="21"/>
                    </w:rPr>
                    <w:t>/</w:t>
                  </w:r>
                </w:p>
              </w:tc>
            </w:tr>
          </w:tbl>
          <w:p>
            <w:pPr>
              <w:spacing w:line="360" w:lineRule="auto"/>
              <w:ind w:firstLine="482" w:firstLineChars="200"/>
              <w:jc w:val="center"/>
              <w:rPr>
                <w:b/>
                <w:bCs/>
                <w:sz w:val="24"/>
              </w:rPr>
            </w:pPr>
            <w:r>
              <w:rPr>
                <w:b/>
                <w:bCs/>
                <w:sz w:val="24"/>
              </w:rPr>
              <w:t>表2-12 项目使用锅炉时年供排水情况表（m</w:t>
            </w:r>
            <w:r>
              <w:rPr>
                <w:b/>
                <w:bCs/>
                <w:sz w:val="24"/>
                <w:vertAlign w:val="superscript"/>
              </w:rPr>
              <w:t>3</w:t>
            </w:r>
            <w:r>
              <w:rPr>
                <w:b/>
                <w:bCs/>
                <w:sz w:val="24"/>
              </w:rPr>
              <w:t>/a）</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1428"/>
              <w:gridCol w:w="1518"/>
              <w:gridCol w:w="1210"/>
              <w:gridCol w:w="1501"/>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pct"/>
                  <w:vAlign w:val="center"/>
                </w:tcPr>
                <w:p>
                  <w:pPr>
                    <w:autoSpaceDE w:val="0"/>
                    <w:autoSpaceDN w:val="0"/>
                    <w:adjustRightInd w:val="0"/>
                    <w:snapToGrid w:val="0"/>
                    <w:jc w:val="center"/>
                    <w:rPr>
                      <w:rFonts w:eastAsiaTheme="minorEastAsia"/>
                      <w:b/>
                      <w:bCs/>
                      <w:szCs w:val="21"/>
                    </w:rPr>
                  </w:pPr>
                  <w:r>
                    <w:rPr>
                      <w:rFonts w:eastAsiaTheme="minorEastAsia"/>
                      <w:b/>
                      <w:bCs/>
                      <w:szCs w:val="21"/>
                    </w:rPr>
                    <w:t>用水项目</w:t>
                  </w:r>
                </w:p>
              </w:tc>
              <w:tc>
                <w:tcPr>
                  <w:tcW w:w="818" w:type="pct"/>
                  <w:vAlign w:val="center"/>
                </w:tcPr>
                <w:p>
                  <w:pPr>
                    <w:autoSpaceDE w:val="0"/>
                    <w:autoSpaceDN w:val="0"/>
                    <w:adjustRightInd w:val="0"/>
                    <w:snapToGrid w:val="0"/>
                    <w:jc w:val="center"/>
                    <w:rPr>
                      <w:rFonts w:eastAsiaTheme="minorEastAsia"/>
                      <w:b/>
                      <w:bCs/>
                      <w:szCs w:val="21"/>
                    </w:rPr>
                  </w:pPr>
                  <w:r>
                    <w:rPr>
                      <w:rFonts w:eastAsiaTheme="minorEastAsia"/>
                      <w:b/>
                      <w:bCs/>
                      <w:szCs w:val="21"/>
                    </w:rPr>
                    <w:t>新鲜水用量</w:t>
                  </w:r>
                </w:p>
              </w:tc>
              <w:tc>
                <w:tcPr>
                  <w:tcW w:w="869" w:type="pct"/>
                  <w:vAlign w:val="center"/>
                </w:tcPr>
                <w:p>
                  <w:pPr>
                    <w:autoSpaceDE w:val="0"/>
                    <w:autoSpaceDN w:val="0"/>
                    <w:adjustRightInd w:val="0"/>
                    <w:snapToGrid w:val="0"/>
                    <w:jc w:val="center"/>
                    <w:rPr>
                      <w:rFonts w:eastAsiaTheme="minorEastAsia"/>
                      <w:b/>
                      <w:bCs/>
                      <w:szCs w:val="21"/>
                    </w:rPr>
                  </w:pPr>
                  <w:r>
                    <w:rPr>
                      <w:rFonts w:eastAsiaTheme="minorEastAsia"/>
                      <w:b/>
                      <w:bCs/>
                      <w:szCs w:val="21"/>
                    </w:rPr>
                    <w:t>回用水量</w:t>
                  </w:r>
                </w:p>
              </w:tc>
              <w:tc>
                <w:tcPr>
                  <w:tcW w:w="693" w:type="pct"/>
                  <w:vAlign w:val="center"/>
                </w:tcPr>
                <w:p>
                  <w:pPr>
                    <w:autoSpaceDE w:val="0"/>
                    <w:autoSpaceDN w:val="0"/>
                    <w:adjustRightInd w:val="0"/>
                    <w:snapToGrid w:val="0"/>
                    <w:jc w:val="center"/>
                    <w:rPr>
                      <w:rFonts w:eastAsiaTheme="minorEastAsia"/>
                      <w:b/>
                      <w:bCs/>
                      <w:szCs w:val="21"/>
                    </w:rPr>
                  </w:pPr>
                  <w:r>
                    <w:rPr>
                      <w:rFonts w:eastAsiaTheme="minorEastAsia"/>
                      <w:b/>
                      <w:bCs/>
                      <w:szCs w:val="21"/>
                    </w:rPr>
                    <w:t>污水量</w:t>
                  </w:r>
                </w:p>
              </w:tc>
              <w:tc>
                <w:tcPr>
                  <w:tcW w:w="859" w:type="pct"/>
                  <w:vAlign w:val="center"/>
                </w:tcPr>
                <w:p>
                  <w:pPr>
                    <w:autoSpaceDE w:val="0"/>
                    <w:autoSpaceDN w:val="0"/>
                    <w:adjustRightInd w:val="0"/>
                    <w:snapToGrid w:val="0"/>
                    <w:jc w:val="center"/>
                    <w:rPr>
                      <w:rFonts w:eastAsiaTheme="minorEastAsia"/>
                      <w:b/>
                      <w:bCs/>
                      <w:szCs w:val="21"/>
                    </w:rPr>
                  </w:pPr>
                  <w:r>
                    <w:rPr>
                      <w:rFonts w:eastAsiaTheme="minorEastAsia"/>
                      <w:b/>
                      <w:bCs/>
                      <w:szCs w:val="21"/>
                    </w:rPr>
                    <w:t>废水回用量</w:t>
                  </w:r>
                </w:p>
              </w:tc>
              <w:tc>
                <w:tcPr>
                  <w:tcW w:w="735" w:type="pct"/>
                  <w:vAlign w:val="center"/>
                </w:tcPr>
                <w:p>
                  <w:pPr>
                    <w:autoSpaceDE w:val="0"/>
                    <w:autoSpaceDN w:val="0"/>
                    <w:adjustRightInd w:val="0"/>
                    <w:snapToGrid w:val="0"/>
                    <w:jc w:val="center"/>
                    <w:rPr>
                      <w:rFonts w:eastAsiaTheme="minorEastAsia"/>
                      <w:b/>
                      <w:bCs/>
                      <w:szCs w:val="21"/>
                    </w:rPr>
                  </w:pPr>
                  <w:r>
                    <w:rPr>
                      <w:rFonts w:eastAsiaTheme="minorEastAsia"/>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pct"/>
                  <w:shd w:val="clear" w:color="auto" w:fill="auto"/>
                  <w:vAlign w:val="center"/>
                </w:tcPr>
                <w:p>
                  <w:pPr>
                    <w:autoSpaceDE w:val="0"/>
                    <w:autoSpaceDN w:val="0"/>
                    <w:adjustRightInd w:val="0"/>
                    <w:snapToGrid w:val="0"/>
                    <w:jc w:val="center"/>
                    <w:rPr>
                      <w:rFonts w:eastAsiaTheme="minorEastAsia"/>
                      <w:szCs w:val="21"/>
                    </w:rPr>
                  </w:pPr>
                  <w:r>
                    <w:rPr>
                      <w:rFonts w:eastAsiaTheme="minorEastAsia"/>
                      <w:szCs w:val="21"/>
                    </w:rPr>
                    <w:t xml:space="preserve">锅炉用水   </w:t>
                  </w:r>
                </w:p>
              </w:tc>
              <w:tc>
                <w:tcPr>
                  <w:tcW w:w="818" w:type="pct"/>
                  <w:vAlign w:val="center"/>
                </w:tcPr>
                <w:p>
                  <w:pPr>
                    <w:autoSpaceDE w:val="0"/>
                    <w:autoSpaceDN w:val="0"/>
                    <w:adjustRightInd w:val="0"/>
                    <w:snapToGrid w:val="0"/>
                    <w:jc w:val="center"/>
                    <w:rPr>
                      <w:rFonts w:eastAsiaTheme="minorEastAsia"/>
                      <w:szCs w:val="21"/>
                    </w:rPr>
                  </w:pPr>
                  <w:r>
                    <w:rPr>
                      <w:rFonts w:eastAsiaTheme="minorEastAsia"/>
                      <w:szCs w:val="21"/>
                    </w:rPr>
                    <w:t>0</w:t>
                  </w:r>
                </w:p>
              </w:tc>
              <w:tc>
                <w:tcPr>
                  <w:tcW w:w="869" w:type="pct"/>
                  <w:vAlign w:val="center"/>
                </w:tcPr>
                <w:p>
                  <w:pPr>
                    <w:autoSpaceDE w:val="0"/>
                    <w:autoSpaceDN w:val="0"/>
                    <w:adjustRightInd w:val="0"/>
                    <w:snapToGrid w:val="0"/>
                    <w:jc w:val="center"/>
                    <w:rPr>
                      <w:rFonts w:eastAsiaTheme="minorEastAsia"/>
                      <w:szCs w:val="21"/>
                    </w:rPr>
                  </w:pPr>
                  <w:r>
                    <w:rPr>
                      <w:rFonts w:eastAsiaTheme="minorEastAsia"/>
                      <w:szCs w:val="21"/>
                    </w:rPr>
                    <w:t>0</w:t>
                  </w:r>
                </w:p>
              </w:tc>
              <w:tc>
                <w:tcPr>
                  <w:tcW w:w="693" w:type="pct"/>
                  <w:vAlign w:val="center"/>
                </w:tcPr>
                <w:p>
                  <w:pPr>
                    <w:autoSpaceDE w:val="0"/>
                    <w:autoSpaceDN w:val="0"/>
                    <w:adjustRightInd w:val="0"/>
                    <w:snapToGrid w:val="0"/>
                    <w:jc w:val="center"/>
                    <w:rPr>
                      <w:rFonts w:eastAsiaTheme="minorEastAsia"/>
                      <w:szCs w:val="21"/>
                    </w:rPr>
                  </w:pPr>
                  <w:r>
                    <w:rPr>
                      <w:rFonts w:eastAsiaTheme="minorEastAsia"/>
                      <w:szCs w:val="21"/>
                    </w:rPr>
                    <w:t>5380.8</w:t>
                  </w:r>
                </w:p>
              </w:tc>
              <w:tc>
                <w:tcPr>
                  <w:tcW w:w="859" w:type="pct"/>
                  <w:vAlign w:val="center"/>
                </w:tcPr>
                <w:p>
                  <w:pPr>
                    <w:autoSpaceDE w:val="0"/>
                    <w:autoSpaceDN w:val="0"/>
                    <w:adjustRightInd w:val="0"/>
                    <w:snapToGrid w:val="0"/>
                    <w:jc w:val="center"/>
                    <w:rPr>
                      <w:rFonts w:eastAsiaTheme="minorEastAsia"/>
                      <w:szCs w:val="21"/>
                    </w:rPr>
                  </w:pPr>
                  <w:r>
                    <w:rPr>
                      <w:rFonts w:eastAsiaTheme="minorEastAsia"/>
                      <w:szCs w:val="21"/>
                    </w:rPr>
                    <w:t>5380.8</w:t>
                  </w:r>
                </w:p>
              </w:tc>
              <w:tc>
                <w:tcPr>
                  <w:tcW w:w="735" w:type="pct"/>
                  <w:vAlign w:val="center"/>
                </w:tcPr>
                <w:p>
                  <w:pPr>
                    <w:autoSpaceDE w:val="0"/>
                    <w:autoSpaceDN w:val="0"/>
                    <w:adjustRightInd w:val="0"/>
                    <w:snapToGrid w:val="0"/>
                    <w:jc w:val="center"/>
                    <w:rPr>
                      <w:rFonts w:eastAsiaTheme="minorEastAsia"/>
                      <w:szCs w:val="21"/>
                    </w:rPr>
                  </w:pPr>
                  <w:r>
                    <w:rPr>
                      <w:rFonts w:eastAsiaTheme="minorEastAsia"/>
                      <w:szCs w:val="21"/>
                    </w:rPr>
                    <w:t>每年运行152天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pct"/>
                  <w:shd w:val="clear" w:color="auto" w:fill="auto"/>
                  <w:vAlign w:val="center"/>
                </w:tcPr>
                <w:p>
                  <w:pPr>
                    <w:autoSpaceDE w:val="0"/>
                    <w:autoSpaceDN w:val="0"/>
                    <w:adjustRightInd w:val="0"/>
                    <w:snapToGrid w:val="0"/>
                    <w:jc w:val="center"/>
                    <w:rPr>
                      <w:rFonts w:eastAsiaTheme="minorEastAsia"/>
                      <w:szCs w:val="21"/>
                    </w:rPr>
                  </w:pPr>
                  <w:r>
                    <w:rPr>
                      <w:rFonts w:eastAsiaTheme="minorEastAsia"/>
                      <w:szCs w:val="21"/>
                    </w:rPr>
                    <w:t>花卉种植用水</w:t>
                  </w:r>
                </w:p>
              </w:tc>
              <w:tc>
                <w:tcPr>
                  <w:tcW w:w="818" w:type="pct"/>
                  <w:vAlign w:val="center"/>
                </w:tcPr>
                <w:p>
                  <w:pPr>
                    <w:autoSpaceDE w:val="0"/>
                    <w:autoSpaceDN w:val="0"/>
                    <w:adjustRightInd w:val="0"/>
                    <w:snapToGrid w:val="0"/>
                    <w:jc w:val="center"/>
                    <w:rPr>
                      <w:rFonts w:eastAsiaTheme="minorEastAsia"/>
                      <w:szCs w:val="21"/>
                    </w:rPr>
                  </w:pPr>
                  <w:r>
                    <w:rPr>
                      <w:rFonts w:eastAsiaTheme="minorEastAsia"/>
                      <w:szCs w:val="21"/>
                    </w:rPr>
                    <w:t>11946.65（12833.6）</w:t>
                  </w:r>
                </w:p>
              </w:tc>
              <w:tc>
                <w:tcPr>
                  <w:tcW w:w="869" w:type="pct"/>
                  <w:vAlign w:val="center"/>
                </w:tcPr>
                <w:p>
                  <w:pPr>
                    <w:autoSpaceDE w:val="0"/>
                    <w:autoSpaceDN w:val="0"/>
                    <w:adjustRightInd w:val="0"/>
                    <w:snapToGrid w:val="0"/>
                    <w:jc w:val="center"/>
                    <w:rPr>
                      <w:rFonts w:eastAsiaTheme="minorEastAsia"/>
                      <w:szCs w:val="21"/>
                    </w:rPr>
                  </w:pPr>
                  <w:r>
                    <w:rPr>
                      <w:rFonts w:eastAsiaTheme="minorEastAsia"/>
                      <w:szCs w:val="21"/>
                    </w:rPr>
                    <w:t>47913.35（47026.4）</w:t>
                  </w:r>
                </w:p>
              </w:tc>
              <w:tc>
                <w:tcPr>
                  <w:tcW w:w="693" w:type="pct"/>
                  <w:vAlign w:val="center"/>
                </w:tcPr>
                <w:p>
                  <w:pPr>
                    <w:autoSpaceDE w:val="0"/>
                    <w:autoSpaceDN w:val="0"/>
                    <w:adjustRightInd w:val="0"/>
                    <w:snapToGrid w:val="0"/>
                    <w:jc w:val="center"/>
                    <w:rPr>
                      <w:rFonts w:eastAsiaTheme="minorEastAsia"/>
                      <w:szCs w:val="21"/>
                    </w:rPr>
                  </w:pPr>
                  <w:r>
                    <w:rPr>
                      <w:rFonts w:eastAsiaTheme="minorEastAsia"/>
                      <w:szCs w:val="21"/>
                    </w:rPr>
                    <w:t>598.6</w:t>
                  </w:r>
                </w:p>
              </w:tc>
              <w:tc>
                <w:tcPr>
                  <w:tcW w:w="859" w:type="pct"/>
                  <w:vAlign w:val="center"/>
                </w:tcPr>
                <w:p>
                  <w:pPr>
                    <w:autoSpaceDE w:val="0"/>
                    <w:autoSpaceDN w:val="0"/>
                    <w:adjustRightInd w:val="0"/>
                    <w:snapToGrid w:val="0"/>
                    <w:jc w:val="center"/>
                    <w:rPr>
                      <w:rFonts w:eastAsiaTheme="minorEastAsia"/>
                      <w:szCs w:val="21"/>
                    </w:rPr>
                  </w:pPr>
                  <w:r>
                    <w:rPr>
                      <w:rFonts w:eastAsiaTheme="minorEastAsia"/>
                      <w:szCs w:val="21"/>
                    </w:rPr>
                    <w:t>598.6</w:t>
                  </w:r>
                </w:p>
              </w:tc>
              <w:tc>
                <w:tcPr>
                  <w:tcW w:w="735" w:type="pct"/>
                  <w:vAlign w:val="center"/>
                </w:tcPr>
                <w:p>
                  <w:pPr>
                    <w:autoSpaceDE w:val="0"/>
                    <w:autoSpaceDN w:val="0"/>
                    <w:adjustRightInd w:val="0"/>
                    <w:snapToGrid w:val="0"/>
                    <w:jc w:val="center"/>
                    <w:rPr>
                      <w:rFonts w:eastAsiaTheme="minorEastAsia"/>
                      <w:szCs w:val="21"/>
                    </w:rPr>
                  </w:pPr>
                  <w:r>
                    <w:rPr>
                      <w:rFonts w:eastAsiaTheme="minorEastAsia"/>
                      <w:szCs w:val="21"/>
                    </w:rPr>
                    <w:t>括号中为园区污水管网接通时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pct"/>
                  <w:shd w:val="clear" w:color="auto" w:fill="auto"/>
                  <w:vAlign w:val="center"/>
                </w:tcPr>
                <w:p>
                  <w:pPr>
                    <w:autoSpaceDE w:val="0"/>
                    <w:autoSpaceDN w:val="0"/>
                    <w:adjustRightInd w:val="0"/>
                    <w:snapToGrid w:val="0"/>
                    <w:jc w:val="center"/>
                    <w:rPr>
                      <w:rFonts w:eastAsiaTheme="minorEastAsia"/>
                      <w:szCs w:val="21"/>
                    </w:rPr>
                  </w:pPr>
                  <w:r>
                    <w:rPr>
                      <w:rFonts w:eastAsiaTheme="minorEastAsia"/>
                      <w:szCs w:val="21"/>
                    </w:rPr>
                    <w:t>纯水制备用水</w:t>
                  </w:r>
                </w:p>
              </w:tc>
              <w:tc>
                <w:tcPr>
                  <w:tcW w:w="818" w:type="pct"/>
                  <w:vAlign w:val="center"/>
                </w:tcPr>
                <w:p>
                  <w:pPr>
                    <w:autoSpaceDE w:val="0"/>
                    <w:autoSpaceDN w:val="0"/>
                    <w:adjustRightInd w:val="0"/>
                    <w:snapToGrid w:val="0"/>
                    <w:jc w:val="center"/>
                    <w:rPr>
                      <w:rFonts w:eastAsiaTheme="minorEastAsia"/>
                      <w:szCs w:val="21"/>
                    </w:rPr>
                  </w:pPr>
                  <w:r>
                    <w:rPr>
                      <w:rFonts w:eastAsiaTheme="minorEastAsia"/>
                      <w:szCs w:val="21"/>
                    </w:rPr>
                    <w:t>30232.8</w:t>
                  </w:r>
                </w:p>
              </w:tc>
              <w:tc>
                <w:tcPr>
                  <w:tcW w:w="869" w:type="pct"/>
                  <w:vAlign w:val="center"/>
                </w:tcPr>
                <w:p>
                  <w:pPr>
                    <w:autoSpaceDE w:val="0"/>
                    <w:autoSpaceDN w:val="0"/>
                    <w:adjustRightInd w:val="0"/>
                    <w:snapToGrid w:val="0"/>
                    <w:jc w:val="center"/>
                    <w:rPr>
                      <w:rFonts w:eastAsiaTheme="minorEastAsia"/>
                      <w:szCs w:val="21"/>
                    </w:rPr>
                  </w:pPr>
                  <w:r>
                    <w:rPr>
                      <w:rFonts w:eastAsiaTheme="minorEastAsia"/>
                      <w:szCs w:val="21"/>
                    </w:rPr>
                    <w:t>0</w:t>
                  </w:r>
                </w:p>
              </w:tc>
              <w:tc>
                <w:tcPr>
                  <w:tcW w:w="693" w:type="pct"/>
                  <w:vAlign w:val="center"/>
                </w:tcPr>
                <w:p>
                  <w:pPr>
                    <w:autoSpaceDE w:val="0"/>
                    <w:autoSpaceDN w:val="0"/>
                    <w:adjustRightInd w:val="0"/>
                    <w:snapToGrid w:val="0"/>
                    <w:jc w:val="center"/>
                    <w:rPr>
                      <w:rFonts w:eastAsiaTheme="minorEastAsia"/>
                      <w:szCs w:val="21"/>
                    </w:rPr>
                  </w:pPr>
                  <w:r>
                    <w:rPr>
                      <w:rFonts w:eastAsiaTheme="minorEastAsia"/>
                      <w:szCs w:val="21"/>
                    </w:rPr>
                    <w:t>6612</w:t>
                  </w:r>
                </w:p>
              </w:tc>
              <w:tc>
                <w:tcPr>
                  <w:tcW w:w="859" w:type="pct"/>
                  <w:vAlign w:val="center"/>
                </w:tcPr>
                <w:p>
                  <w:pPr>
                    <w:autoSpaceDE w:val="0"/>
                    <w:autoSpaceDN w:val="0"/>
                    <w:adjustRightInd w:val="0"/>
                    <w:snapToGrid w:val="0"/>
                    <w:jc w:val="center"/>
                    <w:rPr>
                      <w:rFonts w:eastAsiaTheme="minorEastAsia"/>
                      <w:szCs w:val="21"/>
                    </w:rPr>
                  </w:pPr>
                  <w:r>
                    <w:rPr>
                      <w:rFonts w:eastAsiaTheme="minorEastAsia"/>
                      <w:szCs w:val="21"/>
                    </w:rPr>
                    <w:t>6612</w:t>
                  </w:r>
                </w:p>
              </w:tc>
              <w:tc>
                <w:tcPr>
                  <w:tcW w:w="735" w:type="pct"/>
                  <w:vAlign w:val="center"/>
                </w:tcPr>
                <w:p>
                  <w:pPr>
                    <w:autoSpaceDE w:val="0"/>
                    <w:autoSpaceDN w:val="0"/>
                    <w:adjustRightInd w:val="0"/>
                    <w:snapToGrid w:val="0"/>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pct"/>
                  <w:shd w:val="clear" w:color="auto" w:fill="auto"/>
                  <w:vAlign w:val="center"/>
                </w:tcPr>
                <w:p>
                  <w:pPr>
                    <w:autoSpaceDE w:val="0"/>
                    <w:autoSpaceDN w:val="0"/>
                    <w:adjustRightInd w:val="0"/>
                    <w:snapToGrid w:val="0"/>
                    <w:jc w:val="center"/>
                    <w:rPr>
                      <w:rFonts w:eastAsiaTheme="minorEastAsia"/>
                      <w:szCs w:val="21"/>
                    </w:rPr>
                  </w:pPr>
                  <w:r>
                    <w:rPr>
                      <w:rFonts w:eastAsiaTheme="minorEastAsia"/>
                      <w:szCs w:val="21"/>
                    </w:rPr>
                    <w:t>包花预清洗用水</w:t>
                  </w:r>
                </w:p>
              </w:tc>
              <w:tc>
                <w:tcPr>
                  <w:tcW w:w="818" w:type="pct"/>
                  <w:vAlign w:val="center"/>
                </w:tcPr>
                <w:p>
                  <w:pPr>
                    <w:autoSpaceDE w:val="0"/>
                    <w:autoSpaceDN w:val="0"/>
                    <w:adjustRightInd w:val="0"/>
                    <w:snapToGrid w:val="0"/>
                    <w:jc w:val="center"/>
                    <w:rPr>
                      <w:rFonts w:eastAsiaTheme="minorEastAsia"/>
                      <w:szCs w:val="21"/>
                    </w:rPr>
                  </w:pPr>
                  <w:r>
                    <w:rPr>
                      <w:rFonts w:eastAsiaTheme="minorEastAsia"/>
                      <w:szCs w:val="21"/>
                    </w:rPr>
                    <w:t>547.5</w:t>
                  </w:r>
                </w:p>
              </w:tc>
              <w:tc>
                <w:tcPr>
                  <w:tcW w:w="869" w:type="pct"/>
                  <w:vAlign w:val="center"/>
                </w:tcPr>
                <w:p>
                  <w:pPr>
                    <w:autoSpaceDE w:val="0"/>
                    <w:autoSpaceDN w:val="0"/>
                    <w:adjustRightInd w:val="0"/>
                    <w:snapToGrid w:val="0"/>
                    <w:jc w:val="center"/>
                    <w:rPr>
                      <w:rFonts w:eastAsiaTheme="minorEastAsia"/>
                      <w:szCs w:val="21"/>
                    </w:rPr>
                  </w:pPr>
                  <w:r>
                    <w:rPr>
                      <w:rFonts w:eastAsiaTheme="minorEastAsia"/>
                      <w:szCs w:val="21"/>
                    </w:rPr>
                    <w:t>0</w:t>
                  </w:r>
                </w:p>
              </w:tc>
              <w:tc>
                <w:tcPr>
                  <w:tcW w:w="693" w:type="pct"/>
                  <w:vAlign w:val="center"/>
                </w:tcPr>
                <w:p>
                  <w:pPr>
                    <w:autoSpaceDE w:val="0"/>
                    <w:autoSpaceDN w:val="0"/>
                    <w:adjustRightInd w:val="0"/>
                    <w:snapToGrid w:val="0"/>
                    <w:jc w:val="center"/>
                    <w:rPr>
                      <w:rFonts w:eastAsiaTheme="minorEastAsia"/>
                      <w:szCs w:val="21"/>
                    </w:rPr>
                  </w:pPr>
                  <w:r>
                    <w:rPr>
                      <w:rFonts w:eastAsiaTheme="minorEastAsia"/>
                      <w:szCs w:val="21"/>
                    </w:rPr>
                    <w:t>438</w:t>
                  </w:r>
                </w:p>
              </w:tc>
              <w:tc>
                <w:tcPr>
                  <w:tcW w:w="859" w:type="pct"/>
                  <w:vAlign w:val="center"/>
                </w:tcPr>
                <w:p>
                  <w:pPr>
                    <w:autoSpaceDE w:val="0"/>
                    <w:autoSpaceDN w:val="0"/>
                    <w:adjustRightInd w:val="0"/>
                    <w:snapToGrid w:val="0"/>
                    <w:jc w:val="center"/>
                    <w:rPr>
                      <w:rFonts w:eastAsiaTheme="minorEastAsia"/>
                      <w:szCs w:val="21"/>
                    </w:rPr>
                  </w:pPr>
                  <w:r>
                    <w:rPr>
                      <w:rFonts w:eastAsiaTheme="minorEastAsia"/>
                      <w:szCs w:val="21"/>
                    </w:rPr>
                    <w:t>438</w:t>
                  </w:r>
                </w:p>
              </w:tc>
              <w:tc>
                <w:tcPr>
                  <w:tcW w:w="735" w:type="pct"/>
                  <w:vAlign w:val="center"/>
                </w:tcPr>
                <w:p>
                  <w:pPr>
                    <w:autoSpaceDE w:val="0"/>
                    <w:autoSpaceDN w:val="0"/>
                    <w:adjustRightInd w:val="0"/>
                    <w:snapToGrid w:val="0"/>
                    <w:jc w:val="center"/>
                    <w:rPr>
                      <w:rFonts w:eastAsiaTheme="minorEastAsia"/>
                      <w:szCs w:val="21"/>
                    </w:rPr>
                  </w:pPr>
                  <w:r>
                    <w:rPr>
                      <w:rFonts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pct"/>
                  <w:shd w:val="clear" w:color="auto" w:fill="auto"/>
                  <w:vAlign w:val="center"/>
                </w:tcPr>
                <w:p>
                  <w:pPr>
                    <w:autoSpaceDE w:val="0"/>
                    <w:autoSpaceDN w:val="0"/>
                    <w:adjustRightInd w:val="0"/>
                    <w:snapToGrid w:val="0"/>
                    <w:jc w:val="center"/>
                    <w:rPr>
                      <w:rFonts w:eastAsiaTheme="minorEastAsia"/>
                      <w:szCs w:val="21"/>
                    </w:rPr>
                  </w:pPr>
                  <w:r>
                    <w:rPr>
                      <w:rFonts w:eastAsiaTheme="minorEastAsia"/>
                      <w:szCs w:val="21"/>
                    </w:rPr>
                    <w:t>生活用水</w:t>
                  </w:r>
                </w:p>
              </w:tc>
              <w:tc>
                <w:tcPr>
                  <w:tcW w:w="818" w:type="pct"/>
                  <w:vAlign w:val="center"/>
                </w:tcPr>
                <w:p>
                  <w:pPr>
                    <w:autoSpaceDE w:val="0"/>
                    <w:autoSpaceDN w:val="0"/>
                    <w:adjustRightInd w:val="0"/>
                    <w:snapToGrid w:val="0"/>
                    <w:jc w:val="center"/>
                    <w:rPr>
                      <w:rFonts w:eastAsiaTheme="minorEastAsia"/>
                      <w:szCs w:val="21"/>
                    </w:rPr>
                  </w:pPr>
                  <w:r>
                    <w:rPr>
                      <w:rFonts w:eastAsiaTheme="minorEastAsia"/>
                      <w:szCs w:val="21"/>
                    </w:rPr>
                    <w:t>1109.6</w:t>
                  </w:r>
                </w:p>
              </w:tc>
              <w:tc>
                <w:tcPr>
                  <w:tcW w:w="869" w:type="pct"/>
                  <w:vAlign w:val="center"/>
                </w:tcPr>
                <w:p>
                  <w:pPr>
                    <w:autoSpaceDE w:val="0"/>
                    <w:autoSpaceDN w:val="0"/>
                    <w:adjustRightInd w:val="0"/>
                    <w:snapToGrid w:val="0"/>
                    <w:jc w:val="center"/>
                    <w:rPr>
                      <w:rFonts w:eastAsiaTheme="minorEastAsia"/>
                      <w:szCs w:val="21"/>
                    </w:rPr>
                  </w:pPr>
                  <w:r>
                    <w:rPr>
                      <w:rFonts w:eastAsiaTheme="minorEastAsia"/>
                      <w:szCs w:val="21"/>
                    </w:rPr>
                    <w:t>0</w:t>
                  </w:r>
                </w:p>
              </w:tc>
              <w:tc>
                <w:tcPr>
                  <w:tcW w:w="693" w:type="pct"/>
                  <w:vAlign w:val="center"/>
                </w:tcPr>
                <w:p>
                  <w:pPr>
                    <w:autoSpaceDE w:val="0"/>
                    <w:autoSpaceDN w:val="0"/>
                    <w:adjustRightInd w:val="0"/>
                    <w:snapToGrid w:val="0"/>
                    <w:jc w:val="center"/>
                    <w:rPr>
                      <w:rFonts w:eastAsiaTheme="minorEastAsia"/>
                      <w:szCs w:val="21"/>
                    </w:rPr>
                  </w:pPr>
                  <w:r>
                    <w:rPr>
                      <w:rFonts w:eastAsiaTheme="minorEastAsia"/>
                      <w:szCs w:val="21"/>
                    </w:rPr>
                    <w:t>886.95</w:t>
                  </w:r>
                </w:p>
              </w:tc>
              <w:tc>
                <w:tcPr>
                  <w:tcW w:w="859" w:type="pct"/>
                  <w:vAlign w:val="center"/>
                </w:tcPr>
                <w:p>
                  <w:pPr>
                    <w:autoSpaceDE w:val="0"/>
                    <w:autoSpaceDN w:val="0"/>
                    <w:adjustRightInd w:val="0"/>
                    <w:snapToGrid w:val="0"/>
                    <w:jc w:val="center"/>
                    <w:rPr>
                      <w:rFonts w:eastAsiaTheme="minorEastAsia"/>
                      <w:szCs w:val="21"/>
                    </w:rPr>
                  </w:pPr>
                  <w:r>
                    <w:rPr>
                      <w:rFonts w:eastAsiaTheme="minorEastAsia"/>
                      <w:szCs w:val="21"/>
                    </w:rPr>
                    <w:t>886.95（0）</w:t>
                  </w:r>
                </w:p>
              </w:tc>
              <w:tc>
                <w:tcPr>
                  <w:tcW w:w="735" w:type="pct"/>
                  <w:vAlign w:val="center"/>
                </w:tcPr>
                <w:p>
                  <w:pPr>
                    <w:autoSpaceDE w:val="0"/>
                    <w:autoSpaceDN w:val="0"/>
                    <w:adjustRightInd w:val="0"/>
                    <w:snapToGrid w:val="0"/>
                    <w:jc w:val="center"/>
                    <w:rPr>
                      <w:rFonts w:eastAsiaTheme="minorEastAsia"/>
                      <w:szCs w:val="21"/>
                    </w:rPr>
                  </w:pPr>
                  <w:r>
                    <w:rPr>
                      <w:rFonts w:eastAsiaTheme="minorEastAsia"/>
                      <w:szCs w:val="21"/>
                    </w:rPr>
                    <w:t>括号中为园区污水管网接通时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3" w:type="pct"/>
                  <w:shd w:val="clear" w:color="auto" w:fill="auto"/>
                  <w:vAlign w:val="center"/>
                </w:tcPr>
                <w:p>
                  <w:pPr>
                    <w:autoSpaceDE w:val="0"/>
                    <w:autoSpaceDN w:val="0"/>
                    <w:adjustRightInd w:val="0"/>
                    <w:snapToGrid w:val="0"/>
                    <w:jc w:val="center"/>
                    <w:rPr>
                      <w:rFonts w:eastAsiaTheme="minorEastAsia"/>
                      <w:szCs w:val="21"/>
                    </w:rPr>
                  </w:pPr>
                  <w:r>
                    <w:rPr>
                      <w:rFonts w:eastAsiaTheme="minorEastAsia"/>
                      <w:szCs w:val="21"/>
                    </w:rPr>
                    <w:t>冷库冷凝用水</w:t>
                  </w:r>
                </w:p>
              </w:tc>
              <w:tc>
                <w:tcPr>
                  <w:tcW w:w="818" w:type="pct"/>
                  <w:vAlign w:val="center"/>
                </w:tcPr>
                <w:p>
                  <w:pPr>
                    <w:autoSpaceDE w:val="0"/>
                    <w:autoSpaceDN w:val="0"/>
                    <w:adjustRightInd w:val="0"/>
                    <w:snapToGrid w:val="0"/>
                    <w:jc w:val="center"/>
                    <w:rPr>
                      <w:rFonts w:eastAsiaTheme="minorEastAsia"/>
                      <w:szCs w:val="21"/>
                    </w:rPr>
                  </w:pPr>
                  <w:r>
                    <w:rPr>
                      <w:rFonts w:eastAsiaTheme="minorEastAsia"/>
                      <w:szCs w:val="21"/>
                    </w:rPr>
                    <w:t>6</w:t>
                  </w:r>
                </w:p>
              </w:tc>
              <w:tc>
                <w:tcPr>
                  <w:tcW w:w="869" w:type="pct"/>
                  <w:vAlign w:val="center"/>
                </w:tcPr>
                <w:p>
                  <w:pPr>
                    <w:autoSpaceDE w:val="0"/>
                    <w:autoSpaceDN w:val="0"/>
                    <w:adjustRightInd w:val="0"/>
                    <w:snapToGrid w:val="0"/>
                    <w:jc w:val="center"/>
                    <w:rPr>
                      <w:rFonts w:eastAsiaTheme="minorEastAsia"/>
                      <w:szCs w:val="21"/>
                    </w:rPr>
                  </w:pPr>
                  <w:r>
                    <w:rPr>
                      <w:rFonts w:eastAsiaTheme="minorEastAsia"/>
                      <w:szCs w:val="21"/>
                    </w:rPr>
                    <w:t>0</w:t>
                  </w:r>
                </w:p>
              </w:tc>
              <w:tc>
                <w:tcPr>
                  <w:tcW w:w="693" w:type="pct"/>
                  <w:vAlign w:val="center"/>
                </w:tcPr>
                <w:p>
                  <w:pPr>
                    <w:autoSpaceDE w:val="0"/>
                    <w:autoSpaceDN w:val="0"/>
                    <w:adjustRightInd w:val="0"/>
                    <w:snapToGrid w:val="0"/>
                    <w:jc w:val="center"/>
                    <w:rPr>
                      <w:rFonts w:eastAsiaTheme="minorEastAsia"/>
                      <w:szCs w:val="21"/>
                    </w:rPr>
                  </w:pPr>
                  <w:r>
                    <w:rPr>
                      <w:rFonts w:eastAsiaTheme="minorEastAsia"/>
                      <w:szCs w:val="21"/>
                    </w:rPr>
                    <w:t>0</w:t>
                  </w:r>
                </w:p>
              </w:tc>
              <w:tc>
                <w:tcPr>
                  <w:tcW w:w="859" w:type="pct"/>
                  <w:vAlign w:val="center"/>
                </w:tcPr>
                <w:p>
                  <w:pPr>
                    <w:autoSpaceDE w:val="0"/>
                    <w:autoSpaceDN w:val="0"/>
                    <w:adjustRightInd w:val="0"/>
                    <w:snapToGrid w:val="0"/>
                    <w:jc w:val="center"/>
                    <w:rPr>
                      <w:rFonts w:eastAsiaTheme="minorEastAsia"/>
                      <w:szCs w:val="21"/>
                    </w:rPr>
                  </w:pPr>
                  <w:r>
                    <w:rPr>
                      <w:rFonts w:eastAsiaTheme="minorEastAsia"/>
                      <w:szCs w:val="21"/>
                    </w:rPr>
                    <w:t>0</w:t>
                  </w:r>
                </w:p>
              </w:tc>
              <w:tc>
                <w:tcPr>
                  <w:tcW w:w="735" w:type="pct"/>
                  <w:vAlign w:val="center"/>
                </w:tcPr>
                <w:p>
                  <w:pPr>
                    <w:autoSpaceDE w:val="0"/>
                    <w:autoSpaceDN w:val="0"/>
                    <w:adjustRightInd w:val="0"/>
                    <w:snapToGrid w:val="0"/>
                    <w:jc w:val="center"/>
                    <w:rPr>
                      <w:rFonts w:eastAsiaTheme="minorEastAsia"/>
                      <w:szCs w:val="21"/>
                    </w:rPr>
                  </w:pPr>
                  <w:r>
                    <w:rPr>
                      <w:rFonts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pct"/>
                  <w:shd w:val="clear" w:color="auto" w:fill="auto"/>
                  <w:vAlign w:val="center"/>
                </w:tcPr>
                <w:p>
                  <w:pPr>
                    <w:autoSpaceDE w:val="0"/>
                    <w:autoSpaceDN w:val="0"/>
                    <w:adjustRightInd w:val="0"/>
                    <w:snapToGrid w:val="0"/>
                    <w:jc w:val="center"/>
                    <w:rPr>
                      <w:rFonts w:eastAsiaTheme="minorEastAsia"/>
                      <w:szCs w:val="21"/>
                    </w:rPr>
                  </w:pPr>
                  <w:r>
                    <w:rPr>
                      <w:rFonts w:eastAsiaTheme="minorEastAsia"/>
                      <w:szCs w:val="21"/>
                    </w:rPr>
                    <w:t>初期雨水</w:t>
                  </w:r>
                </w:p>
              </w:tc>
              <w:tc>
                <w:tcPr>
                  <w:tcW w:w="818" w:type="pct"/>
                  <w:vAlign w:val="center"/>
                </w:tcPr>
                <w:p>
                  <w:pPr>
                    <w:autoSpaceDE w:val="0"/>
                    <w:autoSpaceDN w:val="0"/>
                    <w:adjustRightInd w:val="0"/>
                    <w:snapToGrid w:val="0"/>
                    <w:jc w:val="center"/>
                    <w:rPr>
                      <w:rFonts w:eastAsiaTheme="minorEastAsia"/>
                      <w:szCs w:val="21"/>
                    </w:rPr>
                  </w:pPr>
                  <w:r>
                    <w:rPr>
                      <w:rFonts w:eastAsiaTheme="minorEastAsia"/>
                      <w:szCs w:val="21"/>
                    </w:rPr>
                    <w:t>/</w:t>
                  </w:r>
                </w:p>
              </w:tc>
              <w:tc>
                <w:tcPr>
                  <w:tcW w:w="869" w:type="pct"/>
                  <w:vAlign w:val="center"/>
                </w:tcPr>
                <w:p>
                  <w:pPr>
                    <w:autoSpaceDE w:val="0"/>
                    <w:autoSpaceDN w:val="0"/>
                    <w:adjustRightInd w:val="0"/>
                    <w:snapToGrid w:val="0"/>
                    <w:jc w:val="center"/>
                    <w:rPr>
                      <w:rFonts w:eastAsiaTheme="minorEastAsia"/>
                      <w:szCs w:val="21"/>
                    </w:rPr>
                  </w:pPr>
                  <w:r>
                    <w:rPr>
                      <w:rFonts w:eastAsiaTheme="minorEastAsia"/>
                      <w:szCs w:val="21"/>
                    </w:rPr>
                    <w:t>/</w:t>
                  </w:r>
                </w:p>
              </w:tc>
              <w:tc>
                <w:tcPr>
                  <w:tcW w:w="693" w:type="pct"/>
                  <w:vAlign w:val="center"/>
                </w:tcPr>
                <w:p>
                  <w:pPr>
                    <w:autoSpaceDE w:val="0"/>
                    <w:autoSpaceDN w:val="0"/>
                    <w:adjustRightInd w:val="0"/>
                    <w:snapToGrid w:val="0"/>
                    <w:jc w:val="center"/>
                    <w:rPr>
                      <w:rFonts w:eastAsiaTheme="minorEastAsia"/>
                      <w:szCs w:val="21"/>
                    </w:rPr>
                  </w:pPr>
                  <w:r>
                    <w:rPr>
                      <w:rFonts w:eastAsiaTheme="minorEastAsia"/>
                      <w:szCs w:val="21"/>
                    </w:rPr>
                    <w:t>33997</w:t>
                  </w:r>
                </w:p>
              </w:tc>
              <w:tc>
                <w:tcPr>
                  <w:tcW w:w="859" w:type="pct"/>
                  <w:vAlign w:val="center"/>
                </w:tcPr>
                <w:p>
                  <w:pPr>
                    <w:autoSpaceDE w:val="0"/>
                    <w:autoSpaceDN w:val="0"/>
                    <w:adjustRightInd w:val="0"/>
                    <w:snapToGrid w:val="0"/>
                    <w:jc w:val="center"/>
                    <w:rPr>
                      <w:rFonts w:eastAsiaTheme="minorEastAsia"/>
                      <w:szCs w:val="21"/>
                    </w:rPr>
                  </w:pPr>
                  <w:r>
                    <w:rPr>
                      <w:rFonts w:eastAsiaTheme="minorEastAsia"/>
                      <w:szCs w:val="21"/>
                    </w:rPr>
                    <w:t xml:space="preserve">33997                                                                           </w:t>
                  </w:r>
                </w:p>
              </w:tc>
              <w:tc>
                <w:tcPr>
                  <w:tcW w:w="735" w:type="pct"/>
                  <w:vAlign w:val="center"/>
                </w:tcPr>
                <w:p>
                  <w:pPr>
                    <w:autoSpaceDE w:val="0"/>
                    <w:autoSpaceDN w:val="0"/>
                    <w:adjustRightInd w:val="0"/>
                    <w:snapToGrid w:val="0"/>
                    <w:jc w:val="center"/>
                    <w:rPr>
                      <w:rFonts w:eastAsiaTheme="minorEastAsia"/>
                      <w:szCs w:val="21"/>
                    </w:rPr>
                  </w:pPr>
                  <w:r>
                    <w:rPr>
                      <w:rFonts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pct"/>
                  <w:vAlign w:val="center"/>
                </w:tcPr>
                <w:p>
                  <w:pPr>
                    <w:autoSpaceDE w:val="0"/>
                    <w:autoSpaceDN w:val="0"/>
                    <w:adjustRightInd w:val="0"/>
                    <w:snapToGrid w:val="0"/>
                    <w:jc w:val="center"/>
                    <w:rPr>
                      <w:rFonts w:eastAsiaTheme="minorEastAsia"/>
                      <w:szCs w:val="21"/>
                    </w:rPr>
                  </w:pPr>
                  <w:r>
                    <w:rPr>
                      <w:rFonts w:eastAsiaTheme="minorEastAsia"/>
                      <w:szCs w:val="21"/>
                    </w:rPr>
                    <w:t>合计</w:t>
                  </w:r>
                </w:p>
              </w:tc>
              <w:tc>
                <w:tcPr>
                  <w:tcW w:w="818" w:type="pct"/>
                  <w:vAlign w:val="center"/>
                </w:tcPr>
                <w:p>
                  <w:pPr>
                    <w:autoSpaceDE w:val="0"/>
                    <w:autoSpaceDN w:val="0"/>
                    <w:adjustRightInd w:val="0"/>
                    <w:snapToGrid w:val="0"/>
                    <w:jc w:val="center"/>
                    <w:rPr>
                      <w:rFonts w:eastAsiaTheme="minorEastAsia"/>
                      <w:szCs w:val="21"/>
                    </w:rPr>
                  </w:pPr>
                  <w:r>
                    <w:rPr>
                      <w:rFonts w:eastAsiaTheme="minorEastAsia"/>
                      <w:szCs w:val="21"/>
                    </w:rPr>
                    <w:t>43836.55（42726.95）</w:t>
                  </w:r>
                </w:p>
              </w:tc>
              <w:tc>
                <w:tcPr>
                  <w:tcW w:w="869" w:type="pct"/>
                  <w:vAlign w:val="center"/>
                </w:tcPr>
                <w:p>
                  <w:pPr>
                    <w:autoSpaceDE w:val="0"/>
                    <w:autoSpaceDN w:val="0"/>
                    <w:adjustRightInd w:val="0"/>
                    <w:snapToGrid w:val="0"/>
                    <w:jc w:val="center"/>
                    <w:rPr>
                      <w:rFonts w:eastAsiaTheme="minorEastAsia"/>
                      <w:szCs w:val="21"/>
                    </w:rPr>
                  </w:pPr>
                  <w:r>
                    <w:rPr>
                      <w:rFonts w:eastAsiaTheme="minorEastAsia"/>
                      <w:szCs w:val="21"/>
                    </w:rPr>
                    <w:t>47913.35（47026.4）</w:t>
                  </w:r>
                </w:p>
              </w:tc>
              <w:tc>
                <w:tcPr>
                  <w:tcW w:w="693" w:type="pct"/>
                  <w:vAlign w:val="center"/>
                </w:tcPr>
                <w:p>
                  <w:pPr>
                    <w:autoSpaceDE w:val="0"/>
                    <w:autoSpaceDN w:val="0"/>
                    <w:adjustRightInd w:val="0"/>
                    <w:snapToGrid w:val="0"/>
                    <w:jc w:val="center"/>
                    <w:rPr>
                      <w:rFonts w:eastAsiaTheme="minorEastAsia"/>
                      <w:szCs w:val="21"/>
                    </w:rPr>
                  </w:pPr>
                  <w:r>
                    <w:rPr>
                      <w:rFonts w:eastAsiaTheme="minorEastAsia"/>
                      <w:szCs w:val="21"/>
                    </w:rPr>
                    <w:t>47913.35（47026.4）</w:t>
                  </w:r>
                </w:p>
              </w:tc>
              <w:tc>
                <w:tcPr>
                  <w:tcW w:w="859" w:type="pct"/>
                  <w:vAlign w:val="center"/>
                </w:tcPr>
                <w:p>
                  <w:pPr>
                    <w:autoSpaceDE w:val="0"/>
                    <w:autoSpaceDN w:val="0"/>
                    <w:adjustRightInd w:val="0"/>
                    <w:snapToGrid w:val="0"/>
                    <w:jc w:val="center"/>
                    <w:rPr>
                      <w:rFonts w:eastAsiaTheme="minorEastAsia"/>
                      <w:szCs w:val="21"/>
                    </w:rPr>
                  </w:pPr>
                  <w:r>
                    <w:rPr>
                      <w:rFonts w:eastAsiaTheme="minorEastAsia"/>
                      <w:szCs w:val="21"/>
                    </w:rPr>
                    <w:t>47913.35（47026.4）</w:t>
                  </w:r>
                </w:p>
              </w:tc>
              <w:tc>
                <w:tcPr>
                  <w:tcW w:w="735" w:type="pct"/>
                  <w:vAlign w:val="center"/>
                </w:tcPr>
                <w:p>
                  <w:pPr>
                    <w:autoSpaceDE w:val="0"/>
                    <w:autoSpaceDN w:val="0"/>
                    <w:adjustRightInd w:val="0"/>
                    <w:snapToGrid w:val="0"/>
                    <w:jc w:val="center"/>
                    <w:rPr>
                      <w:rFonts w:eastAsiaTheme="minorEastAsia"/>
                      <w:szCs w:val="21"/>
                    </w:rPr>
                  </w:pPr>
                  <w:r>
                    <w:rPr>
                      <w:rFonts w:eastAsiaTheme="minorEastAsia"/>
                      <w:szCs w:val="21"/>
                    </w:rPr>
                    <w:t>/</w:t>
                  </w:r>
                </w:p>
              </w:tc>
            </w:tr>
          </w:tbl>
          <w:p>
            <w:pPr>
              <w:spacing w:line="360" w:lineRule="auto"/>
              <w:ind w:firstLine="723" w:firstLineChars="300"/>
              <w:rPr>
                <w:b/>
                <w:bCs/>
                <w:sz w:val="24"/>
              </w:rPr>
            </w:pPr>
            <w:r>
              <w:rPr>
                <w:b/>
                <w:bCs/>
                <w:sz w:val="24"/>
              </w:rPr>
              <w:t>表2-13  项目不使用锅炉时日供排水情况表（单位：m</w:t>
            </w:r>
            <w:r>
              <w:rPr>
                <w:b/>
                <w:bCs/>
                <w:sz w:val="24"/>
                <w:vertAlign w:val="superscript"/>
              </w:rPr>
              <w:t>3</w:t>
            </w:r>
            <w:r>
              <w:rPr>
                <w:b/>
                <w:bCs/>
                <w:sz w:val="24"/>
              </w:rPr>
              <w:t>/d）</w:t>
            </w:r>
          </w:p>
          <w:tbl>
            <w:tblPr>
              <w:tblStyle w:val="27"/>
              <w:tblW w:w="49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309"/>
              <w:gridCol w:w="1095"/>
              <w:gridCol w:w="1235"/>
              <w:gridCol w:w="1615"/>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75" w:type="pct"/>
                  <w:vAlign w:val="center"/>
                </w:tcPr>
                <w:p>
                  <w:pPr>
                    <w:autoSpaceDE w:val="0"/>
                    <w:autoSpaceDN w:val="0"/>
                    <w:adjustRightInd w:val="0"/>
                    <w:snapToGrid w:val="0"/>
                    <w:jc w:val="center"/>
                    <w:rPr>
                      <w:b/>
                      <w:bCs/>
                      <w:szCs w:val="21"/>
                    </w:rPr>
                  </w:pPr>
                  <w:r>
                    <w:rPr>
                      <w:b/>
                      <w:bCs/>
                      <w:szCs w:val="21"/>
                    </w:rPr>
                    <w:t>用水项目</w:t>
                  </w:r>
                </w:p>
              </w:tc>
              <w:tc>
                <w:tcPr>
                  <w:tcW w:w="753" w:type="pct"/>
                  <w:vAlign w:val="center"/>
                </w:tcPr>
                <w:p>
                  <w:pPr>
                    <w:autoSpaceDE w:val="0"/>
                    <w:autoSpaceDN w:val="0"/>
                    <w:adjustRightInd w:val="0"/>
                    <w:snapToGrid w:val="0"/>
                    <w:jc w:val="center"/>
                    <w:rPr>
                      <w:b/>
                      <w:bCs/>
                      <w:szCs w:val="21"/>
                    </w:rPr>
                  </w:pPr>
                  <w:r>
                    <w:rPr>
                      <w:b/>
                      <w:bCs/>
                      <w:szCs w:val="21"/>
                    </w:rPr>
                    <w:t>新鲜水用量</w:t>
                  </w:r>
                </w:p>
              </w:tc>
              <w:tc>
                <w:tcPr>
                  <w:tcW w:w="630" w:type="pct"/>
                  <w:vAlign w:val="center"/>
                </w:tcPr>
                <w:p>
                  <w:pPr>
                    <w:autoSpaceDE w:val="0"/>
                    <w:autoSpaceDN w:val="0"/>
                    <w:adjustRightInd w:val="0"/>
                    <w:snapToGrid w:val="0"/>
                    <w:jc w:val="center"/>
                    <w:rPr>
                      <w:b/>
                      <w:bCs/>
                      <w:szCs w:val="21"/>
                    </w:rPr>
                  </w:pPr>
                  <w:r>
                    <w:rPr>
                      <w:b/>
                      <w:bCs/>
                      <w:szCs w:val="21"/>
                    </w:rPr>
                    <w:t>回用水量</w:t>
                  </w:r>
                </w:p>
              </w:tc>
              <w:tc>
                <w:tcPr>
                  <w:tcW w:w="710" w:type="pct"/>
                  <w:vAlign w:val="center"/>
                </w:tcPr>
                <w:p>
                  <w:pPr>
                    <w:autoSpaceDE w:val="0"/>
                    <w:autoSpaceDN w:val="0"/>
                    <w:adjustRightInd w:val="0"/>
                    <w:snapToGrid w:val="0"/>
                    <w:jc w:val="center"/>
                    <w:rPr>
                      <w:b/>
                      <w:bCs/>
                      <w:szCs w:val="21"/>
                    </w:rPr>
                  </w:pPr>
                  <w:r>
                    <w:rPr>
                      <w:b/>
                      <w:bCs/>
                      <w:szCs w:val="21"/>
                    </w:rPr>
                    <w:t>污水量</w:t>
                  </w:r>
                </w:p>
              </w:tc>
              <w:tc>
                <w:tcPr>
                  <w:tcW w:w="929" w:type="pct"/>
                  <w:vAlign w:val="center"/>
                </w:tcPr>
                <w:p>
                  <w:pPr>
                    <w:autoSpaceDE w:val="0"/>
                    <w:autoSpaceDN w:val="0"/>
                    <w:adjustRightInd w:val="0"/>
                    <w:snapToGrid w:val="0"/>
                    <w:jc w:val="center"/>
                    <w:rPr>
                      <w:b/>
                      <w:bCs/>
                      <w:szCs w:val="21"/>
                    </w:rPr>
                  </w:pPr>
                  <w:r>
                    <w:rPr>
                      <w:b/>
                      <w:bCs/>
                      <w:szCs w:val="21"/>
                    </w:rPr>
                    <w:t>废水回用量</w:t>
                  </w:r>
                </w:p>
              </w:tc>
              <w:tc>
                <w:tcPr>
                  <w:tcW w:w="1003" w:type="pct"/>
                  <w:vAlign w:val="center"/>
                </w:tcPr>
                <w:p>
                  <w:pPr>
                    <w:autoSpaceDE w:val="0"/>
                    <w:autoSpaceDN w:val="0"/>
                    <w:adjustRightInd w:val="0"/>
                    <w:snapToGrid w:val="0"/>
                    <w:jc w:val="center"/>
                    <w:rPr>
                      <w:b/>
                      <w:bCs/>
                      <w:szCs w:val="21"/>
                    </w:rPr>
                  </w:pPr>
                  <w:r>
                    <w:rPr>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975" w:type="pct"/>
                  <w:shd w:val="clear" w:color="auto" w:fill="auto"/>
                  <w:vAlign w:val="center"/>
                </w:tcPr>
                <w:p>
                  <w:pPr>
                    <w:autoSpaceDE w:val="0"/>
                    <w:autoSpaceDN w:val="0"/>
                    <w:adjustRightInd w:val="0"/>
                    <w:snapToGrid w:val="0"/>
                    <w:jc w:val="center"/>
                    <w:rPr>
                      <w:szCs w:val="21"/>
                    </w:rPr>
                  </w:pPr>
                  <w:r>
                    <w:rPr>
                      <w:szCs w:val="21"/>
                    </w:rPr>
                    <w:t>花卉种植用水</w:t>
                  </w:r>
                </w:p>
              </w:tc>
              <w:tc>
                <w:tcPr>
                  <w:tcW w:w="753" w:type="pct"/>
                  <w:vAlign w:val="center"/>
                </w:tcPr>
                <w:p>
                  <w:pPr>
                    <w:autoSpaceDE w:val="0"/>
                    <w:autoSpaceDN w:val="0"/>
                    <w:adjustRightInd w:val="0"/>
                    <w:snapToGrid w:val="0"/>
                    <w:jc w:val="center"/>
                    <w:rPr>
                      <w:szCs w:val="21"/>
                    </w:rPr>
                  </w:pPr>
                  <w:r>
                    <w:rPr>
                      <w:szCs w:val="21"/>
                    </w:rPr>
                    <w:t>0</w:t>
                  </w:r>
                </w:p>
              </w:tc>
              <w:tc>
                <w:tcPr>
                  <w:tcW w:w="630" w:type="pct"/>
                  <w:vAlign w:val="center"/>
                </w:tcPr>
                <w:p>
                  <w:pPr>
                    <w:autoSpaceDE w:val="0"/>
                    <w:autoSpaceDN w:val="0"/>
                    <w:adjustRightInd w:val="0"/>
                    <w:snapToGrid w:val="0"/>
                    <w:jc w:val="center"/>
                    <w:rPr>
                      <w:szCs w:val="21"/>
                    </w:rPr>
                  </w:pPr>
                  <w:r>
                    <w:rPr>
                      <w:szCs w:val="21"/>
                    </w:rPr>
                    <w:t>164</w:t>
                  </w:r>
                </w:p>
              </w:tc>
              <w:tc>
                <w:tcPr>
                  <w:tcW w:w="710" w:type="pct"/>
                  <w:vAlign w:val="center"/>
                </w:tcPr>
                <w:p>
                  <w:pPr>
                    <w:autoSpaceDE w:val="0"/>
                    <w:autoSpaceDN w:val="0"/>
                    <w:adjustRightInd w:val="0"/>
                    <w:snapToGrid w:val="0"/>
                    <w:jc w:val="center"/>
                    <w:rPr>
                      <w:szCs w:val="21"/>
                    </w:rPr>
                  </w:pPr>
                  <w:r>
                    <w:rPr>
                      <w:szCs w:val="21"/>
                    </w:rPr>
                    <w:t>1.64</w:t>
                  </w:r>
                </w:p>
              </w:tc>
              <w:tc>
                <w:tcPr>
                  <w:tcW w:w="929" w:type="pct"/>
                  <w:vAlign w:val="center"/>
                </w:tcPr>
                <w:p>
                  <w:pPr>
                    <w:autoSpaceDE w:val="0"/>
                    <w:autoSpaceDN w:val="0"/>
                    <w:adjustRightInd w:val="0"/>
                    <w:snapToGrid w:val="0"/>
                    <w:jc w:val="center"/>
                    <w:rPr>
                      <w:szCs w:val="21"/>
                    </w:rPr>
                  </w:pPr>
                  <w:r>
                    <w:rPr>
                      <w:szCs w:val="21"/>
                    </w:rPr>
                    <w:t>1.64</w:t>
                  </w:r>
                </w:p>
              </w:tc>
              <w:tc>
                <w:tcPr>
                  <w:tcW w:w="1003" w:type="pct"/>
                  <w:vAlign w:val="center"/>
                </w:tcPr>
                <w:p>
                  <w:pPr>
                    <w:autoSpaceDE w:val="0"/>
                    <w:autoSpaceDN w:val="0"/>
                    <w:adjustRightInd w:val="0"/>
                    <w:snapToGrid w:val="0"/>
                    <w:jc w:val="center"/>
                    <w:rPr>
                      <w:szCs w:val="21"/>
                    </w:rPr>
                  </w:pPr>
                  <w:r>
                    <w:rPr>
                      <w:szCs w:val="21"/>
                    </w:rPr>
                    <w:t>污水为种植浇灌渗出水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975" w:type="pct"/>
                  <w:shd w:val="clear" w:color="auto" w:fill="auto"/>
                  <w:vAlign w:val="center"/>
                </w:tcPr>
                <w:p>
                  <w:pPr>
                    <w:autoSpaceDE w:val="0"/>
                    <w:autoSpaceDN w:val="0"/>
                    <w:adjustRightInd w:val="0"/>
                    <w:snapToGrid w:val="0"/>
                    <w:jc w:val="center"/>
                    <w:rPr>
                      <w:szCs w:val="21"/>
                    </w:rPr>
                  </w:pPr>
                  <w:r>
                    <w:rPr>
                      <w:szCs w:val="21"/>
                    </w:rPr>
                    <w:t>包花预清洗用水</w:t>
                  </w:r>
                </w:p>
              </w:tc>
              <w:tc>
                <w:tcPr>
                  <w:tcW w:w="753" w:type="pct"/>
                  <w:vAlign w:val="center"/>
                </w:tcPr>
                <w:p>
                  <w:pPr>
                    <w:autoSpaceDE w:val="0"/>
                    <w:autoSpaceDN w:val="0"/>
                    <w:adjustRightInd w:val="0"/>
                    <w:snapToGrid w:val="0"/>
                    <w:jc w:val="center"/>
                    <w:rPr>
                      <w:szCs w:val="21"/>
                    </w:rPr>
                  </w:pPr>
                  <w:r>
                    <w:rPr>
                      <w:szCs w:val="21"/>
                    </w:rPr>
                    <w:t>1.5</w:t>
                  </w:r>
                </w:p>
              </w:tc>
              <w:tc>
                <w:tcPr>
                  <w:tcW w:w="630" w:type="pct"/>
                  <w:vAlign w:val="center"/>
                </w:tcPr>
                <w:p>
                  <w:pPr>
                    <w:autoSpaceDE w:val="0"/>
                    <w:autoSpaceDN w:val="0"/>
                    <w:adjustRightInd w:val="0"/>
                    <w:snapToGrid w:val="0"/>
                    <w:jc w:val="center"/>
                    <w:rPr>
                      <w:szCs w:val="21"/>
                    </w:rPr>
                  </w:pPr>
                  <w:r>
                    <w:rPr>
                      <w:szCs w:val="21"/>
                    </w:rPr>
                    <w:t>0</w:t>
                  </w:r>
                </w:p>
              </w:tc>
              <w:tc>
                <w:tcPr>
                  <w:tcW w:w="710" w:type="pct"/>
                  <w:vAlign w:val="center"/>
                </w:tcPr>
                <w:p>
                  <w:pPr>
                    <w:autoSpaceDE w:val="0"/>
                    <w:autoSpaceDN w:val="0"/>
                    <w:adjustRightInd w:val="0"/>
                    <w:snapToGrid w:val="0"/>
                    <w:jc w:val="center"/>
                    <w:rPr>
                      <w:szCs w:val="21"/>
                    </w:rPr>
                  </w:pPr>
                  <w:r>
                    <w:rPr>
                      <w:szCs w:val="21"/>
                    </w:rPr>
                    <w:t>1.2</w:t>
                  </w:r>
                </w:p>
              </w:tc>
              <w:tc>
                <w:tcPr>
                  <w:tcW w:w="929" w:type="pct"/>
                  <w:vAlign w:val="center"/>
                </w:tcPr>
                <w:p>
                  <w:pPr>
                    <w:autoSpaceDE w:val="0"/>
                    <w:autoSpaceDN w:val="0"/>
                    <w:adjustRightInd w:val="0"/>
                    <w:snapToGrid w:val="0"/>
                    <w:jc w:val="center"/>
                    <w:rPr>
                      <w:szCs w:val="21"/>
                    </w:rPr>
                  </w:pPr>
                  <w:r>
                    <w:rPr>
                      <w:szCs w:val="21"/>
                    </w:rPr>
                    <w:t>1.2</w:t>
                  </w:r>
                </w:p>
              </w:tc>
              <w:tc>
                <w:tcPr>
                  <w:tcW w:w="1003" w:type="pct"/>
                  <w:vAlign w:val="center"/>
                </w:tcPr>
                <w:p>
                  <w:pPr>
                    <w:autoSpaceDE w:val="0"/>
                    <w:autoSpaceDN w:val="0"/>
                    <w:adjustRightInd w:val="0"/>
                    <w:snapToGrid w:val="0"/>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75" w:type="pct"/>
                  <w:shd w:val="clear" w:color="auto" w:fill="auto"/>
                  <w:vAlign w:val="center"/>
                </w:tcPr>
                <w:p>
                  <w:pPr>
                    <w:autoSpaceDE w:val="0"/>
                    <w:autoSpaceDN w:val="0"/>
                    <w:adjustRightInd w:val="0"/>
                    <w:snapToGrid w:val="0"/>
                    <w:jc w:val="center"/>
                    <w:rPr>
                      <w:szCs w:val="21"/>
                    </w:rPr>
                  </w:pPr>
                  <w:r>
                    <w:rPr>
                      <w:szCs w:val="21"/>
                    </w:rPr>
                    <w:t>生活用水</w:t>
                  </w:r>
                </w:p>
              </w:tc>
              <w:tc>
                <w:tcPr>
                  <w:tcW w:w="753" w:type="pct"/>
                  <w:vAlign w:val="center"/>
                </w:tcPr>
                <w:p>
                  <w:pPr>
                    <w:autoSpaceDE w:val="0"/>
                    <w:autoSpaceDN w:val="0"/>
                    <w:adjustRightInd w:val="0"/>
                    <w:snapToGrid w:val="0"/>
                    <w:jc w:val="center"/>
                    <w:rPr>
                      <w:szCs w:val="21"/>
                    </w:rPr>
                  </w:pPr>
                  <w:r>
                    <w:rPr>
                      <w:szCs w:val="21"/>
                    </w:rPr>
                    <w:t>3.04</w:t>
                  </w:r>
                </w:p>
              </w:tc>
              <w:tc>
                <w:tcPr>
                  <w:tcW w:w="630" w:type="pct"/>
                  <w:vAlign w:val="center"/>
                </w:tcPr>
                <w:p>
                  <w:pPr>
                    <w:autoSpaceDE w:val="0"/>
                    <w:autoSpaceDN w:val="0"/>
                    <w:adjustRightInd w:val="0"/>
                    <w:snapToGrid w:val="0"/>
                    <w:jc w:val="center"/>
                    <w:rPr>
                      <w:szCs w:val="21"/>
                    </w:rPr>
                  </w:pPr>
                  <w:r>
                    <w:rPr>
                      <w:szCs w:val="21"/>
                    </w:rPr>
                    <w:t>0</w:t>
                  </w:r>
                </w:p>
              </w:tc>
              <w:tc>
                <w:tcPr>
                  <w:tcW w:w="710" w:type="pct"/>
                  <w:vAlign w:val="center"/>
                </w:tcPr>
                <w:p>
                  <w:pPr>
                    <w:autoSpaceDE w:val="0"/>
                    <w:autoSpaceDN w:val="0"/>
                    <w:adjustRightInd w:val="0"/>
                    <w:snapToGrid w:val="0"/>
                    <w:jc w:val="center"/>
                    <w:rPr>
                      <w:szCs w:val="21"/>
                    </w:rPr>
                  </w:pPr>
                  <w:r>
                    <w:rPr>
                      <w:szCs w:val="21"/>
                    </w:rPr>
                    <w:t>2.43</w:t>
                  </w:r>
                </w:p>
              </w:tc>
              <w:tc>
                <w:tcPr>
                  <w:tcW w:w="929" w:type="pct"/>
                  <w:vAlign w:val="center"/>
                </w:tcPr>
                <w:p>
                  <w:pPr>
                    <w:autoSpaceDE w:val="0"/>
                    <w:autoSpaceDN w:val="0"/>
                    <w:adjustRightInd w:val="0"/>
                    <w:snapToGrid w:val="0"/>
                    <w:jc w:val="center"/>
                    <w:rPr>
                      <w:szCs w:val="21"/>
                    </w:rPr>
                  </w:pPr>
                  <w:r>
                    <w:rPr>
                      <w:szCs w:val="21"/>
                    </w:rPr>
                    <w:t>2.43（0）</w:t>
                  </w:r>
                </w:p>
              </w:tc>
              <w:tc>
                <w:tcPr>
                  <w:tcW w:w="1003" w:type="pct"/>
                  <w:vAlign w:val="center"/>
                </w:tcPr>
                <w:p>
                  <w:pPr>
                    <w:autoSpaceDE w:val="0"/>
                    <w:autoSpaceDN w:val="0"/>
                    <w:adjustRightInd w:val="0"/>
                    <w:snapToGrid w:val="0"/>
                    <w:jc w:val="center"/>
                    <w:rPr>
                      <w:szCs w:val="21"/>
                    </w:rPr>
                  </w:pPr>
                  <w:r>
                    <w:rPr>
                      <w:szCs w:val="21"/>
                    </w:rPr>
                    <w:t>括号中为园区污水管网接通时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75" w:type="pct"/>
                  <w:shd w:val="clear" w:color="auto" w:fill="auto"/>
                  <w:vAlign w:val="center"/>
                </w:tcPr>
                <w:p>
                  <w:pPr>
                    <w:autoSpaceDE w:val="0"/>
                    <w:autoSpaceDN w:val="0"/>
                    <w:adjustRightInd w:val="0"/>
                    <w:snapToGrid w:val="0"/>
                    <w:jc w:val="center"/>
                    <w:rPr>
                      <w:szCs w:val="21"/>
                    </w:rPr>
                  </w:pPr>
                  <w:r>
                    <w:rPr>
                      <w:szCs w:val="21"/>
                    </w:rPr>
                    <w:t>冷库冷凝用水</w:t>
                  </w:r>
                </w:p>
              </w:tc>
              <w:tc>
                <w:tcPr>
                  <w:tcW w:w="753" w:type="pct"/>
                  <w:vAlign w:val="center"/>
                </w:tcPr>
                <w:p>
                  <w:pPr>
                    <w:autoSpaceDE w:val="0"/>
                    <w:autoSpaceDN w:val="0"/>
                    <w:adjustRightInd w:val="0"/>
                    <w:snapToGrid w:val="0"/>
                    <w:jc w:val="center"/>
                    <w:rPr>
                      <w:szCs w:val="21"/>
                    </w:rPr>
                  </w:pPr>
                  <w:r>
                    <w:rPr>
                      <w:szCs w:val="21"/>
                    </w:rPr>
                    <w:t>0.016</w:t>
                  </w:r>
                </w:p>
              </w:tc>
              <w:tc>
                <w:tcPr>
                  <w:tcW w:w="630" w:type="pct"/>
                  <w:vAlign w:val="center"/>
                </w:tcPr>
                <w:p>
                  <w:pPr>
                    <w:autoSpaceDE w:val="0"/>
                    <w:autoSpaceDN w:val="0"/>
                    <w:adjustRightInd w:val="0"/>
                    <w:snapToGrid w:val="0"/>
                    <w:jc w:val="center"/>
                    <w:rPr>
                      <w:szCs w:val="21"/>
                    </w:rPr>
                  </w:pPr>
                  <w:r>
                    <w:rPr>
                      <w:szCs w:val="21"/>
                    </w:rPr>
                    <w:t>0</w:t>
                  </w:r>
                </w:p>
              </w:tc>
              <w:tc>
                <w:tcPr>
                  <w:tcW w:w="710" w:type="pct"/>
                  <w:vAlign w:val="center"/>
                </w:tcPr>
                <w:p>
                  <w:pPr>
                    <w:autoSpaceDE w:val="0"/>
                    <w:autoSpaceDN w:val="0"/>
                    <w:adjustRightInd w:val="0"/>
                    <w:snapToGrid w:val="0"/>
                    <w:jc w:val="center"/>
                    <w:rPr>
                      <w:szCs w:val="21"/>
                    </w:rPr>
                  </w:pPr>
                  <w:r>
                    <w:rPr>
                      <w:szCs w:val="21"/>
                    </w:rPr>
                    <w:t>0</w:t>
                  </w:r>
                </w:p>
              </w:tc>
              <w:tc>
                <w:tcPr>
                  <w:tcW w:w="929" w:type="pct"/>
                  <w:vAlign w:val="center"/>
                </w:tcPr>
                <w:p>
                  <w:pPr>
                    <w:autoSpaceDE w:val="0"/>
                    <w:autoSpaceDN w:val="0"/>
                    <w:adjustRightInd w:val="0"/>
                    <w:snapToGrid w:val="0"/>
                    <w:jc w:val="center"/>
                    <w:rPr>
                      <w:szCs w:val="21"/>
                    </w:rPr>
                  </w:pPr>
                  <w:r>
                    <w:rPr>
                      <w:szCs w:val="21"/>
                    </w:rPr>
                    <w:t>0</w:t>
                  </w:r>
                </w:p>
              </w:tc>
              <w:tc>
                <w:tcPr>
                  <w:tcW w:w="1003" w:type="pct"/>
                  <w:vAlign w:val="center"/>
                </w:tcPr>
                <w:p>
                  <w:pPr>
                    <w:autoSpaceDE w:val="0"/>
                    <w:autoSpaceDN w:val="0"/>
                    <w:adjustRightInd w:val="0"/>
                    <w:snapToGrid w:val="0"/>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 w:hRule="atLeast"/>
                <w:jc w:val="center"/>
              </w:trPr>
              <w:tc>
                <w:tcPr>
                  <w:tcW w:w="975" w:type="pct"/>
                  <w:shd w:val="clear" w:color="auto" w:fill="auto"/>
                  <w:vAlign w:val="center"/>
                </w:tcPr>
                <w:p>
                  <w:pPr>
                    <w:autoSpaceDE w:val="0"/>
                    <w:autoSpaceDN w:val="0"/>
                    <w:adjustRightInd w:val="0"/>
                    <w:snapToGrid w:val="0"/>
                    <w:jc w:val="center"/>
                    <w:rPr>
                      <w:szCs w:val="21"/>
                    </w:rPr>
                  </w:pPr>
                  <w:r>
                    <w:rPr>
                      <w:szCs w:val="21"/>
                    </w:rPr>
                    <w:t>初期雨水</w:t>
                  </w:r>
                </w:p>
              </w:tc>
              <w:tc>
                <w:tcPr>
                  <w:tcW w:w="753" w:type="pct"/>
                  <w:vAlign w:val="center"/>
                </w:tcPr>
                <w:p>
                  <w:pPr>
                    <w:autoSpaceDE w:val="0"/>
                    <w:autoSpaceDN w:val="0"/>
                    <w:adjustRightInd w:val="0"/>
                    <w:snapToGrid w:val="0"/>
                    <w:jc w:val="center"/>
                    <w:rPr>
                      <w:szCs w:val="21"/>
                    </w:rPr>
                  </w:pPr>
                  <w:r>
                    <w:rPr>
                      <w:szCs w:val="21"/>
                    </w:rPr>
                    <w:t>/</w:t>
                  </w:r>
                </w:p>
              </w:tc>
              <w:tc>
                <w:tcPr>
                  <w:tcW w:w="630" w:type="pct"/>
                  <w:vAlign w:val="center"/>
                </w:tcPr>
                <w:p>
                  <w:pPr>
                    <w:autoSpaceDE w:val="0"/>
                    <w:autoSpaceDN w:val="0"/>
                    <w:adjustRightInd w:val="0"/>
                    <w:snapToGrid w:val="0"/>
                    <w:jc w:val="center"/>
                    <w:rPr>
                      <w:szCs w:val="21"/>
                    </w:rPr>
                  </w:pPr>
                  <w:r>
                    <w:rPr>
                      <w:szCs w:val="21"/>
                    </w:rPr>
                    <w:t>/</w:t>
                  </w:r>
                </w:p>
              </w:tc>
              <w:tc>
                <w:tcPr>
                  <w:tcW w:w="710" w:type="pct"/>
                  <w:vAlign w:val="center"/>
                </w:tcPr>
                <w:p>
                  <w:pPr>
                    <w:autoSpaceDE w:val="0"/>
                    <w:autoSpaceDN w:val="0"/>
                    <w:adjustRightInd w:val="0"/>
                    <w:snapToGrid w:val="0"/>
                    <w:jc w:val="center"/>
                    <w:rPr>
                      <w:szCs w:val="21"/>
                    </w:rPr>
                  </w:pPr>
                  <w:r>
                    <w:rPr>
                      <w:szCs w:val="21"/>
                    </w:rPr>
                    <w:t>229.71（0）</w:t>
                  </w:r>
                </w:p>
              </w:tc>
              <w:tc>
                <w:tcPr>
                  <w:tcW w:w="929" w:type="pct"/>
                  <w:vAlign w:val="center"/>
                </w:tcPr>
                <w:p>
                  <w:pPr>
                    <w:autoSpaceDE w:val="0"/>
                    <w:autoSpaceDN w:val="0"/>
                    <w:adjustRightInd w:val="0"/>
                    <w:snapToGrid w:val="0"/>
                    <w:jc w:val="center"/>
                    <w:rPr>
                      <w:szCs w:val="21"/>
                    </w:rPr>
                  </w:pPr>
                  <w:r>
                    <w:rPr>
                      <w:szCs w:val="21"/>
                    </w:rPr>
                    <w:t>229.71（0）</w:t>
                  </w:r>
                </w:p>
              </w:tc>
              <w:tc>
                <w:tcPr>
                  <w:tcW w:w="1003" w:type="pct"/>
                  <w:vAlign w:val="center"/>
                </w:tcPr>
                <w:p>
                  <w:pPr>
                    <w:autoSpaceDE w:val="0"/>
                    <w:autoSpaceDN w:val="0"/>
                    <w:adjustRightInd w:val="0"/>
                    <w:snapToGrid w:val="0"/>
                    <w:jc w:val="center"/>
                    <w:rPr>
                      <w:szCs w:val="21"/>
                    </w:rPr>
                  </w:pPr>
                  <w:r>
                    <w:rPr>
                      <w:szCs w:val="21"/>
                    </w:rPr>
                    <w:t>括号中为非雨天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975" w:type="pct"/>
                  <w:vAlign w:val="center"/>
                </w:tcPr>
                <w:p>
                  <w:pPr>
                    <w:autoSpaceDE w:val="0"/>
                    <w:autoSpaceDN w:val="0"/>
                    <w:adjustRightInd w:val="0"/>
                    <w:snapToGrid w:val="0"/>
                    <w:jc w:val="center"/>
                    <w:rPr>
                      <w:szCs w:val="21"/>
                    </w:rPr>
                  </w:pPr>
                  <w:r>
                    <w:rPr>
                      <w:szCs w:val="21"/>
                    </w:rPr>
                    <w:t>合计</w:t>
                  </w:r>
                </w:p>
              </w:tc>
              <w:tc>
                <w:tcPr>
                  <w:tcW w:w="753" w:type="pct"/>
                  <w:vAlign w:val="center"/>
                </w:tcPr>
                <w:p>
                  <w:pPr>
                    <w:autoSpaceDE w:val="0"/>
                    <w:autoSpaceDN w:val="0"/>
                    <w:adjustRightInd w:val="0"/>
                    <w:snapToGrid w:val="0"/>
                    <w:jc w:val="center"/>
                    <w:rPr>
                      <w:szCs w:val="21"/>
                    </w:rPr>
                  </w:pPr>
                  <w:r>
                    <w:rPr>
                      <w:szCs w:val="21"/>
                    </w:rPr>
                    <w:t>5.08</w:t>
                  </w:r>
                </w:p>
              </w:tc>
              <w:tc>
                <w:tcPr>
                  <w:tcW w:w="630" w:type="pct"/>
                  <w:vAlign w:val="center"/>
                </w:tcPr>
                <w:p>
                  <w:pPr>
                    <w:autoSpaceDE w:val="0"/>
                    <w:autoSpaceDN w:val="0"/>
                    <w:adjustRightInd w:val="0"/>
                    <w:snapToGrid w:val="0"/>
                    <w:jc w:val="center"/>
                    <w:rPr>
                      <w:szCs w:val="21"/>
                    </w:rPr>
                  </w:pPr>
                  <w:r>
                    <w:rPr>
                      <w:szCs w:val="21"/>
                    </w:rPr>
                    <w:t>164</w:t>
                  </w:r>
                </w:p>
              </w:tc>
              <w:tc>
                <w:tcPr>
                  <w:tcW w:w="710" w:type="pct"/>
                  <w:vAlign w:val="center"/>
                </w:tcPr>
                <w:p>
                  <w:pPr>
                    <w:autoSpaceDE w:val="0"/>
                    <w:autoSpaceDN w:val="0"/>
                    <w:adjustRightInd w:val="0"/>
                    <w:snapToGrid w:val="0"/>
                    <w:jc w:val="center"/>
                    <w:rPr>
                      <w:szCs w:val="21"/>
                    </w:rPr>
                  </w:pPr>
                  <w:r>
                    <w:rPr>
                      <w:szCs w:val="21"/>
                    </w:rPr>
                    <w:t>234.98（5.27）</w:t>
                  </w:r>
                </w:p>
              </w:tc>
              <w:tc>
                <w:tcPr>
                  <w:tcW w:w="929" w:type="pct"/>
                  <w:vAlign w:val="center"/>
                </w:tcPr>
                <w:p>
                  <w:pPr>
                    <w:autoSpaceDE w:val="0"/>
                    <w:autoSpaceDN w:val="0"/>
                    <w:adjustRightInd w:val="0"/>
                    <w:snapToGrid w:val="0"/>
                    <w:jc w:val="center"/>
                    <w:rPr>
                      <w:szCs w:val="21"/>
                    </w:rPr>
                  </w:pPr>
                  <w:r>
                    <w:rPr>
                      <w:szCs w:val="21"/>
                    </w:rPr>
                    <w:t>234.98</w:t>
                  </w:r>
                </w:p>
                <w:p>
                  <w:pPr>
                    <w:autoSpaceDE w:val="0"/>
                    <w:autoSpaceDN w:val="0"/>
                    <w:adjustRightInd w:val="0"/>
                    <w:snapToGrid w:val="0"/>
                    <w:jc w:val="center"/>
                    <w:rPr>
                      <w:szCs w:val="21"/>
                    </w:rPr>
                  </w:pPr>
                  <w:r>
                    <w:rPr>
                      <w:szCs w:val="21"/>
                    </w:rPr>
                    <w:t>（5.27）</w:t>
                  </w:r>
                </w:p>
              </w:tc>
              <w:tc>
                <w:tcPr>
                  <w:tcW w:w="1003" w:type="pct"/>
                  <w:vAlign w:val="center"/>
                </w:tcPr>
                <w:p>
                  <w:pPr>
                    <w:autoSpaceDE w:val="0"/>
                    <w:autoSpaceDN w:val="0"/>
                    <w:adjustRightInd w:val="0"/>
                    <w:snapToGrid w:val="0"/>
                    <w:jc w:val="center"/>
                    <w:rPr>
                      <w:szCs w:val="21"/>
                    </w:rPr>
                  </w:pPr>
                  <w:r>
                    <w:rPr>
                      <w:szCs w:val="21"/>
                    </w:rPr>
                    <w:t>/</w:t>
                  </w:r>
                </w:p>
              </w:tc>
            </w:tr>
          </w:tbl>
          <w:p>
            <w:pPr>
              <w:spacing w:line="360" w:lineRule="auto"/>
              <w:ind w:firstLine="480" w:firstLineChars="200"/>
              <w:rPr>
                <w:sz w:val="24"/>
              </w:rPr>
            </w:pPr>
            <w:r>
              <w:rPr>
                <w:sz w:val="24"/>
              </w:rPr>
              <w:t>项目水平衡见下图2-4、图2-5、图2-6、图2-7、图2-8。</w:t>
            </w:r>
          </w:p>
          <w:p>
            <w:pPr>
              <w:spacing w:line="360" w:lineRule="auto"/>
              <w:ind w:firstLine="420" w:firstLineChars="200"/>
              <w:jc w:val="center"/>
              <w:rPr>
                <w:sz w:val="24"/>
              </w:rPr>
            </w:pPr>
            <w:r>
              <w:object>
                <v:shape id="_x0000_i1025" o:spt="75" type="#_x0000_t75" style="height:306.75pt;width:387pt;" o:ole="t" filled="f" coordsize="21600,21600">
                  <v:path/>
                  <v:fill on="f" focussize="0,0"/>
                  <v:stroke/>
                  <v:imagedata r:id="rId8" o:title=""/>
                  <o:lock v:ext="edit" aspectratio="f"/>
                  <w10:wrap type="none"/>
                  <w10:anchorlock/>
                </v:shape>
                <o:OLEObject Type="Embed" ProgID="Visio.Drawing.11" ShapeID="_x0000_i1025" DrawAspect="Content" ObjectID="_1468075725" r:id="rId7">
                  <o:LockedField>false</o:LockedField>
                </o:OLEObject>
              </w:object>
            </w:r>
          </w:p>
          <w:p>
            <w:pPr>
              <w:spacing w:line="360" w:lineRule="auto"/>
              <w:ind w:firstLine="482" w:firstLineChars="200"/>
              <w:rPr>
                <w:b/>
                <w:bCs/>
                <w:sz w:val="24"/>
              </w:rPr>
            </w:pPr>
            <w:r>
              <w:rPr>
                <w:b/>
                <w:bCs/>
                <w:sz w:val="24"/>
              </w:rPr>
              <w:t xml:space="preserve"> 图2-4 项目生物质锅炉水平衡图 （雨天使用锅炉时）   单位m</w:t>
            </w:r>
            <w:r>
              <w:rPr>
                <w:b/>
                <w:bCs/>
                <w:sz w:val="24"/>
                <w:vertAlign w:val="superscript"/>
              </w:rPr>
              <w:t>3</w:t>
            </w:r>
            <w:r>
              <w:rPr>
                <w:b/>
                <w:bCs/>
                <w:sz w:val="24"/>
              </w:rPr>
              <w:t>/d</w:t>
            </w:r>
          </w:p>
          <w:p>
            <w:pPr>
              <w:spacing w:line="360" w:lineRule="auto"/>
              <w:ind w:firstLine="420" w:firstLineChars="200"/>
              <w:rPr>
                <w:b/>
                <w:bCs/>
                <w:sz w:val="24"/>
              </w:rPr>
            </w:pPr>
            <w:r>
              <w:object>
                <v:shape id="_x0000_i1026" o:spt="75" type="#_x0000_t75" style="height:306.75pt;width:387pt;" o:ole="t" filled="f" coordsize="21600,21600">
                  <v:path/>
                  <v:fill on="f" focussize="0,0"/>
                  <v:stroke/>
                  <v:imagedata r:id="rId10" o:title=""/>
                  <o:lock v:ext="edit" aspectratio="f"/>
                  <w10:wrap type="none"/>
                  <w10:anchorlock/>
                </v:shape>
                <o:OLEObject Type="Embed" ProgID="Visio.Drawing.11" ShapeID="_x0000_i1026" DrawAspect="Content" ObjectID="_1468075726" r:id="rId9">
                  <o:LockedField>false</o:LockedField>
                </o:OLEObject>
              </w:object>
            </w:r>
          </w:p>
          <w:p>
            <w:pPr>
              <w:spacing w:line="360" w:lineRule="auto"/>
              <w:ind w:firstLine="482" w:firstLineChars="200"/>
              <w:rPr>
                <w:b/>
                <w:bCs/>
                <w:sz w:val="24"/>
              </w:rPr>
            </w:pPr>
            <w:r>
              <w:rPr>
                <w:b/>
                <w:bCs/>
                <w:sz w:val="24"/>
              </w:rPr>
              <w:t xml:space="preserve">  图2-5 项目生物质锅炉水平衡图 （雨天不使用锅炉时）   单位m</w:t>
            </w:r>
            <w:r>
              <w:rPr>
                <w:b/>
                <w:bCs/>
                <w:sz w:val="24"/>
                <w:vertAlign w:val="superscript"/>
              </w:rPr>
              <w:t>3</w:t>
            </w:r>
            <w:r>
              <w:rPr>
                <w:b/>
                <w:bCs/>
                <w:sz w:val="24"/>
              </w:rPr>
              <w:t>/d</w:t>
            </w:r>
          </w:p>
          <w:p>
            <w:pPr>
              <w:spacing w:line="360" w:lineRule="auto"/>
              <w:jc w:val="center"/>
              <w:rPr>
                <w:sz w:val="24"/>
              </w:rPr>
            </w:pPr>
            <w:r>
              <w:object>
                <v:shape id="_x0000_i1027" o:spt="75" type="#_x0000_t75" style="height:306.75pt;width:387pt;" o:ole="t" filled="f" coordsize="21600,21600">
                  <v:path/>
                  <v:fill on="f" focussize="0,0"/>
                  <v:stroke/>
                  <v:imagedata r:id="rId12" o:title=""/>
                  <o:lock v:ext="edit" aspectratio="f"/>
                  <w10:wrap type="none"/>
                  <w10:anchorlock/>
                </v:shape>
                <o:OLEObject Type="Embed" ProgID="Visio.Drawing.11" ShapeID="_x0000_i1027" DrawAspect="Content" ObjectID="_1468075727" r:id="rId11">
                  <o:LockedField>false</o:LockedField>
                </o:OLEObject>
              </w:object>
            </w:r>
            <w:r>
              <w:rPr>
                <w:sz w:val="24"/>
              </w:rPr>
              <w:t xml:space="preserve">   </w:t>
            </w:r>
          </w:p>
          <w:p>
            <w:pPr>
              <w:spacing w:line="360" w:lineRule="auto"/>
              <w:jc w:val="center"/>
              <w:rPr>
                <w:b/>
                <w:bCs/>
                <w:sz w:val="24"/>
              </w:rPr>
            </w:pPr>
            <w:r>
              <w:rPr>
                <w:b/>
                <w:bCs/>
                <w:sz w:val="24"/>
              </w:rPr>
              <w:t>图2-6  项目生物质锅炉水平衡图 （非雨天使用锅炉时）   单位m</w:t>
            </w:r>
            <w:r>
              <w:rPr>
                <w:b/>
                <w:bCs/>
                <w:sz w:val="24"/>
                <w:vertAlign w:val="superscript"/>
              </w:rPr>
              <w:t>3</w:t>
            </w:r>
            <w:r>
              <w:rPr>
                <w:b/>
                <w:bCs/>
                <w:sz w:val="24"/>
              </w:rPr>
              <w:t>/d</w:t>
            </w:r>
          </w:p>
          <w:p>
            <w:pPr>
              <w:pStyle w:val="12"/>
              <w:spacing w:line="360" w:lineRule="auto"/>
              <w:jc w:val="center"/>
              <w:rPr>
                <w:rFonts w:ascii="Times New Roman" w:hAnsi="Times New Roman"/>
              </w:rPr>
            </w:pPr>
            <w:r>
              <w:rPr>
                <w:rFonts w:ascii="Times New Roman" w:hAnsi="Times New Roman"/>
              </w:rPr>
              <w:object>
                <v:shape id="_x0000_i1028" o:spt="75" type="#_x0000_t75" style="height:275.25pt;width:381.75pt;" o:ole="t" filled="f" coordsize="21600,21600">
                  <v:path/>
                  <v:fill on="f" focussize="0,0"/>
                  <v:stroke/>
                  <v:imagedata r:id="rId14" o:title=""/>
                  <o:lock v:ext="edit" aspectratio="f"/>
                  <w10:wrap type="none"/>
                  <w10:anchorlock/>
                </v:shape>
                <o:OLEObject Type="Embed" ProgID="Visio.Drawing.11" ShapeID="_x0000_i1028" DrawAspect="Content" ObjectID="_1468075728" r:id="rId13">
                  <o:LockedField>false</o:LockedField>
                </o:OLEObject>
              </w:object>
            </w:r>
          </w:p>
          <w:p>
            <w:pPr>
              <w:pStyle w:val="12"/>
              <w:spacing w:line="360" w:lineRule="auto"/>
              <w:jc w:val="center"/>
              <w:rPr>
                <w:rFonts w:ascii="Times New Roman" w:hAnsi="Times New Roman"/>
                <w:b/>
                <w:bCs/>
                <w:sz w:val="24"/>
              </w:rPr>
            </w:pPr>
            <w:r>
              <w:rPr>
                <w:rFonts w:ascii="Times New Roman" w:hAnsi="Times New Roman"/>
                <w:b/>
                <w:bCs/>
                <w:sz w:val="24"/>
              </w:rPr>
              <w:t>图2-7 项目生物质锅炉水平衡图 （非雨天不使用锅炉时）   单位m</w:t>
            </w:r>
            <w:r>
              <w:rPr>
                <w:rFonts w:ascii="Times New Roman" w:hAnsi="Times New Roman"/>
                <w:b/>
                <w:bCs/>
                <w:sz w:val="24"/>
                <w:vertAlign w:val="superscript"/>
              </w:rPr>
              <w:t>3</w:t>
            </w:r>
            <w:r>
              <w:rPr>
                <w:rFonts w:ascii="Times New Roman" w:hAnsi="Times New Roman"/>
                <w:b/>
                <w:bCs/>
                <w:sz w:val="24"/>
              </w:rPr>
              <w:t>/d</w:t>
            </w:r>
          </w:p>
          <w:p>
            <w:pPr>
              <w:pStyle w:val="13"/>
              <w:spacing w:line="360" w:lineRule="auto"/>
              <w:jc w:val="center"/>
              <w:rPr>
                <w:rFonts w:ascii="Times New Roman"/>
                <w:color w:val="auto"/>
              </w:rPr>
            </w:pPr>
            <w:r>
              <w:rPr>
                <w:rFonts w:ascii="Times New Roman"/>
                <w:color w:val="auto"/>
              </w:rPr>
              <w:object>
                <v:shape id="_x0000_i1029" o:spt="75" type="#_x0000_t75" style="height:279.75pt;width:397.5pt;" o:ole="t" filled="f" coordsize="21600,21600">
                  <v:path/>
                  <v:fill on="f" focussize="0,0"/>
                  <v:stroke/>
                  <v:imagedata r:id="rId16" o:title=""/>
                  <o:lock v:ext="edit" aspectratio="f"/>
                  <w10:wrap type="none"/>
                  <w10:anchorlock/>
                </v:shape>
                <o:OLEObject Type="Embed" ProgID="Visio.Drawing.11" ShapeID="_x0000_i1029" DrawAspect="Content" ObjectID="_1468075729" r:id="rId15">
                  <o:LockedField>false</o:LockedField>
                </o:OLEObject>
              </w:object>
            </w:r>
          </w:p>
          <w:p>
            <w:pPr>
              <w:pStyle w:val="13"/>
              <w:spacing w:line="360" w:lineRule="auto"/>
              <w:jc w:val="center"/>
              <w:rPr>
                <w:rFonts w:ascii="Times New Roman"/>
                <w:b/>
                <w:bCs/>
                <w:color w:val="auto"/>
                <w:kern w:val="2"/>
              </w:rPr>
            </w:pPr>
            <w:r>
              <w:rPr>
                <w:rFonts w:ascii="Times New Roman"/>
                <w:b/>
                <w:bCs/>
                <w:color w:val="auto"/>
                <w:kern w:val="2"/>
              </w:rPr>
              <w:t>图2-8 项目使用生物质锅炉全年水平衡图 （括号内废水为情况二）   单位m</w:t>
            </w:r>
            <w:r>
              <w:rPr>
                <w:rFonts w:ascii="Times New Roman"/>
                <w:b/>
                <w:bCs/>
                <w:color w:val="auto"/>
                <w:kern w:val="2"/>
                <w:vertAlign w:val="superscript"/>
              </w:rPr>
              <w:t>3</w:t>
            </w:r>
            <w:r>
              <w:rPr>
                <w:rFonts w:ascii="Times New Roman"/>
                <w:b/>
                <w:bCs/>
                <w:color w:val="auto"/>
                <w:kern w:val="2"/>
              </w:rPr>
              <w:t>/a</w:t>
            </w:r>
          </w:p>
          <w:p>
            <w:pPr>
              <w:pStyle w:val="13"/>
              <w:spacing w:line="360" w:lineRule="auto"/>
              <w:ind w:firstLine="480" w:firstLineChars="200"/>
              <w:jc w:val="both"/>
              <w:rPr>
                <w:rFonts w:ascii="Times New Roman"/>
                <w:color w:val="auto"/>
              </w:rPr>
            </w:pPr>
            <w:r>
              <w:rPr>
                <w:rFonts w:ascii="Times New Roman"/>
                <w:color w:val="auto"/>
              </w:rPr>
              <w:t>根据水平衡图分析，在污水管网未接通时，项目年新鲜水用量为</w:t>
            </w:r>
            <w:r>
              <w:rPr>
                <w:rFonts w:ascii="Times New Roman" w:eastAsiaTheme="minorEastAsia"/>
                <w:color w:val="auto"/>
                <w:szCs w:val="21"/>
              </w:rPr>
              <w:t>43836.55</w:t>
            </w:r>
            <w:r>
              <w:rPr>
                <w:rFonts w:ascii="Times New Roman"/>
                <w:color w:val="auto"/>
              </w:rPr>
              <w:t>m</w:t>
            </w:r>
            <w:r>
              <w:rPr>
                <w:rFonts w:ascii="Times New Roman"/>
                <w:color w:val="auto"/>
                <w:vertAlign w:val="superscript"/>
              </w:rPr>
              <w:t>3</w:t>
            </w:r>
            <w:r>
              <w:rPr>
                <w:rFonts w:ascii="Times New Roman"/>
                <w:color w:val="auto"/>
              </w:rPr>
              <w:t>/a，污水产生量为</w:t>
            </w:r>
            <w:r>
              <w:rPr>
                <w:rFonts w:ascii="Times New Roman" w:eastAsiaTheme="minorEastAsia"/>
                <w:color w:val="auto"/>
                <w:szCs w:val="21"/>
              </w:rPr>
              <w:t>47913.35</w:t>
            </w:r>
            <w:r>
              <w:rPr>
                <w:rFonts w:ascii="Times New Roman"/>
                <w:color w:val="auto"/>
              </w:rPr>
              <w:t>m</w:t>
            </w:r>
            <w:r>
              <w:rPr>
                <w:rFonts w:ascii="Times New Roman"/>
                <w:color w:val="auto"/>
                <w:vertAlign w:val="superscript"/>
              </w:rPr>
              <w:t>3</w:t>
            </w:r>
            <w:r>
              <w:rPr>
                <w:rFonts w:ascii="Times New Roman"/>
                <w:color w:val="auto"/>
              </w:rPr>
              <w:t>/a，产生的污水回用至花卉种植用水环节，无废水外排；在污水管网接通后，项目年新鲜水用量为</w:t>
            </w:r>
            <w:r>
              <w:rPr>
                <w:rFonts w:ascii="Times New Roman"/>
                <w:color w:val="auto"/>
                <w:szCs w:val="21"/>
              </w:rPr>
              <w:t>42726.95</w:t>
            </w:r>
            <w:r>
              <w:rPr>
                <w:rFonts w:ascii="Times New Roman"/>
                <w:color w:val="auto"/>
              </w:rPr>
              <w:t>m</w:t>
            </w:r>
            <w:r>
              <w:rPr>
                <w:rFonts w:ascii="Times New Roman"/>
                <w:color w:val="auto"/>
                <w:vertAlign w:val="superscript"/>
              </w:rPr>
              <w:t>3</w:t>
            </w:r>
            <w:r>
              <w:rPr>
                <w:rFonts w:ascii="Times New Roman"/>
                <w:color w:val="auto"/>
              </w:rPr>
              <w:t>/a，污水产生量为</w:t>
            </w:r>
            <w:r>
              <w:rPr>
                <w:rFonts w:ascii="Times New Roman" w:eastAsiaTheme="minorEastAsia"/>
                <w:color w:val="auto"/>
                <w:szCs w:val="21"/>
              </w:rPr>
              <w:t>47026.4</w:t>
            </w:r>
            <w:r>
              <w:rPr>
                <w:rFonts w:ascii="Times New Roman"/>
                <w:color w:val="auto"/>
              </w:rPr>
              <w:t>m</w:t>
            </w:r>
            <w:r>
              <w:rPr>
                <w:rFonts w:ascii="Times New Roman"/>
                <w:color w:val="auto"/>
                <w:vertAlign w:val="superscript"/>
              </w:rPr>
              <w:t>3</w:t>
            </w:r>
            <w:r>
              <w:rPr>
                <w:rFonts w:ascii="Times New Roman"/>
                <w:color w:val="auto"/>
              </w:rPr>
              <w:t>/a，</w:t>
            </w:r>
            <w:r>
              <w:rPr>
                <w:rFonts w:hint="eastAsia" w:ascii="Times New Roman"/>
                <w:color w:val="auto"/>
              </w:rPr>
              <w:t>生活污水经过处理后</w:t>
            </w:r>
            <w:r>
              <w:rPr>
                <w:rFonts w:ascii="Times New Roman"/>
                <w:color w:val="auto"/>
              </w:rPr>
              <w:t>排入市政管网，进入污水处理厂进行处理。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3"/>
              <w:adjustRightInd w:val="0"/>
              <w:snapToGrid w:val="0"/>
              <w:spacing w:before="0" w:beforeAutospacing="0" w:after="0" w:afterAutospacing="0" w:line="360" w:lineRule="auto"/>
              <w:jc w:val="center"/>
              <w:rPr>
                <w:rFonts w:ascii="Times New Roman" w:hAnsi="Times New Roman"/>
                <w:bCs/>
                <w:kern w:val="2"/>
                <w:szCs w:val="24"/>
              </w:rPr>
            </w:pPr>
            <w:bookmarkStart w:id="220" w:name="_Toc26550"/>
            <w:bookmarkStart w:id="221" w:name="_Toc209"/>
            <w:r>
              <w:rPr>
                <w:rFonts w:ascii="Times New Roman" w:hAnsi="Times New Roman"/>
                <w:szCs w:val="24"/>
              </w:rPr>
              <w:t>与项目有关的原有环境污染问题</w:t>
            </w:r>
          </w:p>
        </w:tc>
        <w:tc>
          <w:tcPr>
            <w:tcW w:w="8953" w:type="dxa"/>
          </w:tcPr>
          <w:p>
            <w:pPr>
              <w:adjustRightInd w:val="0"/>
              <w:snapToGrid w:val="0"/>
              <w:spacing w:line="360" w:lineRule="auto"/>
              <w:rPr>
                <w:kern w:val="0"/>
                <w:sz w:val="24"/>
              </w:rPr>
            </w:pPr>
            <w:r>
              <w:rPr>
                <w:kern w:val="0"/>
                <w:sz w:val="24"/>
              </w:rPr>
              <w:t>项目为新建</w:t>
            </w:r>
            <w:r>
              <w:rPr>
                <w:rFonts w:hint="eastAsia"/>
                <w:kern w:val="0"/>
                <w:sz w:val="24"/>
              </w:rPr>
              <w:t>项目，</w:t>
            </w:r>
            <w:r>
              <w:rPr>
                <w:kern w:val="0"/>
                <w:sz w:val="24"/>
              </w:rPr>
              <w:t>无</w:t>
            </w:r>
            <w:r>
              <w:rPr>
                <w:rFonts w:hint="eastAsia"/>
                <w:kern w:val="0"/>
                <w:sz w:val="24"/>
              </w:rPr>
              <w:t>与项目有关的</w:t>
            </w:r>
            <w:r>
              <w:rPr>
                <w:kern w:val="0"/>
                <w:sz w:val="24"/>
              </w:rPr>
              <w:t>原有</w:t>
            </w:r>
            <w:r>
              <w:rPr>
                <w:rFonts w:hint="eastAsia"/>
                <w:kern w:val="0"/>
                <w:sz w:val="24"/>
              </w:rPr>
              <w:t>环境</w:t>
            </w:r>
            <w:r>
              <w:rPr>
                <w:kern w:val="0"/>
                <w:sz w:val="24"/>
              </w:rPr>
              <w:t>污染问题</w:t>
            </w:r>
            <w:r>
              <w:rPr>
                <w:rFonts w:hint="eastAsia"/>
                <w:kern w:val="0"/>
                <w:sz w:val="24"/>
              </w:rPr>
              <w:t>。</w:t>
            </w:r>
          </w:p>
          <w:p>
            <w:pPr>
              <w:adjustRightInd w:val="0"/>
              <w:snapToGrid w:val="0"/>
              <w:spacing w:line="360" w:lineRule="auto"/>
              <w:rPr>
                <w:kern w:val="0"/>
                <w:sz w:val="24"/>
              </w:rPr>
            </w:pPr>
          </w:p>
          <w:p>
            <w:pPr>
              <w:adjustRightInd w:val="0"/>
              <w:snapToGrid w:val="0"/>
              <w:spacing w:line="360" w:lineRule="auto"/>
              <w:rPr>
                <w:kern w:val="0"/>
                <w:sz w:val="24"/>
              </w:rPr>
            </w:pPr>
          </w:p>
          <w:p>
            <w:pPr>
              <w:adjustRightInd w:val="0"/>
              <w:snapToGrid w:val="0"/>
              <w:spacing w:line="360" w:lineRule="auto"/>
              <w:rPr>
                <w:kern w:val="0"/>
                <w:sz w:val="24"/>
              </w:rPr>
            </w:pPr>
          </w:p>
          <w:p>
            <w:pPr>
              <w:adjustRightInd w:val="0"/>
              <w:snapToGrid w:val="0"/>
              <w:spacing w:line="360" w:lineRule="auto"/>
              <w:rPr>
                <w:kern w:val="0"/>
                <w:sz w:val="24"/>
              </w:rPr>
            </w:pPr>
          </w:p>
          <w:p>
            <w:pPr>
              <w:adjustRightInd w:val="0"/>
              <w:snapToGrid w:val="0"/>
              <w:spacing w:line="360" w:lineRule="auto"/>
              <w:rPr>
                <w:kern w:val="0"/>
                <w:sz w:val="24"/>
              </w:rPr>
            </w:pPr>
          </w:p>
          <w:p>
            <w:pPr>
              <w:adjustRightInd w:val="0"/>
              <w:snapToGrid w:val="0"/>
              <w:spacing w:line="360" w:lineRule="auto"/>
              <w:rPr>
                <w:kern w:val="0"/>
                <w:sz w:val="24"/>
              </w:rPr>
            </w:pPr>
          </w:p>
          <w:p>
            <w:pPr>
              <w:adjustRightInd w:val="0"/>
              <w:snapToGrid w:val="0"/>
              <w:spacing w:line="360" w:lineRule="auto"/>
              <w:rPr>
                <w:kern w:val="0"/>
                <w:sz w:val="24"/>
              </w:rPr>
            </w:pPr>
          </w:p>
          <w:p>
            <w:pPr>
              <w:adjustRightInd w:val="0"/>
              <w:snapToGrid w:val="0"/>
              <w:spacing w:line="360" w:lineRule="auto"/>
              <w:rPr>
                <w:kern w:val="0"/>
                <w:sz w:val="24"/>
              </w:rPr>
            </w:pPr>
          </w:p>
          <w:p>
            <w:pPr>
              <w:adjustRightInd w:val="0"/>
              <w:snapToGrid w:val="0"/>
              <w:spacing w:line="360" w:lineRule="auto"/>
              <w:rPr>
                <w:kern w:val="0"/>
                <w:sz w:val="24"/>
              </w:rPr>
            </w:pPr>
          </w:p>
          <w:p>
            <w:pPr>
              <w:pStyle w:val="13"/>
              <w:rPr>
                <w:rFonts w:ascii="Times New Roman"/>
                <w:color w:val="auto"/>
              </w:rPr>
            </w:pPr>
          </w:p>
          <w:p>
            <w:pPr>
              <w:pStyle w:val="13"/>
              <w:rPr>
                <w:rFonts w:ascii="Times New Roman"/>
                <w:color w:val="auto"/>
              </w:rPr>
            </w:pPr>
          </w:p>
          <w:p>
            <w:pPr>
              <w:pStyle w:val="13"/>
              <w:rPr>
                <w:rFonts w:ascii="Times New Roman"/>
                <w:color w:val="auto"/>
              </w:rPr>
            </w:pPr>
          </w:p>
          <w:p>
            <w:pPr>
              <w:pStyle w:val="13"/>
              <w:rPr>
                <w:rFonts w:ascii="Times New Roman"/>
                <w:color w:val="auto"/>
              </w:rPr>
            </w:pPr>
          </w:p>
        </w:tc>
      </w:tr>
    </w:tbl>
    <w:p>
      <w:pPr>
        <w:spacing w:line="360" w:lineRule="auto"/>
        <w:rPr>
          <w:rFonts w:eastAsiaTheme="majorEastAsia"/>
          <w:b/>
          <w:bCs/>
          <w:snapToGrid w:val="0"/>
          <w:kern w:val="0"/>
          <w:sz w:val="30"/>
          <w:szCs w:val="30"/>
        </w:rPr>
      </w:pPr>
    </w:p>
    <w:p>
      <w:pPr>
        <w:widowControl/>
        <w:jc w:val="center"/>
        <w:outlineLvl w:val="0"/>
        <w:rPr>
          <w:rFonts w:eastAsiaTheme="majorEastAsia"/>
          <w:b/>
          <w:bCs/>
          <w:snapToGrid w:val="0"/>
          <w:kern w:val="0"/>
          <w:sz w:val="30"/>
          <w:szCs w:val="30"/>
        </w:rPr>
      </w:pPr>
      <w:r>
        <w:rPr>
          <w:rFonts w:eastAsiaTheme="majorEastAsia"/>
          <w:b/>
          <w:bCs/>
          <w:snapToGrid w:val="0"/>
          <w:kern w:val="0"/>
          <w:sz w:val="30"/>
          <w:szCs w:val="30"/>
        </w:rPr>
        <w:br w:type="page"/>
      </w:r>
      <w:bookmarkStart w:id="222" w:name="_Toc144233329"/>
      <w:r>
        <w:rPr>
          <w:rFonts w:eastAsiaTheme="majorEastAsia"/>
          <w:b/>
          <w:bCs/>
          <w:snapToGrid w:val="0"/>
          <w:kern w:val="0"/>
          <w:sz w:val="30"/>
          <w:szCs w:val="30"/>
        </w:rPr>
        <w:t>三、区域环境质量现状、环境保护目标及评价标准</w:t>
      </w:r>
      <w:bookmarkEnd w:id="220"/>
      <w:bookmarkEnd w:id="221"/>
      <w:bookmarkEnd w:id="222"/>
    </w:p>
    <w:tbl>
      <w:tblPr>
        <w:tblStyle w:val="27"/>
        <w:tblW w:w="4981"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2"/>
        <w:gridCol w:w="87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18" w:type="pct"/>
            <w:vAlign w:val="center"/>
          </w:tcPr>
          <w:p>
            <w:pPr>
              <w:adjustRightInd w:val="0"/>
              <w:snapToGrid w:val="0"/>
              <w:spacing w:line="360" w:lineRule="auto"/>
              <w:jc w:val="center"/>
              <w:rPr>
                <w:kern w:val="0"/>
                <w:sz w:val="24"/>
              </w:rPr>
            </w:pPr>
            <w:r>
              <w:rPr>
                <w:kern w:val="0"/>
                <w:sz w:val="24"/>
              </w:rPr>
              <w:t>区</w:t>
            </w:r>
          </w:p>
          <w:p>
            <w:pPr>
              <w:adjustRightInd w:val="0"/>
              <w:snapToGrid w:val="0"/>
              <w:spacing w:line="360" w:lineRule="auto"/>
              <w:jc w:val="center"/>
              <w:rPr>
                <w:kern w:val="0"/>
                <w:sz w:val="24"/>
              </w:rPr>
            </w:pPr>
            <w:r>
              <w:rPr>
                <w:kern w:val="0"/>
                <w:sz w:val="24"/>
              </w:rPr>
              <w:t>域</w:t>
            </w:r>
          </w:p>
          <w:p>
            <w:pPr>
              <w:adjustRightInd w:val="0"/>
              <w:snapToGrid w:val="0"/>
              <w:spacing w:line="360" w:lineRule="auto"/>
              <w:jc w:val="center"/>
              <w:rPr>
                <w:kern w:val="0"/>
                <w:sz w:val="24"/>
              </w:rPr>
            </w:pPr>
            <w:r>
              <w:rPr>
                <w:kern w:val="0"/>
                <w:sz w:val="24"/>
              </w:rPr>
              <w:t>环</w:t>
            </w:r>
          </w:p>
          <w:p>
            <w:pPr>
              <w:adjustRightInd w:val="0"/>
              <w:snapToGrid w:val="0"/>
              <w:spacing w:line="360" w:lineRule="auto"/>
              <w:jc w:val="center"/>
              <w:rPr>
                <w:kern w:val="0"/>
                <w:sz w:val="24"/>
              </w:rPr>
            </w:pPr>
            <w:r>
              <w:rPr>
                <w:kern w:val="0"/>
                <w:sz w:val="24"/>
              </w:rPr>
              <w:t>境</w:t>
            </w:r>
          </w:p>
          <w:p>
            <w:pPr>
              <w:adjustRightInd w:val="0"/>
              <w:snapToGrid w:val="0"/>
              <w:spacing w:line="360" w:lineRule="auto"/>
              <w:jc w:val="center"/>
              <w:rPr>
                <w:kern w:val="0"/>
                <w:sz w:val="24"/>
              </w:rPr>
            </w:pPr>
            <w:r>
              <w:rPr>
                <w:kern w:val="0"/>
                <w:sz w:val="24"/>
              </w:rPr>
              <w:t>质</w:t>
            </w:r>
          </w:p>
          <w:p>
            <w:pPr>
              <w:adjustRightInd w:val="0"/>
              <w:snapToGrid w:val="0"/>
              <w:spacing w:line="360" w:lineRule="auto"/>
              <w:jc w:val="center"/>
              <w:rPr>
                <w:kern w:val="0"/>
                <w:sz w:val="24"/>
              </w:rPr>
            </w:pPr>
            <w:r>
              <w:rPr>
                <w:kern w:val="0"/>
                <w:sz w:val="24"/>
              </w:rPr>
              <w:t>量</w:t>
            </w:r>
          </w:p>
          <w:p>
            <w:pPr>
              <w:adjustRightInd w:val="0"/>
              <w:snapToGrid w:val="0"/>
              <w:spacing w:line="360" w:lineRule="auto"/>
              <w:jc w:val="center"/>
              <w:rPr>
                <w:kern w:val="0"/>
                <w:sz w:val="24"/>
              </w:rPr>
            </w:pPr>
            <w:r>
              <w:rPr>
                <w:kern w:val="0"/>
                <w:sz w:val="24"/>
              </w:rPr>
              <w:t>现</w:t>
            </w:r>
          </w:p>
          <w:p>
            <w:pPr>
              <w:adjustRightInd w:val="0"/>
              <w:snapToGrid w:val="0"/>
              <w:spacing w:line="360" w:lineRule="auto"/>
              <w:jc w:val="center"/>
              <w:rPr>
                <w:kern w:val="0"/>
                <w:sz w:val="24"/>
              </w:rPr>
            </w:pPr>
            <w:r>
              <w:rPr>
                <w:kern w:val="0"/>
                <w:sz w:val="24"/>
              </w:rPr>
              <w:t>状</w:t>
            </w:r>
          </w:p>
        </w:tc>
        <w:tc>
          <w:tcPr>
            <w:tcW w:w="4581" w:type="pct"/>
            <w:vAlign w:val="center"/>
          </w:tcPr>
          <w:p>
            <w:pPr>
              <w:numPr>
                <w:ilvl w:val="0"/>
                <w:numId w:val="7"/>
              </w:numPr>
              <w:adjustRightInd w:val="0"/>
              <w:snapToGrid w:val="0"/>
              <w:spacing w:line="360" w:lineRule="auto"/>
              <w:jc w:val="left"/>
              <w:rPr>
                <w:rFonts w:eastAsiaTheme="minorEastAsia"/>
                <w:b/>
                <w:bCs/>
                <w:kern w:val="0"/>
                <w:sz w:val="24"/>
              </w:rPr>
            </w:pPr>
            <w:r>
              <w:rPr>
                <w:rFonts w:eastAsiaTheme="minorEastAsia"/>
                <w:b/>
                <w:bCs/>
                <w:kern w:val="0"/>
                <w:sz w:val="24"/>
              </w:rPr>
              <w:t>环境空气质量现状</w:t>
            </w:r>
          </w:p>
          <w:p>
            <w:pPr>
              <w:pStyle w:val="23"/>
              <w:shd w:val="clear" w:color="auto" w:fill="FFFFFF"/>
              <w:spacing w:before="0" w:beforeAutospacing="0" w:after="0" w:afterAutospacing="0" w:line="360" w:lineRule="auto"/>
              <w:ind w:firstLine="420"/>
              <w:rPr>
                <w:rFonts w:ascii="Times New Roman" w:hAnsi="Times New Roman" w:eastAsiaTheme="minorEastAsia"/>
                <w:szCs w:val="24"/>
              </w:rPr>
            </w:pPr>
            <w:r>
              <w:rPr>
                <w:rFonts w:ascii="Times New Roman" w:hAnsi="Times New Roman" w:eastAsiaTheme="minorEastAsia"/>
                <w:szCs w:val="24"/>
              </w:rPr>
              <w:t>项目建设于楚雄州光禄镇福光村委会，为商业、交通、居民混合区，根据《环境空气质量标准》（GB3095-2012）中环境空气功能区划分，该区域大气环境功能区划为二类区，执行GB3095-2012《环境空气质量标准》二级标准。根据《姚安县2022年环境质量状况》：姚安县开展监测的城区环境空气质量点位为县国家综合档案馆六楼楼顶，为省控监测点位，监测项目包含可吸入颗粒物（PM</w:t>
            </w:r>
            <w:r>
              <w:rPr>
                <w:rFonts w:ascii="Times New Roman" w:hAnsi="Times New Roman" w:eastAsiaTheme="minorEastAsia"/>
                <w:szCs w:val="24"/>
                <w:vertAlign w:val="subscript"/>
              </w:rPr>
              <w:t>10</w:t>
            </w:r>
            <w:r>
              <w:rPr>
                <w:rFonts w:ascii="Times New Roman" w:hAnsi="Times New Roman" w:eastAsiaTheme="minorEastAsia"/>
                <w:szCs w:val="24"/>
              </w:rPr>
              <w:t>）、细颗粒物（PM</w:t>
            </w:r>
            <w:r>
              <w:rPr>
                <w:rFonts w:ascii="Times New Roman" w:hAnsi="Times New Roman" w:eastAsiaTheme="minorEastAsia"/>
                <w:szCs w:val="24"/>
                <w:vertAlign w:val="subscript"/>
              </w:rPr>
              <w:t>2.5</w:t>
            </w:r>
            <w:r>
              <w:rPr>
                <w:rFonts w:ascii="Times New Roman" w:hAnsi="Times New Roman" w:eastAsiaTheme="minorEastAsia"/>
                <w:szCs w:val="24"/>
              </w:rPr>
              <w:t>）、二氧化硫（SO</w:t>
            </w:r>
            <w:r>
              <w:rPr>
                <w:rFonts w:ascii="Times New Roman" w:hAnsi="Times New Roman" w:eastAsiaTheme="minorEastAsia"/>
                <w:szCs w:val="24"/>
                <w:vertAlign w:val="subscript"/>
              </w:rPr>
              <w:t>2</w:t>
            </w:r>
            <w:r>
              <w:rPr>
                <w:rFonts w:ascii="Times New Roman" w:hAnsi="Times New Roman" w:eastAsiaTheme="minorEastAsia"/>
                <w:szCs w:val="24"/>
              </w:rPr>
              <w:t>）、二氧化氮（NO</w:t>
            </w:r>
            <w:r>
              <w:rPr>
                <w:rFonts w:ascii="Times New Roman" w:hAnsi="Times New Roman" w:eastAsiaTheme="minorEastAsia"/>
                <w:szCs w:val="24"/>
                <w:vertAlign w:val="subscript"/>
              </w:rPr>
              <w:t>2</w:t>
            </w:r>
            <w:r>
              <w:rPr>
                <w:rFonts w:ascii="Times New Roman" w:hAnsi="Times New Roman" w:eastAsiaTheme="minorEastAsia"/>
                <w:szCs w:val="24"/>
              </w:rPr>
              <w:t>）、一氧化碳（CO）、臭氧（O</w:t>
            </w:r>
            <w:r>
              <w:rPr>
                <w:rFonts w:ascii="Times New Roman" w:hAnsi="Times New Roman" w:eastAsiaTheme="minorEastAsia"/>
                <w:szCs w:val="24"/>
                <w:vertAlign w:val="subscript"/>
              </w:rPr>
              <w:t>3</w:t>
            </w:r>
            <w:r>
              <w:rPr>
                <w:rFonts w:ascii="Times New Roman" w:hAnsi="Times New Roman" w:eastAsiaTheme="minorEastAsia"/>
                <w:szCs w:val="24"/>
              </w:rPr>
              <w:t>）等常规6项、气象五参数（温度、湿度、气压、风向、风速）、能见度，监测频次为24小时连续自动监测，并实时上传和发布数据。</w:t>
            </w:r>
          </w:p>
          <w:p>
            <w:pPr>
              <w:pStyle w:val="23"/>
              <w:shd w:val="clear" w:color="auto" w:fill="FFFFFF"/>
              <w:spacing w:before="0" w:beforeAutospacing="0" w:after="0" w:afterAutospacing="0" w:line="360" w:lineRule="auto"/>
              <w:ind w:firstLine="420"/>
              <w:rPr>
                <w:rFonts w:ascii="Times New Roman" w:hAnsi="Times New Roman" w:eastAsiaTheme="minorEastAsia"/>
                <w:szCs w:val="24"/>
              </w:rPr>
            </w:pPr>
            <w:r>
              <w:rPr>
                <w:rFonts w:ascii="Times New Roman" w:hAnsi="Times New Roman" w:eastAsiaTheme="minorEastAsia"/>
                <w:szCs w:val="24"/>
              </w:rPr>
              <w:t>（一）环境空气质量优良率情况</w:t>
            </w:r>
          </w:p>
          <w:p>
            <w:pPr>
              <w:pStyle w:val="23"/>
              <w:shd w:val="clear" w:color="auto" w:fill="FFFFFF"/>
              <w:spacing w:before="0" w:beforeAutospacing="0" w:after="0" w:afterAutospacing="0" w:line="360" w:lineRule="auto"/>
              <w:ind w:firstLine="420"/>
              <w:rPr>
                <w:rFonts w:ascii="Times New Roman" w:hAnsi="Times New Roman" w:eastAsiaTheme="minorEastAsia"/>
                <w:szCs w:val="24"/>
              </w:rPr>
            </w:pPr>
            <w:r>
              <w:rPr>
                <w:rFonts w:ascii="Times New Roman" w:hAnsi="Times New Roman" w:eastAsiaTheme="minorEastAsia"/>
                <w:szCs w:val="24"/>
              </w:rPr>
              <w:t>2022年，姚安县环境空气质量优良率为100%，比2021年的99.7%上升0.3个百分点，2022年姚安县城区环境空气质量优良天数统计表见表3-1。</w:t>
            </w:r>
          </w:p>
          <w:p>
            <w:pPr>
              <w:pStyle w:val="23"/>
              <w:shd w:val="clear" w:color="auto" w:fill="FFFFFF"/>
              <w:spacing w:before="0" w:beforeAutospacing="0" w:after="0" w:afterAutospacing="0" w:line="360" w:lineRule="auto"/>
              <w:ind w:firstLine="420"/>
              <w:jc w:val="center"/>
              <w:rPr>
                <w:rFonts w:ascii="Times New Roman" w:hAnsi="Times New Roman" w:eastAsiaTheme="minorEastAsia"/>
                <w:b/>
                <w:szCs w:val="24"/>
              </w:rPr>
            </w:pPr>
            <w:r>
              <w:rPr>
                <w:rFonts w:ascii="Times New Roman" w:hAnsi="Times New Roman" w:eastAsiaTheme="minorEastAsia"/>
                <w:b/>
                <w:szCs w:val="24"/>
              </w:rPr>
              <w:t>表3-1姚安县城区2022年环境空气质量优良天数统计表</w:t>
            </w:r>
          </w:p>
          <w:tbl>
            <w:tblPr>
              <w:tblStyle w:val="28"/>
              <w:tblW w:w="8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570"/>
              <w:gridCol w:w="647"/>
              <w:gridCol w:w="647"/>
              <w:gridCol w:w="389"/>
              <w:gridCol w:w="618"/>
              <w:gridCol w:w="612"/>
              <w:gridCol w:w="646"/>
              <w:gridCol w:w="646"/>
              <w:gridCol w:w="646"/>
              <w:gridCol w:w="646"/>
              <w:gridCol w:w="583"/>
              <w:gridCol w:w="429"/>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3594" w:type="dxa"/>
                  <w:gridSpan w:val="6"/>
                  <w:vAlign w:val="center"/>
                </w:tcPr>
                <w:p>
                  <w:pPr>
                    <w:pStyle w:val="23"/>
                    <w:spacing w:before="0" w:beforeAutospacing="0" w:after="0" w:afterAutospacing="0"/>
                    <w:jc w:val="center"/>
                    <w:rPr>
                      <w:rFonts w:ascii="Times New Roman" w:hAnsi="Times New Roman" w:eastAsiaTheme="minorEastAsia"/>
                      <w:b/>
                      <w:sz w:val="21"/>
                      <w:szCs w:val="21"/>
                    </w:rPr>
                  </w:pPr>
                  <w:r>
                    <w:rPr>
                      <w:rFonts w:ascii="Times New Roman" w:hAnsi="Times New Roman" w:eastAsiaTheme="minorEastAsia"/>
                      <w:b/>
                      <w:sz w:val="21"/>
                      <w:szCs w:val="21"/>
                    </w:rPr>
                    <w:t>2022年监测结果</w:t>
                  </w:r>
                </w:p>
              </w:tc>
              <w:tc>
                <w:tcPr>
                  <w:tcW w:w="4208" w:type="dxa"/>
                  <w:gridSpan w:val="7"/>
                  <w:vAlign w:val="center"/>
                </w:tcPr>
                <w:p>
                  <w:pPr>
                    <w:pStyle w:val="23"/>
                    <w:spacing w:before="0" w:beforeAutospacing="0" w:after="0" w:afterAutospacing="0"/>
                    <w:jc w:val="center"/>
                    <w:rPr>
                      <w:rFonts w:ascii="Times New Roman" w:hAnsi="Times New Roman" w:eastAsiaTheme="minorEastAsia"/>
                      <w:b/>
                      <w:sz w:val="21"/>
                      <w:szCs w:val="21"/>
                    </w:rPr>
                  </w:pPr>
                  <w:r>
                    <w:rPr>
                      <w:rFonts w:ascii="Times New Roman" w:hAnsi="Times New Roman" w:eastAsiaTheme="minorEastAsia"/>
                      <w:b/>
                      <w:sz w:val="21"/>
                      <w:szCs w:val="21"/>
                    </w:rPr>
                    <w:t>2021年监测结果</w:t>
                  </w:r>
                </w:p>
              </w:tc>
              <w:tc>
                <w:tcPr>
                  <w:tcW w:w="674" w:type="dxa"/>
                  <w:vAlign w:val="center"/>
                </w:tcPr>
                <w:p>
                  <w:pPr>
                    <w:pStyle w:val="23"/>
                    <w:spacing w:before="0" w:beforeAutospacing="0" w:after="0" w:afterAutospacing="0"/>
                    <w:jc w:val="center"/>
                    <w:rPr>
                      <w:rFonts w:ascii="Times New Roman" w:hAnsi="Times New Roman" w:eastAsiaTheme="minorEastAsia"/>
                      <w:b/>
                      <w:sz w:val="21"/>
                      <w:szCs w:val="21"/>
                    </w:rPr>
                  </w:pPr>
                  <w:r>
                    <w:rPr>
                      <w:rFonts w:ascii="Times New Roman" w:hAnsi="Times New Roman" w:eastAsiaTheme="minorEastAsia"/>
                      <w:b/>
                      <w:sz w:val="21"/>
                      <w:szCs w:val="21"/>
                    </w:rPr>
                    <w:t>比较结果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723" w:type="dxa"/>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有效天数（天）</w:t>
                  </w:r>
                </w:p>
              </w:tc>
              <w:tc>
                <w:tcPr>
                  <w:tcW w:w="570" w:type="dxa"/>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优（天）</w:t>
                  </w:r>
                </w:p>
              </w:tc>
              <w:tc>
                <w:tcPr>
                  <w:tcW w:w="647" w:type="dxa"/>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良（天）</w:t>
                  </w:r>
                </w:p>
              </w:tc>
              <w:tc>
                <w:tcPr>
                  <w:tcW w:w="647" w:type="dxa"/>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轻度污染（天）</w:t>
                  </w:r>
                </w:p>
              </w:tc>
              <w:tc>
                <w:tcPr>
                  <w:tcW w:w="389" w:type="dxa"/>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超标污染物</w:t>
                  </w:r>
                </w:p>
              </w:tc>
              <w:tc>
                <w:tcPr>
                  <w:tcW w:w="618" w:type="dxa"/>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优良率（%）</w:t>
                  </w:r>
                </w:p>
              </w:tc>
              <w:tc>
                <w:tcPr>
                  <w:tcW w:w="612" w:type="dxa"/>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有效天数（天）</w:t>
                  </w:r>
                </w:p>
              </w:tc>
              <w:tc>
                <w:tcPr>
                  <w:tcW w:w="646" w:type="dxa"/>
                  <w:vAlign w:val="center"/>
                </w:tcPr>
                <w:p>
                  <w:pPr>
                    <w:pStyle w:val="23"/>
                    <w:spacing w:before="0" w:beforeAutospacing="0" w:after="0" w:afterAutospacing="0"/>
                    <w:jc w:val="both"/>
                    <w:rPr>
                      <w:rFonts w:ascii="Times New Roman" w:hAnsi="Times New Roman" w:eastAsiaTheme="minorEastAsia"/>
                      <w:sz w:val="21"/>
                      <w:szCs w:val="21"/>
                    </w:rPr>
                  </w:pPr>
                  <w:r>
                    <w:rPr>
                      <w:rFonts w:ascii="Times New Roman" w:hAnsi="Times New Roman" w:eastAsiaTheme="minorEastAsia"/>
                      <w:sz w:val="21"/>
                      <w:szCs w:val="21"/>
                    </w:rPr>
                    <w:t>优（天）</w:t>
                  </w:r>
                </w:p>
              </w:tc>
              <w:tc>
                <w:tcPr>
                  <w:tcW w:w="646" w:type="dxa"/>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良（天）</w:t>
                  </w:r>
                </w:p>
              </w:tc>
              <w:tc>
                <w:tcPr>
                  <w:tcW w:w="646" w:type="dxa"/>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轻度污染（天）</w:t>
                  </w:r>
                </w:p>
              </w:tc>
              <w:tc>
                <w:tcPr>
                  <w:tcW w:w="646" w:type="dxa"/>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中度污染（天）</w:t>
                  </w:r>
                </w:p>
              </w:tc>
              <w:tc>
                <w:tcPr>
                  <w:tcW w:w="583" w:type="dxa"/>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超标污染物</w:t>
                  </w:r>
                </w:p>
              </w:tc>
              <w:tc>
                <w:tcPr>
                  <w:tcW w:w="429" w:type="dxa"/>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优良率</w:t>
                  </w:r>
                </w:p>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w:t>
                  </w:r>
                </w:p>
              </w:tc>
              <w:tc>
                <w:tcPr>
                  <w:tcW w:w="674" w:type="dxa"/>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优良率</w:t>
                  </w:r>
                </w:p>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723" w:type="dxa"/>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362</w:t>
                  </w:r>
                </w:p>
              </w:tc>
              <w:tc>
                <w:tcPr>
                  <w:tcW w:w="570" w:type="dxa"/>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273</w:t>
                  </w:r>
                </w:p>
              </w:tc>
              <w:tc>
                <w:tcPr>
                  <w:tcW w:w="647" w:type="dxa"/>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89</w:t>
                  </w:r>
                </w:p>
              </w:tc>
              <w:tc>
                <w:tcPr>
                  <w:tcW w:w="647" w:type="dxa"/>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0</w:t>
                  </w:r>
                </w:p>
              </w:tc>
              <w:tc>
                <w:tcPr>
                  <w:tcW w:w="389" w:type="dxa"/>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w:t>
                  </w:r>
                </w:p>
              </w:tc>
              <w:tc>
                <w:tcPr>
                  <w:tcW w:w="618" w:type="dxa"/>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100</w:t>
                  </w:r>
                </w:p>
              </w:tc>
              <w:tc>
                <w:tcPr>
                  <w:tcW w:w="612" w:type="dxa"/>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363</w:t>
                  </w:r>
                </w:p>
              </w:tc>
              <w:tc>
                <w:tcPr>
                  <w:tcW w:w="646" w:type="dxa"/>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244</w:t>
                  </w:r>
                </w:p>
              </w:tc>
              <w:tc>
                <w:tcPr>
                  <w:tcW w:w="646" w:type="dxa"/>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119</w:t>
                  </w:r>
                </w:p>
              </w:tc>
              <w:tc>
                <w:tcPr>
                  <w:tcW w:w="646" w:type="dxa"/>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1</w:t>
                  </w:r>
                </w:p>
              </w:tc>
              <w:tc>
                <w:tcPr>
                  <w:tcW w:w="646" w:type="dxa"/>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0</w:t>
                  </w:r>
                </w:p>
              </w:tc>
              <w:tc>
                <w:tcPr>
                  <w:tcW w:w="583" w:type="dxa"/>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PM2.5</w:t>
                  </w:r>
                </w:p>
              </w:tc>
              <w:tc>
                <w:tcPr>
                  <w:tcW w:w="429" w:type="dxa"/>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99.7</w:t>
                  </w:r>
                </w:p>
              </w:tc>
              <w:tc>
                <w:tcPr>
                  <w:tcW w:w="674" w:type="dxa"/>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0.3%</w:t>
                  </w:r>
                </w:p>
              </w:tc>
            </w:tr>
          </w:tbl>
          <w:p>
            <w:pPr>
              <w:widowControl/>
              <w:shd w:val="clear" w:color="auto" w:fill="FFFFFF"/>
              <w:spacing w:line="360" w:lineRule="auto"/>
              <w:jc w:val="left"/>
              <w:rPr>
                <w:rFonts w:eastAsiaTheme="minorEastAsia"/>
                <w:kern w:val="0"/>
                <w:sz w:val="24"/>
              </w:rPr>
            </w:pPr>
            <w:r>
              <w:rPr>
                <w:rFonts w:eastAsiaTheme="minorEastAsia"/>
                <w:kern w:val="0"/>
                <w:sz w:val="24"/>
              </w:rPr>
              <w:t>（二）综合指数变化情况</w:t>
            </w:r>
          </w:p>
          <w:p>
            <w:pPr>
              <w:pStyle w:val="23"/>
              <w:shd w:val="clear" w:color="auto" w:fill="FFFFFF"/>
              <w:spacing w:before="0" w:beforeAutospacing="0" w:after="0" w:afterAutospacing="0" w:line="360" w:lineRule="auto"/>
              <w:ind w:firstLine="420"/>
              <w:rPr>
                <w:rFonts w:ascii="Times New Roman" w:hAnsi="Times New Roman" w:eastAsiaTheme="minorEastAsia"/>
                <w:szCs w:val="24"/>
              </w:rPr>
            </w:pPr>
            <w:r>
              <w:rPr>
                <w:rFonts w:ascii="Times New Roman" w:hAnsi="Times New Roman" w:eastAsiaTheme="minorEastAsia"/>
                <w:szCs w:val="24"/>
              </w:rPr>
              <w:t>2022年，姚安县环境空气质量综合指数为2.06，较2021年同期下降21.4个百分点，综合指数呈下降趋势，空气质量有所提升。综合指数变化情况详见表3-2。</w:t>
            </w:r>
          </w:p>
          <w:p>
            <w:pPr>
              <w:pStyle w:val="23"/>
              <w:shd w:val="clear" w:color="auto" w:fill="FFFFFF"/>
              <w:spacing w:before="0" w:beforeAutospacing="0" w:after="0" w:afterAutospacing="0" w:line="360" w:lineRule="auto"/>
              <w:ind w:firstLine="420"/>
              <w:jc w:val="center"/>
              <w:rPr>
                <w:rFonts w:ascii="Times New Roman" w:hAnsi="Times New Roman" w:eastAsiaTheme="minorEastAsia"/>
                <w:b/>
                <w:szCs w:val="24"/>
              </w:rPr>
            </w:pPr>
            <w:r>
              <w:rPr>
                <w:rFonts w:ascii="Times New Roman" w:hAnsi="Times New Roman" w:eastAsiaTheme="minorEastAsia"/>
                <w:b/>
                <w:szCs w:val="24"/>
              </w:rPr>
              <w:t>表3-2 姚安县综合指数变化情况统计表</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2852"/>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Align w:val="center"/>
                </w:tcPr>
                <w:p>
                  <w:pPr>
                    <w:pStyle w:val="23"/>
                    <w:spacing w:before="0" w:beforeAutospacing="0" w:after="0" w:afterAutospacing="0"/>
                    <w:rPr>
                      <w:rFonts w:ascii="Times New Roman" w:hAnsi="Times New Roman" w:eastAsiaTheme="minorEastAsia"/>
                      <w:b/>
                      <w:sz w:val="21"/>
                      <w:szCs w:val="21"/>
                    </w:rPr>
                  </w:pPr>
                  <w:r>
                    <w:rPr>
                      <w:rFonts w:ascii="Times New Roman" w:hAnsi="Times New Roman" w:eastAsiaTheme="minorEastAsia"/>
                      <w:b/>
                      <w:sz w:val="21"/>
                      <w:szCs w:val="21"/>
                    </w:rPr>
                    <w:t>2022年综合指数</w:t>
                  </w:r>
                </w:p>
              </w:tc>
              <w:tc>
                <w:tcPr>
                  <w:tcW w:w="1666" w:type="pct"/>
                  <w:vAlign w:val="center"/>
                </w:tcPr>
                <w:p>
                  <w:pPr>
                    <w:pStyle w:val="23"/>
                    <w:spacing w:before="0" w:beforeAutospacing="0" w:after="0" w:afterAutospacing="0"/>
                    <w:rPr>
                      <w:rFonts w:ascii="Times New Roman" w:hAnsi="Times New Roman" w:eastAsiaTheme="minorEastAsia"/>
                      <w:b/>
                      <w:sz w:val="21"/>
                      <w:szCs w:val="21"/>
                    </w:rPr>
                  </w:pPr>
                  <w:r>
                    <w:rPr>
                      <w:rFonts w:ascii="Times New Roman" w:hAnsi="Times New Roman" w:eastAsiaTheme="minorEastAsia"/>
                      <w:b/>
                      <w:sz w:val="21"/>
                      <w:szCs w:val="21"/>
                    </w:rPr>
                    <w:t>2021年综合指数</w:t>
                  </w:r>
                </w:p>
              </w:tc>
              <w:tc>
                <w:tcPr>
                  <w:tcW w:w="1666" w:type="pct"/>
                  <w:vAlign w:val="center"/>
                </w:tcPr>
                <w:p>
                  <w:pPr>
                    <w:pStyle w:val="23"/>
                    <w:spacing w:before="0" w:beforeAutospacing="0" w:after="0" w:afterAutospacing="0"/>
                    <w:rPr>
                      <w:rFonts w:ascii="Times New Roman" w:hAnsi="Times New Roman" w:eastAsiaTheme="minorEastAsia"/>
                      <w:b/>
                      <w:sz w:val="21"/>
                      <w:szCs w:val="21"/>
                    </w:rPr>
                  </w:pPr>
                  <w:r>
                    <w:rPr>
                      <w:rFonts w:ascii="Times New Roman" w:hAnsi="Times New Roman" w:eastAsiaTheme="minorEastAsia"/>
                      <w:b/>
                      <w:sz w:val="21"/>
                      <w:szCs w:val="21"/>
                    </w:rPr>
                    <w:t>与2021年对比情况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Align w:val="center"/>
                </w:tcPr>
                <w:p>
                  <w:pPr>
                    <w:pStyle w:val="23"/>
                    <w:spacing w:before="0" w:beforeAutospacing="0" w:after="0" w:afterAutospacing="0"/>
                    <w:rPr>
                      <w:rFonts w:ascii="Times New Roman" w:hAnsi="Times New Roman" w:eastAsiaTheme="minorEastAsia"/>
                      <w:sz w:val="21"/>
                      <w:szCs w:val="21"/>
                    </w:rPr>
                  </w:pPr>
                  <w:r>
                    <w:rPr>
                      <w:rFonts w:ascii="Times New Roman" w:hAnsi="Times New Roman" w:eastAsiaTheme="minorEastAsia"/>
                      <w:sz w:val="21"/>
                      <w:szCs w:val="21"/>
                    </w:rPr>
                    <w:t>2.06</w:t>
                  </w:r>
                </w:p>
              </w:tc>
              <w:tc>
                <w:tcPr>
                  <w:tcW w:w="1666" w:type="pct"/>
                  <w:vAlign w:val="center"/>
                </w:tcPr>
                <w:p>
                  <w:pPr>
                    <w:pStyle w:val="23"/>
                    <w:spacing w:before="0" w:beforeAutospacing="0" w:after="0" w:afterAutospacing="0"/>
                    <w:rPr>
                      <w:rFonts w:ascii="Times New Roman" w:hAnsi="Times New Roman" w:eastAsiaTheme="minorEastAsia"/>
                      <w:sz w:val="21"/>
                      <w:szCs w:val="21"/>
                    </w:rPr>
                  </w:pPr>
                  <w:r>
                    <w:rPr>
                      <w:rFonts w:ascii="Times New Roman" w:hAnsi="Times New Roman" w:eastAsiaTheme="minorEastAsia"/>
                      <w:sz w:val="21"/>
                      <w:szCs w:val="21"/>
                    </w:rPr>
                    <w:t>2.62</w:t>
                  </w:r>
                </w:p>
              </w:tc>
              <w:tc>
                <w:tcPr>
                  <w:tcW w:w="1666" w:type="pct"/>
                  <w:vAlign w:val="center"/>
                </w:tcPr>
                <w:p>
                  <w:pPr>
                    <w:pStyle w:val="23"/>
                    <w:spacing w:before="0" w:beforeAutospacing="0" w:after="0" w:afterAutospacing="0"/>
                    <w:rPr>
                      <w:rFonts w:ascii="Times New Roman" w:hAnsi="Times New Roman" w:eastAsiaTheme="minorEastAsia"/>
                      <w:sz w:val="21"/>
                      <w:szCs w:val="21"/>
                    </w:rPr>
                  </w:pPr>
                  <w:r>
                    <w:rPr>
                      <w:rFonts w:ascii="Times New Roman" w:hAnsi="Times New Roman" w:eastAsiaTheme="minorEastAsia"/>
                      <w:sz w:val="21"/>
                      <w:szCs w:val="21"/>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vAlign w:val="center"/>
                </w:tcPr>
                <w:p>
                  <w:pPr>
                    <w:pStyle w:val="23"/>
                    <w:spacing w:before="0" w:beforeAutospacing="0" w:after="0" w:afterAutospacing="0"/>
                    <w:rPr>
                      <w:rFonts w:ascii="Times New Roman" w:hAnsi="Times New Roman" w:eastAsiaTheme="minorEastAsia"/>
                      <w:sz w:val="21"/>
                      <w:szCs w:val="21"/>
                    </w:rPr>
                  </w:pPr>
                  <w:r>
                    <w:rPr>
                      <w:rFonts w:ascii="Times New Roman" w:hAnsi="Times New Roman" w:eastAsiaTheme="minorEastAsia"/>
                      <w:sz w:val="21"/>
                      <w:szCs w:val="21"/>
                    </w:rPr>
                    <w:t>变化情况为“－”代表空气质量提升</w:t>
                  </w:r>
                </w:p>
              </w:tc>
            </w:tr>
          </w:tbl>
          <w:p>
            <w:pPr>
              <w:widowControl/>
              <w:spacing w:line="360" w:lineRule="auto"/>
              <w:jc w:val="left"/>
              <w:rPr>
                <w:rFonts w:eastAsiaTheme="minorEastAsia"/>
                <w:kern w:val="0"/>
                <w:sz w:val="24"/>
              </w:rPr>
            </w:pPr>
            <w:r>
              <w:rPr>
                <w:rFonts w:eastAsiaTheme="minorEastAsia"/>
                <w:kern w:val="0"/>
                <w:sz w:val="24"/>
              </w:rPr>
              <w:t>（三）监测指标监测结果评价情况</w:t>
            </w:r>
          </w:p>
          <w:p>
            <w:pPr>
              <w:pStyle w:val="23"/>
              <w:shd w:val="clear" w:color="auto" w:fill="FFFFFF"/>
              <w:spacing w:before="0" w:beforeAutospacing="0" w:after="0" w:afterAutospacing="0" w:line="360" w:lineRule="auto"/>
              <w:ind w:firstLine="420"/>
              <w:rPr>
                <w:rFonts w:ascii="Times New Roman" w:hAnsi="Times New Roman" w:eastAsiaTheme="minorEastAsia"/>
                <w:szCs w:val="24"/>
              </w:rPr>
            </w:pPr>
            <w:r>
              <w:rPr>
                <w:rFonts w:ascii="Times New Roman" w:hAnsi="Times New Roman" w:eastAsiaTheme="minorEastAsia"/>
                <w:szCs w:val="24"/>
              </w:rPr>
              <w:t>从各监测指标评价结果来看，姚安县2022年可吸入颗粒物（PM</w:t>
            </w:r>
            <w:r>
              <w:rPr>
                <w:rFonts w:ascii="Times New Roman" w:hAnsi="Times New Roman" w:eastAsiaTheme="minorEastAsia"/>
                <w:szCs w:val="24"/>
                <w:vertAlign w:val="subscript"/>
              </w:rPr>
              <w:t>10</w:t>
            </w:r>
            <w:r>
              <w:rPr>
                <w:rFonts w:ascii="Times New Roman" w:hAnsi="Times New Roman" w:eastAsiaTheme="minorEastAsia"/>
                <w:szCs w:val="24"/>
              </w:rPr>
              <w:t>）、细颗粒物（PM</w:t>
            </w:r>
            <w:r>
              <w:rPr>
                <w:rFonts w:ascii="Times New Roman" w:hAnsi="Times New Roman" w:eastAsiaTheme="minorEastAsia"/>
                <w:szCs w:val="24"/>
                <w:vertAlign w:val="subscript"/>
              </w:rPr>
              <w:t>2.5</w:t>
            </w:r>
            <w:r>
              <w:rPr>
                <w:rFonts w:ascii="Times New Roman" w:hAnsi="Times New Roman" w:eastAsiaTheme="minorEastAsia"/>
                <w:szCs w:val="24"/>
              </w:rPr>
              <w:t>）、二氧化硫（SO</w:t>
            </w:r>
            <w:r>
              <w:rPr>
                <w:rFonts w:ascii="Times New Roman" w:hAnsi="Times New Roman" w:eastAsiaTheme="minorEastAsia"/>
                <w:szCs w:val="24"/>
                <w:vertAlign w:val="subscript"/>
              </w:rPr>
              <w:t>2</w:t>
            </w:r>
            <w:r>
              <w:rPr>
                <w:rFonts w:ascii="Times New Roman" w:hAnsi="Times New Roman" w:eastAsiaTheme="minorEastAsia"/>
                <w:szCs w:val="24"/>
              </w:rPr>
              <w:t>）、二氧化氮（NO</w:t>
            </w:r>
            <w:r>
              <w:rPr>
                <w:rFonts w:ascii="Times New Roman" w:hAnsi="Times New Roman" w:eastAsiaTheme="minorEastAsia"/>
                <w:szCs w:val="24"/>
                <w:vertAlign w:val="subscript"/>
              </w:rPr>
              <w:t>2</w:t>
            </w:r>
            <w:r>
              <w:rPr>
                <w:rFonts w:ascii="Times New Roman" w:hAnsi="Times New Roman" w:eastAsiaTheme="minorEastAsia"/>
                <w:szCs w:val="24"/>
              </w:rPr>
              <w:t>）4个监测指标年均值及一氧化碳（CO）95百分位数监测结果均为一级，臭氧（O</w:t>
            </w:r>
            <w:r>
              <w:rPr>
                <w:rFonts w:ascii="Times New Roman" w:hAnsi="Times New Roman" w:eastAsiaTheme="minorEastAsia"/>
                <w:szCs w:val="24"/>
                <w:vertAlign w:val="subscript"/>
              </w:rPr>
              <w:t>3</w:t>
            </w:r>
            <w:r>
              <w:rPr>
                <w:rFonts w:ascii="Times New Roman" w:hAnsi="Times New Roman" w:eastAsiaTheme="minorEastAsia"/>
                <w:szCs w:val="24"/>
              </w:rPr>
              <w:t>-8h）90百分位数监测结果为二级，其中，细颗粒物（PM</w:t>
            </w:r>
            <w:r>
              <w:rPr>
                <w:rFonts w:ascii="Times New Roman" w:hAnsi="Times New Roman" w:eastAsiaTheme="minorEastAsia"/>
                <w:szCs w:val="24"/>
                <w:vertAlign w:val="subscript"/>
              </w:rPr>
              <w:t>2.5</w:t>
            </w:r>
            <w:r>
              <w:rPr>
                <w:rFonts w:ascii="Times New Roman" w:hAnsi="Times New Roman" w:eastAsiaTheme="minorEastAsia"/>
                <w:szCs w:val="24"/>
              </w:rPr>
              <w:t>）年均值为11微克每立方米，年均值为一级，达到省级下达的20微克每立方米的考核目标要求，各监测指标评价均为二级及以上，空气质量达标。2022年姚安县城区环境空气质量监测指标评价结果统计表见表3-3。</w:t>
            </w:r>
          </w:p>
          <w:p>
            <w:pPr>
              <w:pStyle w:val="23"/>
              <w:shd w:val="clear" w:color="auto" w:fill="FFFFFF"/>
              <w:spacing w:before="0" w:beforeAutospacing="0" w:after="0" w:afterAutospacing="0" w:line="360" w:lineRule="auto"/>
              <w:jc w:val="center"/>
              <w:rPr>
                <w:rFonts w:ascii="Times New Roman" w:hAnsi="Times New Roman" w:eastAsiaTheme="minorEastAsia"/>
                <w:b/>
                <w:szCs w:val="24"/>
              </w:rPr>
            </w:pPr>
            <w:r>
              <w:rPr>
                <w:rFonts w:ascii="Times New Roman" w:hAnsi="Times New Roman" w:eastAsiaTheme="minorEastAsia"/>
                <w:b/>
                <w:szCs w:val="24"/>
              </w:rPr>
              <w:t>表3-3姚安县城区2022年环境空气质量监测指标评价统计表</w:t>
            </w:r>
          </w:p>
          <w:p>
            <w:pPr>
              <w:pStyle w:val="23"/>
              <w:shd w:val="clear" w:color="auto" w:fill="FFFFFF"/>
              <w:spacing w:before="0" w:beforeAutospacing="0" w:after="0" w:afterAutospacing="0" w:line="360" w:lineRule="auto"/>
              <w:jc w:val="center"/>
              <w:rPr>
                <w:rFonts w:ascii="Times New Roman" w:hAnsi="Times New Roman" w:eastAsiaTheme="minorEastAsia"/>
                <w:b/>
                <w:szCs w:val="24"/>
              </w:rPr>
            </w:pPr>
            <w:r>
              <w:rPr>
                <w:rFonts w:ascii="Times New Roman" w:hAnsi="Times New Roman" w:eastAsiaTheme="minorEastAsia"/>
                <w:b/>
              </w:rPr>
              <w:t xml:space="preserve">                                      单位：CO为mg/m</w:t>
            </w:r>
            <w:r>
              <w:rPr>
                <w:rFonts w:ascii="Times New Roman" w:hAnsi="Times New Roman" w:eastAsiaTheme="minorEastAsia"/>
                <w:b/>
                <w:vertAlign w:val="superscript"/>
              </w:rPr>
              <w:t>3</w:t>
            </w:r>
            <w:r>
              <w:rPr>
                <w:rFonts w:ascii="Times New Roman" w:hAnsi="Times New Roman" w:eastAsiaTheme="minorEastAsia"/>
                <w:b/>
              </w:rPr>
              <w:t>，其余均为ug/m</w:t>
            </w:r>
            <w:r>
              <w:rPr>
                <w:rFonts w:ascii="Times New Roman" w:hAnsi="Times New Roman" w:eastAsiaTheme="minorEastAsia"/>
                <w:b/>
                <w:vertAlign w:val="superscript"/>
              </w:rPr>
              <w:t>3</w:t>
            </w:r>
            <w:r>
              <w:rPr>
                <w:rFonts w:ascii="Times New Roman" w:hAnsi="Times New Roman" w:eastAsiaTheme="minorEastAsia"/>
                <w:b/>
              </w:rPr>
              <w:t>。</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713"/>
              <w:gridCol w:w="713"/>
              <w:gridCol w:w="713"/>
              <w:gridCol w:w="713"/>
              <w:gridCol w:w="713"/>
              <w:gridCol w:w="713"/>
              <w:gridCol w:w="715"/>
              <w:gridCol w:w="713"/>
              <w:gridCol w:w="715"/>
              <w:gridCol w:w="712"/>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gridSpan w:val="2"/>
                  <w:vAlign w:val="center"/>
                </w:tcPr>
                <w:p>
                  <w:pPr>
                    <w:pStyle w:val="23"/>
                    <w:spacing w:before="0" w:beforeAutospacing="0" w:after="0" w:afterAutospacing="0"/>
                    <w:jc w:val="center"/>
                    <w:rPr>
                      <w:rFonts w:ascii="Times New Roman" w:hAnsi="Times New Roman" w:eastAsiaTheme="minorEastAsia"/>
                      <w:b/>
                      <w:sz w:val="21"/>
                      <w:szCs w:val="21"/>
                    </w:rPr>
                  </w:pPr>
                  <w:r>
                    <w:rPr>
                      <w:rFonts w:ascii="Times New Roman" w:hAnsi="Times New Roman" w:eastAsiaTheme="minorEastAsia"/>
                      <w:b/>
                      <w:sz w:val="21"/>
                      <w:szCs w:val="21"/>
                    </w:rPr>
                    <w:t>PM</w:t>
                  </w:r>
                  <w:r>
                    <w:rPr>
                      <w:rFonts w:ascii="Times New Roman" w:hAnsi="Times New Roman" w:eastAsiaTheme="minorEastAsia"/>
                      <w:b/>
                      <w:sz w:val="21"/>
                      <w:szCs w:val="21"/>
                      <w:vertAlign w:val="subscript"/>
                    </w:rPr>
                    <w:t>10</w:t>
                  </w:r>
                </w:p>
              </w:tc>
              <w:tc>
                <w:tcPr>
                  <w:tcW w:w="832" w:type="pct"/>
                  <w:gridSpan w:val="2"/>
                  <w:vAlign w:val="center"/>
                </w:tcPr>
                <w:p>
                  <w:pPr>
                    <w:pStyle w:val="23"/>
                    <w:spacing w:before="0" w:beforeAutospacing="0" w:after="0" w:afterAutospacing="0"/>
                    <w:jc w:val="center"/>
                    <w:rPr>
                      <w:rFonts w:ascii="Times New Roman" w:hAnsi="Times New Roman" w:eastAsiaTheme="minorEastAsia"/>
                      <w:b/>
                      <w:sz w:val="21"/>
                      <w:szCs w:val="21"/>
                    </w:rPr>
                  </w:pPr>
                  <w:r>
                    <w:rPr>
                      <w:rFonts w:ascii="Times New Roman" w:hAnsi="Times New Roman" w:eastAsiaTheme="minorEastAsia"/>
                      <w:b/>
                      <w:sz w:val="21"/>
                      <w:szCs w:val="21"/>
                    </w:rPr>
                    <w:t>PM</w:t>
                  </w:r>
                  <w:r>
                    <w:rPr>
                      <w:rFonts w:ascii="Times New Roman" w:hAnsi="Times New Roman" w:eastAsiaTheme="minorEastAsia"/>
                      <w:b/>
                      <w:sz w:val="21"/>
                      <w:szCs w:val="21"/>
                      <w:vertAlign w:val="subscript"/>
                    </w:rPr>
                    <w:t>2.5</w:t>
                  </w:r>
                </w:p>
              </w:tc>
              <w:tc>
                <w:tcPr>
                  <w:tcW w:w="832" w:type="pct"/>
                  <w:gridSpan w:val="2"/>
                  <w:vAlign w:val="center"/>
                </w:tcPr>
                <w:p>
                  <w:pPr>
                    <w:pStyle w:val="23"/>
                    <w:spacing w:before="0" w:beforeAutospacing="0" w:after="0" w:afterAutospacing="0"/>
                    <w:jc w:val="center"/>
                    <w:rPr>
                      <w:rFonts w:ascii="Times New Roman" w:hAnsi="Times New Roman" w:eastAsiaTheme="minorEastAsia"/>
                      <w:b/>
                      <w:sz w:val="21"/>
                      <w:szCs w:val="21"/>
                    </w:rPr>
                  </w:pPr>
                  <w:r>
                    <w:rPr>
                      <w:rFonts w:ascii="Times New Roman" w:hAnsi="Times New Roman" w:eastAsiaTheme="minorEastAsia"/>
                      <w:b/>
                      <w:sz w:val="21"/>
                      <w:szCs w:val="21"/>
                    </w:rPr>
                    <w:t>SO</w:t>
                  </w:r>
                  <w:r>
                    <w:rPr>
                      <w:rFonts w:ascii="Times New Roman" w:hAnsi="Times New Roman" w:eastAsiaTheme="minorEastAsia"/>
                      <w:b/>
                      <w:sz w:val="21"/>
                      <w:szCs w:val="21"/>
                      <w:vertAlign w:val="subscript"/>
                    </w:rPr>
                    <w:t>2</w:t>
                  </w:r>
                </w:p>
              </w:tc>
              <w:tc>
                <w:tcPr>
                  <w:tcW w:w="833" w:type="pct"/>
                  <w:gridSpan w:val="2"/>
                  <w:vAlign w:val="center"/>
                </w:tcPr>
                <w:p>
                  <w:pPr>
                    <w:pStyle w:val="23"/>
                    <w:spacing w:before="0" w:beforeAutospacing="0" w:after="0" w:afterAutospacing="0"/>
                    <w:jc w:val="center"/>
                    <w:rPr>
                      <w:rFonts w:ascii="Times New Roman" w:hAnsi="Times New Roman" w:eastAsiaTheme="minorEastAsia"/>
                      <w:b/>
                      <w:sz w:val="21"/>
                      <w:szCs w:val="21"/>
                    </w:rPr>
                  </w:pPr>
                  <w:r>
                    <w:rPr>
                      <w:rFonts w:ascii="Times New Roman" w:hAnsi="Times New Roman" w:eastAsiaTheme="minorEastAsia"/>
                      <w:b/>
                      <w:sz w:val="21"/>
                      <w:szCs w:val="21"/>
                    </w:rPr>
                    <w:t>NO</w:t>
                  </w:r>
                  <w:r>
                    <w:rPr>
                      <w:rFonts w:ascii="Times New Roman" w:hAnsi="Times New Roman" w:eastAsiaTheme="minorEastAsia"/>
                      <w:b/>
                      <w:sz w:val="21"/>
                      <w:szCs w:val="21"/>
                      <w:vertAlign w:val="subscript"/>
                    </w:rPr>
                    <w:t>2</w:t>
                  </w:r>
                </w:p>
              </w:tc>
              <w:tc>
                <w:tcPr>
                  <w:tcW w:w="833" w:type="pct"/>
                  <w:gridSpan w:val="2"/>
                  <w:vAlign w:val="center"/>
                </w:tcPr>
                <w:p>
                  <w:pPr>
                    <w:pStyle w:val="23"/>
                    <w:spacing w:before="0" w:beforeAutospacing="0" w:after="0" w:afterAutospacing="0"/>
                    <w:jc w:val="center"/>
                    <w:rPr>
                      <w:rFonts w:ascii="Times New Roman" w:hAnsi="Times New Roman" w:eastAsiaTheme="minorEastAsia"/>
                      <w:b/>
                      <w:sz w:val="21"/>
                      <w:szCs w:val="21"/>
                    </w:rPr>
                  </w:pPr>
                  <w:r>
                    <w:rPr>
                      <w:rFonts w:ascii="Times New Roman" w:hAnsi="Times New Roman" w:eastAsiaTheme="minorEastAsia"/>
                      <w:b/>
                      <w:sz w:val="21"/>
                      <w:szCs w:val="21"/>
                    </w:rPr>
                    <w:t>CO 95百分位数</w:t>
                  </w:r>
                </w:p>
              </w:tc>
              <w:tc>
                <w:tcPr>
                  <w:tcW w:w="833" w:type="pct"/>
                  <w:gridSpan w:val="2"/>
                  <w:vAlign w:val="center"/>
                </w:tcPr>
                <w:p>
                  <w:pPr>
                    <w:pStyle w:val="23"/>
                    <w:spacing w:before="0" w:beforeAutospacing="0" w:after="0" w:afterAutospacing="0"/>
                    <w:jc w:val="center"/>
                    <w:rPr>
                      <w:rFonts w:ascii="Times New Roman" w:hAnsi="Times New Roman" w:eastAsiaTheme="minorEastAsia"/>
                      <w:b/>
                      <w:sz w:val="21"/>
                      <w:szCs w:val="21"/>
                    </w:rPr>
                  </w:pPr>
                  <w:r>
                    <w:rPr>
                      <w:rFonts w:ascii="Times New Roman" w:hAnsi="Times New Roman" w:eastAsiaTheme="minorEastAsia"/>
                      <w:b/>
                      <w:sz w:val="21"/>
                      <w:szCs w:val="21"/>
                    </w:rPr>
                    <w:t>O</w:t>
                  </w:r>
                  <w:r>
                    <w:rPr>
                      <w:rFonts w:ascii="Times New Roman" w:hAnsi="Times New Roman" w:eastAsiaTheme="minorEastAsia"/>
                      <w:b/>
                      <w:sz w:val="21"/>
                      <w:szCs w:val="21"/>
                      <w:vertAlign w:val="subscript"/>
                    </w:rPr>
                    <w:t>3</w:t>
                  </w:r>
                  <w:r>
                    <w:rPr>
                      <w:rFonts w:ascii="Times New Roman" w:hAnsi="Times New Roman" w:eastAsiaTheme="minorEastAsia"/>
                      <w:b/>
                      <w:sz w:val="21"/>
                      <w:szCs w:val="21"/>
                    </w:rPr>
                    <w:t>-8h</w:t>
                  </w:r>
                </w:p>
                <w:p>
                  <w:pPr>
                    <w:pStyle w:val="23"/>
                    <w:spacing w:before="0" w:beforeAutospacing="0" w:after="0" w:afterAutospacing="0"/>
                    <w:jc w:val="center"/>
                    <w:rPr>
                      <w:rFonts w:ascii="Times New Roman" w:hAnsi="Times New Roman" w:eastAsiaTheme="minorEastAsia"/>
                      <w:b/>
                      <w:sz w:val="21"/>
                      <w:szCs w:val="21"/>
                    </w:rPr>
                  </w:pPr>
                  <w:r>
                    <w:rPr>
                      <w:rFonts w:ascii="Times New Roman" w:hAnsi="Times New Roman" w:eastAsiaTheme="minorEastAsia"/>
                      <w:b/>
                      <w:sz w:val="21"/>
                      <w:szCs w:val="21"/>
                    </w:rPr>
                    <w:t>90百分位数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浓度值</w:t>
                  </w:r>
                </w:p>
              </w:tc>
              <w:tc>
                <w:tcPr>
                  <w:tcW w:w="416"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评价结果</w:t>
                  </w:r>
                </w:p>
              </w:tc>
              <w:tc>
                <w:tcPr>
                  <w:tcW w:w="416"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浓度值</w:t>
                  </w:r>
                </w:p>
              </w:tc>
              <w:tc>
                <w:tcPr>
                  <w:tcW w:w="416"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评价结果</w:t>
                  </w:r>
                </w:p>
              </w:tc>
              <w:tc>
                <w:tcPr>
                  <w:tcW w:w="416"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浓度值</w:t>
                  </w:r>
                </w:p>
              </w:tc>
              <w:tc>
                <w:tcPr>
                  <w:tcW w:w="416"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评价结果</w:t>
                  </w:r>
                </w:p>
              </w:tc>
              <w:tc>
                <w:tcPr>
                  <w:tcW w:w="416"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浓度值</w:t>
                  </w:r>
                </w:p>
              </w:tc>
              <w:tc>
                <w:tcPr>
                  <w:tcW w:w="417"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评价结果</w:t>
                  </w:r>
                </w:p>
              </w:tc>
              <w:tc>
                <w:tcPr>
                  <w:tcW w:w="416"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浓度值</w:t>
                  </w:r>
                </w:p>
              </w:tc>
              <w:tc>
                <w:tcPr>
                  <w:tcW w:w="417"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评价结果</w:t>
                  </w:r>
                </w:p>
              </w:tc>
              <w:tc>
                <w:tcPr>
                  <w:tcW w:w="416"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浓度值</w:t>
                  </w:r>
                </w:p>
              </w:tc>
              <w:tc>
                <w:tcPr>
                  <w:tcW w:w="417"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21</w:t>
                  </w:r>
                </w:p>
              </w:tc>
              <w:tc>
                <w:tcPr>
                  <w:tcW w:w="416"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一级</w:t>
                  </w:r>
                </w:p>
              </w:tc>
              <w:tc>
                <w:tcPr>
                  <w:tcW w:w="416"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11</w:t>
                  </w:r>
                </w:p>
              </w:tc>
              <w:tc>
                <w:tcPr>
                  <w:tcW w:w="416"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一级</w:t>
                  </w:r>
                </w:p>
              </w:tc>
              <w:tc>
                <w:tcPr>
                  <w:tcW w:w="416"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9</w:t>
                  </w:r>
                </w:p>
              </w:tc>
              <w:tc>
                <w:tcPr>
                  <w:tcW w:w="416"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一级</w:t>
                  </w:r>
                </w:p>
              </w:tc>
              <w:tc>
                <w:tcPr>
                  <w:tcW w:w="416"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11</w:t>
                  </w:r>
                </w:p>
              </w:tc>
              <w:tc>
                <w:tcPr>
                  <w:tcW w:w="417"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一级</w:t>
                  </w:r>
                </w:p>
              </w:tc>
              <w:tc>
                <w:tcPr>
                  <w:tcW w:w="416"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1.0</w:t>
                  </w:r>
                </w:p>
              </w:tc>
              <w:tc>
                <w:tcPr>
                  <w:tcW w:w="417"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一级</w:t>
                  </w:r>
                </w:p>
              </w:tc>
              <w:tc>
                <w:tcPr>
                  <w:tcW w:w="416"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118</w:t>
                  </w:r>
                </w:p>
              </w:tc>
              <w:tc>
                <w:tcPr>
                  <w:tcW w:w="417"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二级</w:t>
                  </w:r>
                </w:p>
              </w:tc>
            </w:tr>
          </w:tbl>
          <w:p>
            <w:pPr>
              <w:widowControl/>
              <w:spacing w:line="360" w:lineRule="auto"/>
              <w:ind w:firstLine="480" w:firstLineChars="200"/>
              <w:jc w:val="left"/>
              <w:rPr>
                <w:rFonts w:eastAsiaTheme="minorEastAsia"/>
                <w:kern w:val="0"/>
                <w:sz w:val="24"/>
              </w:rPr>
            </w:pPr>
            <w:r>
              <w:rPr>
                <w:rFonts w:eastAsiaTheme="minorEastAsia"/>
                <w:kern w:val="0"/>
                <w:sz w:val="24"/>
              </w:rPr>
              <w:t>姚安县2022年全年六项基本污染物（SO</w:t>
            </w:r>
            <w:r>
              <w:rPr>
                <w:rFonts w:eastAsiaTheme="minorEastAsia"/>
                <w:kern w:val="0"/>
                <w:sz w:val="24"/>
                <w:vertAlign w:val="subscript"/>
              </w:rPr>
              <w:t>2</w:t>
            </w:r>
            <w:r>
              <w:rPr>
                <w:rFonts w:eastAsiaTheme="minorEastAsia"/>
                <w:kern w:val="0"/>
                <w:sz w:val="24"/>
              </w:rPr>
              <w:t>、NO</w:t>
            </w:r>
            <w:r>
              <w:rPr>
                <w:rFonts w:eastAsiaTheme="minorEastAsia"/>
                <w:kern w:val="0"/>
                <w:sz w:val="24"/>
                <w:vertAlign w:val="subscript"/>
              </w:rPr>
              <w:t>2</w:t>
            </w:r>
            <w:r>
              <w:rPr>
                <w:rFonts w:eastAsiaTheme="minorEastAsia"/>
                <w:kern w:val="0"/>
                <w:sz w:val="24"/>
              </w:rPr>
              <w:t>、PM</w:t>
            </w:r>
            <w:r>
              <w:rPr>
                <w:rFonts w:eastAsiaTheme="minorEastAsia"/>
                <w:kern w:val="0"/>
                <w:sz w:val="24"/>
                <w:vertAlign w:val="subscript"/>
              </w:rPr>
              <w:t>10</w:t>
            </w:r>
            <w:r>
              <w:rPr>
                <w:rFonts w:eastAsiaTheme="minorEastAsia"/>
                <w:kern w:val="0"/>
                <w:sz w:val="24"/>
              </w:rPr>
              <w:t>、PM</w:t>
            </w:r>
            <w:r>
              <w:rPr>
                <w:rFonts w:eastAsiaTheme="minorEastAsia"/>
                <w:kern w:val="0"/>
                <w:sz w:val="24"/>
                <w:vertAlign w:val="subscript"/>
              </w:rPr>
              <w:t>2.5</w:t>
            </w:r>
            <w:r>
              <w:rPr>
                <w:rFonts w:eastAsiaTheme="minorEastAsia"/>
                <w:kern w:val="0"/>
                <w:sz w:val="24"/>
              </w:rPr>
              <w:t>、CO和O</w:t>
            </w:r>
            <w:r>
              <w:rPr>
                <w:rFonts w:eastAsiaTheme="minorEastAsia"/>
                <w:kern w:val="0"/>
                <w:sz w:val="24"/>
                <w:vertAlign w:val="subscript"/>
              </w:rPr>
              <w:t>3</w:t>
            </w:r>
            <w:r>
              <w:rPr>
                <w:rFonts w:eastAsiaTheme="minorEastAsia"/>
                <w:kern w:val="0"/>
                <w:sz w:val="24"/>
              </w:rPr>
              <w:t>）年均浓度均达标，日均值的相应保证率浓度达标。其环境空气质量为优良，综上，可判定所涉及的姚安县属于环境空气质量达标区。</w:t>
            </w:r>
          </w:p>
          <w:p>
            <w:pPr>
              <w:widowControl/>
              <w:spacing w:line="360" w:lineRule="auto"/>
              <w:ind w:firstLine="480" w:firstLineChars="200"/>
              <w:jc w:val="left"/>
              <w:rPr>
                <w:rFonts w:eastAsiaTheme="minorEastAsia"/>
                <w:kern w:val="0"/>
                <w:sz w:val="24"/>
              </w:rPr>
            </w:pPr>
            <w:r>
              <w:rPr>
                <w:rFonts w:eastAsiaTheme="minorEastAsia"/>
                <w:kern w:val="0"/>
                <w:sz w:val="24"/>
              </w:rPr>
              <w:t>项目位于楚雄州光禄镇福光村委会，厂区南面紧邻姚旧罗线，北面是嘉橙农业有限公司，西面为云南花当家园艺有限公司，东面为空地；为了解项目区周围大气环境现状，可根据云南花当家园艺有限公司委托云南聚盈环保科技有限公司2023年3月30日的YNJY-[2023]-03036号监测报告（附件6），项目厂界大气环境质量可以达到《环境空气质量标准》（GB3095-2012）二级标准，项目所在区域属于环境空气达标区。</w:t>
            </w:r>
          </w:p>
          <w:p>
            <w:pPr>
              <w:autoSpaceDE w:val="0"/>
              <w:autoSpaceDN w:val="0"/>
              <w:adjustRightInd w:val="0"/>
              <w:snapToGrid w:val="0"/>
              <w:spacing w:line="360" w:lineRule="auto"/>
              <w:jc w:val="center"/>
              <w:rPr>
                <w:rFonts w:eastAsiaTheme="minorEastAsia"/>
                <w:b/>
                <w:kern w:val="0"/>
                <w:sz w:val="24"/>
              </w:rPr>
            </w:pPr>
            <w:r>
              <w:rPr>
                <w:rFonts w:eastAsiaTheme="minorEastAsia"/>
                <w:b/>
                <w:kern w:val="0"/>
                <w:sz w:val="24"/>
              </w:rPr>
              <w:t>表3-4 环境空气质量现状</w:t>
            </w:r>
          </w:p>
          <w:tbl>
            <w:tblPr>
              <w:tblStyle w:val="27"/>
              <w:tblW w:w="48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1834"/>
              <w:gridCol w:w="2084"/>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369" w:type="pct"/>
                  <w:vMerge w:val="restart"/>
                  <w:vAlign w:val="center"/>
                </w:tcPr>
                <w:p>
                  <w:pPr>
                    <w:widowControl/>
                    <w:jc w:val="center"/>
                    <w:rPr>
                      <w:rFonts w:eastAsiaTheme="minorEastAsia"/>
                      <w:b/>
                      <w:kern w:val="0"/>
                      <w:szCs w:val="21"/>
                    </w:rPr>
                  </w:pPr>
                  <w:r>
                    <w:rPr>
                      <w:rFonts w:eastAsiaTheme="minorEastAsia"/>
                      <w:b/>
                      <w:kern w:val="0"/>
                      <w:szCs w:val="21"/>
                    </w:rPr>
                    <w:t>监测点位</w:t>
                  </w:r>
                </w:p>
              </w:tc>
              <w:tc>
                <w:tcPr>
                  <w:tcW w:w="1109" w:type="pct"/>
                  <w:vMerge w:val="restart"/>
                  <w:vAlign w:val="center"/>
                </w:tcPr>
                <w:p>
                  <w:pPr>
                    <w:widowControl/>
                    <w:jc w:val="center"/>
                    <w:rPr>
                      <w:rFonts w:eastAsiaTheme="minorEastAsia"/>
                      <w:b/>
                      <w:kern w:val="0"/>
                      <w:szCs w:val="21"/>
                    </w:rPr>
                  </w:pPr>
                  <w:r>
                    <w:rPr>
                      <w:rFonts w:eastAsiaTheme="minorEastAsia"/>
                      <w:b/>
                      <w:kern w:val="0"/>
                      <w:szCs w:val="21"/>
                    </w:rPr>
                    <w:t>检测时间</w:t>
                  </w:r>
                </w:p>
              </w:tc>
              <w:tc>
                <w:tcPr>
                  <w:tcW w:w="1260" w:type="pct"/>
                  <w:vAlign w:val="center"/>
                </w:tcPr>
                <w:p>
                  <w:pPr>
                    <w:widowControl/>
                    <w:jc w:val="center"/>
                    <w:rPr>
                      <w:rFonts w:eastAsiaTheme="minorEastAsia"/>
                      <w:b/>
                      <w:kern w:val="0"/>
                      <w:szCs w:val="21"/>
                    </w:rPr>
                  </w:pPr>
                  <w:r>
                    <w:rPr>
                      <w:rFonts w:eastAsiaTheme="minorEastAsia"/>
                      <w:b/>
                      <w:kern w:val="0"/>
                      <w:szCs w:val="21"/>
                    </w:rPr>
                    <w:t>检测项目</w:t>
                  </w:r>
                </w:p>
              </w:tc>
              <w:tc>
                <w:tcPr>
                  <w:tcW w:w="1262" w:type="pct"/>
                  <w:vAlign w:val="center"/>
                </w:tcPr>
                <w:p>
                  <w:pPr>
                    <w:widowControl/>
                    <w:jc w:val="center"/>
                    <w:rPr>
                      <w:rFonts w:eastAsiaTheme="minorEastAsia"/>
                      <w:b/>
                      <w:kern w:val="0"/>
                      <w:szCs w:val="21"/>
                    </w:rPr>
                  </w:pPr>
                  <w:r>
                    <w:rPr>
                      <w:rFonts w:eastAsiaTheme="minorEastAsia"/>
                      <w:b/>
                      <w:kern w:val="0"/>
                      <w:szCs w:val="21"/>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369" w:type="pct"/>
                  <w:vMerge w:val="continue"/>
                  <w:vAlign w:val="center"/>
                </w:tcPr>
                <w:p>
                  <w:pPr>
                    <w:widowControl/>
                    <w:jc w:val="center"/>
                    <w:rPr>
                      <w:rFonts w:eastAsiaTheme="minorEastAsia"/>
                      <w:b/>
                      <w:kern w:val="0"/>
                      <w:szCs w:val="21"/>
                    </w:rPr>
                  </w:pPr>
                </w:p>
              </w:tc>
              <w:tc>
                <w:tcPr>
                  <w:tcW w:w="1109" w:type="pct"/>
                  <w:vMerge w:val="continue"/>
                  <w:vAlign w:val="center"/>
                </w:tcPr>
                <w:p>
                  <w:pPr>
                    <w:widowControl/>
                    <w:jc w:val="center"/>
                    <w:rPr>
                      <w:rFonts w:eastAsiaTheme="minorEastAsia"/>
                      <w:b/>
                      <w:kern w:val="0"/>
                      <w:szCs w:val="21"/>
                    </w:rPr>
                  </w:pPr>
                </w:p>
              </w:tc>
              <w:tc>
                <w:tcPr>
                  <w:tcW w:w="1260" w:type="pct"/>
                  <w:vAlign w:val="center"/>
                </w:tcPr>
                <w:p>
                  <w:pPr>
                    <w:widowControl/>
                    <w:jc w:val="center"/>
                    <w:rPr>
                      <w:rFonts w:eastAsiaTheme="minorEastAsia"/>
                      <w:b/>
                      <w:kern w:val="0"/>
                      <w:szCs w:val="21"/>
                    </w:rPr>
                  </w:pPr>
                  <w:r>
                    <w:rPr>
                      <w:rFonts w:eastAsiaTheme="minorEastAsia"/>
                      <w:b/>
                      <w:kern w:val="0"/>
                      <w:szCs w:val="21"/>
                    </w:rPr>
                    <w:t>氮氧化物mg/m</w:t>
                  </w:r>
                  <w:r>
                    <w:rPr>
                      <w:rFonts w:eastAsiaTheme="minorEastAsia"/>
                      <w:b/>
                      <w:kern w:val="0"/>
                      <w:szCs w:val="21"/>
                      <w:vertAlign w:val="superscript"/>
                    </w:rPr>
                    <w:t>3</w:t>
                  </w:r>
                </w:p>
              </w:tc>
              <w:tc>
                <w:tcPr>
                  <w:tcW w:w="1262" w:type="pct"/>
                  <w:vAlign w:val="center"/>
                </w:tcPr>
                <w:p>
                  <w:pPr>
                    <w:widowControl/>
                    <w:jc w:val="center"/>
                    <w:rPr>
                      <w:rFonts w:eastAsiaTheme="minorEastAsia"/>
                      <w:b/>
                      <w:kern w:val="0"/>
                      <w:szCs w:val="21"/>
                    </w:rPr>
                  </w:pPr>
                  <w:r>
                    <w:rPr>
                      <w:rFonts w:eastAsiaTheme="minorEastAsia"/>
                      <w:b/>
                      <w:kern w:val="0"/>
                      <w:szCs w:val="21"/>
                    </w:rPr>
                    <w:t>氮氧化物mg/m</w:t>
                  </w:r>
                  <w:r>
                    <w:rPr>
                      <w:rFonts w:eastAsiaTheme="minorEastAsia"/>
                      <w:b/>
                      <w:kern w:val="0"/>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369" w:type="pct"/>
                  <w:vMerge w:val="restart"/>
                  <w:vAlign w:val="center"/>
                </w:tcPr>
                <w:p>
                  <w:pPr>
                    <w:widowControl/>
                    <w:jc w:val="center"/>
                    <w:rPr>
                      <w:rFonts w:eastAsiaTheme="minorEastAsia"/>
                      <w:kern w:val="0"/>
                      <w:szCs w:val="21"/>
                    </w:rPr>
                  </w:pPr>
                  <w:r>
                    <w:rPr>
                      <w:rFonts w:eastAsiaTheme="minorEastAsia"/>
                      <w:kern w:val="0"/>
                      <w:szCs w:val="21"/>
                    </w:rPr>
                    <w:t>荷福新村幼儿园G1</w:t>
                  </w:r>
                </w:p>
              </w:tc>
              <w:tc>
                <w:tcPr>
                  <w:tcW w:w="1109" w:type="pct"/>
                  <w:vAlign w:val="center"/>
                </w:tcPr>
                <w:p>
                  <w:pPr>
                    <w:widowControl/>
                    <w:jc w:val="center"/>
                    <w:rPr>
                      <w:rFonts w:eastAsiaTheme="minorEastAsia"/>
                      <w:kern w:val="0"/>
                      <w:szCs w:val="21"/>
                    </w:rPr>
                  </w:pPr>
                  <w:r>
                    <w:rPr>
                      <w:rFonts w:eastAsiaTheme="minorEastAsia"/>
                      <w:kern w:val="0"/>
                      <w:szCs w:val="21"/>
                    </w:rPr>
                    <w:t>2023/03/26</w:t>
                  </w:r>
                </w:p>
              </w:tc>
              <w:tc>
                <w:tcPr>
                  <w:tcW w:w="1260" w:type="pct"/>
                  <w:vAlign w:val="center"/>
                </w:tcPr>
                <w:p>
                  <w:pPr>
                    <w:widowControl/>
                    <w:jc w:val="center"/>
                    <w:rPr>
                      <w:rFonts w:eastAsiaTheme="minorEastAsia"/>
                      <w:kern w:val="0"/>
                      <w:szCs w:val="21"/>
                    </w:rPr>
                  </w:pPr>
                  <w:r>
                    <w:rPr>
                      <w:rFonts w:eastAsiaTheme="minorEastAsia"/>
                      <w:kern w:val="0"/>
                      <w:szCs w:val="21"/>
                    </w:rPr>
                    <w:t>0.033</w:t>
                  </w:r>
                </w:p>
              </w:tc>
              <w:tc>
                <w:tcPr>
                  <w:tcW w:w="1262" w:type="pct"/>
                  <w:vAlign w:val="center"/>
                </w:tcPr>
                <w:p>
                  <w:pPr>
                    <w:widowControl/>
                    <w:jc w:val="center"/>
                    <w:rPr>
                      <w:rFonts w:eastAsiaTheme="minorEastAsia"/>
                      <w:kern w:val="0"/>
                      <w:szCs w:val="21"/>
                    </w:rPr>
                  </w:pPr>
                  <w:r>
                    <w:rPr>
                      <w:rFonts w:eastAsiaTheme="minorEastAsia"/>
                      <w:kern w:val="0"/>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369" w:type="pct"/>
                  <w:vMerge w:val="continue"/>
                  <w:vAlign w:val="center"/>
                </w:tcPr>
                <w:p>
                  <w:pPr>
                    <w:widowControl/>
                    <w:jc w:val="center"/>
                    <w:rPr>
                      <w:rFonts w:eastAsiaTheme="minorEastAsia"/>
                      <w:kern w:val="0"/>
                      <w:szCs w:val="21"/>
                    </w:rPr>
                  </w:pPr>
                </w:p>
              </w:tc>
              <w:tc>
                <w:tcPr>
                  <w:tcW w:w="1109" w:type="pct"/>
                  <w:vAlign w:val="center"/>
                </w:tcPr>
                <w:p>
                  <w:pPr>
                    <w:widowControl/>
                    <w:jc w:val="center"/>
                    <w:rPr>
                      <w:rFonts w:eastAsiaTheme="minorEastAsia"/>
                      <w:kern w:val="0"/>
                      <w:szCs w:val="21"/>
                    </w:rPr>
                  </w:pPr>
                  <w:r>
                    <w:rPr>
                      <w:rFonts w:eastAsiaTheme="minorEastAsia"/>
                      <w:kern w:val="0"/>
                      <w:szCs w:val="21"/>
                    </w:rPr>
                    <w:t>2023/03/27</w:t>
                  </w:r>
                </w:p>
              </w:tc>
              <w:tc>
                <w:tcPr>
                  <w:tcW w:w="1260" w:type="pct"/>
                  <w:vAlign w:val="center"/>
                </w:tcPr>
                <w:p>
                  <w:pPr>
                    <w:widowControl/>
                    <w:jc w:val="center"/>
                    <w:rPr>
                      <w:rFonts w:eastAsiaTheme="minorEastAsia"/>
                      <w:kern w:val="0"/>
                      <w:szCs w:val="21"/>
                    </w:rPr>
                  </w:pPr>
                  <w:r>
                    <w:rPr>
                      <w:rFonts w:eastAsiaTheme="minorEastAsia"/>
                      <w:kern w:val="0"/>
                      <w:szCs w:val="21"/>
                    </w:rPr>
                    <w:t>0.032</w:t>
                  </w:r>
                </w:p>
              </w:tc>
              <w:tc>
                <w:tcPr>
                  <w:tcW w:w="1262" w:type="pct"/>
                  <w:vAlign w:val="center"/>
                </w:tcPr>
                <w:p>
                  <w:pPr>
                    <w:widowControl/>
                    <w:jc w:val="center"/>
                    <w:rPr>
                      <w:rFonts w:eastAsiaTheme="minorEastAsia"/>
                      <w:kern w:val="0"/>
                      <w:szCs w:val="21"/>
                    </w:rPr>
                  </w:pPr>
                  <w:r>
                    <w:rPr>
                      <w:rFonts w:eastAsiaTheme="minorEastAsia"/>
                      <w:kern w:val="0"/>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369" w:type="pct"/>
                  <w:vMerge w:val="continue"/>
                  <w:vAlign w:val="center"/>
                </w:tcPr>
                <w:p>
                  <w:pPr>
                    <w:widowControl/>
                    <w:jc w:val="center"/>
                    <w:rPr>
                      <w:rFonts w:eastAsiaTheme="minorEastAsia"/>
                      <w:kern w:val="0"/>
                      <w:szCs w:val="21"/>
                    </w:rPr>
                  </w:pPr>
                </w:p>
              </w:tc>
              <w:tc>
                <w:tcPr>
                  <w:tcW w:w="1109" w:type="pct"/>
                  <w:vAlign w:val="center"/>
                </w:tcPr>
                <w:p>
                  <w:pPr>
                    <w:widowControl/>
                    <w:jc w:val="center"/>
                    <w:rPr>
                      <w:rFonts w:eastAsiaTheme="minorEastAsia"/>
                      <w:kern w:val="0"/>
                      <w:szCs w:val="21"/>
                    </w:rPr>
                  </w:pPr>
                  <w:r>
                    <w:rPr>
                      <w:rFonts w:eastAsiaTheme="minorEastAsia"/>
                      <w:kern w:val="0"/>
                      <w:szCs w:val="21"/>
                    </w:rPr>
                    <w:t>2023/03/28</w:t>
                  </w:r>
                </w:p>
              </w:tc>
              <w:tc>
                <w:tcPr>
                  <w:tcW w:w="1260" w:type="pct"/>
                  <w:vAlign w:val="center"/>
                </w:tcPr>
                <w:p>
                  <w:pPr>
                    <w:widowControl/>
                    <w:jc w:val="center"/>
                    <w:rPr>
                      <w:rFonts w:eastAsiaTheme="minorEastAsia"/>
                      <w:kern w:val="0"/>
                      <w:szCs w:val="21"/>
                    </w:rPr>
                  </w:pPr>
                  <w:r>
                    <w:rPr>
                      <w:rFonts w:eastAsiaTheme="minorEastAsia"/>
                      <w:kern w:val="0"/>
                      <w:szCs w:val="21"/>
                    </w:rPr>
                    <w:t>0.033</w:t>
                  </w:r>
                </w:p>
              </w:tc>
              <w:tc>
                <w:tcPr>
                  <w:tcW w:w="1262" w:type="pct"/>
                  <w:vAlign w:val="center"/>
                </w:tcPr>
                <w:p>
                  <w:pPr>
                    <w:widowControl/>
                    <w:jc w:val="center"/>
                    <w:rPr>
                      <w:rFonts w:eastAsiaTheme="minorEastAsia"/>
                      <w:kern w:val="0"/>
                      <w:szCs w:val="21"/>
                    </w:rPr>
                  </w:pPr>
                  <w:r>
                    <w:rPr>
                      <w:rFonts w:eastAsiaTheme="minorEastAsia"/>
                      <w:kern w:val="0"/>
                      <w:szCs w:val="21"/>
                    </w:rPr>
                    <w:t>0.1</w:t>
                  </w:r>
                </w:p>
              </w:tc>
            </w:tr>
          </w:tbl>
          <w:p>
            <w:pPr>
              <w:widowControl/>
              <w:spacing w:line="360" w:lineRule="auto"/>
              <w:ind w:firstLine="480" w:firstLineChars="200"/>
              <w:jc w:val="left"/>
              <w:rPr>
                <w:rFonts w:eastAsiaTheme="minorEastAsia"/>
                <w:kern w:val="0"/>
                <w:sz w:val="24"/>
              </w:rPr>
            </w:pPr>
            <w:r>
              <w:rPr>
                <w:rFonts w:eastAsiaTheme="minorEastAsia"/>
                <w:kern w:val="0"/>
                <w:sz w:val="24"/>
              </w:rPr>
              <w:t>该区域大气环境功能区满足《环境空气质量标准》（GB3095-2012）二级标准。</w:t>
            </w:r>
          </w:p>
          <w:p>
            <w:pPr>
              <w:numPr>
                <w:ilvl w:val="0"/>
                <w:numId w:val="7"/>
              </w:numPr>
              <w:adjustRightInd w:val="0"/>
              <w:snapToGrid w:val="0"/>
              <w:spacing w:line="360" w:lineRule="auto"/>
              <w:jc w:val="left"/>
              <w:rPr>
                <w:rFonts w:eastAsiaTheme="minorEastAsia"/>
                <w:b/>
                <w:bCs/>
                <w:kern w:val="0"/>
                <w:sz w:val="24"/>
              </w:rPr>
            </w:pPr>
            <w:r>
              <w:rPr>
                <w:rFonts w:eastAsiaTheme="minorEastAsia"/>
                <w:b/>
                <w:bCs/>
                <w:kern w:val="0"/>
                <w:sz w:val="24"/>
              </w:rPr>
              <w:t>地表水环境质量现状</w:t>
            </w:r>
          </w:p>
          <w:p>
            <w:pPr>
              <w:widowControl/>
              <w:spacing w:line="360" w:lineRule="auto"/>
              <w:ind w:firstLine="480" w:firstLineChars="200"/>
              <w:rPr>
                <w:rFonts w:eastAsiaTheme="minorEastAsia"/>
                <w:kern w:val="0"/>
                <w:sz w:val="24"/>
              </w:rPr>
            </w:pPr>
            <w:r>
              <w:rPr>
                <w:rFonts w:eastAsiaTheme="minorEastAsia"/>
                <w:kern w:val="0"/>
                <w:sz w:val="24"/>
              </w:rPr>
              <w:t xml:space="preserve">项目区主要地表水为西运河，位于本项目东面，相距约1900m。根据《云南省水功能区划（第二版）》（云南省水利厅，2013年10月），由姚安县太平至大姚县团塘，涉及功能区为蜻蛉河姚安－大姚开发利用区，属于长江流域金沙江干流区，水环境功能为农灌为主，兼有工业用水，属于《地表水环境质量标准》（GB3838-2002）的 Ⅲ 类水功能。 </w:t>
            </w:r>
          </w:p>
          <w:p>
            <w:pPr>
              <w:pStyle w:val="23"/>
              <w:shd w:val="clear" w:color="auto" w:fill="FFFFFF"/>
              <w:spacing w:before="0" w:beforeAutospacing="0" w:after="0" w:afterAutospacing="0" w:line="360" w:lineRule="auto"/>
              <w:ind w:firstLine="420"/>
              <w:rPr>
                <w:rFonts w:ascii="Times New Roman" w:hAnsi="Times New Roman" w:eastAsiaTheme="minorEastAsia"/>
                <w:szCs w:val="24"/>
              </w:rPr>
            </w:pPr>
            <w:r>
              <w:rPr>
                <w:rFonts w:ascii="Times New Roman" w:hAnsi="Times New Roman" w:eastAsiaTheme="minorEastAsia"/>
                <w:szCs w:val="24"/>
              </w:rPr>
              <w:t>根据《姚安县2022年环境质量状况》姚安县共设国控断面1个，省控断面4个，监测频次为每月一次。国控断面为渔泡江地索坡脚（经度：100.9986°，纬度：25.6900°），省控断面为蜻蛉河王家桥（经度：101.2272°，纬度：25.6053°）、蜻蛉河源头姚安太平（经度：101.2361°，纬度：25.3950°）、红梅水库（经度：101.1698°，纬度：25.3391°），渔泡江新民大桥（经度：100.9841°，纬度：25.6311°）。2022年，渔泡江地索坡脚、渔泡江新民大桥水质类别为Ⅱ类，水质状况为优，蜻蛉河源头姚安太平断面、红梅水库水质类别为Ⅲ类，水质状况为良好；蜻蛉河王家桥水质类别为Ⅴ类，水质状况为中度污染。水质状况为优（水质类别为优Ⅰ类—Ⅱ类）的断面有2个，占40%，水质状况为良（水质类别为Ⅲ类）的断面有2个、占40%，水质状况为中度污染（水质类别为Ⅴ类）的断面有1个，占20%。各断面水质监测结果见表3-5。</w:t>
            </w:r>
          </w:p>
          <w:p>
            <w:pPr>
              <w:spacing w:line="360" w:lineRule="auto"/>
              <w:ind w:firstLine="482" w:firstLineChars="200"/>
              <w:jc w:val="center"/>
              <w:rPr>
                <w:rFonts w:eastAsiaTheme="minorEastAsia"/>
                <w:b/>
                <w:kern w:val="0"/>
                <w:sz w:val="24"/>
              </w:rPr>
            </w:pPr>
            <w:r>
              <w:rPr>
                <w:rFonts w:eastAsiaTheme="minorEastAsia"/>
                <w:b/>
                <w:kern w:val="0"/>
                <w:sz w:val="24"/>
              </w:rPr>
              <w:t>表3-5 2022年姚安县国控、省控断面监测结果（年均值）汇总表</w:t>
            </w:r>
          </w:p>
          <w:tbl>
            <w:tblPr>
              <w:tblStyle w:val="28"/>
              <w:tblW w:w="49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040"/>
              <w:gridCol w:w="866"/>
              <w:gridCol w:w="753"/>
              <w:gridCol w:w="753"/>
              <w:gridCol w:w="859"/>
              <w:gridCol w:w="718"/>
              <w:gridCol w:w="805"/>
              <w:gridCol w:w="952"/>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499" w:type="pct"/>
                  <w:vMerge w:val="restart"/>
                  <w:vAlign w:val="center"/>
                </w:tcPr>
                <w:p>
                  <w:pPr>
                    <w:pStyle w:val="23"/>
                    <w:spacing w:before="0" w:beforeAutospacing="0" w:after="0" w:afterAutospacing="0"/>
                    <w:jc w:val="center"/>
                    <w:rPr>
                      <w:rFonts w:ascii="Times New Roman" w:hAnsi="Times New Roman" w:eastAsiaTheme="minorEastAsia"/>
                      <w:b/>
                      <w:sz w:val="21"/>
                      <w:szCs w:val="21"/>
                    </w:rPr>
                  </w:pPr>
                  <w:r>
                    <w:rPr>
                      <w:rFonts w:ascii="Times New Roman" w:hAnsi="Times New Roman" w:eastAsiaTheme="minorEastAsia"/>
                      <w:b/>
                      <w:sz w:val="21"/>
                      <w:szCs w:val="21"/>
                    </w:rPr>
                    <w:t>序号</w:t>
                  </w:r>
                </w:p>
              </w:tc>
              <w:tc>
                <w:tcPr>
                  <w:tcW w:w="2501" w:type="pct"/>
                  <w:gridSpan w:val="5"/>
                  <w:vAlign w:val="center"/>
                </w:tcPr>
                <w:p>
                  <w:pPr>
                    <w:pStyle w:val="23"/>
                    <w:spacing w:before="0" w:beforeAutospacing="0" w:after="0" w:afterAutospacing="0"/>
                    <w:jc w:val="center"/>
                    <w:rPr>
                      <w:rFonts w:ascii="Times New Roman" w:hAnsi="Times New Roman" w:eastAsiaTheme="minorEastAsia"/>
                      <w:b/>
                      <w:sz w:val="21"/>
                      <w:szCs w:val="21"/>
                    </w:rPr>
                  </w:pPr>
                  <w:r>
                    <w:rPr>
                      <w:rFonts w:ascii="Times New Roman" w:hAnsi="Times New Roman" w:eastAsiaTheme="minorEastAsia"/>
                      <w:b/>
                      <w:sz w:val="21"/>
                      <w:szCs w:val="21"/>
                    </w:rPr>
                    <w:t>断面（点位）信息</w:t>
                  </w:r>
                </w:p>
              </w:tc>
              <w:tc>
                <w:tcPr>
                  <w:tcW w:w="891" w:type="pct"/>
                  <w:gridSpan w:val="2"/>
                  <w:vAlign w:val="center"/>
                </w:tcPr>
                <w:p>
                  <w:pPr>
                    <w:pStyle w:val="23"/>
                    <w:spacing w:before="0" w:beforeAutospacing="0" w:after="0" w:afterAutospacing="0"/>
                    <w:jc w:val="center"/>
                    <w:rPr>
                      <w:rFonts w:ascii="Times New Roman" w:hAnsi="Times New Roman" w:eastAsiaTheme="minorEastAsia"/>
                      <w:b/>
                      <w:sz w:val="21"/>
                      <w:szCs w:val="21"/>
                    </w:rPr>
                  </w:pPr>
                  <w:r>
                    <w:rPr>
                      <w:rFonts w:ascii="Times New Roman" w:hAnsi="Times New Roman" w:eastAsiaTheme="minorEastAsia"/>
                      <w:b/>
                      <w:sz w:val="21"/>
                      <w:szCs w:val="21"/>
                    </w:rPr>
                    <w:t>监测情况</w:t>
                  </w:r>
                </w:p>
              </w:tc>
              <w:tc>
                <w:tcPr>
                  <w:tcW w:w="1109" w:type="pct"/>
                  <w:gridSpan w:val="2"/>
                  <w:vAlign w:val="center"/>
                </w:tcPr>
                <w:p>
                  <w:pPr>
                    <w:pStyle w:val="23"/>
                    <w:spacing w:before="0" w:beforeAutospacing="0" w:after="0" w:afterAutospacing="0"/>
                    <w:jc w:val="center"/>
                    <w:rPr>
                      <w:rFonts w:ascii="Times New Roman" w:hAnsi="Times New Roman" w:eastAsiaTheme="minorEastAsia"/>
                      <w:b/>
                      <w:sz w:val="21"/>
                      <w:szCs w:val="21"/>
                    </w:rPr>
                  </w:pPr>
                  <w:r>
                    <w:rPr>
                      <w:rFonts w:ascii="Times New Roman" w:hAnsi="Times New Roman" w:eastAsiaTheme="minorEastAsia"/>
                      <w:b/>
                      <w:sz w:val="21"/>
                      <w:szCs w:val="21"/>
                    </w:rPr>
                    <w:t>对比情况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99" w:type="pct"/>
                  <w:vMerge w:val="continue"/>
                  <w:vAlign w:val="center"/>
                </w:tcPr>
                <w:p>
                  <w:pPr>
                    <w:jc w:val="center"/>
                    <w:rPr>
                      <w:rFonts w:eastAsiaTheme="minorEastAsia"/>
                      <w:b/>
                      <w:kern w:val="0"/>
                      <w:szCs w:val="21"/>
                    </w:rPr>
                  </w:pPr>
                </w:p>
              </w:tc>
              <w:tc>
                <w:tcPr>
                  <w:tcW w:w="609" w:type="pct"/>
                  <w:vAlign w:val="center"/>
                </w:tcPr>
                <w:p>
                  <w:pPr>
                    <w:pStyle w:val="23"/>
                    <w:spacing w:before="0" w:beforeAutospacing="0" w:after="0" w:afterAutospacing="0"/>
                    <w:jc w:val="center"/>
                    <w:rPr>
                      <w:rFonts w:ascii="Times New Roman" w:hAnsi="Times New Roman" w:eastAsiaTheme="minorEastAsia"/>
                      <w:b/>
                      <w:sz w:val="21"/>
                      <w:szCs w:val="21"/>
                    </w:rPr>
                  </w:pPr>
                  <w:r>
                    <w:rPr>
                      <w:rFonts w:ascii="Times New Roman" w:hAnsi="Times New Roman" w:eastAsiaTheme="minorEastAsia"/>
                      <w:b/>
                      <w:sz w:val="21"/>
                      <w:szCs w:val="21"/>
                    </w:rPr>
                    <w:t>断面（点位）名称</w:t>
                  </w:r>
                </w:p>
              </w:tc>
              <w:tc>
                <w:tcPr>
                  <w:tcW w:w="507" w:type="pct"/>
                  <w:vAlign w:val="center"/>
                </w:tcPr>
                <w:p>
                  <w:pPr>
                    <w:pStyle w:val="23"/>
                    <w:spacing w:before="0" w:beforeAutospacing="0" w:after="0" w:afterAutospacing="0"/>
                    <w:jc w:val="center"/>
                    <w:rPr>
                      <w:rFonts w:ascii="Times New Roman" w:hAnsi="Times New Roman" w:eastAsiaTheme="minorEastAsia"/>
                      <w:b/>
                      <w:sz w:val="21"/>
                      <w:szCs w:val="21"/>
                    </w:rPr>
                  </w:pPr>
                  <w:r>
                    <w:rPr>
                      <w:rFonts w:ascii="Times New Roman" w:hAnsi="Times New Roman" w:eastAsiaTheme="minorEastAsia"/>
                      <w:b/>
                      <w:sz w:val="21"/>
                      <w:szCs w:val="21"/>
                    </w:rPr>
                    <w:t>所在河流</w:t>
                  </w:r>
                </w:p>
              </w:tc>
              <w:tc>
                <w:tcPr>
                  <w:tcW w:w="441" w:type="pct"/>
                  <w:vAlign w:val="center"/>
                </w:tcPr>
                <w:p>
                  <w:pPr>
                    <w:pStyle w:val="23"/>
                    <w:spacing w:before="0" w:beforeAutospacing="0" w:after="0" w:afterAutospacing="0"/>
                    <w:jc w:val="center"/>
                    <w:rPr>
                      <w:rFonts w:ascii="Times New Roman" w:hAnsi="Times New Roman" w:eastAsiaTheme="minorEastAsia"/>
                      <w:b/>
                      <w:sz w:val="21"/>
                      <w:szCs w:val="21"/>
                    </w:rPr>
                  </w:pPr>
                  <w:r>
                    <w:rPr>
                      <w:rFonts w:ascii="Times New Roman" w:hAnsi="Times New Roman" w:eastAsiaTheme="minorEastAsia"/>
                      <w:b/>
                      <w:sz w:val="21"/>
                      <w:szCs w:val="21"/>
                    </w:rPr>
                    <w:t>所在流域</w:t>
                  </w:r>
                </w:p>
              </w:tc>
              <w:tc>
                <w:tcPr>
                  <w:tcW w:w="441" w:type="pct"/>
                  <w:vAlign w:val="center"/>
                </w:tcPr>
                <w:p>
                  <w:pPr>
                    <w:pStyle w:val="23"/>
                    <w:spacing w:before="0" w:beforeAutospacing="0" w:after="0" w:afterAutospacing="0"/>
                    <w:jc w:val="center"/>
                    <w:rPr>
                      <w:rFonts w:ascii="Times New Roman" w:hAnsi="Times New Roman" w:eastAsiaTheme="minorEastAsia"/>
                      <w:b/>
                      <w:sz w:val="21"/>
                      <w:szCs w:val="21"/>
                    </w:rPr>
                  </w:pPr>
                  <w:r>
                    <w:rPr>
                      <w:rFonts w:ascii="Times New Roman" w:hAnsi="Times New Roman" w:eastAsiaTheme="minorEastAsia"/>
                      <w:b/>
                      <w:sz w:val="21"/>
                      <w:szCs w:val="21"/>
                    </w:rPr>
                    <w:t>所在乡镇</w:t>
                  </w:r>
                </w:p>
              </w:tc>
              <w:tc>
                <w:tcPr>
                  <w:tcW w:w="502" w:type="pct"/>
                  <w:vAlign w:val="center"/>
                </w:tcPr>
                <w:p>
                  <w:pPr>
                    <w:pStyle w:val="23"/>
                    <w:spacing w:before="0" w:beforeAutospacing="0" w:after="0" w:afterAutospacing="0"/>
                    <w:jc w:val="center"/>
                    <w:rPr>
                      <w:rFonts w:ascii="Times New Roman" w:hAnsi="Times New Roman" w:eastAsiaTheme="minorEastAsia"/>
                      <w:b/>
                      <w:sz w:val="21"/>
                      <w:szCs w:val="21"/>
                    </w:rPr>
                  </w:pPr>
                  <w:r>
                    <w:rPr>
                      <w:rFonts w:ascii="Times New Roman" w:hAnsi="Times New Roman" w:eastAsiaTheme="minorEastAsia"/>
                      <w:b/>
                      <w:sz w:val="21"/>
                      <w:szCs w:val="21"/>
                    </w:rPr>
                    <w:t>断面性质</w:t>
                  </w:r>
                </w:p>
              </w:tc>
              <w:tc>
                <w:tcPr>
                  <w:tcW w:w="420" w:type="pct"/>
                  <w:vAlign w:val="center"/>
                </w:tcPr>
                <w:p>
                  <w:pPr>
                    <w:pStyle w:val="23"/>
                    <w:spacing w:before="0" w:beforeAutospacing="0" w:after="0" w:afterAutospacing="0"/>
                    <w:jc w:val="center"/>
                    <w:rPr>
                      <w:rFonts w:ascii="Times New Roman" w:hAnsi="Times New Roman" w:eastAsiaTheme="minorEastAsia"/>
                      <w:b/>
                      <w:sz w:val="21"/>
                      <w:szCs w:val="21"/>
                    </w:rPr>
                  </w:pPr>
                  <w:r>
                    <w:rPr>
                      <w:rFonts w:ascii="Times New Roman" w:hAnsi="Times New Roman" w:eastAsiaTheme="minorEastAsia"/>
                      <w:b/>
                      <w:sz w:val="21"/>
                      <w:szCs w:val="21"/>
                    </w:rPr>
                    <w:t>水质</w:t>
                  </w:r>
                </w:p>
                <w:p>
                  <w:pPr>
                    <w:pStyle w:val="23"/>
                    <w:spacing w:before="0" w:beforeAutospacing="0" w:after="0" w:afterAutospacing="0"/>
                    <w:jc w:val="center"/>
                    <w:rPr>
                      <w:rFonts w:ascii="Times New Roman" w:hAnsi="Times New Roman" w:eastAsiaTheme="minorEastAsia"/>
                      <w:b/>
                      <w:sz w:val="21"/>
                      <w:szCs w:val="21"/>
                    </w:rPr>
                  </w:pPr>
                  <w:r>
                    <w:rPr>
                      <w:rFonts w:ascii="Times New Roman" w:hAnsi="Times New Roman" w:eastAsiaTheme="minorEastAsia"/>
                      <w:b/>
                      <w:sz w:val="21"/>
                      <w:szCs w:val="21"/>
                    </w:rPr>
                    <w:t>类别</w:t>
                  </w:r>
                </w:p>
              </w:tc>
              <w:tc>
                <w:tcPr>
                  <w:tcW w:w="471" w:type="pct"/>
                  <w:vAlign w:val="center"/>
                </w:tcPr>
                <w:p>
                  <w:pPr>
                    <w:pStyle w:val="23"/>
                    <w:spacing w:before="0" w:beforeAutospacing="0" w:after="0" w:afterAutospacing="0"/>
                    <w:jc w:val="center"/>
                    <w:rPr>
                      <w:rFonts w:ascii="Times New Roman" w:hAnsi="Times New Roman" w:eastAsiaTheme="minorEastAsia"/>
                      <w:b/>
                      <w:sz w:val="21"/>
                      <w:szCs w:val="21"/>
                    </w:rPr>
                  </w:pPr>
                  <w:r>
                    <w:rPr>
                      <w:rFonts w:ascii="Times New Roman" w:hAnsi="Times New Roman" w:eastAsiaTheme="minorEastAsia"/>
                      <w:b/>
                      <w:sz w:val="21"/>
                      <w:szCs w:val="21"/>
                    </w:rPr>
                    <w:t>水质</w:t>
                  </w:r>
                </w:p>
                <w:p>
                  <w:pPr>
                    <w:pStyle w:val="23"/>
                    <w:spacing w:before="0" w:beforeAutospacing="0" w:after="0" w:afterAutospacing="0"/>
                    <w:jc w:val="center"/>
                    <w:rPr>
                      <w:rFonts w:ascii="Times New Roman" w:hAnsi="Times New Roman" w:eastAsiaTheme="minorEastAsia"/>
                      <w:b/>
                      <w:sz w:val="21"/>
                      <w:szCs w:val="21"/>
                    </w:rPr>
                  </w:pPr>
                  <w:r>
                    <w:rPr>
                      <w:rFonts w:ascii="Times New Roman" w:hAnsi="Times New Roman" w:eastAsiaTheme="minorEastAsia"/>
                      <w:b/>
                      <w:sz w:val="21"/>
                      <w:szCs w:val="21"/>
                    </w:rPr>
                    <w:t>状况</w:t>
                  </w:r>
                </w:p>
              </w:tc>
              <w:tc>
                <w:tcPr>
                  <w:tcW w:w="557" w:type="pct"/>
                  <w:vAlign w:val="center"/>
                </w:tcPr>
                <w:p>
                  <w:pPr>
                    <w:pStyle w:val="23"/>
                    <w:spacing w:before="0" w:beforeAutospacing="0" w:after="0" w:afterAutospacing="0"/>
                    <w:jc w:val="center"/>
                    <w:rPr>
                      <w:rFonts w:ascii="Times New Roman" w:hAnsi="Times New Roman" w:eastAsiaTheme="minorEastAsia"/>
                      <w:b/>
                      <w:sz w:val="21"/>
                      <w:szCs w:val="21"/>
                    </w:rPr>
                  </w:pPr>
                  <w:r>
                    <w:rPr>
                      <w:rFonts w:ascii="Times New Roman" w:hAnsi="Times New Roman" w:eastAsiaTheme="minorEastAsia"/>
                      <w:b/>
                      <w:sz w:val="21"/>
                      <w:szCs w:val="21"/>
                    </w:rPr>
                    <w:t>上年水</w:t>
                  </w:r>
                </w:p>
                <w:p>
                  <w:pPr>
                    <w:pStyle w:val="23"/>
                    <w:spacing w:before="0" w:beforeAutospacing="0" w:after="0" w:afterAutospacing="0"/>
                    <w:jc w:val="center"/>
                    <w:rPr>
                      <w:rFonts w:ascii="Times New Roman" w:hAnsi="Times New Roman" w:eastAsiaTheme="minorEastAsia"/>
                      <w:b/>
                      <w:sz w:val="21"/>
                      <w:szCs w:val="21"/>
                    </w:rPr>
                  </w:pPr>
                  <w:r>
                    <w:rPr>
                      <w:rFonts w:ascii="Times New Roman" w:hAnsi="Times New Roman" w:eastAsiaTheme="minorEastAsia"/>
                      <w:b/>
                      <w:sz w:val="21"/>
                      <w:szCs w:val="21"/>
                    </w:rPr>
                    <w:t>质类别</w:t>
                  </w:r>
                </w:p>
              </w:tc>
              <w:tc>
                <w:tcPr>
                  <w:tcW w:w="552" w:type="pct"/>
                  <w:vAlign w:val="center"/>
                </w:tcPr>
                <w:p>
                  <w:pPr>
                    <w:pStyle w:val="23"/>
                    <w:spacing w:before="0" w:beforeAutospacing="0" w:after="0" w:afterAutospacing="0"/>
                    <w:jc w:val="center"/>
                    <w:rPr>
                      <w:rFonts w:ascii="Times New Roman" w:hAnsi="Times New Roman" w:eastAsiaTheme="minorEastAsia"/>
                      <w:b/>
                      <w:sz w:val="21"/>
                      <w:szCs w:val="21"/>
                    </w:rPr>
                  </w:pPr>
                  <w:r>
                    <w:rPr>
                      <w:rFonts w:ascii="Times New Roman" w:hAnsi="Times New Roman" w:eastAsiaTheme="minorEastAsia"/>
                      <w:b/>
                      <w:sz w:val="21"/>
                      <w:szCs w:val="21"/>
                    </w:rPr>
                    <w:t>同比上年水</w:t>
                  </w:r>
                </w:p>
                <w:p>
                  <w:pPr>
                    <w:pStyle w:val="23"/>
                    <w:spacing w:before="0" w:beforeAutospacing="0" w:after="0" w:afterAutospacing="0"/>
                    <w:jc w:val="center"/>
                    <w:rPr>
                      <w:rFonts w:ascii="Times New Roman" w:hAnsi="Times New Roman" w:eastAsiaTheme="minorEastAsia"/>
                      <w:b/>
                      <w:sz w:val="21"/>
                      <w:szCs w:val="21"/>
                    </w:rPr>
                  </w:pPr>
                  <w:r>
                    <w:rPr>
                      <w:rFonts w:ascii="Times New Roman" w:hAnsi="Times New Roman" w:eastAsiaTheme="minorEastAsia"/>
                      <w:b/>
                      <w:sz w:val="21"/>
                      <w:szCs w:val="21"/>
                    </w:rPr>
                    <w:t>质变化情况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499"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1</w:t>
                  </w:r>
                </w:p>
              </w:tc>
              <w:tc>
                <w:tcPr>
                  <w:tcW w:w="609"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地索村坡脚</w:t>
                  </w:r>
                </w:p>
              </w:tc>
              <w:tc>
                <w:tcPr>
                  <w:tcW w:w="507"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渔泡江</w:t>
                  </w:r>
                </w:p>
              </w:tc>
              <w:tc>
                <w:tcPr>
                  <w:tcW w:w="441" w:type="pct"/>
                  <w:vMerge w:val="restar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长江</w:t>
                  </w:r>
                </w:p>
              </w:tc>
              <w:tc>
                <w:tcPr>
                  <w:tcW w:w="441"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左门乡</w:t>
                  </w:r>
                </w:p>
              </w:tc>
              <w:tc>
                <w:tcPr>
                  <w:tcW w:w="502"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国控</w:t>
                  </w:r>
                </w:p>
              </w:tc>
              <w:tc>
                <w:tcPr>
                  <w:tcW w:w="420"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Ⅱ类</w:t>
                  </w:r>
                </w:p>
              </w:tc>
              <w:tc>
                <w:tcPr>
                  <w:tcW w:w="471"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优</w:t>
                  </w:r>
                </w:p>
              </w:tc>
              <w:tc>
                <w:tcPr>
                  <w:tcW w:w="557"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Ⅱ类</w:t>
                  </w:r>
                </w:p>
              </w:tc>
              <w:tc>
                <w:tcPr>
                  <w:tcW w:w="552"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99"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2</w:t>
                  </w:r>
                </w:p>
              </w:tc>
              <w:tc>
                <w:tcPr>
                  <w:tcW w:w="609"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新民大桥</w:t>
                  </w:r>
                </w:p>
              </w:tc>
              <w:tc>
                <w:tcPr>
                  <w:tcW w:w="507"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渔泡江</w:t>
                  </w:r>
                </w:p>
              </w:tc>
              <w:tc>
                <w:tcPr>
                  <w:tcW w:w="441" w:type="pct"/>
                  <w:vMerge w:val="continue"/>
                  <w:vAlign w:val="center"/>
                </w:tcPr>
                <w:p>
                  <w:pPr>
                    <w:jc w:val="center"/>
                    <w:rPr>
                      <w:rFonts w:eastAsiaTheme="minorEastAsia"/>
                      <w:kern w:val="0"/>
                      <w:szCs w:val="21"/>
                    </w:rPr>
                  </w:pPr>
                </w:p>
              </w:tc>
              <w:tc>
                <w:tcPr>
                  <w:tcW w:w="441"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楚雄州大理州交界</w:t>
                  </w:r>
                </w:p>
              </w:tc>
              <w:tc>
                <w:tcPr>
                  <w:tcW w:w="502" w:type="pct"/>
                  <w:vMerge w:val="restar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省控</w:t>
                  </w:r>
                </w:p>
              </w:tc>
              <w:tc>
                <w:tcPr>
                  <w:tcW w:w="420"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Ⅱ类</w:t>
                  </w:r>
                </w:p>
              </w:tc>
              <w:tc>
                <w:tcPr>
                  <w:tcW w:w="471"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优</w:t>
                  </w:r>
                </w:p>
              </w:tc>
              <w:tc>
                <w:tcPr>
                  <w:tcW w:w="557"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__</w:t>
                  </w:r>
                </w:p>
              </w:tc>
              <w:tc>
                <w:tcPr>
                  <w:tcW w:w="552"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499"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3</w:t>
                  </w:r>
                </w:p>
              </w:tc>
              <w:tc>
                <w:tcPr>
                  <w:tcW w:w="609"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姚安太平</w:t>
                  </w:r>
                </w:p>
              </w:tc>
              <w:tc>
                <w:tcPr>
                  <w:tcW w:w="507"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蜻蛉河</w:t>
                  </w:r>
                </w:p>
              </w:tc>
              <w:tc>
                <w:tcPr>
                  <w:tcW w:w="441" w:type="pct"/>
                  <w:vMerge w:val="continue"/>
                  <w:vAlign w:val="center"/>
                </w:tcPr>
                <w:p>
                  <w:pPr>
                    <w:jc w:val="center"/>
                    <w:rPr>
                      <w:rFonts w:eastAsiaTheme="minorEastAsia"/>
                      <w:kern w:val="0"/>
                      <w:szCs w:val="21"/>
                    </w:rPr>
                  </w:pPr>
                </w:p>
              </w:tc>
              <w:tc>
                <w:tcPr>
                  <w:tcW w:w="441"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太平镇</w:t>
                  </w:r>
                </w:p>
              </w:tc>
              <w:tc>
                <w:tcPr>
                  <w:tcW w:w="502" w:type="pct"/>
                  <w:vMerge w:val="continue"/>
                  <w:vAlign w:val="center"/>
                </w:tcPr>
                <w:p>
                  <w:pPr>
                    <w:jc w:val="center"/>
                    <w:rPr>
                      <w:rFonts w:eastAsiaTheme="minorEastAsia"/>
                      <w:kern w:val="0"/>
                      <w:szCs w:val="21"/>
                    </w:rPr>
                  </w:pPr>
                </w:p>
              </w:tc>
              <w:tc>
                <w:tcPr>
                  <w:tcW w:w="420"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Ⅲ类</w:t>
                  </w:r>
                </w:p>
              </w:tc>
              <w:tc>
                <w:tcPr>
                  <w:tcW w:w="471"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良好</w:t>
                  </w:r>
                </w:p>
              </w:tc>
              <w:tc>
                <w:tcPr>
                  <w:tcW w:w="557"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Ⅱ类</w:t>
                  </w:r>
                </w:p>
              </w:tc>
              <w:tc>
                <w:tcPr>
                  <w:tcW w:w="552"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有所下降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99"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4</w:t>
                  </w:r>
                </w:p>
              </w:tc>
              <w:tc>
                <w:tcPr>
                  <w:tcW w:w="609"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红梅水库</w:t>
                  </w:r>
                </w:p>
              </w:tc>
              <w:tc>
                <w:tcPr>
                  <w:tcW w:w="507"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湖库（渔泡江）</w:t>
                  </w:r>
                </w:p>
              </w:tc>
              <w:tc>
                <w:tcPr>
                  <w:tcW w:w="441" w:type="pct"/>
                  <w:vMerge w:val="continue"/>
                  <w:vAlign w:val="center"/>
                </w:tcPr>
                <w:p>
                  <w:pPr>
                    <w:jc w:val="center"/>
                    <w:rPr>
                      <w:rFonts w:eastAsiaTheme="minorEastAsia"/>
                      <w:kern w:val="0"/>
                      <w:szCs w:val="21"/>
                    </w:rPr>
                  </w:pPr>
                </w:p>
              </w:tc>
              <w:tc>
                <w:tcPr>
                  <w:tcW w:w="441"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弥兴镇</w:t>
                  </w:r>
                </w:p>
              </w:tc>
              <w:tc>
                <w:tcPr>
                  <w:tcW w:w="502" w:type="pct"/>
                  <w:vMerge w:val="continue"/>
                  <w:vAlign w:val="center"/>
                </w:tcPr>
                <w:p>
                  <w:pPr>
                    <w:jc w:val="center"/>
                    <w:rPr>
                      <w:rFonts w:eastAsiaTheme="minorEastAsia"/>
                      <w:kern w:val="0"/>
                      <w:szCs w:val="21"/>
                    </w:rPr>
                  </w:pPr>
                </w:p>
              </w:tc>
              <w:tc>
                <w:tcPr>
                  <w:tcW w:w="420"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Ⅲ类</w:t>
                  </w:r>
                </w:p>
              </w:tc>
              <w:tc>
                <w:tcPr>
                  <w:tcW w:w="471"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良好</w:t>
                  </w:r>
                </w:p>
              </w:tc>
              <w:tc>
                <w:tcPr>
                  <w:tcW w:w="557"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Ⅲ类</w:t>
                  </w:r>
                </w:p>
              </w:tc>
              <w:tc>
                <w:tcPr>
                  <w:tcW w:w="552"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499"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5</w:t>
                  </w:r>
                </w:p>
              </w:tc>
              <w:tc>
                <w:tcPr>
                  <w:tcW w:w="609"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王家桥</w:t>
                  </w:r>
                </w:p>
              </w:tc>
              <w:tc>
                <w:tcPr>
                  <w:tcW w:w="507"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蜻蛉河</w:t>
                  </w:r>
                </w:p>
              </w:tc>
              <w:tc>
                <w:tcPr>
                  <w:tcW w:w="441" w:type="pct"/>
                  <w:vMerge w:val="continue"/>
                  <w:vAlign w:val="center"/>
                </w:tcPr>
                <w:p>
                  <w:pPr>
                    <w:jc w:val="center"/>
                    <w:rPr>
                      <w:rFonts w:eastAsiaTheme="minorEastAsia"/>
                      <w:kern w:val="0"/>
                      <w:szCs w:val="21"/>
                    </w:rPr>
                  </w:pPr>
                </w:p>
              </w:tc>
              <w:tc>
                <w:tcPr>
                  <w:tcW w:w="441"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光禄镇</w:t>
                  </w:r>
                </w:p>
              </w:tc>
              <w:tc>
                <w:tcPr>
                  <w:tcW w:w="502" w:type="pct"/>
                  <w:vMerge w:val="continue"/>
                  <w:vAlign w:val="center"/>
                </w:tcPr>
                <w:p>
                  <w:pPr>
                    <w:jc w:val="center"/>
                    <w:rPr>
                      <w:rFonts w:eastAsiaTheme="minorEastAsia"/>
                      <w:kern w:val="0"/>
                      <w:szCs w:val="21"/>
                    </w:rPr>
                  </w:pPr>
                </w:p>
              </w:tc>
              <w:tc>
                <w:tcPr>
                  <w:tcW w:w="420"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Ⅴ类</w:t>
                  </w:r>
                </w:p>
              </w:tc>
              <w:tc>
                <w:tcPr>
                  <w:tcW w:w="471"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中度污染</w:t>
                  </w:r>
                </w:p>
              </w:tc>
              <w:tc>
                <w:tcPr>
                  <w:tcW w:w="557"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Ⅴ类</w:t>
                  </w:r>
                </w:p>
              </w:tc>
              <w:tc>
                <w:tcPr>
                  <w:tcW w:w="552" w:type="pct"/>
                  <w:vAlign w:val="center"/>
                </w:tcPr>
                <w:p>
                  <w:pPr>
                    <w:pStyle w:val="23"/>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无明显变化</w:t>
                  </w:r>
                </w:p>
              </w:tc>
            </w:tr>
          </w:tbl>
          <w:p>
            <w:pPr>
              <w:spacing w:line="360" w:lineRule="auto"/>
              <w:ind w:firstLine="480" w:firstLineChars="200"/>
              <w:rPr>
                <w:rFonts w:eastAsiaTheme="minorEastAsia"/>
                <w:kern w:val="0"/>
                <w:sz w:val="24"/>
              </w:rPr>
            </w:pPr>
            <w:r>
              <w:rPr>
                <w:rFonts w:eastAsiaTheme="minorEastAsia"/>
                <w:kern w:val="0"/>
                <w:sz w:val="24"/>
              </w:rPr>
              <w:t>目前，项目所在区域地表水环境质量不稳定，环境承载能力不强。水质不稳定原因：姚安县污水处理厂下游村庄的生活污水未经污水处理厂处理直接经沟渠排入蜻蛉河，蜻蛉河周边农田灌溉水排入蜻蛉河。但是本项目废水不直接排入地表水体。</w:t>
            </w:r>
          </w:p>
          <w:p>
            <w:pPr>
              <w:numPr>
                <w:ilvl w:val="0"/>
                <w:numId w:val="7"/>
              </w:numPr>
              <w:adjustRightInd w:val="0"/>
              <w:snapToGrid w:val="0"/>
              <w:spacing w:line="360" w:lineRule="auto"/>
              <w:jc w:val="left"/>
              <w:rPr>
                <w:rFonts w:eastAsiaTheme="minorEastAsia"/>
                <w:b/>
                <w:bCs/>
                <w:kern w:val="0"/>
                <w:sz w:val="24"/>
              </w:rPr>
            </w:pPr>
            <w:r>
              <w:rPr>
                <w:rFonts w:eastAsiaTheme="minorEastAsia"/>
                <w:b/>
                <w:bCs/>
                <w:kern w:val="0"/>
                <w:sz w:val="24"/>
              </w:rPr>
              <w:t>声环境质量现状</w:t>
            </w:r>
          </w:p>
          <w:p>
            <w:pPr>
              <w:adjustRightInd w:val="0"/>
              <w:snapToGrid w:val="0"/>
              <w:spacing w:line="360" w:lineRule="auto"/>
              <w:ind w:firstLine="480" w:firstLineChars="200"/>
              <w:rPr>
                <w:rFonts w:eastAsiaTheme="minorEastAsia"/>
                <w:kern w:val="0"/>
                <w:sz w:val="24"/>
              </w:rPr>
            </w:pPr>
            <w:r>
              <w:rPr>
                <w:rFonts w:eastAsiaTheme="minorEastAsia"/>
                <w:kern w:val="0"/>
                <w:sz w:val="24"/>
              </w:rPr>
              <w:t>项目位于楚雄州光禄镇福光村委会，厂区南面紧邻姚旧罗线，北面是嘉橙农业有限公司，西面为云南花当家园艺有限公司，东面为空地，与周边环境关系图见附图5；周边50米范围内无声环境保护目标，因此项目区及四周声环境执行《声环境质量标准》（GB3096-2008）2类标准。因此可根据云南花当家园艺有限公司委托云南聚盈环保科技有限公司2023年3月30日的YNJY-[2023]-03036号监测报告（附件6），项目厂界声环境质量可以达到《声环境质量标准》（GB3096-2008）2类，项目所在区域属于声环境达标区。</w:t>
            </w:r>
          </w:p>
          <w:p>
            <w:pPr>
              <w:autoSpaceDE w:val="0"/>
              <w:autoSpaceDN w:val="0"/>
              <w:adjustRightInd w:val="0"/>
              <w:snapToGrid w:val="0"/>
              <w:spacing w:line="360" w:lineRule="auto"/>
              <w:jc w:val="center"/>
              <w:rPr>
                <w:rFonts w:eastAsiaTheme="minorEastAsia"/>
                <w:b/>
                <w:kern w:val="0"/>
                <w:sz w:val="24"/>
              </w:rPr>
            </w:pPr>
            <w:r>
              <w:rPr>
                <w:rFonts w:eastAsiaTheme="minorEastAsia"/>
                <w:b/>
                <w:kern w:val="0"/>
                <w:sz w:val="24"/>
              </w:rPr>
              <w:t>表3-6 声环境质量现状</w:t>
            </w:r>
          </w:p>
          <w:tbl>
            <w:tblPr>
              <w:tblStyle w:val="27"/>
              <w:tblW w:w="48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1665"/>
              <w:gridCol w:w="1665"/>
              <w:gridCol w:w="166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3" w:hRule="atLeast"/>
                <w:jc w:val="center"/>
              </w:trPr>
              <w:tc>
                <w:tcPr>
                  <w:tcW w:w="1000" w:type="pct"/>
                </w:tcPr>
                <w:p>
                  <w:pPr>
                    <w:widowControl/>
                    <w:jc w:val="center"/>
                    <w:rPr>
                      <w:rFonts w:eastAsiaTheme="minorEastAsia"/>
                      <w:b/>
                      <w:kern w:val="0"/>
                      <w:szCs w:val="21"/>
                    </w:rPr>
                  </w:pPr>
                  <w:r>
                    <w:rPr>
                      <w:rFonts w:eastAsiaTheme="minorEastAsia"/>
                      <w:b/>
                      <w:kern w:val="0"/>
                      <w:szCs w:val="21"/>
                    </w:rPr>
                    <mc:AlternateContent>
                      <mc:Choice Requires="wps">
                        <w:drawing>
                          <wp:anchor distT="0" distB="0" distL="114300" distR="114300" simplePos="0" relativeHeight="251663360" behindDoc="0" locked="0" layoutInCell="1" allowOverlap="1">
                            <wp:simplePos x="0" y="0"/>
                            <wp:positionH relativeFrom="column">
                              <wp:posOffset>-57150</wp:posOffset>
                            </wp:positionH>
                            <wp:positionV relativeFrom="paragraph">
                              <wp:posOffset>33655</wp:posOffset>
                            </wp:positionV>
                            <wp:extent cx="1019810" cy="554990"/>
                            <wp:effectExtent l="2540" t="4445" r="6350" b="12065"/>
                            <wp:wrapNone/>
                            <wp:docPr id="8" name="直接连接符 8"/>
                            <wp:cNvGraphicFramePr/>
                            <a:graphic xmlns:a="http://schemas.openxmlformats.org/drawingml/2006/main">
                              <a:graphicData uri="http://schemas.microsoft.com/office/word/2010/wordprocessingShape">
                                <wps:wsp>
                                  <wps:cNvCnPr/>
                                  <wps:spPr>
                                    <a:xfrm>
                                      <a:off x="0" y="0"/>
                                      <a:ext cx="1019810" cy="55499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5pt;margin-top:2.65pt;height:43.7pt;width:80.3pt;z-index:251663360;mso-width-relative:page;mso-height-relative:page;" filled="f" stroked="t" coordsize="21600,21600" o:gfxdata="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nnDBA1QAAAAcBAAAPAAAAAAAAAAEAIAAAACIAAABkcnMvZG93bnJldi54bWxQSwECFAAUAAAA&#10;CACHTuJAnj0KofEBAADdAwAADgAAAAAAAAABACAAAAAkAQAAZHJzL2Uyb0RvYy54bWxQSwUGAAAA&#10;AAYABgBZAQAAhwUAAAAA&#10;">
                            <v:fill on="f" focussize="0,0"/>
                            <v:stroke weight="0.5pt" color="#000000" joinstyle="round"/>
                            <v:imagedata o:title=""/>
                            <o:lock v:ext="edit" aspectratio="f"/>
                          </v:line>
                        </w:pict>
                      </mc:Fallback>
                    </mc:AlternateContent>
                  </w:r>
                  <w:r>
                    <w:rPr>
                      <w:rFonts w:eastAsiaTheme="minorEastAsia"/>
                      <w:b/>
                      <w:kern w:val="0"/>
                      <w:szCs w:val="21"/>
                    </w:rPr>
                    <w:t xml:space="preserve">      </w:t>
                  </w:r>
                </w:p>
                <w:p>
                  <w:pPr>
                    <w:widowControl/>
                    <w:jc w:val="center"/>
                    <w:rPr>
                      <w:rFonts w:eastAsiaTheme="minorEastAsia"/>
                      <w:b/>
                      <w:kern w:val="0"/>
                      <w:szCs w:val="21"/>
                    </w:rPr>
                  </w:pPr>
                  <w:r>
                    <w:rPr>
                      <w:rFonts w:eastAsiaTheme="minorEastAsia"/>
                      <w:b/>
                      <w:kern w:val="0"/>
                      <w:szCs w:val="21"/>
                    </w:rPr>
                    <w:t xml:space="preserve">        位置</w:t>
                  </w:r>
                </w:p>
                <w:p>
                  <w:pPr>
                    <w:widowControl/>
                    <w:rPr>
                      <w:rFonts w:eastAsiaTheme="minorEastAsia"/>
                      <w:b/>
                      <w:kern w:val="0"/>
                      <w:szCs w:val="21"/>
                    </w:rPr>
                  </w:pPr>
                  <w:r>
                    <w:rPr>
                      <w:rFonts w:eastAsiaTheme="minorEastAsia"/>
                      <w:b/>
                      <w:kern w:val="0"/>
                      <w:szCs w:val="21"/>
                    </w:rPr>
                    <w:t xml:space="preserve">  时间</w:t>
                  </w:r>
                </w:p>
              </w:tc>
              <w:tc>
                <w:tcPr>
                  <w:tcW w:w="1000" w:type="pct"/>
                  <w:vAlign w:val="center"/>
                </w:tcPr>
                <w:p>
                  <w:pPr>
                    <w:widowControl/>
                    <w:jc w:val="center"/>
                    <w:rPr>
                      <w:rFonts w:eastAsiaTheme="minorEastAsia"/>
                      <w:b/>
                      <w:kern w:val="0"/>
                      <w:szCs w:val="21"/>
                    </w:rPr>
                  </w:pPr>
                  <w:r>
                    <w:rPr>
                      <w:rFonts w:eastAsiaTheme="minorEastAsia"/>
                      <w:b/>
                      <w:kern w:val="0"/>
                      <w:szCs w:val="21"/>
                    </w:rPr>
                    <w:t>厂界北侧</w:t>
                  </w:r>
                </w:p>
              </w:tc>
              <w:tc>
                <w:tcPr>
                  <w:tcW w:w="1000" w:type="pct"/>
                  <w:vAlign w:val="center"/>
                </w:tcPr>
                <w:p>
                  <w:pPr>
                    <w:widowControl/>
                    <w:jc w:val="center"/>
                    <w:rPr>
                      <w:rFonts w:eastAsiaTheme="minorEastAsia"/>
                      <w:b/>
                      <w:kern w:val="0"/>
                      <w:szCs w:val="21"/>
                    </w:rPr>
                  </w:pPr>
                  <w:r>
                    <w:rPr>
                      <w:rFonts w:eastAsiaTheme="minorEastAsia"/>
                      <w:b/>
                      <w:kern w:val="0"/>
                      <w:szCs w:val="21"/>
                    </w:rPr>
                    <w:t>厂界西侧</w:t>
                  </w:r>
                </w:p>
              </w:tc>
              <w:tc>
                <w:tcPr>
                  <w:tcW w:w="1000" w:type="pct"/>
                  <w:vAlign w:val="center"/>
                </w:tcPr>
                <w:p>
                  <w:pPr>
                    <w:widowControl/>
                    <w:jc w:val="center"/>
                    <w:rPr>
                      <w:rFonts w:eastAsiaTheme="minorEastAsia"/>
                      <w:b/>
                      <w:kern w:val="0"/>
                      <w:szCs w:val="21"/>
                    </w:rPr>
                  </w:pPr>
                  <w:r>
                    <w:rPr>
                      <w:rFonts w:eastAsiaTheme="minorEastAsia"/>
                      <w:b/>
                      <w:kern w:val="0"/>
                      <w:szCs w:val="21"/>
                    </w:rPr>
                    <w:t>厂界南侧</w:t>
                  </w:r>
                </w:p>
              </w:tc>
              <w:tc>
                <w:tcPr>
                  <w:tcW w:w="1000" w:type="pct"/>
                  <w:vAlign w:val="center"/>
                </w:tcPr>
                <w:p>
                  <w:pPr>
                    <w:widowControl/>
                    <w:jc w:val="center"/>
                    <w:rPr>
                      <w:rFonts w:eastAsiaTheme="minorEastAsia"/>
                      <w:b/>
                      <w:kern w:val="0"/>
                      <w:szCs w:val="21"/>
                    </w:rPr>
                  </w:pPr>
                  <w:r>
                    <w:rPr>
                      <w:rFonts w:eastAsiaTheme="minorEastAsia"/>
                      <w:b/>
                      <w:kern w:val="0"/>
                      <w:szCs w:val="21"/>
                    </w:rPr>
                    <w:t>厂界东侧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jc w:val="center"/>
              </w:trPr>
              <w:tc>
                <w:tcPr>
                  <w:tcW w:w="1000" w:type="pct"/>
                  <w:vAlign w:val="center"/>
                </w:tcPr>
                <w:p>
                  <w:pPr>
                    <w:widowControl/>
                    <w:jc w:val="center"/>
                    <w:rPr>
                      <w:rFonts w:eastAsiaTheme="minorEastAsia"/>
                      <w:kern w:val="0"/>
                      <w:szCs w:val="21"/>
                    </w:rPr>
                  </w:pPr>
                  <w:r>
                    <w:rPr>
                      <w:rFonts w:eastAsiaTheme="minorEastAsia"/>
                      <w:kern w:val="0"/>
                      <w:szCs w:val="21"/>
                    </w:rPr>
                    <w:t>昼间</w:t>
                  </w:r>
                </w:p>
              </w:tc>
              <w:tc>
                <w:tcPr>
                  <w:tcW w:w="1000" w:type="pct"/>
                  <w:vAlign w:val="center"/>
                </w:tcPr>
                <w:p>
                  <w:pPr>
                    <w:widowControl/>
                    <w:jc w:val="center"/>
                    <w:rPr>
                      <w:rFonts w:eastAsiaTheme="minorEastAsia"/>
                      <w:kern w:val="0"/>
                      <w:szCs w:val="21"/>
                    </w:rPr>
                  </w:pPr>
                  <w:r>
                    <w:rPr>
                      <w:rFonts w:eastAsiaTheme="minorEastAsia"/>
                      <w:kern w:val="0"/>
                      <w:szCs w:val="21"/>
                    </w:rPr>
                    <w:t>53</w:t>
                  </w:r>
                </w:p>
              </w:tc>
              <w:tc>
                <w:tcPr>
                  <w:tcW w:w="1000" w:type="pct"/>
                  <w:vAlign w:val="center"/>
                </w:tcPr>
                <w:p>
                  <w:pPr>
                    <w:widowControl/>
                    <w:jc w:val="center"/>
                    <w:rPr>
                      <w:rFonts w:eastAsiaTheme="minorEastAsia"/>
                      <w:kern w:val="0"/>
                      <w:szCs w:val="21"/>
                    </w:rPr>
                  </w:pPr>
                  <w:r>
                    <w:rPr>
                      <w:rFonts w:eastAsiaTheme="minorEastAsia"/>
                      <w:kern w:val="0"/>
                      <w:szCs w:val="21"/>
                    </w:rPr>
                    <w:t>55</w:t>
                  </w:r>
                </w:p>
              </w:tc>
              <w:tc>
                <w:tcPr>
                  <w:tcW w:w="1000" w:type="pct"/>
                  <w:vAlign w:val="center"/>
                </w:tcPr>
                <w:p>
                  <w:pPr>
                    <w:widowControl/>
                    <w:jc w:val="center"/>
                    <w:rPr>
                      <w:rFonts w:eastAsiaTheme="minorEastAsia"/>
                      <w:kern w:val="0"/>
                      <w:szCs w:val="21"/>
                    </w:rPr>
                  </w:pPr>
                  <w:r>
                    <w:rPr>
                      <w:rFonts w:eastAsiaTheme="minorEastAsia"/>
                      <w:kern w:val="0"/>
                      <w:szCs w:val="21"/>
                    </w:rPr>
                    <w:t>51</w:t>
                  </w:r>
                </w:p>
              </w:tc>
              <w:tc>
                <w:tcPr>
                  <w:tcW w:w="1000" w:type="pct"/>
                  <w:vAlign w:val="center"/>
                </w:tcPr>
                <w:p>
                  <w:pPr>
                    <w:widowControl/>
                    <w:jc w:val="center"/>
                    <w:rPr>
                      <w:rFonts w:eastAsiaTheme="minorEastAsia"/>
                      <w:kern w:val="0"/>
                      <w:szCs w:val="21"/>
                    </w:rPr>
                  </w:pPr>
                  <w:r>
                    <w:rPr>
                      <w:rFonts w:eastAsiaTheme="minorEastAsia"/>
                      <w:kern w:val="0"/>
                      <w:szCs w:val="21"/>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1000" w:type="pct"/>
                  <w:vAlign w:val="center"/>
                </w:tcPr>
                <w:p>
                  <w:pPr>
                    <w:widowControl/>
                    <w:jc w:val="center"/>
                    <w:rPr>
                      <w:rFonts w:eastAsiaTheme="minorEastAsia"/>
                      <w:kern w:val="0"/>
                      <w:szCs w:val="21"/>
                    </w:rPr>
                  </w:pPr>
                  <w:r>
                    <w:rPr>
                      <w:rFonts w:eastAsiaTheme="minorEastAsia"/>
                      <w:kern w:val="0"/>
                      <w:szCs w:val="21"/>
                    </w:rPr>
                    <w:t>夜间</w:t>
                  </w:r>
                </w:p>
              </w:tc>
              <w:tc>
                <w:tcPr>
                  <w:tcW w:w="1000" w:type="pct"/>
                  <w:vAlign w:val="center"/>
                </w:tcPr>
                <w:p>
                  <w:pPr>
                    <w:widowControl/>
                    <w:jc w:val="center"/>
                    <w:rPr>
                      <w:rFonts w:eastAsiaTheme="minorEastAsia"/>
                      <w:kern w:val="0"/>
                      <w:szCs w:val="21"/>
                    </w:rPr>
                  </w:pPr>
                  <w:r>
                    <w:rPr>
                      <w:rFonts w:eastAsiaTheme="minorEastAsia"/>
                      <w:kern w:val="0"/>
                      <w:szCs w:val="21"/>
                    </w:rPr>
                    <w:t>41</w:t>
                  </w:r>
                </w:p>
              </w:tc>
              <w:tc>
                <w:tcPr>
                  <w:tcW w:w="1000" w:type="pct"/>
                  <w:vAlign w:val="center"/>
                </w:tcPr>
                <w:p>
                  <w:pPr>
                    <w:widowControl/>
                    <w:jc w:val="center"/>
                    <w:rPr>
                      <w:rFonts w:eastAsiaTheme="minorEastAsia"/>
                      <w:kern w:val="0"/>
                      <w:szCs w:val="21"/>
                    </w:rPr>
                  </w:pPr>
                  <w:r>
                    <w:rPr>
                      <w:rFonts w:eastAsiaTheme="minorEastAsia"/>
                      <w:kern w:val="0"/>
                      <w:szCs w:val="21"/>
                    </w:rPr>
                    <w:t>42</w:t>
                  </w:r>
                </w:p>
              </w:tc>
              <w:tc>
                <w:tcPr>
                  <w:tcW w:w="1000" w:type="pct"/>
                  <w:vAlign w:val="center"/>
                </w:tcPr>
                <w:p>
                  <w:pPr>
                    <w:widowControl/>
                    <w:jc w:val="center"/>
                    <w:rPr>
                      <w:rFonts w:eastAsiaTheme="minorEastAsia"/>
                      <w:kern w:val="0"/>
                      <w:szCs w:val="21"/>
                    </w:rPr>
                  </w:pPr>
                  <w:r>
                    <w:rPr>
                      <w:rFonts w:eastAsiaTheme="minorEastAsia"/>
                      <w:kern w:val="0"/>
                      <w:szCs w:val="21"/>
                    </w:rPr>
                    <w:t>42</w:t>
                  </w:r>
                </w:p>
              </w:tc>
              <w:tc>
                <w:tcPr>
                  <w:tcW w:w="1000" w:type="pct"/>
                  <w:vAlign w:val="center"/>
                </w:tcPr>
                <w:p>
                  <w:pPr>
                    <w:widowControl/>
                    <w:jc w:val="center"/>
                    <w:rPr>
                      <w:rFonts w:eastAsiaTheme="minorEastAsia"/>
                      <w:kern w:val="0"/>
                      <w:szCs w:val="21"/>
                    </w:rPr>
                  </w:pPr>
                  <w:r>
                    <w:rPr>
                      <w:rFonts w:eastAsiaTheme="minorEastAsia"/>
                      <w:kern w:val="0"/>
                      <w:szCs w:val="21"/>
                    </w:rPr>
                    <w:t>44</w:t>
                  </w:r>
                </w:p>
              </w:tc>
            </w:tr>
          </w:tbl>
          <w:p>
            <w:pPr>
              <w:wordWrap w:val="0"/>
              <w:autoSpaceDE w:val="0"/>
              <w:autoSpaceDN w:val="0"/>
              <w:adjustRightInd w:val="0"/>
              <w:spacing w:line="360" w:lineRule="auto"/>
              <w:ind w:firstLine="480" w:firstLineChars="200"/>
              <w:rPr>
                <w:rFonts w:eastAsiaTheme="minorEastAsia"/>
                <w:kern w:val="0"/>
                <w:sz w:val="24"/>
              </w:rPr>
            </w:pPr>
            <w:r>
              <w:rPr>
                <w:rFonts w:eastAsiaTheme="minorEastAsia"/>
                <w:kern w:val="0"/>
                <w:sz w:val="24"/>
              </w:rPr>
              <w:t>本项目为新建花卉种植项目，为工业企业从以上监测结果可知，项目所在区域声环境能满足《声环境质量标准》（GB3096-2008）2类标准要求。</w:t>
            </w:r>
          </w:p>
          <w:p>
            <w:pPr>
              <w:wordWrap w:val="0"/>
              <w:autoSpaceDE w:val="0"/>
              <w:autoSpaceDN w:val="0"/>
              <w:adjustRightInd w:val="0"/>
              <w:spacing w:line="360" w:lineRule="auto"/>
              <w:rPr>
                <w:rFonts w:eastAsiaTheme="minorEastAsia"/>
                <w:b/>
                <w:bCs/>
                <w:kern w:val="0"/>
                <w:sz w:val="24"/>
              </w:rPr>
            </w:pPr>
            <w:r>
              <w:rPr>
                <w:rFonts w:eastAsiaTheme="minorEastAsia"/>
                <w:b/>
                <w:bCs/>
                <w:kern w:val="0"/>
                <w:sz w:val="24"/>
              </w:rPr>
              <w:t>4、生态环境质量现状</w:t>
            </w:r>
          </w:p>
          <w:p>
            <w:pPr>
              <w:wordWrap w:val="0"/>
              <w:autoSpaceDE w:val="0"/>
              <w:autoSpaceDN w:val="0"/>
              <w:adjustRightInd w:val="0"/>
              <w:spacing w:line="360" w:lineRule="auto"/>
              <w:ind w:firstLine="480" w:firstLineChars="200"/>
              <w:rPr>
                <w:rFonts w:eastAsiaTheme="minorEastAsia"/>
                <w:kern w:val="0"/>
                <w:sz w:val="24"/>
              </w:rPr>
            </w:pPr>
            <w:r>
              <w:rPr>
                <w:rFonts w:eastAsiaTheme="minorEastAsia"/>
                <w:kern w:val="0"/>
                <w:sz w:val="24"/>
              </w:rPr>
              <w:t>项目位于云南省楚雄州姚安县光禄镇福光村委会，经过现场勘查，项目用地平整，项目用地内无高大乔灌木，主要为低矮杂草，场地被稀疏草本植物覆盖。项目区内没有大型动物分布，主要为老鼠、麻雀等。</w:t>
            </w:r>
          </w:p>
          <w:p>
            <w:pPr>
              <w:adjustRightInd w:val="0"/>
              <w:snapToGrid w:val="0"/>
              <w:spacing w:line="360" w:lineRule="auto"/>
              <w:ind w:firstLine="480" w:firstLineChars="200"/>
              <w:rPr>
                <w:rFonts w:eastAsiaTheme="minorEastAsia"/>
                <w:kern w:val="0"/>
                <w:sz w:val="24"/>
              </w:rPr>
            </w:pPr>
            <w:r>
              <w:rPr>
                <w:rFonts w:eastAsiaTheme="minorEastAsia"/>
                <w:kern w:val="0"/>
                <w:sz w:val="24"/>
              </w:rPr>
              <w:t>项目区内植被种类较为单一，生态结构较简单，生物多样性较差，生态环境自身调控能力较弱。项目区内没有当地特有物种，生态环境质量一般。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18" w:type="pct"/>
            <w:vAlign w:val="center"/>
          </w:tcPr>
          <w:p>
            <w:pPr>
              <w:adjustRightInd w:val="0"/>
              <w:snapToGrid w:val="0"/>
              <w:spacing w:line="360" w:lineRule="auto"/>
              <w:jc w:val="center"/>
              <w:rPr>
                <w:rFonts w:eastAsiaTheme="minorEastAsia"/>
                <w:kern w:val="0"/>
                <w:sz w:val="24"/>
              </w:rPr>
            </w:pPr>
            <w:r>
              <w:rPr>
                <w:rFonts w:eastAsiaTheme="minorEastAsia"/>
                <w:kern w:val="0"/>
                <w:sz w:val="24"/>
              </w:rPr>
              <w:t>环</w:t>
            </w:r>
          </w:p>
          <w:p>
            <w:pPr>
              <w:adjustRightInd w:val="0"/>
              <w:snapToGrid w:val="0"/>
              <w:spacing w:line="360" w:lineRule="auto"/>
              <w:jc w:val="center"/>
              <w:rPr>
                <w:rFonts w:eastAsiaTheme="minorEastAsia"/>
                <w:kern w:val="0"/>
                <w:sz w:val="24"/>
              </w:rPr>
            </w:pPr>
            <w:r>
              <w:rPr>
                <w:rFonts w:eastAsiaTheme="minorEastAsia"/>
                <w:kern w:val="0"/>
                <w:sz w:val="24"/>
              </w:rPr>
              <w:t>境</w:t>
            </w:r>
          </w:p>
          <w:p>
            <w:pPr>
              <w:adjustRightInd w:val="0"/>
              <w:snapToGrid w:val="0"/>
              <w:spacing w:line="360" w:lineRule="auto"/>
              <w:jc w:val="center"/>
              <w:rPr>
                <w:rFonts w:eastAsiaTheme="minorEastAsia"/>
                <w:kern w:val="0"/>
                <w:sz w:val="24"/>
              </w:rPr>
            </w:pPr>
            <w:r>
              <w:rPr>
                <w:rFonts w:eastAsiaTheme="minorEastAsia"/>
                <w:kern w:val="0"/>
                <w:sz w:val="24"/>
              </w:rPr>
              <w:t>保</w:t>
            </w:r>
          </w:p>
          <w:p>
            <w:pPr>
              <w:adjustRightInd w:val="0"/>
              <w:snapToGrid w:val="0"/>
              <w:spacing w:line="360" w:lineRule="auto"/>
              <w:jc w:val="center"/>
              <w:rPr>
                <w:rFonts w:eastAsiaTheme="minorEastAsia"/>
                <w:kern w:val="0"/>
                <w:sz w:val="24"/>
              </w:rPr>
            </w:pPr>
            <w:r>
              <w:rPr>
                <w:rFonts w:eastAsiaTheme="minorEastAsia"/>
                <w:kern w:val="0"/>
                <w:sz w:val="24"/>
              </w:rPr>
              <w:t>护</w:t>
            </w:r>
          </w:p>
          <w:p>
            <w:pPr>
              <w:adjustRightInd w:val="0"/>
              <w:snapToGrid w:val="0"/>
              <w:spacing w:line="360" w:lineRule="auto"/>
              <w:jc w:val="center"/>
              <w:rPr>
                <w:rFonts w:eastAsiaTheme="minorEastAsia"/>
                <w:kern w:val="0"/>
                <w:sz w:val="24"/>
              </w:rPr>
            </w:pPr>
            <w:r>
              <w:rPr>
                <w:rFonts w:eastAsiaTheme="minorEastAsia"/>
                <w:kern w:val="0"/>
                <w:sz w:val="24"/>
              </w:rPr>
              <w:t>目</w:t>
            </w:r>
          </w:p>
          <w:p>
            <w:pPr>
              <w:adjustRightInd w:val="0"/>
              <w:snapToGrid w:val="0"/>
              <w:spacing w:line="360" w:lineRule="auto"/>
              <w:jc w:val="center"/>
              <w:rPr>
                <w:rFonts w:eastAsiaTheme="minorEastAsia"/>
                <w:kern w:val="0"/>
                <w:sz w:val="24"/>
              </w:rPr>
            </w:pPr>
            <w:r>
              <w:rPr>
                <w:rFonts w:eastAsiaTheme="minorEastAsia"/>
                <w:kern w:val="0"/>
                <w:sz w:val="24"/>
              </w:rPr>
              <w:t>标</w:t>
            </w:r>
          </w:p>
        </w:tc>
        <w:tc>
          <w:tcPr>
            <w:tcW w:w="4581" w:type="pct"/>
            <w:vAlign w:val="center"/>
          </w:tcPr>
          <w:p>
            <w:pPr>
              <w:wordWrap w:val="0"/>
              <w:autoSpaceDE w:val="0"/>
              <w:autoSpaceDN w:val="0"/>
              <w:adjustRightInd w:val="0"/>
              <w:spacing w:line="360" w:lineRule="auto"/>
              <w:ind w:firstLine="480" w:firstLineChars="200"/>
              <w:rPr>
                <w:rFonts w:eastAsiaTheme="minorEastAsia"/>
                <w:kern w:val="0"/>
                <w:sz w:val="24"/>
              </w:rPr>
            </w:pPr>
            <w:r>
              <w:rPr>
                <w:rFonts w:eastAsiaTheme="minorEastAsia"/>
                <w:kern w:val="0"/>
                <w:sz w:val="24"/>
              </w:rPr>
              <w:t>根据《建设项目环境影响报告表编制技术指南（污染影响类）（试行）》，</w:t>
            </w:r>
            <w:r>
              <w:rPr>
                <w:rFonts w:eastAsiaTheme="minorEastAsia"/>
                <w:kern w:val="0"/>
                <w:sz w:val="24"/>
                <w:lang w:val="zh-CN"/>
              </w:rPr>
              <w:t>厂界外500米范围内的</w:t>
            </w:r>
            <w:r>
              <w:rPr>
                <w:rFonts w:eastAsiaTheme="minorEastAsia"/>
                <w:kern w:val="0"/>
                <w:sz w:val="24"/>
              </w:rPr>
              <w:t>大气环境</w:t>
            </w:r>
            <w:r>
              <w:rPr>
                <w:rFonts w:eastAsiaTheme="minorEastAsia"/>
                <w:kern w:val="0"/>
                <w:sz w:val="24"/>
                <w:lang w:val="zh-CN"/>
              </w:rPr>
              <w:t>保护目标</w:t>
            </w:r>
            <w:r>
              <w:rPr>
                <w:rFonts w:eastAsiaTheme="minorEastAsia"/>
                <w:kern w:val="0"/>
                <w:sz w:val="24"/>
              </w:rPr>
              <w:t>见下表</w:t>
            </w:r>
            <w:r>
              <w:rPr>
                <w:rFonts w:eastAsiaTheme="minorEastAsia"/>
                <w:kern w:val="0"/>
                <w:sz w:val="24"/>
                <w:lang w:val="zh-CN"/>
              </w:rPr>
              <w:t>。保护目标关系图见附图</w:t>
            </w:r>
            <w:r>
              <w:rPr>
                <w:rFonts w:eastAsiaTheme="minorEastAsia"/>
                <w:kern w:val="0"/>
                <w:sz w:val="24"/>
              </w:rPr>
              <w:t>4</w:t>
            </w:r>
          </w:p>
          <w:p>
            <w:pPr>
              <w:autoSpaceDE w:val="0"/>
              <w:autoSpaceDN w:val="0"/>
              <w:adjustRightInd w:val="0"/>
              <w:snapToGrid w:val="0"/>
              <w:spacing w:line="360" w:lineRule="auto"/>
              <w:jc w:val="center"/>
              <w:rPr>
                <w:rFonts w:eastAsiaTheme="minorEastAsia"/>
                <w:b/>
                <w:kern w:val="0"/>
                <w:sz w:val="24"/>
              </w:rPr>
            </w:pPr>
            <w:r>
              <w:rPr>
                <w:rFonts w:eastAsiaTheme="minorEastAsia"/>
                <w:b/>
                <w:kern w:val="0"/>
                <w:sz w:val="24"/>
              </w:rPr>
              <w:t>表</w:t>
            </w:r>
            <w:r>
              <w:rPr>
                <w:rFonts w:eastAsiaTheme="minorEastAsia"/>
                <w:b/>
                <w:kern w:val="0"/>
                <w:sz w:val="24"/>
                <w:lang w:val="zh-CN"/>
              </w:rPr>
              <w:t>3-</w:t>
            </w:r>
            <w:r>
              <w:rPr>
                <w:rFonts w:eastAsiaTheme="minorEastAsia"/>
                <w:b/>
                <w:kern w:val="0"/>
                <w:sz w:val="24"/>
              </w:rPr>
              <w:t>7</w:t>
            </w:r>
            <w:r>
              <w:rPr>
                <w:rFonts w:eastAsiaTheme="minorEastAsia"/>
                <w:b/>
                <w:kern w:val="0"/>
                <w:sz w:val="24"/>
                <w:lang w:val="zh-CN"/>
              </w:rPr>
              <w:t xml:space="preserve"> </w:t>
            </w:r>
            <w:r>
              <w:rPr>
                <w:rFonts w:eastAsiaTheme="minorEastAsia"/>
                <w:b/>
                <w:kern w:val="0"/>
                <w:sz w:val="24"/>
              </w:rPr>
              <w:t>环境空气保护目标一览表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217"/>
              <w:gridCol w:w="1225"/>
              <w:gridCol w:w="885"/>
              <w:gridCol w:w="1089"/>
              <w:gridCol w:w="1211"/>
              <w:gridCol w:w="736"/>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hRule="atLeast"/>
                <w:jc w:val="center"/>
              </w:trPr>
              <w:tc>
                <w:tcPr>
                  <w:tcW w:w="700" w:type="pct"/>
                  <w:vMerge w:val="restart"/>
                  <w:noWrap/>
                  <w:vAlign w:val="center"/>
                </w:tcPr>
                <w:p>
                  <w:pPr>
                    <w:widowControl/>
                    <w:jc w:val="center"/>
                    <w:rPr>
                      <w:rFonts w:eastAsiaTheme="minorEastAsia"/>
                      <w:b/>
                      <w:kern w:val="0"/>
                      <w:szCs w:val="21"/>
                    </w:rPr>
                  </w:pPr>
                  <w:r>
                    <w:rPr>
                      <w:rFonts w:eastAsiaTheme="minorEastAsia"/>
                      <w:b/>
                      <w:kern w:val="0"/>
                      <w:szCs w:val="21"/>
                    </w:rPr>
                    <w:t>名称</w:t>
                  </w:r>
                </w:p>
              </w:tc>
              <w:tc>
                <w:tcPr>
                  <w:tcW w:w="1425" w:type="pct"/>
                  <w:gridSpan w:val="2"/>
                  <w:vAlign w:val="center"/>
                </w:tcPr>
                <w:p>
                  <w:pPr>
                    <w:ind w:left="120" w:right="120"/>
                    <w:jc w:val="center"/>
                    <w:rPr>
                      <w:rFonts w:eastAsiaTheme="minorEastAsia"/>
                      <w:b/>
                      <w:kern w:val="0"/>
                      <w:szCs w:val="21"/>
                    </w:rPr>
                  </w:pPr>
                  <w:r>
                    <w:rPr>
                      <w:rFonts w:eastAsiaTheme="minorEastAsia"/>
                      <w:b/>
                      <w:kern w:val="0"/>
                      <w:szCs w:val="21"/>
                    </w:rPr>
                    <w:t>坐标</w:t>
                  </w:r>
                </w:p>
              </w:tc>
              <w:tc>
                <w:tcPr>
                  <w:tcW w:w="516" w:type="pct"/>
                  <w:vMerge w:val="restart"/>
                  <w:vAlign w:val="center"/>
                </w:tcPr>
                <w:p>
                  <w:pPr>
                    <w:widowControl/>
                    <w:jc w:val="center"/>
                    <w:rPr>
                      <w:rFonts w:eastAsiaTheme="minorEastAsia"/>
                      <w:b/>
                      <w:kern w:val="0"/>
                      <w:szCs w:val="21"/>
                    </w:rPr>
                  </w:pPr>
                  <w:r>
                    <w:rPr>
                      <w:rFonts w:eastAsiaTheme="minorEastAsia"/>
                      <w:b/>
                      <w:kern w:val="0"/>
                      <w:szCs w:val="21"/>
                    </w:rPr>
                    <w:t>相对方位</w:t>
                  </w:r>
                </w:p>
              </w:tc>
              <w:tc>
                <w:tcPr>
                  <w:tcW w:w="635" w:type="pct"/>
                  <w:vMerge w:val="restart"/>
                  <w:vAlign w:val="center"/>
                </w:tcPr>
                <w:p>
                  <w:pPr>
                    <w:widowControl/>
                    <w:jc w:val="center"/>
                    <w:rPr>
                      <w:rFonts w:eastAsiaTheme="minorEastAsia"/>
                      <w:b/>
                      <w:kern w:val="0"/>
                      <w:szCs w:val="21"/>
                    </w:rPr>
                  </w:pPr>
                  <w:r>
                    <w:rPr>
                      <w:rFonts w:eastAsiaTheme="minorEastAsia"/>
                      <w:b/>
                      <w:kern w:val="0"/>
                      <w:szCs w:val="21"/>
                    </w:rPr>
                    <w:t>相对距离m</w:t>
                  </w:r>
                </w:p>
              </w:tc>
              <w:tc>
                <w:tcPr>
                  <w:tcW w:w="706" w:type="pct"/>
                  <w:vMerge w:val="restart"/>
                  <w:vAlign w:val="center"/>
                </w:tcPr>
                <w:p>
                  <w:pPr>
                    <w:widowControl/>
                    <w:jc w:val="center"/>
                    <w:rPr>
                      <w:rFonts w:eastAsiaTheme="minorEastAsia"/>
                      <w:b/>
                      <w:kern w:val="0"/>
                      <w:szCs w:val="21"/>
                    </w:rPr>
                  </w:pPr>
                  <w:r>
                    <w:rPr>
                      <w:rFonts w:eastAsiaTheme="minorEastAsia"/>
                      <w:b/>
                      <w:kern w:val="0"/>
                      <w:szCs w:val="21"/>
                    </w:rPr>
                    <w:t>保护内容</w:t>
                  </w:r>
                </w:p>
              </w:tc>
              <w:tc>
                <w:tcPr>
                  <w:tcW w:w="430" w:type="pct"/>
                  <w:vMerge w:val="restart"/>
                  <w:vAlign w:val="center"/>
                </w:tcPr>
                <w:p>
                  <w:pPr>
                    <w:widowControl/>
                    <w:jc w:val="center"/>
                    <w:rPr>
                      <w:rFonts w:eastAsiaTheme="minorEastAsia"/>
                      <w:b/>
                      <w:kern w:val="0"/>
                      <w:szCs w:val="21"/>
                    </w:rPr>
                  </w:pPr>
                  <w:r>
                    <w:rPr>
                      <w:rFonts w:eastAsiaTheme="minorEastAsia"/>
                      <w:b/>
                      <w:kern w:val="0"/>
                      <w:szCs w:val="21"/>
                    </w:rPr>
                    <w:t>保护对象</w:t>
                  </w:r>
                </w:p>
              </w:tc>
              <w:tc>
                <w:tcPr>
                  <w:tcW w:w="583" w:type="pct"/>
                  <w:vMerge w:val="restart"/>
                  <w:vAlign w:val="center"/>
                </w:tcPr>
                <w:p>
                  <w:pPr>
                    <w:widowControl/>
                    <w:jc w:val="center"/>
                    <w:rPr>
                      <w:rFonts w:eastAsiaTheme="minorEastAsia"/>
                      <w:b/>
                      <w:kern w:val="0"/>
                      <w:szCs w:val="21"/>
                    </w:rPr>
                  </w:pPr>
                  <w:r>
                    <w:rPr>
                      <w:rFonts w:eastAsiaTheme="minorEastAsia"/>
                      <w:b/>
                      <w:kern w:val="0"/>
                      <w:szCs w:val="21"/>
                    </w:rPr>
                    <w:t>环境功能区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00" w:type="pct"/>
                  <w:vMerge w:val="continue"/>
                  <w:noWrap/>
                  <w:vAlign w:val="center"/>
                </w:tcPr>
                <w:p>
                  <w:pPr>
                    <w:ind w:left="120" w:right="120"/>
                    <w:jc w:val="center"/>
                    <w:rPr>
                      <w:rFonts w:eastAsiaTheme="minorEastAsia"/>
                      <w:kern w:val="0"/>
                      <w:szCs w:val="21"/>
                    </w:rPr>
                  </w:pPr>
                </w:p>
              </w:tc>
              <w:tc>
                <w:tcPr>
                  <w:tcW w:w="710" w:type="pct"/>
                  <w:vAlign w:val="center"/>
                </w:tcPr>
                <w:p>
                  <w:pPr>
                    <w:ind w:left="120" w:right="120"/>
                    <w:jc w:val="center"/>
                    <w:rPr>
                      <w:rFonts w:eastAsiaTheme="minorEastAsia"/>
                      <w:b/>
                      <w:kern w:val="0"/>
                      <w:szCs w:val="21"/>
                    </w:rPr>
                  </w:pPr>
                  <w:r>
                    <w:rPr>
                      <w:rFonts w:eastAsiaTheme="minorEastAsia"/>
                      <w:b/>
                      <w:kern w:val="0"/>
                      <w:szCs w:val="21"/>
                    </w:rPr>
                    <w:t>经度</w:t>
                  </w:r>
                </w:p>
              </w:tc>
              <w:tc>
                <w:tcPr>
                  <w:tcW w:w="715" w:type="pct"/>
                  <w:noWrap/>
                  <w:vAlign w:val="center"/>
                </w:tcPr>
                <w:p>
                  <w:pPr>
                    <w:ind w:left="120" w:right="120"/>
                    <w:jc w:val="center"/>
                    <w:rPr>
                      <w:rFonts w:eastAsiaTheme="minorEastAsia"/>
                      <w:b/>
                      <w:kern w:val="0"/>
                      <w:szCs w:val="21"/>
                    </w:rPr>
                  </w:pPr>
                  <w:r>
                    <w:rPr>
                      <w:rFonts w:eastAsiaTheme="minorEastAsia"/>
                      <w:b/>
                      <w:kern w:val="0"/>
                      <w:szCs w:val="21"/>
                    </w:rPr>
                    <w:t>纬度</w:t>
                  </w:r>
                </w:p>
              </w:tc>
              <w:tc>
                <w:tcPr>
                  <w:tcW w:w="516" w:type="pct"/>
                  <w:vMerge w:val="continue"/>
                  <w:vAlign w:val="center"/>
                </w:tcPr>
                <w:p>
                  <w:pPr>
                    <w:widowControl/>
                    <w:jc w:val="center"/>
                    <w:rPr>
                      <w:rFonts w:eastAsiaTheme="minorEastAsia"/>
                      <w:kern w:val="0"/>
                      <w:szCs w:val="21"/>
                    </w:rPr>
                  </w:pPr>
                </w:p>
              </w:tc>
              <w:tc>
                <w:tcPr>
                  <w:tcW w:w="635" w:type="pct"/>
                  <w:vMerge w:val="continue"/>
                  <w:vAlign w:val="center"/>
                </w:tcPr>
                <w:p>
                  <w:pPr>
                    <w:widowControl/>
                    <w:jc w:val="center"/>
                    <w:rPr>
                      <w:rFonts w:eastAsiaTheme="minorEastAsia"/>
                      <w:kern w:val="0"/>
                      <w:szCs w:val="21"/>
                    </w:rPr>
                  </w:pPr>
                </w:p>
              </w:tc>
              <w:tc>
                <w:tcPr>
                  <w:tcW w:w="706" w:type="pct"/>
                  <w:vMerge w:val="continue"/>
                  <w:vAlign w:val="center"/>
                </w:tcPr>
                <w:p>
                  <w:pPr>
                    <w:widowControl/>
                    <w:jc w:val="center"/>
                    <w:rPr>
                      <w:rFonts w:eastAsiaTheme="minorEastAsia"/>
                      <w:kern w:val="0"/>
                      <w:szCs w:val="21"/>
                    </w:rPr>
                  </w:pPr>
                </w:p>
              </w:tc>
              <w:tc>
                <w:tcPr>
                  <w:tcW w:w="430" w:type="pct"/>
                  <w:vMerge w:val="continue"/>
                  <w:vAlign w:val="center"/>
                </w:tcPr>
                <w:p>
                  <w:pPr>
                    <w:widowControl/>
                    <w:jc w:val="center"/>
                    <w:rPr>
                      <w:rFonts w:eastAsiaTheme="minorEastAsia"/>
                      <w:kern w:val="0"/>
                      <w:szCs w:val="21"/>
                    </w:rPr>
                  </w:pPr>
                </w:p>
              </w:tc>
              <w:tc>
                <w:tcPr>
                  <w:tcW w:w="583" w:type="pct"/>
                  <w:vMerge w:val="continue"/>
                  <w:vAlign w:val="center"/>
                </w:tcPr>
                <w:p>
                  <w:pPr>
                    <w:widowControl/>
                    <w:jc w:val="center"/>
                    <w:rPr>
                      <w:rFonts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00" w:type="pct"/>
                  <w:noWrap/>
                  <w:vAlign w:val="center"/>
                </w:tcPr>
                <w:p>
                  <w:pPr>
                    <w:widowControl/>
                    <w:jc w:val="center"/>
                    <w:rPr>
                      <w:rFonts w:eastAsiaTheme="minorEastAsia"/>
                      <w:kern w:val="0"/>
                      <w:szCs w:val="21"/>
                    </w:rPr>
                  </w:pPr>
                  <w:r>
                    <w:rPr>
                      <w:rFonts w:eastAsiaTheme="minorEastAsia"/>
                      <w:kern w:val="0"/>
                      <w:szCs w:val="21"/>
                    </w:rPr>
                    <w:t>杨家村</w:t>
                  </w:r>
                </w:p>
              </w:tc>
              <w:tc>
                <w:tcPr>
                  <w:tcW w:w="710" w:type="pct"/>
                  <w:vAlign w:val="center"/>
                </w:tcPr>
                <w:p>
                  <w:pPr>
                    <w:ind w:right="120"/>
                    <w:jc w:val="center"/>
                    <w:rPr>
                      <w:rFonts w:eastAsiaTheme="minorEastAsia"/>
                      <w:kern w:val="0"/>
                      <w:szCs w:val="21"/>
                    </w:rPr>
                  </w:pPr>
                  <w:r>
                    <w:rPr>
                      <w:rFonts w:eastAsiaTheme="minorEastAsia"/>
                      <w:kern w:val="0"/>
                      <w:szCs w:val="21"/>
                    </w:rPr>
                    <w:t>101°11′49.283″</w:t>
                  </w:r>
                </w:p>
              </w:tc>
              <w:tc>
                <w:tcPr>
                  <w:tcW w:w="715" w:type="pct"/>
                  <w:noWrap/>
                  <w:vAlign w:val="center"/>
                </w:tcPr>
                <w:p>
                  <w:pPr>
                    <w:ind w:right="120"/>
                    <w:jc w:val="center"/>
                    <w:rPr>
                      <w:rFonts w:eastAsiaTheme="minorEastAsia"/>
                      <w:kern w:val="0"/>
                      <w:szCs w:val="21"/>
                    </w:rPr>
                  </w:pPr>
                  <w:r>
                    <w:rPr>
                      <w:rFonts w:eastAsiaTheme="minorEastAsia"/>
                      <w:kern w:val="0"/>
                      <w:szCs w:val="21"/>
                    </w:rPr>
                    <w:t>25°33′49.767″</w:t>
                  </w:r>
                </w:p>
              </w:tc>
              <w:tc>
                <w:tcPr>
                  <w:tcW w:w="516" w:type="pct"/>
                  <w:tcMar>
                    <w:top w:w="0" w:type="dxa"/>
                    <w:left w:w="57" w:type="dxa"/>
                    <w:bottom w:w="0" w:type="dxa"/>
                    <w:right w:w="57" w:type="dxa"/>
                  </w:tcMar>
                  <w:vAlign w:val="center"/>
                </w:tcPr>
                <w:p>
                  <w:pPr>
                    <w:ind w:left="120" w:right="120"/>
                    <w:jc w:val="center"/>
                    <w:rPr>
                      <w:rFonts w:eastAsiaTheme="minorEastAsia"/>
                      <w:kern w:val="0"/>
                      <w:szCs w:val="21"/>
                    </w:rPr>
                  </w:pPr>
                  <w:r>
                    <w:rPr>
                      <w:rFonts w:eastAsiaTheme="minorEastAsia"/>
                      <w:kern w:val="0"/>
                      <w:szCs w:val="21"/>
                    </w:rPr>
                    <w:t>西南</w:t>
                  </w:r>
                </w:p>
              </w:tc>
              <w:tc>
                <w:tcPr>
                  <w:tcW w:w="635" w:type="pct"/>
                  <w:vAlign w:val="center"/>
                </w:tcPr>
                <w:p>
                  <w:pPr>
                    <w:ind w:left="120" w:right="120"/>
                    <w:jc w:val="center"/>
                    <w:rPr>
                      <w:rFonts w:eastAsiaTheme="minorEastAsia"/>
                      <w:kern w:val="0"/>
                      <w:szCs w:val="21"/>
                    </w:rPr>
                  </w:pPr>
                  <w:r>
                    <w:rPr>
                      <w:rFonts w:eastAsiaTheme="minorEastAsia"/>
                      <w:kern w:val="0"/>
                      <w:szCs w:val="21"/>
                    </w:rPr>
                    <w:t>200</w:t>
                  </w:r>
                </w:p>
              </w:tc>
              <w:tc>
                <w:tcPr>
                  <w:tcW w:w="706" w:type="pct"/>
                  <w:vAlign w:val="center"/>
                </w:tcPr>
                <w:p>
                  <w:pPr>
                    <w:ind w:right="120"/>
                    <w:jc w:val="center"/>
                    <w:rPr>
                      <w:rFonts w:eastAsiaTheme="minorEastAsia"/>
                      <w:kern w:val="0"/>
                      <w:szCs w:val="21"/>
                    </w:rPr>
                  </w:pPr>
                  <w:r>
                    <w:rPr>
                      <w:rFonts w:eastAsiaTheme="minorEastAsia"/>
                      <w:kern w:val="0"/>
                      <w:szCs w:val="21"/>
                    </w:rPr>
                    <w:t>372户，</w:t>
                  </w:r>
                </w:p>
                <w:p>
                  <w:pPr>
                    <w:ind w:right="120"/>
                    <w:jc w:val="center"/>
                    <w:rPr>
                      <w:rFonts w:eastAsiaTheme="minorEastAsia"/>
                      <w:kern w:val="0"/>
                      <w:szCs w:val="21"/>
                    </w:rPr>
                  </w:pPr>
                  <w:r>
                    <w:rPr>
                      <w:rFonts w:eastAsiaTheme="minorEastAsia"/>
                      <w:kern w:val="0"/>
                      <w:szCs w:val="21"/>
                    </w:rPr>
                    <w:t>1302人</w:t>
                  </w:r>
                </w:p>
              </w:tc>
              <w:tc>
                <w:tcPr>
                  <w:tcW w:w="430" w:type="pct"/>
                  <w:vMerge w:val="restart"/>
                  <w:vAlign w:val="center"/>
                </w:tcPr>
                <w:p>
                  <w:pPr>
                    <w:widowControl/>
                    <w:jc w:val="center"/>
                    <w:rPr>
                      <w:rFonts w:eastAsiaTheme="minorEastAsia"/>
                      <w:kern w:val="0"/>
                      <w:szCs w:val="21"/>
                    </w:rPr>
                  </w:pPr>
                  <w:r>
                    <w:rPr>
                      <w:rFonts w:eastAsiaTheme="minorEastAsia"/>
                      <w:kern w:val="0"/>
                      <w:szCs w:val="21"/>
                    </w:rPr>
                    <w:t>居民区</w:t>
                  </w:r>
                </w:p>
              </w:tc>
              <w:tc>
                <w:tcPr>
                  <w:tcW w:w="583" w:type="pct"/>
                  <w:vMerge w:val="restart"/>
                  <w:vAlign w:val="center"/>
                </w:tcPr>
                <w:p>
                  <w:pPr>
                    <w:widowControl/>
                    <w:jc w:val="center"/>
                    <w:rPr>
                      <w:rFonts w:eastAsiaTheme="minorEastAsia"/>
                      <w:kern w:val="0"/>
                      <w:szCs w:val="21"/>
                    </w:rPr>
                  </w:pPr>
                  <w:r>
                    <w:rPr>
                      <w:rFonts w:eastAsiaTheme="minorEastAsia"/>
                      <w:kern w:val="0"/>
                      <w:szCs w:val="21"/>
                    </w:rPr>
                    <w:t>环境空气二类功能区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00" w:type="pct"/>
                  <w:noWrap/>
                  <w:vAlign w:val="center"/>
                </w:tcPr>
                <w:p>
                  <w:pPr>
                    <w:widowControl/>
                    <w:jc w:val="center"/>
                    <w:rPr>
                      <w:rFonts w:eastAsiaTheme="minorEastAsia"/>
                      <w:kern w:val="0"/>
                      <w:szCs w:val="21"/>
                    </w:rPr>
                  </w:pPr>
                  <w:r>
                    <w:rPr>
                      <w:rFonts w:eastAsiaTheme="minorEastAsia"/>
                      <w:kern w:val="0"/>
                      <w:szCs w:val="21"/>
                    </w:rPr>
                    <w:t>福光村</w:t>
                  </w:r>
                </w:p>
              </w:tc>
              <w:tc>
                <w:tcPr>
                  <w:tcW w:w="710" w:type="pct"/>
                  <w:vAlign w:val="center"/>
                </w:tcPr>
                <w:p>
                  <w:pPr>
                    <w:ind w:right="120"/>
                    <w:jc w:val="center"/>
                    <w:rPr>
                      <w:rFonts w:eastAsiaTheme="minorEastAsia"/>
                      <w:kern w:val="0"/>
                      <w:szCs w:val="21"/>
                    </w:rPr>
                  </w:pPr>
                  <w:r>
                    <w:rPr>
                      <w:rFonts w:eastAsiaTheme="minorEastAsia"/>
                      <w:kern w:val="0"/>
                      <w:szCs w:val="21"/>
                    </w:rPr>
                    <w:t>101°15′15.040″</w:t>
                  </w:r>
                </w:p>
              </w:tc>
              <w:tc>
                <w:tcPr>
                  <w:tcW w:w="715" w:type="pct"/>
                  <w:noWrap/>
                  <w:vAlign w:val="center"/>
                </w:tcPr>
                <w:p>
                  <w:pPr>
                    <w:ind w:right="120"/>
                    <w:jc w:val="center"/>
                    <w:rPr>
                      <w:rFonts w:eastAsiaTheme="minorEastAsia"/>
                      <w:kern w:val="0"/>
                      <w:szCs w:val="21"/>
                    </w:rPr>
                  </w:pPr>
                  <w:r>
                    <w:rPr>
                      <w:rFonts w:eastAsiaTheme="minorEastAsia"/>
                      <w:kern w:val="0"/>
                      <w:szCs w:val="21"/>
                    </w:rPr>
                    <w:t>25°34′1.245″</w:t>
                  </w:r>
                </w:p>
              </w:tc>
              <w:tc>
                <w:tcPr>
                  <w:tcW w:w="516" w:type="pct"/>
                  <w:tcMar>
                    <w:top w:w="0" w:type="dxa"/>
                    <w:left w:w="57" w:type="dxa"/>
                    <w:bottom w:w="0" w:type="dxa"/>
                    <w:right w:w="57" w:type="dxa"/>
                  </w:tcMar>
                  <w:vAlign w:val="center"/>
                </w:tcPr>
                <w:p>
                  <w:pPr>
                    <w:ind w:left="120" w:right="120"/>
                    <w:jc w:val="center"/>
                    <w:rPr>
                      <w:rFonts w:eastAsiaTheme="minorEastAsia"/>
                      <w:kern w:val="0"/>
                      <w:szCs w:val="21"/>
                    </w:rPr>
                  </w:pPr>
                  <w:r>
                    <w:rPr>
                      <w:rFonts w:eastAsiaTheme="minorEastAsia"/>
                      <w:kern w:val="0"/>
                      <w:szCs w:val="21"/>
                    </w:rPr>
                    <w:t>东北</w:t>
                  </w:r>
                </w:p>
              </w:tc>
              <w:tc>
                <w:tcPr>
                  <w:tcW w:w="635" w:type="pct"/>
                  <w:vAlign w:val="center"/>
                </w:tcPr>
                <w:p>
                  <w:pPr>
                    <w:ind w:left="120" w:right="120"/>
                    <w:jc w:val="center"/>
                    <w:rPr>
                      <w:rFonts w:eastAsiaTheme="minorEastAsia"/>
                      <w:kern w:val="0"/>
                      <w:szCs w:val="21"/>
                    </w:rPr>
                  </w:pPr>
                  <w:r>
                    <w:rPr>
                      <w:rFonts w:eastAsiaTheme="minorEastAsia"/>
                      <w:kern w:val="0"/>
                      <w:szCs w:val="21"/>
                    </w:rPr>
                    <w:t>162</w:t>
                  </w:r>
                </w:p>
              </w:tc>
              <w:tc>
                <w:tcPr>
                  <w:tcW w:w="706" w:type="pct"/>
                  <w:vAlign w:val="center"/>
                </w:tcPr>
                <w:p>
                  <w:pPr>
                    <w:ind w:right="120"/>
                    <w:jc w:val="center"/>
                    <w:rPr>
                      <w:rFonts w:eastAsiaTheme="minorEastAsia"/>
                      <w:kern w:val="0"/>
                      <w:szCs w:val="21"/>
                    </w:rPr>
                  </w:pPr>
                  <w:r>
                    <w:rPr>
                      <w:rFonts w:eastAsiaTheme="minorEastAsia"/>
                      <w:kern w:val="0"/>
                      <w:szCs w:val="21"/>
                    </w:rPr>
                    <w:t>16户，56人</w:t>
                  </w:r>
                </w:p>
              </w:tc>
              <w:tc>
                <w:tcPr>
                  <w:tcW w:w="430" w:type="pct"/>
                  <w:vMerge w:val="continue"/>
                  <w:vAlign w:val="center"/>
                </w:tcPr>
                <w:p>
                  <w:pPr>
                    <w:widowControl/>
                    <w:jc w:val="center"/>
                    <w:rPr>
                      <w:rFonts w:eastAsiaTheme="minorEastAsia"/>
                      <w:kern w:val="0"/>
                      <w:szCs w:val="21"/>
                    </w:rPr>
                  </w:pPr>
                </w:p>
              </w:tc>
              <w:tc>
                <w:tcPr>
                  <w:tcW w:w="583" w:type="pct"/>
                  <w:vMerge w:val="continue"/>
                  <w:vAlign w:val="center"/>
                </w:tcPr>
                <w:p>
                  <w:pPr>
                    <w:widowControl/>
                    <w:jc w:val="center"/>
                    <w:rPr>
                      <w:rFonts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00" w:type="pct"/>
                  <w:noWrap/>
                  <w:vAlign w:val="center"/>
                </w:tcPr>
                <w:p>
                  <w:pPr>
                    <w:widowControl/>
                    <w:jc w:val="center"/>
                    <w:rPr>
                      <w:rFonts w:eastAsiaTheme="minorEastAsia"/>
                      <w:kern w:val="0"/>
                      <w:szCs w:val="21"/>
                    </w:rPr>
                  </w:pPr>
                  <w:r>
                    <w:rPr>
                      <w:rFonts w:eastAsiaTheme="minorEastAsia"/>
                      <w:kern w:val="0"/>
                      <w:szCs w:val="21"/>
                    </w:rPr>
                    <w:t>荷福新村幼儿园</w:t>
                  </w:r>
                </w:p>
              </w:tc>
              <w:tc>
                <w:tcPr>
                  <w:tcW w:w="710" w:type="pct"/>
                  <w:vAlign w:val="center"/>
                </w:tcPr>
                <w:p>
                  <w:pPr>
                    <w:ind w:right="120"/>
                    <w:jc w:val="center"/>
                    <w:rPr>
                      <w:rFonts w:eastAsiaTheme="minorEastAsia"/>
                      <w:kern w:val="0"/>
                      <w:szCs w:val="21"/>
                    </w:rPr>
                  </w:pPr>
                  <w:r>
                    <w:rPr>
                      <w:rFonts w:eastAsiaTheme="minorEastAsia"/>
                      <w:kern w:val="0"/>
                      <w:szCs w:val="21"/>
                    </w:rPr>
                    <w:t>101°12′15.040″</w:t>
                  </w:r>
                </w:p>
              </w:tc>
              <w:tc>
                <w:tcPr>
                  <w:tcW w:w="715" w:type="pct"/>
                  <w:noWrap/>
                  <w:vAlign w:val="center"/>
                </w:tcPr>
                <w:p>
                  <w:pPr>
                    <w:ind w:right="120"/>
                    <w:jc w:val="center"/>
                    <w:rPr>
                      <w:rFonts w:eastAsiaTheme="minorEastAsia"/>
                      <w:kern w:val="0"/>
                      <w:szCs w:val="21"/>
                    </w:rPr>
                  </w:pPr>
                  <w:r>
                    <w:rPr>
                      <w:rFonts w:eastAsiaTheme="minorEastAsia"/>
                      <w:kern w:val="0"/>
                      <w:szCs w:val="21"/>
                    </w:rPr>
                    <w:t>25°34′6.311″</w:t>
                  </w:r>
                </w:p>
              </w:tc>
              <w:tc>
                <w:tcPr>
                  <w:tcW w:w="516" w:type="pct"/>
                  <w:tcMar>
                    <w:top w:w="0" w:type="dxa"/>
                    <w:left w:w="57" w:type="dxa"/>
                    <w:bottom w:w="0" w:type="dxa"/>
                    <w:right w:w="57" w:type="dxa"/>
                  </w:tcMar>
                  <w:vAlign w:val="center"/>
                </w:tcPr>
                <w:p>
                  <w:pPr>
                    <w:ind w:left="120" w:right="120"/>
                    <w:jc w:val="center"/>
                    <w:rPr>
                      <w:rFonts w:eastAsiaTheme="minorEastAsia"/>
                      <w:kern w:val="0"/>
                      <w:szCs w:val="21"/>
                    </w:rPr>
                  </w:pPr>
                  <w:r>
                    <w:rPr>
                      <w:rFonts w:eastAsiaTheme="minorEastAsia"/>
                      <w:kern w:val="0"/>
                      <w:szCs w:val="21"/>
                    </w:rPr>
                    <w:t>东北</w:t>
                  </w:r>
                </w:p>
              </w:tc>
              <w:tc>
                <w:tcPr>
                  <w:tcW w:w="635" w:type="pct"/>
                  <w:vAlign w:val="center"/>
                </w:tcPr>
                <w:p>
                  <w:pPr>
                    <w:ind w:left="120" w:right="120"/>
                    <w:jc w:val="center"/>
                    <w:rPr>
                      <w:rFonts w:eastAsiaTheme="minorEastAsia"/>
                      <w:kern w:val="0"/>
                      <w:szCs w:val="21"/>
                    </w:rPr>
                  </w:pPr>
                  <w:r>
                    <w:rPr>
                      <w:rFonts w:eastAsiaTheme="minorEastAsia"/>
                      <w:kern w:val="0"/>
                      <w:szCs w:val="21"/>
                    </w:rPr>
                    <w:t>148</w:t>
                  </w:r>
                </w:p>
              </w:tc>
              <w:tc>
                <w:tcPr>
                  <w:tcW w:w="706" w:type="pct"/>
                  <w:vAlign w:val="center"/>
                </w:tcPr>
                <w:p>
                  <w:pPr>
                    <w:ind w:right="120"/>
                    <w:jc w:val="center"/>
                    <w:rPr>
                      <w:rFonts w:eastAsiaTheme="minorEastAsia"/>
                      <w:kern w:val="0"/>
                      <w:szCs w:val="21"/>
                    </w:rPr>
                  </w:pPr>
                  <w:r>
                    <w:rPr>
                      <w:rFonts w:eastAsiaTheme="minorEastAsia"/>
                      <w:kern w:val="0"/>
                      <w:szCs w:val="21"/>
                    </w:rPr>
                    <w:t>359人</w:t>
                  </w:r>
                </w:p>
              </w:tc>
              <w:tc>
                <w:tcPr>
                  <w:tcW w:w="430" w:type="pct"/>
                  <w:vMerge w:val="continue"/>
                  <w:vAlign w:val="center"/>
                </w:tcPr>
                <w:p>
                  <w:pPr>
                    <w:widowControl/>
                    <w:jc w:val="center"/>
                    <w:rPr>
                      <w:rFonts w:eastAsiaTheme="minorEastAsia"/>
                      <w:kern w:val="0"/>
                      <w:szCs w:val="21"/>
                    </w:rPr>
                  </w:pPr>
                </w:p>
              </w:tc>
              <w:tc>
                <w:tcPr>
                  <w:tcW w:w="583" w:type="pct"/>
                  <w:vMerge w:val="continue"/>
                  <w:vAlign w:val="center"/>
                </w:tcPr>
                <w:p>
                  <w:pPr>
                    <w:widowControl/>
                    <w:jc w:val="center"/>
                    <w:rPr>
                      <w:rFonts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00" w:type="pct"/>
                  <w:noWrap/>
                  <w:vAlign w:val="center"/>
                </w:tcPr>
                <w:p>
                  <w:pPr>
                    <w:widowControl/>
                    <w:jc w:val="center"/>
                    <w:rPr>
                      <w:rFonts w:eastAsiaTheme="minorEastAsia"/>
                      <w:kern w:val="0"/>
                      <w:szCs w:val="21"/>
                    </w:rPr>
                  </w:pPr>
                  <w:r>
                    <w:rPr>
                      <w:rFonts w:eastAsiaTheme="minorEastAsia"/>
                      <w:kern w:val="0"/>
                      <w:szCs w:val="21"/>
                    </w:rPr>
                    <w:t>住宅区</w:t>
                  </w:r>
                </w:p>
              </w:tc>
              <w:tc>
                <w:tcPr>
                  <w:tcW w:w="710" w:type="pct"/>
                  <w:vAlign w:val="center"/>
                </w:tcPr>
                <w:p>
                  <w:pPr>
                    <w:ind w:right="120"/>
                    <w:jc w:val="center"/>
                    <w:rPr>
                      <w:rFonts w:eastAsiaTheme="minorEastAsia"/>
                      <w:kern w:val="0"/>
                      <w:szCs w:val="21"/>
                    </w:rPr>
                  </w:pPr>
                  <w:r>
                    <w:rPr>
                      <w:rFonts w:eastAsiaTheme="minorEastAsia"/>
                      <w:kern w:val="0"/>
                      <w:szCs w:val="21"/>
                    </w:rPr>
                    <w:t>101°12′11.834″</w:t>
                  </w:r>
                </w:p>
              </w:tc>
              <w:tc>
                <w:tcPr>
                  <w:tcW w:w="715" w:type="pct"/>
                  <w:noWrap/>
                  <w:vAlign w:val="center"/>
                </w:tcPr>
                <w:p>
                  <w:pPr>
                    <w:ind w:right="120"/>
                    <w:jc w:val="center"/>
                    <w:rPr>
                      <w:rFonts w:eastAsiaTheme="minorEastAsia"/>
                      <w:kern w:val="0"/>
                      <w:szCs w:val="21"/>
                    </w:rPr>
                  </w:pPr>
                  <w:r>
                    <w:rPr>
                      <w:rFonts w:eastAsiaTheme="minorEastAsia"/>
                      <w:kern w:val="0"/>
                      <w:szCs w:val="21"/>
                    </w:rPr>
                    <w:t>25°34′6.253″</w:t>
                  </w:r>
                </w:p>
              </w:tc>
              <w:tc>
                <w:tcPr>
                  <w:tcW w:w="516" w:type="pct"/>
                  <w:tcMar>
                    <w:top w:w="0" w:type="dxa"/>
                    <w:left w:w="57" w:type="dxa"/>
                    <w:bottom w:w="0" w:type="dxa"/>
                    <w:right w:w="57" w:type="dxa"/>
                  </w:tcMar>
                  <w:vAlign w:val="center"/>
                </w:tcPr>
                <w:p>
                  <w:pPr>
                    <w:ind w:left="120" w:right="120"/>
                    <w:jc w:val="center"/>
                    <w:rPr>
                      <w:rFonts w:eastAsiaTheme="minorEastAsia"/>
                      <w:kern w:val="0"/>
                      <w:szCs w:val="21"/>
                    </w:rPr>
                  </w:pPr>
                  <w:r>
                    <w:rPr>
                      <w:rFonts w:eastAsiaTheme="minorEastAsia"/>
                      <w:kern w:val="0"/>
                      <w:szCs w:val="21"/>
                    </w:rPr>
                    <w:t>东北</w:t>
                  </w:r>
                </w:p>
              </w:tc>
              <w:tc>
                <w:tcPr>
                  <w:tcW w:w="635" w:type="pct"/>
                  <w:vAlign w:val="center"/>
                </w:tcPr>
                <w:p>
                  <w:pPr>
                    <w:ind w:left="120" w:right="120"/>
                    <w:jc w:val="center"/>
                    <w:rPr>
                      <w:rFonts w:eastAsiaTheme="minorEastAsia"/>
                      <w:kern w:val="0"/>
                      <w:szCs w:val="21"/>
                    </w:rPr>
                  </w:pPr>
                  <w:r>
                    <w:rPr>
                      <w:rFonts w:eastAsiaTheme="minorEastAsia"/>
                      <w:kern w:val="0"/>
                      <w:szCs w:val="21"/>
                    </w:rPr>
                    <w:t>89</w:t>
                  </w:r>
                </w:p>
              </w:tc>
              <w:tc>
                <w:tcPr>
                  <w:tcW w:w="706" w:type="pct"/>
                  <w:vAlign w:val="center"/>
                </w:tcPr>
                <w:p>
                  <w:pPr>
                    <w:ind w:right="120"/>
                    <w:jc w:val="center"/>
                    <w:rPr>
                      <w:rFonts w:eastAsiaTheme="minorEastAsia"/>
                      <w:kern w:val="0"/>
                      <w:szCs w:val="21"/>
                    </w:rPr>
                  </w:pPr>
                  <w:r>
                    <w:rPr>
                      <w:rFonts w:eastAsiaTheme="minorEastAsia"/>
                      <w:kern w:val="0"/>
                      <w:szCs w:val="21"/>
                    </w:rPr>
                    <w:t>12户，41人</w:t>
                  </w:r>
                </w:p>
              </w:tc>
              <w:tc>
                <w:tcPr>
                  <w:tcW w:w="430" w:type="pct"/>
                  <w:vMerge w:val="continue"/>
                  <w:vAlign w:val="center"/>
                </w:tcPr>
                <w:p>
                  <w:pPr>
                    <w:widowControl/>
                    <w:jc w:val="center"/>
                    <w:rPr>
                      <w:rFonts w:eastAsiaTheme="minorEastAsia"/>
                      <w:kern w:val="0"/>
                      <w:szCs w:val="21"/>
                    </w:rPr>
                  </w:pPr>
                </w:p>
              </w:tc>
              <w:tc>
                <w:tcPr>
                  <w:tcW w:w="583" w:type="pct"/>
                  <w:vMerge w:val="continue"/>
                  <w:vAlign w:val="center"/>
                </w:tcPr>
                <w:p>
                  <w:pPr>
                    <w:widowControl/>
                    <w:jc w:val="center"/>
                    <w:rPr>
                      <w:rFonts w:eastAsiaTheme="minorEastAsia"/>
                      <w:kern w:val="0"/>
                      <w:szCs w:val="21"/>
                    </w:rPr>
                  </w:pPr>
                </w:p>
              </w:tc>
            </w:tr>
          </w:tbl>
          <w:p>
            <w:pPr>
              <w:wordWrap w:val="0"/>
              <w:autoSpaceDE w:val="0"/>
              <w:autoSpaceDN w:val="0"/>
              <w:adjustRightInd w:val="0"/>
              <w:spacing w:before="156" w:beforeLines="50" w:line="360" w:lineRule="auto"/>
              <w:ind w:firstLine="480" w:firstLineChars="200"/>
              <w:rPr>
                <w:rFonts w:eastAsiaTheme="minorEastAsia"/>
                <w:kern w:val="0"/>
                <w:sz w:val="24"/>
              </w:rPr>
            </w:pPr>
            <w:r>
              <w:rPr>
                <w:rFonts w:eastAsiaTheme="minorEastAsia"/>
                <w:kern w:val="0"/>
                <w:sz w:val="24"/>
              </w:rPr>
              <w:t>厂界外50米范围内无声环境保护目标。</w:t>
            </w:r>
          </w:p>
          <w:p>
            <w:pPr>
              <w:wordWrap w:val="0"/>
              <w:autoSpaceDE w:val="0"/>
              <w:autoSpaceDN w:val="0"/>
              <w:adjustRightInd w:val="0"/>
              <w:spacing w:line="360" w:lineRule="auto"/>
              <w:ind w:firstLine="480" w:firstLineChars="200"/>
              <w:rPr>
                <w:rFonts w:eastAsiaTheme="minorEastAsia"/>
                <w:kern w:val="0"/>
                <w:sz w:val="24"/>
                <w:lang w:val="zh-CN"/>
              </w:rPr>
            </w:pPr>
            <w:r>
              <w:rPr>
                <w:rFonts w:eastAsiaTheme="minorEastAsia"/>
                <w:kern w:val="0"/>
                <w:sz w:val="24"/>
              </w:rPr>
              <w:t>项目区主要地表水</w:t>
            </w:r>
            <w:r>
              <w:rPr>
                <w:rFonts w:eastAsiaTheme="minorEastAsia"/>
                <w:kern w:val="0"/>
                <w:sz w:val="24"/>
                <w:lang w:val="zh-CN"/>
              </w:rPr>
              <w:t>为西运</w:t>
            </w:r>
            <w:r>
              <w:rPr>
                <w:rFonts w:eastAsiaTheme="minorEastAsia"/>
                <w:kern w:val="0"/>
                <w:sz w:val="24"/>
              </w:rPr>
              <w:t>河</w:t>
            </w:r>
            <w:r>
              <w:rPr>
                <w:rFonts w:eastAsiaTheme="minorEastAsia"/>
                <w:kern w:val="0"/>
                <w:sz w:val="24"/>
                <w:lang w:val="zh-CN"/>
              </w:rPr>
              <w:t>，位于本项目</w:t>
            </w:r>
            <w:r>
              <w:rPr>
                <w:rFonts w:eastAsiaTheme="minorEastAsia"/>
                <w:kern w:val="0"/>
                <w:sz w:val="24"/>
              </w:rPr>
              <w:t>东面</w:t>
            </w:r>
            <w:r>
              <w:rPr>
                <w:rFonts w:eastAsiaTheme="minorEastAsia"/>
                <w:kern w:val="0"/>
                <w:sz w:val="24"/>
                <w:lang w:val="zh-CN"/>
              </w:rPr>
              <w:t>，相距</w:t>
            </w:r>
            <w:r>
              <w:rPr>
                <w:rFonts w:eastAsiaTheme="minorEastAsia"/>
                <w:kern w:val="0"/>
                <w:sz w:val="24"/>
              </w:rPr>
              <w:t>约1900</w:t>
            </w:r>
            <w:r>
              <w:rPr>
                <w:rFonts w:eastAsiaTheme="minorEastAsia"/>
                <w:kern w:val="0"/>
                <w:sz w:val="24"/>
                <w:lang w:val="zh-CN"/>
              </w:rPr>
              <w:t>m。</w:t>
            </w:r>
          </w:p>
          <w:p>
            <w:pPr>
              <w:wordWrap w:val="0"/>
              <w:autoSpaceDE w:val="0"/>
              <w:autoSpaceDN w:val="0"/>
              <w:adjustRightInd w:val="0"/>
              <w:spacing w:line="360" w:lineRule="auto"/>
              <w:ind w:firstLine="480" w:firstLineChars="200"/>
              <w:jc w:val="center"/>
              <w:rPr>
                <w:rFonts w:eastAsiaTheme="minorEastAsia"/>
                <w:b/>
                <w:kern w:val="0"/>
                <w:sz w:val="24"/>
                <w:lang w:val="zh-CN"/>
              </w:rPr>
            </w:pPr>
            <w:r>
              <w:rPr>
                <w:rFonts w:eastAsiaTheme="minorEastAsia"/>
                <w:kern w:val="0"/>
                <w:sz w:val="24"/>
                <w:lang w:val="zh-CN"/>
              </w:rPr>
              <w:t>表</w:t>
            </w:r>
            <w:r>
              <w:rPr>
                <w:rFonts w:eastAsiaTheme="minorEastAsia"/>
                <w:b/>
                <w:kern w:val="0"/>
                <w:sz w:val="24"/>
                <w:lang w:val="zh-CN"/>
              </w:rPr>
              <w:t>3-</w:t>
            </w:r>
            <w:r>
              <w:rPr>
                <w:rFonts w:eastAsiaTheme="minorEastAsia"/>
                <w:b/>
                <w:kern w:val="0"/>
                <w:sz w:val="24"/>
              </w:rPr>
              <w:t>8</w:t>
            </w:r>
            <w:r>
              <w:rPr>
                <w:rFonts w:eastAsiaTheme="minorEastAsia"/>
                <w:b/>
                <w:kern w:val="0"/>
                <w:sz w:val="24"/>
                <w:lang w:val="zh-CN"/>
              </w:rPr>
              <w:t xml:space="preserve">  地表水环境保护目标一览表</w:t>
            </w:r>
          </w:p>
          <w:tbl>
            <w:tblPr>
              <w:tblStyle w:val="27"/>
              <w:tblW w:w="8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1119"/>
              <w:gridCol w:w="1335"/>
              <w:gridCol w:w="1566"/>
              <w:gridCol w:w="3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blHeader/>
                <w:jc w:val="center"/>
              </w:trPr>
              <w:tc>
                <w:tcPr>
                  <w:tcW w:w="844" w:type="pct"/>
                  <w:vAlign w:val="center"/>
                </w:tcPr>
                <w:p>
                  <w:pPr>
                    <w:widowControl/>
                    <w:jc w:val="center"/>
                    <w:rPr>
                      <w:rFonts w:eastAsiaTheme="minorEastAsia"/>
                      <w:b/>
                      <w:kern w:val="0"/>
                      <w:szCs w:val="21"/>
                    </w:rPr>
                  </w:pPr>
                  <w:r>
                    <w:rPr>
                      <w:rFonts w:eastAsiaTheme="minorEastAsia"/>
                      <w:b/>
                      <w:kern w:val="0"/>
                      <w:szCs w:val="21"/>
                    </w:rPr>
                    <w:t>环境要素</w:t>
                  </w:r>
                </w:p>
              </w:tc>
              <w:tc>
                <w:tcPr>
                  <w:tcW w:w="650" w:type="pct"/>
                  <w:vAlign w:val="center"/>
                </w:tcPr>
                <w:p>
                  <w:pPr>
                    <w:widowControl/>
                    <w:jc w:val="center"/>
                    <w:rPr>
                      <w:rFonts w:eastAsiaTheme="minorEastAsia"/>
                      <w:b/>
                      <w:kern w:val="0"/>
                      <w:szCs w:val="21"/>
                    </w:rPr>
                  </w:pPr>
                  <w:r>
                    <w:rPr>
                      <w:rFonts w:eastAsiaTheme="minorEastAsia"/>
                      <w:b/>
                      <w:kern w:val="0"/>
                      <w:szCs w:val="21"/>
                    </w:rPr>
                    <w:t>保护对象名称</w:t>
                  </w:r>
                </w:p>
              </w:tc>
              <w:tc>
                <w:tcPr>
                  <w:tcW w:w="776" w:type="pct"/>
                  <w:vAlign w:val="center"/>
                </w:tcPr>
                <w:p>
                  <w:pPr>
                    <w:widowControl/>
                    <w:jc w:val="center"/>
                    <w:rPr>
                      <w:rFonts w:eastAsiaTheme="minorEastAsia"/>
                      <w:b/>
                      <w:kern w:val="0"/>
                      <w:szCs w:val="21"/>
                    </w:rPr>
                  </w:pPr>
                  <w:r>
                    <w:rPr>
                      <w:rFonts w:eastAsiaTheme="minorEastAsia"/>
                      <w:b/>
                      <w:kern w:val="0"/>
                      <w:szCs w:val="21"/>
                    </w:rPr>
                    <w:t>相对厂址方位</w:t>
                  </w:r>
                </w:p>
              </w:tc>
              <w:tc>
                <w:tcPr>
                  <w:tcW w:w="910" w:type="pct"/>
                  <w:vAlign w:val="center"/>
                </w:tcPr>
                <w:p>
                  <w:pPr>
                    <w:widowControl/>
                    <w:jc w:val="center"/>
                    <w:rPr>
                      <w:rFonts w:eastAsiaTheme="minorEastAsia"/>
                      <w:b/>
                      <w:kern w:val="0"/>
                      <w:szCs w:val="21"/>
                    </w:rPr>
                  </w:pPr>
                  <w:r>
                    <w:rPr>
                      <w:rFonts w:eastAsiaTheme="minorEastAsia"/>
                      <w:b/>
                      <w:kern w:val="0"/>
                      <w:szCs w:val="21"/>
                    </w:rPr>
                    <w:t>相对厂界距离（m）</w:t>
                  </w:r>
                </w:p>
              </w:tc>
              <w:tc>
                <w:tcPr>
                  <w:tcW w:w="1819" w:type="pct"/>
                  <w:vAlign w:val="center"/>
                </w:tcPr>
                <w:p>
                  <w:pPr>
                    <w:widowControl/>
                    <w:jc w:val="center"/>
                    <w:rPr>
                      <w:rFonts w:eastAsiaTheme="minorEastAsia"/>
                      <w:b/>
                      <w:kern w:val="0"/>
                      <w:szCs w:val="21"/>
                    </w:rPr>
                  </w:pPr>
                  <w:r>
                    <w:rPr>
                      <w:rFonts w:eastAsiaTheme="minorEastAsia"/>
                      <w:b/>
                      <w:kern w:val="0"/>
                      <w:szCs w:val="21"/>
                    </w:rPr>
                    <w:t>环境功能区及执行标准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844" w:type="pct"/>
                  <w:vAlign w:val="center"/>
                </w:tcPr>
                <w:p>
                  <w:pPr>
                    <w:widowControl/>
                    <w:jc w:val="center"/>
                    <w:rPr>
                      <w:rFonts w:eastAsiaTheme="minorEastAsia"/>
                      <w:kern w:val="0"/>
                      <w:szCs w:val="21"/>
                    </w:rPr>
                  </w:pPr>
                  <w:r>
                    <w:rPr>
                      <w:rFonts w:eastAsiaTheme="minorEastAsia"/>
                      <w:kern w:val="0"/>
                      <w:szCs w:val="21"/>
                    </w:rPr>
                    <w:t>地表水环境</w:t>
                  </w:r>
                </w:p>
              </w:tc>
              <w:tc>
                <w:tcPr>
                  <w:tcW w:w="650" w:type="pct"/>
                  <w:vAlign w:val="center"/>
                </w:tcPr>
                <w:p>
                  <w:pPr>
                    <w:widowControl/>
                    <w:jc w:val="center"/>
                    <w:rPr>
                      <w:rFonts w:eastAsiaTheme="minorEastAsia"/>
                      <w:kern w:val="0"/>
                      <w:szCs w:val="21"/>
                    </w:rPr>
                  </w:pPr>
                  <w:r>
                    <w:rPr>
                      <w:rFonts w:eastAsiaTheme="minorEastAsia"/>
                      <w:kern w:val="0"/>
                      <w:szCs w:val="21"/>
                    </w:rPr>
                    <w:t>西运河</w:t>
                  </w:r>
                </w:p>
              </w:tc>
              <w:tc>
                <w:tcPr>
                  <w:tcW w:w="776" w:type="pct"/>
                  <w:vAlign w:val="center"/>
                </w:tcPr>
                <w:p>
                  <w:pPr>
                    <w:widowControl/>
                    <w:jc w:val="center"/>
                    <w:rPr>
                      <w:rFonts w:eastAsiaTheme="minorEastAsia"/>
                      <w:kern w:val="0"/>
                      <w:szCs w:val="21"/>
                    </w:rPr>
                  </w:pPr>
                  <w:r>
                    <w:rPr>
                      <w:rFonts w:eastAsiaTheme="minorEastAsia"/>
                      <w:kern w:val="0"/>
                      <w:szCs w:val="21"/>
                    </w:rPr>
                    <w:t>东</w:t>
                  </w:r>
                </w:p>
              </w:tc>
              <w:tc>
                <w:tcPr>
                  <w:tcW w:w="910" w:type="pct"/>
                  <w:vAlign w:val="center"/>
                </w:tcPr>
                <w:p>
                  <w:pPr>
                    <w:widowControl/>
                    <w:jc w:val="center"/>
                    <w:rPr>
                      <w:rFonts w:eastAsiaTheme="minorEastAsia"/>
                      <w:kern w:val="0"/>
                      <w:szCs w:val="21"/>
                    </w:rPr>
                  </w:pPr>
                  <w:r>
                    <w:rPr>
                      <w:rFonts w:eastAsiaTheme="minorEastAsia"/>
                      <w:kern w:val="0"/>
                      <w:szCs w:val="21"/>
                    </w:rPr>
                    <w:t>1900</w:t>
                  </w:r>
                </w:p>
              </w:tc>
              <w:tc>
                <w:tcPr>
                  <w:tcW w:w="1819" w:type="pct"/>
                  <w:vAlign w:val="center"/>
                </w:tcPr>
                <w:p>
                  <w:pPr>
                    <w:widowControl/>
                    <w:jc w:val="center"/>
                    <w:rPr>
                      <w:rFonts w:eastAsiaTheme="minorEastAsia"/>
                      <w:kern w:val="0"/>
                      <w:szCs w:val="21"/>
                    </w:rPr>
                  </w:pPr>
                  <w:r>
                    <w:rPr>
                      <w:rFonts w:eastAsiaTheme="minorEastAsia"/>
                      <w:kern w:val="0"/>
                      <w:szCs w:val="21"/>
                    </w:rPr>
                    <w:t>Ⅲ类功能区，《地表水环境质量标准》(GB3838-2002)Ⅲ类标准</w:t>
                  </w:r>
                </w:p>
              </w:tc>
            </w:tr>
          </w:tbl>
          <w:p>
            <w:pPr>
              <w:adjustRightInd w:val="0"/>
              <w:snapToGrid w:val="0"/>
              <w:spacing w:line="360" w:lineRule="auto"/>
              <w:rPr>
                <w:rFonts w:eastAsiaTheme="minorEastAsia"/>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93" w:hRule="atLeast"/>
          <w:jc w:val="center"/>
        </w:trPr>
        <w:tc>
          <w:tcPr>
            <w:tcW w:w="802" w:type="dxa"/>
            <w:tcMar>
              <w:left w:w="28" w:type="dxa"/>
              <w:right w:w="28" w:type="dxa"/>
            </w:tcMar>
            <w:vAlign w:val="center"/>
          </w:tcPr>
          <w:p>
            <w:pPr>
              <w:adjustRightInd w:val="0"/>
              <w:snapToGrid w:val="0"/>
              <w:spacing w:line="360" w:lineRule="auto"/>
              <w:jc w:val="center"/>
              <w:rPr>
                <w:rFonts w:eastAsiaTheme="minorEastAsia"/>
                <w:kern w:val="0"/>
                <w:sz w:val="24"/>
              </w:rPr>
            </w:pPr>
            <w:r>
              <w:rPr>
                <w:rFonts w:eastAsiaTheme="minorEastAsia"/>
                <w:kern w:val="0"/>
                <w:sz w:val="24"/>
              </w:rPr>
              <w:t>污染</w:t>
            </w:r>
          </w:p>
          <w:p>
            <w:pPr>
              <w:adjustRightInd w:val="0"/>
              <w:snapToGrid w:val="0"/>
              <w:spacing w:line="360" w:lineRule="auto"/>
              <w:jc w:val="center"/>
              <w:rPr>
                <w:rFonts w:eastAsiaTheme="minorEastAsia"/>
                <w:kern w:val="0"/>
                <w:sz w:val="24"/>
              </w:rPr>
            </w:pPr>
            <w:r>
              <w:rPr>
                <w:rFonts w:eastAsiaTheme="minorEastAsia"/>
                <w:kern w:val="0"/>
                <w:sz w:val="24"/>
              </w:rPr>
              <w:t>物排</w:t>
            </w:r>
          </w:p>
          <w:p>
            <w:pPr>
              <w:adjustRightInd w:val="0"/>
              <w:snapToGrid w:val="0"/>
              <w:spacing w:line="360" w:lineRule="auto"/>
              <w:jc w:val="center"/>
              <w:rPr>
                <w:rFonts w:eastAsiaTheme="minorEastAsia"/>
                <w:kern w:val="0"/>
                <w:sz w:val="24"/>
              </w:rPr>
            </w:pPr>
            <w:r>
              <w:rPr>
                <w:rFonts w:eastAsiaTheme="minorEastAsia"/>
                <w:kern w:val="0"/>
                <w:sz w:val="24"/>
              </w:rPr>
              <w:t>放控</w:t>
            </w:r>
          </w:p>
          <w:p>
            <w:pPr>
              <w:adjustRightInd w:val="0"/>
              <w:snapToGrid w:val="0"/>
              <w:spacing w:line="360" w:lineRule="auto"/>
              <w:jc w:val="center"/>
              <w:rPr>
                <w:rFonts w:eastAsiaTheme="minorEastAsia"/>
                <w:kern w:val="0"/>
                <w:sz w:val="24"/>
              </w:rPr>
            </w:pPr>
            <w:r>
              <w:rPr>
                <w:rFonts w:eastAsiaTheme="minorEastAsia"/>
                <w:kern w:val="0"/>
                <w:sz w:val="24"/>
              </w:rPr>
              <w:t>制标</w:t>
            </w:r>
          </w:p>
          <w:p>
            <w:pPr>
              <w:adjustRightInd w:val="0"/>
              <w:snapToGrid w:val="0"/>
              <w:spacing w:line="360" w:lineRule="auto"/>
              <w:jc w:val="center"/>
              <w:rPr>
                <w:rFonts w:eastAsiaTheme="minorEastAsia"/>
                <w:kern w:val="0"/>
                <w:sz w:val="24"/>
              </w:rPr>
            </w:pPr>
            <w:r>
              <w:rPr>
                <w:rFonts w:eastAsiaTheme="minorEastAsia"/>
                <w:kern w:val="0"/>
                <w:sz w:val="24"/>
              </w:rPr>
              <w:t>准</w:t>
            </w:r>
          </w:p>
        </w:tc>
        <w:tc>
          <w:tcPr>
            <w:tcW w:w="8789" w:type="dxa"/>
            <w:vAlign w:val="center"/>
          </w:tcPr>
          <w:p>
            <w:pPr>
              <w:spacing w:line="360" w:lineRule="auto"/>
              <w:rPr>
                <w:rFonts w:eastAsiaTheme="minorEastAsia"/>
                <w:kern w:val="0"/>
                <w:sz w:val="24"/>
              </w:rPr>
            </w:pPr>
            <w:r>
              <w:rPr>
                <w:rFonts w:eastAsiaTheme="minorEastAsia"/>
                <w:kern w:val="0"/>
                <w:sz w:val="24"/>
              </w:rPr>
              <w:t>1、大气污染物排放标准</w:t>
            </w:r>
          </w:p>
          <w:p>
            <w:pPr>
              <w:spacing w:line="360" w:lineRule="auto"/>
              <w:ind w:firstLine="480" w:firstLineChars="200"/>
              <w:rPr>
                <w:rFonts w:eastAsiaTheme="minorEastAsia"/>
                <w:kern w:val="0"/>
                <w:sz w:val="24"/>
              </w:rPr>
            </w:pPr>
            <w:r>
              <w:rPr>
                <w:rFonts w:eastAsiaTheme="minorEastAsia"/>
                <w:kern w:val="0"/>
                <w:sz w:val="24"/>
              </w:rPr>
              <w:t>（1）无组织废气</w:t>
            </w:r>
          </w:p>
          <w:p>
            <w:pPr>
              <w:wordWrap w:val="0"/>
              <w:autoSpaceDE w:val="0"/>
              <w:autoSpaceDN w:val="0"/>
              <w:adjustRightInd w:val="0"/>
              <w:spacing w:line="360" w:lineRule="auto"/>
              <w:ind w:firstLine="480" w:firstLineChars="200"/>
              <w:rPr>
                <w:rFonts w:eastAsiaTheme="minorEastAsia"/>
                <w:kern w:val="0"/>
                <w:sz w:val="24"/>
              </w:rPr>
            </w:pPr>
            <w:r>
              <w:rPr>
                <w:rFonts w:eastAsiaTheme="minorEastAsia"/>
                <w:kern w:val="0"/>
                <w:sz w:val="24"/>
              </w:rPr>
              <w:t>施工期废气主要为扬尘，施工扬尘执行《大气污染物综合排放标准》（GB 16297-1996）</w:t>
            </w:r>
            <w:r>
              <w:rPr>
                <w:bCs/>
                <w:sz w:val="24"/>
                <w:lang w:bidi="ar"/>
              </w:rPr>
              <w:t>表2无组织排放监控浓度标准限值。</w:t>
            </w:r>
          </w:p>
          <w:p>
            <w:pPr>
              <w:wordWrap w:val="0"/>
              <w:autoSpaceDE w:val="0"/>
              <w:autoSpaceDN w:val="0"/>
              <w:adjustRightInd w:val="0"/>
              <w:spacing w:line="360" w:lineRule="auto"/>
              <w:ind w:firstLine="482" w:firstLineChars="200"/>
              <w:jc w:val="center"/>
              <w:rPr>
                <w:rFonts w:eastAsiaTheme="minorEastAsia"/>
                <w:b/>
                <w:kern w:val="0"/>
                <w:sz w:val="24"/>
                <w:vertAlign w:val="superscript"/>
              </w:rPr>
            </w:pPr>
            <w:r>
              <w:rPr>
                <w:rFonts w:eastAsiaTheme="minorEastAsia"/>
                <w:b/>
                <w:kern w:val="0"/>
                <w:sz w:val="24"/>
              </w:rPr>
              <w:t>表3-9 大气污染物综合排放标准  单位：mg/m</w:t>
            </w:r>
            <w:r>
              <w:rPr>
                <w:rFonts w:eastAsiaTheme="minorEastAsia"/>
                <w:b/>
                <w:kern w:val="0"/>
                <w:sz w:val="24"/>
                <w:vertAlign w:val="superscript"/>
              </w:rPr>
              <w:t>3</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3107"/>
              <w:gridCol w:w="3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4" w:hRule="atLeast"/>
                <w:jc w:val="center"/>
              </w:trPr>
              <w:tc>
                <w:tcPr>
                  <w:tcW w:w="854" w:type="pct"/>
                  <w:vAlign w:val="center"/>
                </w:tcPr>
                <w:p>
                  <w:pPr>
                    <w:pStyle w:val="12"/>
                    <w:jc w:val="center"/>
                    <w:rPr>
                      <w:rFonts w:ascii="Times New Roman" w:hAnsi="Times New Roman" w:eastAsiaTheme="minorEastAsia"/>
                      <w:b/>
                      <w:kern w:val="0"/>
                      <w:szCs w:val="21"/>
                    </w:rPr>
                  </w:pPr>
                  <w:r>
                    <w:rPr>
                      <w:rFonts w:ascii="Times New Roman" w:hAnsi="Times New Roman" w:eastAsiaTheme="minorEastAsia"/>
                      <w:b/>
                      <w:kern w:val="0"/>
                      <w:szCs w:val="21"/>
                    </w:rPr>
                    <w:t>序号</w:t>
                  </w:r>
                </w:p>
              </w:tc>
              <w:tc>
                <w:tcPr>
                  <w:tcW w:w="1813" w:type="pct"/>
                  <w:vAlign w:val="center"/>
                </w:tcPr>
                <w:p>
                  <w:pPr>
                    <w:pStyle w:val="12"/>
                    <w:jc w:val="center"/>
                    <w:rPr>
                      <w:rFonts w:ascii="Times New Roman" w:hAnsi="Times New Roman" w:eastAsiaTheme="minorEastAsia"/>
                      <w:b/>
                      <w:kern w:val="0"/>
                      <w:szCs w:val="21"/>
                    </w:rPr>
                  </w:pPr>
                  <w:r>
                    <w:rPr>
                      <w:rFonts w:ascii="Times New Roman" w:hAnsi="Times New Roman" w:eastAsiaTheme="minorEastAsia"/>
                      <w:b/>
                      <w:kern w:val="0"/>
                      <w:szCs w:val="21"/>
                    </w:rPr>
                    <w:t>控制项目</w:t>
                  </w:r>
                </w:p>
              </w:tc>
              <w:tc>
                <w:tcPr>
                  <w:tcW w:w="2331" w:type="pct"/>
                  <w:vAlign w:val="center"/>
                </w:tcPr>
                <w:p>
                  <w:pPr>
                    <w:pStyle w:val="12"/>
                    <w:jc w:val="center"/>
                    <w:rPr>
                      <w:rFonts w:ascii="Times New Roman" w:hAnsi="Times New Roman" w:eastAsiaTheme="minorEastAsia"/>
                      <w:b/>
                      <w:kern w:val="0"/>
                      <w:szCs w:val="21"/>
                    </w:rPr>
                  </w:pPr>
                  <w:r>
                    <w:rPr>
                      <w:rFonts w:ascii="Times New Roman" w:hAnsi="Times New Roman" w:eastAsiaTheme="minorEastAsia"/>
                      <w:b/>
                      <w:kern w:val="0"/>
                      <w:szCs w:val="21"/>
                    </w:rPr>
                    <w:t>周界外浓度最高点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4" w:type="pct"/>
                  <w:vAlign w:val="center"/>
                </w:tcPr>
                <w:p>
                  <w:pPr>
                    <w:pStyle w:val="12"/>
                    <w:jc w:val="center"/>
                    <w:rPr>
                      <w:rFonts w:ascii="Times New Roman" w:hAnsi="Times New Roman" w:eastAsiaTheme="minorEastAsia"/>
                      <w:kern w:val="0"/>
                      <w:szCs w:val="21"/>
                    </w:rPr>
                  </w:pPr>
                  <w:r>
                    <w:rPr>
                      <w:rFonts w:ascii="Times New Roman" w:hAnsi="Times New Roman" w:eastAsiaTheme="minorEastAsia"/>
                      <w:kern w:val="0"/>
                      <w:szCs w:val="21"/>
                    </w:rPr>
                    <w:t>1</w:t>
                  </w:r>
                </w:p>
              </w:tc>
              <w:tc>
                <w:tcPr>
                  <w:tcW w:w="1813" w:type="pct"/>
                  <w:vAlign w:val="center"/>
                </w:tcPr>
                <w:p>
                  <w:pPr>
                    <w:pStyle w:val="12"/>
                    <w:jc w:val="center"/>
                    <w:rPr>
                      <w:rFonts w:ascii="Times New Roman" w:hAnsi="Times New Roman" w:eastAsiaTheme="minorEastAsia"/>
                      <w:kern w:val="0"/>
                      <w:szCs w:val="21"/>
                    </w:rPr>
                  </w:pPr>
                  <w:r>
                    <w:rPr>
                      <w:rFonts w:ascii="Times New Roman" w:hAnsi="Times New Roman" w:eastAsiaTheme="minorEastAsia"/>
                      <w:kern w:val="0"/>
                      <w:szCs w:val="21"/>
                    </w:rPr>
                    <w:t>颗粒物</w:t>
                  </w:r>
                </w:p>
              </w:tc>
              <w:tc>
                <w:tcPr>
                  <w:tcW w:w="2331" w:type="pct"/>
                  <w:vAlign w:val="center"/>
                </w:tcPr>
                <w:p>
                  <w:pPr>
                    <w:pStyle w:val="12"/>
                    <w:jc w:val="center"/>
                    <w:rPr>
                      <w:rFonts w:ascii="Times New Roman" w:hAnsi="Times New Roman" w:eastAsiaTheme="minorEastAsia"/>
                      <w:kern w:val="0"/>
                      <w:szCs w:val="21"/>
                    </w:rPr>
                  </w:pPr>
                  <w:r>
                    <w:rPr>
                      <w:rFonts w:ascii="Times New Roman" w:hAnsi="Times New Roman" w:eastAsiaTheme="minorEastAsia"/>
                      <w:kern w:val="0"/>
                      <w:szCs w:val="21"/>
                    </w:rPr>
                    <w:t>1.0</w:t>
                  </w:r>
                </w:p>
              </w:tc>
            </w:tr>
          </w:tbl>
          <w:p>
            <w:pPr>
              <w:numPr>
                <w:ilvl w:val="0"/>
                <w:numId w:val="8"/>
              </w:numPr>
              <w:spacing w:line="360" w:lineRule="auto"/>
              <w:rPr>
                <w:rFonts w:eastAsiaTheme="minorEastAsia"/>
                <w:kern w:val="0"/>
                <w:sz w:val="24"/>
              </w:rPr>
            </w:pPr>
            <w:r>
              <w:rPr>
                <w:rFonts w:eastAsiaTheme="minorEastAsia"/>
                <w:kern w:val="0"/>
                <w:sz w:val="24"/>
              </w:rPr>
              <w:t>有组织废气</w:t>
            </w:r>
          </w:p>
          <w:p>
            <w:pPr>
              <w:wordWrap w:val="0"/>
              <w:autoSpaceDE w:val="0"/>
              <w:autoSpaceDN w:val="0"/>
              <w:adjustRightInd w:val="0"/>
              <w:spacing w:line="360" w:lineRule="auto"/>
              <w:ind w:firstLine="480" w:firstLineChars="200"/>
              <w:rPr>
                <w:rFonts w:eastAsiaTheme="minorEastAsia"/>
                <w:kern w:val="0"/>
                <w:sz w:val="24"/>
              </w:rPr>
            </w:pPr>
            <w:r>
              <w:rPr>
                <w:rFonts w:eastAsiaTheme="minorEastAsia"/>
                <w:kern w:val="0"/>
                <w:sz w:val="24"/>
              </w:rPr>
              <w:t>运营期废气主要为生物质锅炉燃烧产生的颗粒物、SO</w:t>
            </w:r>
            <w:r>
              <w:rPr>
                <w:rFonts w:eastAsiaTheme="minorEastAsia"/>
                <w:kern w:val="0"/>
                <w:sz w:val="24"/>
                <w:vertAlign w:val="subscript"/>
              </w:rPr>
              <w:t>2</w:t>
            </w:r>
            <w:r>
              <w:rPr>
                <w:rFonts w:eastAsiaTheme="minorEastAsia"/>
                <w:kern w:val="0"/>
                <w:sz w:val="24"/>
              </w:rPr>
              <w:t>、NO</w:t>
            </w:r>
            <w:r>
              <w:rPr>
                <w:rFonts w:eastAsiaTheme="minorEastAsia"/>
                <w:kern w:val="0"/>
                <w:sz w:val="24"/>
                <w:vertAlign w:val="subscript"/>
              </w:rPr>
              <w:t>x</w:t>
            </w:r>
            <w:r>
              <w:rPr>
                <w:rFonts w:eastAsiaTheme="minorEastAsia"/>
                <w:kern w:val="0"/>
                <w:sz w:val="24"/>
              </w:rPr>
              <w:t xml:space="preserve"> </w:t>
            </w:r>
            <w:r>
              <w:rPr>
                <w:sz w:val="24"/>
                <w:lang w:bidi="ar"/>
              </w:rPr>
              <w:t>执行《锅炉大气污染物排放标准》（GB13271-2014）中燃煤锅炉（生物质锅炉参照燃煤锅炉标准执行）；食堂油烟参照执行《饮食业油烟排放标准》（GB18483-2001）中小型标准的要求。</w:t>
            </w:r>
          </w:p>
          <w:p>
            <w:pPr>
              <w:wordWrap w:val="0"/>
              <w:autoSpaceDE w:val="0"/>
              <w:autoSpaceDN w:val="0"/>
              <w:adjustRightInd w:val="0"/>
              <w:spacing w:line="360" w:lineRule="auto"/>
              <w:ind w:firstLine="482" w:firstLineChars="200"/>
              <w:jc w:val="center"/>
              <w:rPr>
                <w:rFonts w:eastAsiaTheme="minorEastAsia"/>
                <w:b/>
                <w:kern w:val="0"/>
                <w:sz w:val="24"/>
              </w:rPr>
            </w:pPr>
            <w:r>
              <w:rPr>
                <w:rFonts w:eastAsiaTheme="minorEastAsia"/>
                <w:b/>
                <w:kern w:val="0"/>
                <w:sz w:val="24"/>
              </w:rPr>
              <w:t>表3-10锅炉大气污染物排放浓度限值 单位：mg/m</w:t>
            </w:r>
            <w:r>
              <w:rPr>
                <w:rFonts w:eastAsiaTheme="minorEastAsia"/>
                <w:b/>
                <w:kern w:val="0"/>
                <w:sz w:val="24"/>
                <w:vertAlign w:val="superscript"/>
              </w:rPr>
              <w:t>3</w:t>
            </w:r>
            <w:r>
              <w:rPr>
                <w:rFonts w:eastAsiaTheme="minorEastAsia"/>
                <w:b/>
                <w:kern w:val="0"/>
                <w:sz w:val="24"/>
              </w:rPr>
              <w:t xml:space="preserve">（烟气黑度除外） </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0"/>
              <w:gridCol w:w="1234"/>
              <w:gridCol w:w="1115"/>
              <w:gridCol w:w="1645"/>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733" w:type="pct"/>
                  <w:vAlign w:val="center"/>
                </w:tcPr>
                <w:p>
                  <w:pPr>
                    <w:pStyle w:val="12"/>
                    <w:jc w:val="center"/>
                    <w:rPr>
                      <w:rFonts w:ascii="Times New Roman" w:hAnsi="Times New Roman" w:eastAsiaTheme="minorEastAsia"/>
                      <w:b/>
                      <w:kern w:val="0"/>
                      <w:szCs w:val="21"/>
                    </w:rPr>
                  </w:pPr>
                  <w:r>
                    <w:rPr>
                      <w:rFonts w:ascii="Times New Roman" w:hAnsi="Times New Roman" w:eastAsiaTheme="minorEastAsia"/>
                      <w:b/>
                      <w:kern w:val="0"/>
                      <w:szCs w:val="21"/>
                    </w:rPr>
                    <w:t>项目</w:t>
                  </w:r>
                </w:p>
              </w:tc>
              <w:tc>
                <w:tcPr>
                  <w:tcW w:w="721" w:type="pct"/>
                  <w:vAlign w:val="center"/>
                </w:tcPr>
                <w:p>
                  <w:pPr>
                    <w:pStyle w:val="12"/>
                    <w:jc w:val="center"/>
                    <w:rPr>
                      <w:rFonts w:ascii="Times New Roman" w:hAnsi="Times New Roman" w:eastAsiaTheme="minorEastAsia"/>
                      <w:b/>
                      <w:kern w:val="0"/>
                      <w:szCs w:val="21"/>
                    </w:rPr>
                  </w:pPr>
                  <w:r>
                    <w:rPr>
                      <w:rFonts w:ascii="Times New Roman" w:hAnsi="Times New Roman" w:eastAsiaTheme="minorEastAsia"/>
                      <w:b/>
                      <w:kern w:val="0"/>
                      <w:szCs w:val="21"/>
                    </w:rPr>
                    <w:t>SO</w:t>
                  </w:r>
                  <w:r>
                    <w:rPr>
                      <w:rFonts w:ascii="Times New Roman" w:hAnsi="Times New Roman" w:eastAsiaTheme="minorEastAsia"/>
                      <w:b/>
                      <w:kern w:val="0"/>
                      <w:szCs w:val="21"/>
                      <w:vertAlign w:val="subscript"/>
                    </w:rPr>
                    <w:t>2</w:t>
                  </w:r>
                </w:p>
              </w:tc>
              <w:tc>
                <w:tcPr>
                  <w:tcW w:w="651" w:type="pct"/>
                  <w:vAlign w:val="center"/>
                </w:tcPr>
                <w:p>
                  <w:pPr>
                    <w:pStyle w:val="12"/>
                    <w:jc w:val="center"/>
                    <w:rPr>
                      <w:rFonts w:ascii="Times New Roman" w:hAnsi="Times New Roman" w:eastAsiaTheme="minorEastAsia"/>
                      <w:b/>
                      <w:kern w:val="0"/>
                      <w:szCs w:val="21"/>
                    </w:rPr>
                  </w:pPr>
                  <w:r>
                    <w:rPr>
                      <w:rFonts w:ascii="Times New Roman" w:hAnsi="Times New Roman" w:eastAsiaTheme="minorEastAsia"/>
                      <w:b/>
                      <w:kern w:val="0"/>
                      <w:szCs w:val="21"/>
                    </w:rPr>
                    <w:t>NO</w:t>
                  </w:r>
                  <w:r>
                    <w:rPr>
                      <w:rFonts w:ascii="Times New Roman" w:hAnsi="Times New Roman" w:eastAsiaTheme="minorEastAsia"/>
                      <w:b/>
                      <w:kern w:val="0"/>
                      <w:szCs w:val="21"/>
                      <w:vertAlign w:val="subscript"/>
                    </w:rPr>
                    <w:t>x</w:t>
                  </w:r>
                </w:p>
              </w:tc>
              <w:tc>
                <w:tcPr>
                  <w:tcW w:w="960" w:type="pct"/>
                  <w:vAlign w:val="center"/>
                </w:tcPr>
                <w:p>
                  <w:pPr>
                    <w:pStyle w:val="6"/>
                    <w:ind w:firstLine="422" w:firstLineChars="200"/>
                    <w:rPr>
                      <w:rFonts w:eastAsiaTheme="minorEastAsia"/>
                      <w:b/>
                      <w:sz w:val="21"/>
                      <w:szCs w:val="21"/>
                    </w:rPr>
                  </w:pPr>
                  <w:r>
                    <w:rPr>
                      <w:rFonts w:eastAsiaTheme="minorEastAsia"/>
                      <w:b/>
                      <w:sz w:val="21"/>
                      <w:szCs w:val="21"/>
                    </w:rPr>
                    <w:t>烟尘</w:t>
                  </w:r>
                </w:p>
              </w:tc>
              <w:tc>
                <w:tcPr>
                  <w:tcW w:w="932" w:type="pct"/>
                  <w:vAlign w:val="center"/>
                </w:tcPr>
                <w:p>
                  <w:pPr>
                    <w:pStyle w:val="12"/>
                    <w:jc w:val="center"/>
                    <w:rPr>
                      <w:rFonts w:ascii="Times New Roman" w:hAnsi="Times New Roman" w:eastAsiaTheme="minorEastAsia"/>
                      <w:b/>
                      <w:kern w:val="0"/>
                      <w:szCs w:val="21"/>
                    </w:rPr>
                  </w:pPr>
                  <w:r>
                    <w:rPr>
                      <w:rFonts w:ascii="Times New Roman" w:hAnsi="Times New Roman" w:eastAsiaTheme="minorEastAsia"/>
                      <w:b/>
                      <w:kern w:val="0"/>
                      <w:szCs w:val="21"/>
                    </w:rPr>
                    <w:t>烟气黑度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33" w:type="pct"/>
                  <w:vAlign w:val="center"/>
                </w:tcPr>
                <w:p>
                  <w:pPr>
                    <w:pStyle w:val="12"/>
                    <w:jc w:val="center"/>
                    <w:rPr>
                      <w:rFonts w:ascii="Times New Roman" w:hAnsi="Times New Roman" w:eastAsiaTheme="minorEastAsia"/>
                      <w:kern w:val="0"/>
                      <w:szCs w:val="21"/>
                    </w:rPr>
                  </w:pPr>
                  <w:r>
                    <w:rPr>
                      <w:rFonts w:ascii="Times New Roman" w:hAnsi="Times New Roman" w:eastAsiaTheme="minorEastAsia"/>
                      <w:kern w:val="0"/>
                      <w:szCs w:val="21"/>
                    </w:rPr>
                    <w:t>生物质锅炉</w:t>
                  </w:r>
                </w:p>
              </w:tc>
              <w:tc>
                <w:tcPr>
                  <w:tcW w:w="721" w:type="pct"/>
                  <w:vAlign w:val="center"/>
                </w:tcPr>
                <w:p>
                  <w:pPr>
                    <w:pStyle w:val="12"/>
                    <w:jc w:val="center"/>
                    <w:rPr>
                      <w:rFonts w:ascii="Times New Roman" w:hAnsi="Times New Roman" w:eastAsiaTheme="minorEastAsia"/>
                      <w:kern w:val="0"/>
                      <w:szCs w:val="21"/>
                    </w:rPr>
                  </w:pPr>
                  <w:r>
                    <w:rPr>
                      <w:rFonts w:ascii="Times New Roman" w:hAnsi="Times New Roman" w:eastAsiaTheme="minorEastAsia"/>
                      <w:kern w:val="0"/>
                      <w:szCs w:val="21"/>
                    </w:rPr>
                    <w:t>300</w:t>
                  </w:r>
                </w:p>
              </w:tc>
              <w:tc>
                <w:tcPr>
                  <w:tcW w:w="651" w:type="pct"/>
                  <w:vAlign w:val="center"/>
                </w:tcPr>
                <w:p>
                  <w:pPr>
                    <w:pStyle w:val="12"/>
                    <w:jc w:val="center"/>
                    <w:rPr>
                      <w:rFonts w:ascii="Times New Roman" w:hAnsi="Times New Roman" w:eastAsiaTheme="minorEastAsia"/>
                      <w:kern w:val="0"/>
                      <w:szCs w:val="21"/>
                    </w:rPr>
                  </w:pPr>
                  <w:r>
                    <w:rPr>
                      <w:rFonts w:ascii="Times New Roman" w:hAnsi="Times New Roman" w:eastAsiaTheme="minorEastAsia"/>
                      <w:kern w:val="0"/>
                      <w:szCs w:val="21"/>
                    </w:rPr>
                    <w:t>300</w:t>
                  </w:r>
                </w:p>
              </w:tc>
              <w:tc>
                <w:tcPr>
                  <w:tcW w:w="960" w:type="pct"/>
                  <w:vAlign w:val="center"/>
                </w:tcPr>
                <w:p>
                  <w:pPr>
                    <w:pStyle w:val="12"/>
                    <w:jc w:val="center"/>
                    <w:rPr>
                      <w:rFonts w:ascii="Times New Roman" w:hAnsi="Times New Roman" w:eastAsiaTheme="minorEastAsia"/>
                      <w:kern w:val="0"/>
                      <w:szCs w:val="21"/>
                    </w:rPr>
                  </w:pPr>
                  <w:r>
                    <w:rPr>
                      <w:rFonts w:ascii="Times New Roman" w:hAnsi="Times New Roman" w:eastAsiaTheme="minorEastAsia"/>
                      <w:kern w:val="0"/>
                      <w:szCs w:val="21"/>
                    </w:rPr>
                    <w:t>50</w:t>
                  </w:r>
                </w:p>
              </w:tc>
              <w:tc>
                <w:tcPr>
                  <w:tcW w:w="932" w:type="pct"/>
                  <w:vAlign w:val="center"/>
                </w:tcPr>
                <w:p>
                  <w:pPr>
                    <w:pStyle w:val="12"/>
                    <w:jc w:val="center"/>
                    <w:rPr>
                      <w:rFonts w:ascii="Times New Roman" w:hAnsi="Times New Roman" w:eastAsiaTheme="minorEastAsia"/>
                      <w:kern w:val="0"/>
                      <w:szCs w:val="21"/>
                    </w:rPr>
                  </w:pPr>
                  <w:r>
                    <w:rPr>
                      <w:rFonts w:ascii="Times New Roman" w:hAnsi="Times New Roman" w:eastAsiaTheme="minorEastAsia"/>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33" w:type="pct"/>
                  <w:vAlign w:val="center"/>
                </w:tcPr>
                <w:p>
                  <w:pPr>
                    <w:pStyle w:val="12"/>
                    <w:jc w:val="center"/>
                    <w:rPr>
                      <w:rFonts w:ascii="Times New Roman" w:hAnsi="Times New Roman" w:eastAsiaTheme="minorEastAsia"/>
                      <w:kern w:val="0"/>
                      <w:szCs w:val="21"/>
                    </w:rPr>
                  </w:pPr>
                  <w:r>
                    <w:rPr>
                      <w:rFonts w:ascii="Times New Roman" w:hAnsi="Times New Roman" w:eastAsiaTheme="minorEastAsia"/>
                      <w:kern w:val="0"/>
                      <w:szCs w:val="21"/>
                    </w:rPr>
                    <w:t>污染物浓度监测位置</w:t>
                  </w:r>
                </w:p>
              </w:tc>
              <w:tc>
                <w:tcPr>
                  <w:tcW w:w="2333" w:type="pct"/>
                  <w:gridSpan w:val="3"/>
                  <w:vAlign w:val="center"/>
                </w:tcPr>
                <w:p>
                  <w:pPr>
                    <w:pStyle w:val="12"/>
                    <w:jc w:val="center"/>
                    <w:rPr>
                      <w:rFonts w:ascii="Times New Roman" w:hAnsi="Times New Roman" w:eastAsiaTheme="minorEastAsia"/>
                      <w:kern w:val="0"/>
                      <w:szCs w:val="21"/>
                    </w:rPr>
                  </w:pPr>
                  <w:r>
                    <w:rPr>
                      <w:rFonts w:ascii="Times New Roman" w:hAnsi="Times New Roman" w:eastAsiaTheme="minorEastAsia"/>
                      <w:kern w:val="0"/>
                      <w:szCs w:val="21"/>
                    </w:rPr>
                    <w:t>烟囱或烟道</w:t>
                  </w:r>
                </w:p>
              </w:tc>
              <w:tc>
                <w:tcPr>
                  <w:tcW w:w="932" w:type="pct"/>
                  <w:vAlign w:val="center"/>
                </w:tcPr>
                <w:p>
                  <w:pPr>
                    <w:pStyle w:val="12"/>
                    <w:jc w:val="center"/>
                    <w:rPr>
                      <w:rFonts w:ascii="Times New Roman" w:hAnsi="Times New Roman" w:eastAsiaTheme="minorEastAsia"/>
                      <w:kern w:val="0"/>
                      <w:szCs w:val="21"/>
                    </w:rPr>
                  </w:pPr>
                  <w:r>
                    <w:rPr>
                      <w:rFonts w:ascii="Times New Roman" w:hAnsi="Times New Roman" w:eastAsiaTheme="minorEastAsia"/>
                      <w:kern w:val="0"/>
                      <w:szCs w:val="21"/>
                    </w:rPr>
                    <w:t>烟囱排放口</w:t>
                  </w:r>
                </w:p>
              </w:tc>
            </w:tr>
          </w:tbl>
          <w:p>
            <w:pPr>
              <w:autoSpaceDE w:val="0"/>
              <w:autoSpaceDN w:val="0"/>
              <w:adjustRightInd w:val="0"/>
              <w:spacing w:line="360" w:lineRule="auto"/>
              <w:jc w:val="center"/>
              <w:rPr>
                <w:sz w:val="24"/>
              </w:rPr>
            </w:pPr>
            <w:r>
              <w:rPr>
                <w:b/>
                <w:sz w:val="24"/>
                <w:lang w:bidi="ar"/>
              </w:rPr>
              <w:t>表 3-11 《饮食业油烟排放标准》</w:t>
            </w:r>
          </w:p>
          <w:tbl>
            <w:tblPr>
              <w:tblStyle w:val="27"/>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8"/>
              <w:gridCol w:w="2137"/>
              <w:gridCol w:w="2016"/>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val="0"/>
                    <w:spacing w:before="0" w:beforeAutospacing="0" w:after="0" w:afterAutospacing="0"/>
                    <w:jc w:val="center"/>
                    <w:rPr>
                      <w:rFonts w:ascii="Times New Roman" w:hAnsi="Times New Roman"/>
                      <w:b/>
                      <w:bCs/>
                      <w:szCs w:val="21"/>
                    </w:rPr>
                  </w:pPr>
                  <w:r>
                    <w:rPr>
                      <w:rFonts w:ascii="Times New Roman" w:hAnsi="Times New Roman"/>
                      <w:b/>
                      <w:bCs/>
                      <w:kern w:val="2"/>
                      <w:sz w:val="21"/>
                      <w:szCs w:val="21"/>
                      <w:lang w:bidi="ar"/>
                    </w:rPr>
                    <w:t xml:space="preserve">污染物 </w:t>
                  </w:r>
                </w:p>
              </w:tc>
              <w:tc>
                <w:tcPr>
                  <w:tcW w:w="126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val="0"/>
                    <w:spacing w:before="0" w:beforeAutospacing="0" w:after="0" w:afterAutospacing="0"/>
                    <w:jc w:val="center"/>
                    <w:rPr>
                      <w:rFonts w:ascii="Times New Roman" w:hAnsi="Times New Roman"/>
                      <w:b/>
                      <w:bCs/>
                      <w:szCs w:val="21"/>
                    </w:rPr>
                  </w:pPr>
                  <w:r>
                    <w:rPr>
                      <w:rFonts w:ascii="Times New Roman" w:hAnsi="Times New Roman"/>
                      <w:b/>
                      <w:bCs/>
                      <w:kern w:val="2"/>
                      <w:sz w:val="21"/>
                      <w:szCs w:val="21"/>
                      <w:lang w:bidi="ar"/>
                    </w:rPr>
                    <w:t xml:space="preserve">油烟浓度 </w:t>
                  </w:r>
                </w:p>
              </w:tc>
              <w:tc>
                <w:tcPr>
                  <w:tcW w:w="118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val="0"/>
                    <w:spacing w:before="0" w:beforeAutospacing="0" w:after="0" w:afterAutospacing="0"/>
                    <w:jc w:val="center"/>
                    <w:rPr>
                      <w:rFonts w:ascii="Times New Roman" w:hAnsi="Times New Roman"/>
                      <w:b/>
                      <w:bCs/>
                      <w:szCs w:val="21"/>
                    </w:rPr>
                  </w:pPr>
                  <w:r>
                    <w:rPr>
                      <w:rFonts w:ascii="Times New Roman" w:hAnsi="Times New Roman"/>
                      <w:b/>
                      <w:bCs/>
                      <w:kern w:val="2"/>
                      <w:sz w:val="21"/>
                      <w:szCs w:val="21"/>
                      <w:lang w:bidi="ar"/>
                    </w:rPr>
                    <w:t>最低去除率</w:t>
                  </w:r>
                </w:p>
              </w:tc>
              <w:tc>
                <w:tcPr>
                  <w:tcW w:w="118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val="0"/>
                    <w:spacing w:before="0" w:beforeAutospacing="0" w:after="0" w:afterAutospacing="0"/>
                    <w:jc w:val="center"/>
                    <w:rPr>
                      <w:rFonts w:ascii="Times New Roman" w:hAnsi="Times New Roman"/>
                      <w:b/>
                      <w:bCs/>
                      <w:szCs w:val="21"/>
                    </w:rPr>
                  </w:pPr>
                  <w:r>
                    <w:rPr>
                      <w:rFonts w:ascii="Times New Roman" w:hAnsi="Times New Roman"/>
                      <w:b/>
                      <w:bCs/>
                      <w:kern w:val="2"/>
                      <w:sz w:val="21"/>
                      <w:szCs w:val="21"/>
                      <w:lang w:bidi="ar"/>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val="0"/>
                    <w:spacing w:before="0" w:beforeAutospacing="0" w:after="0" w:afterAutospacing="0"/>
                    <w:jc w:val="center"/>
                    <w:rPr>
                      <w:rFonts w:ascii="Times New Roman" w:hAnsi="Times New Roman"/>
                      <w:szCs w:val="21"/>
                    </w:rPr>
                  </w:pPr>
                  <w:r>
                    <w:rPr>
                      <w:rFonts w:ascii="Times New Roman" w:hAnsi="Times New Roman"/>
                      <w:kern w:val="2"/>
                      <w:sz w:val="21"/>
                      <w:szCs w:val="21"/>
                      <w:lang w:bidi="ar"/>
                    </w:rPr>
                    <w:t xml:space="preserve">最高排放浓度 </w:t>
                  </w:r>
                </w:p>
              </w:tc>
              <w:tc>
                <w:tcPr>
                  <w:tcW w:w="126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val="0"/>
                    <w:spacing w:before="0" w:beforeAutospacing="0" w:after="0" w:afterAutospacing="0"/>
                    <w:jc w:val="center"/>
                    <w:rPr>
                      <w:rFonts w:ascii="Times New Roman" w:hAnsi="Times New Roman"/>
                      <w:szCs w:val="21"/>
                    </w:rPr>
                  </w:pPr>
                  <w:r>
                    <w:rPr>
                      <w:rFonts w:ascii="Times New Roman" w:hAnsi="Times New Roman"/>
                      <w:kern w:val="2"/>
                      <w:sz w:val="21"/>
                      <w:szCs w:val="21"/>
                      <w:lang w:bidi="ar"/>
                    </w:rPr>
                    <w:t>≤2.0mg/m</w:t>
                  </w:r>
                  <w:r>
                    <w:rPr>
                      <w:rFonts w:ascii="Times New Roman" w:hAnsi="Times New Roman"/>
                      <w:kern w:val="2"/>
                      <w:sz w:val="21"/>
                      <w:szCs w:val="21"/>
                      <w:vertAlign w:val="superscript"/>
                      <w:lang w:bidi="ar"/>
                    </w:rPr>
                    <w:t>3</w:t>
                  </w:r>
                </w:p>
              </w:tc>
              <w:tc>
                <w:tcPr>
                  <w:tcW w:w="118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val="0"/>
                    <w:spacing w:before="0" w:beforeAutospacing="0" w:after="0" w:afterAutospacing="0"/>
                    <w:jc w:val="center"/>
                    <w:rPr>
                      <w:rFonts w:ascii="Times New Roman" w:hAnsi="Times New Roman"/>
                      <w:szCs w:val="21"/>
                    </w:rPr>
                  </w:pPr>
                  <w:r>
                    <w:rPr>
                      <w:rFonts w:ascii="Times New Roman" w:hAnsi="Times New Roman"/>
                      <w:kern w:val="2"/>
                      <w:sz w:val="21"/>
                      <w:szCs w:val="21"/>
                      <w:lang w:bidi="ar"/>
                    </w:rPr>
                    <w:t>≥60%</w:t>
                  </w:r>
                </w:p>
              </w:tc>
              <w:tc>
                <w:tcPr>
                  <w:tcW w:w="118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3"/>
                    <w:widowControl w:val="0"/>
                    <w:spacing w:before="0" w:beforeAutospacing="0" w:after="0" w:afterAutospacing="0"/>
                    <w:jc w:val="center"/>
                    <w:rPr>
                      <w:rFonts w:ascii="Times New Roman" w:hAnsi="Times New Roman"/>
                      <w:szCs w:val="21"/>
                    </w:rPr>
                  </w:pPr>
                  <w:r>
                    <w:rPr>
                      <w:rFonts w:ascii="Times New Roman" w:hAnsi="Times New Roman"/>
                      <w:kern w:val="2"/>
                      <w:sz w:val="21"/>
                      <w:szCs w:val="21"/>
                      <w:lang w:bidi="ar"/>
                    </w:rPr>
                    <w:t>小型</w:t>
                  </w:r>
                </w:p>
              </w:tc>
            </w:tr>
          </w:tbl>
          <w:p>
            <w:pPr>
              <w:spacing w:line="360" w:lineRule="auto"/>
              <w:rPr>
                <w:rFonts w:eastAsiaTheme="minorEastAsia"/>
                <w:kern w:val="0"/>
                <w:sz w:val="24"/>
              </w:rPr>
            </w:pPr>
            <w:r>
              <w:rPr>
                <w:rFonts w:eastAsiaTheme="minorEastAsia"/>
                <w:kern w:val="0"/>
                <w:sz w:val="24"/>
              </w:rPr>
              <w:t>2、噪声污染物排放标准</w:t>
            </w:r>
          </w:p>
          <w:p>
            <w:pPr>
              <w:spacing w:line="360" w:lineRule="auto"/>
              <w:ind w:firstLine="480" w:firstLineChars="200"/>
              <w:rPr>
                <w:rFonts w:eastAsiaTheme="minorEastAsia"/>
                <w:kern w:val="0"/>
                <w:sz w:val="24"/>
              </w:rPr>
            </w:pPr>
            <w:r>
              <w:rPr>
                <w:rFonts w:eastAsiaTheme="minorEastAsia"/>
                <w:kern w:val="0"/>
                <w:sz w:val="24"/>
              </w:rPr>
              <w:t>运营期项目四周噪声排放执行《工业企业厂界环境噪声排放标准》（GB12348-2008）2类标准。具体标准值见下表。</w:t>
            </w:r>
          </w:p>
          <w:p>
            <w:pPr>
              <w:autoSpaceDE w:val="0"/>
              <w:autoSpaceDN w:val="0"/>
              <w:spacing w:before="156" w:beforeLines="50" w:line="360" w:lineRule="auto"/>
              <w:jc w:val="center"/>
              <w:outlineLvl w:val="0"/>
              <w:rPr>
                <w:rFonts w:eastAsiaTheme="minorEastAsia"/>
                <w:b/>
                <w:kern w:val="0"/>
                <w:sz w:val="24"/>
              </w:rPr>
            </w:pPr>
            <w:bookmarkStart w:id="223" w:name="_Toc4484"/>
            <w:bookmarkStart w:id="224" w:name="_Toc6341"/>
            <w:bookmarkStart w:id="225" w:name="_Toc11013"/>
            <w:bookmarkStart w:id="226" w:name="_Toc144233330"/>
          </w:p>
          <w:p>
            <w:pPr>
              <w:autoSpaceDE w:val="0"/>
              <w:autoSpaceDN w:val="0"/>
              <w:spacing w:before="156" w:beforeLines="50" w:line="360" w:lineRule="auto"/>
              <w:jc w:val="center"/>
              <w:outlineLvl w:val="0"/>
              <w:rPr>
                <w:rFonts w:eastAsiaTheme="minorEastAsia"/>
                <w:b/>
                <w:kern w:val="0"/>
                <w:sz w:val="24"/>
              </w:rPr>
            </w:pPr>
            <w:r>
              <w:rPr>
                <w:rFonts w:eastAsiaTheme="minorEastAsia"/>
                <w:b/>
                <w:kern w:val="0"/>
                <w:sz w:val="24"/>
              </w:rPr>
              <w:t>表3-12 工业企业厂界环境噪声排放标准  单位：dB(A)</w:t>
            </w:r>
            <w:bookmarkEnd w:id="223"/>
            <w:bookmarkEnd w:id="224"/>
            <w:bookmarkEnd w:id="225"/>
            <w:bookmarkEnd w:id="226"/>
          </w:p>
          <w:tbl>
            <w:tblPr>
              <w:tblStyle w:val="27"/>
              <w:tblpPr w:leftFromText="180" w:rightFromText="180" w:vertAnchor="text" w:horzAnchor="margin" w:tblpXSpec="center" w:tblpY="8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3900"/>
              <w:gridCol w:w="147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027" w:type="pct"/>
                  <w:vMerge w:val="restart"/>
                  <w:vAlign w:val="center"/>
                </w:tcPr>
                <w:p>
                  <w:pPr>
                    <w:pStyle w:val="34"/>
                    <w:spacing w:before="0" w:after="0"/>
                    <w:rPr>
                      <w:rFonts w:eastAsiaTheme="minorEastAsia"/>
                      <w:b/>
                      <w:sz w:val="21"/>
                      <w:szCs w:val="21"/>
                    </w:rPr>
                  </w:pPr>
                  <w:r>
                    <w:rPr>
                      <w:rFonts w:eastAsiaTheme="minorEastAsia"/>
                      <w:b/>
                      <w:sz w:val="21"/>
                      <w:szCs w:val="21"/>
                    </w:rPr>
                    <w:t>类别</w:t>
                  </w:r>
                </w:p>
              </w:tc>
              <w:tc>
                <w:tcPr>
                  <w:tcW w:w="2277" w:type="pct"/>
                  <w:vMerge w:val="restart"/>
                  <w:vAlign w:val="center"/>
                </w:tcPr>
                <w:p>
                  <w:pPr>
                    <w:pStyle w:val="34"/>
                    <w:spacing w:before="0" w:after="0"/>
                    <w:rPr>
                      <w:rFonts w:eastAsiaTheme="minorEastAsia"/>
                      <w:b/>
                      <w:sz w:val="21"/>
                      <w:szCs w:val="21"/>
                    </w:rPr>
                  </w:pPr>
                  <w:r>
                    <w:rPr>
                      <w:rFonts w:eastAsiaTheme="minorEastAsia"/>
                      <w:b/>
                      <w:sz w:val="21"/>
                      <w:szCs w:val="21"/>
                    </w:rPr>
                    <w:t>适用区域</w:t>
                  </w:r>
                </w:p>
              </w:tc>
              <w:tc>
                <w:tcPr>
                  <w:tcW w:w="1695" w:type="pct"/>
                  <w:gridSpan w:val="2"/>
                  <w:vAlign w:val="center"/>
                </w:tcPr>
                <w:p>
                  <w:pPr>
                    <w:pStyle w:val="34"/>
                    <w:spacing w:before="0" w:after="0"/>
                    <w:rPr>
                      <w:rFonts w:eastAsiaTheme="minorEastAsia"/>
                      <w:b/>
                      <w:sz w:val="21"/>
                      <w:szCs w:val="21"/>
                    </w:rPr>
                  </w:pPr>
                  <w:r>
                    <w:rPr>
                      <w:rFonts w:eastAsiaTheme="minorEastAsia"/>
                      <w:b/>
                      <w:sz w:val="21"/>
                      <w:szCs w:val="21"/>
                    </w:rPr>
                    <w:t>等效声级[dB(A)]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7" w:type="pct"/>
                  <w:vMerge w:val="continue"/>
                  <w:vAlign w:val="center"/>
                </w:tcPr>
                <w:p>
                  <w:pPr>
                    <w:pStyle w:val="34"/>
                    <w:spacing w:before="0" w:after="0"/>
                    <w:rPr>
                      <w:rFonts w:eastAsiaTheme="minorEastAsia"/>
                      <w:b/>
                      <w:sz w:val="21"/>
                      <w:szCs w:val="21"/>
                    </w:rPr>
                  </w:pPr>
                </w:p>
              </w:tc>
              <w:tc>
                <w:tcPr>
                  <w:tcW w:w="2277" w:type="pct"/>
                  <w:vMerge w:val="continue"/>
                  <w:vAlign w:val="center"/>
                </w:tcPr>
                <w:p>
                  <w:pPr>
                    <w:pStyle w:val="34"/>
                    <w:spacing w:before="0" w:after="0"/>
                    <w:rPr>
                      <w:rFonts w:eastAsiaTheme="minorEastAsia"/>
                      <w:b/>
                      <w:sz w:val="21"/>
                      <w:szCs w:val="21"/>
                    </w:rPr>
                  </w:pPr>
                </w:p>
              </w:tc>
              <w:tc>
                <w:tcPr>
                  <w:tcW w:w="863" w:type="pct"/>
                  <w:vAlign w:val="center"/>
                </w:tcPr>
                <w:p>
                  <w:pPr>
                    <w:pStyle w:val="34"/>
                    <w:spacing w:before="0" w:after="0"/>
                    <w:rPr>
                      <w:rFonts w:eastAsiaTheme="minorEastAsia"/>
                      <w:b/>
                      <w:sz w:val="21"/>
                      <w:szCs w:val="21"/>
                    </w:rPr>
                  </w:pPr>
                  <w:r>
                    <w:rPr>
                      <w:rFonts w:eastAsiaTheme="minorEastAsia"/>
                      <w:b/>
                      <w:sz w:val="21"/>
                      <w:szCs w:val="21"/>
                    </w:rPr>
                    <w:t>昼间</w:t>
                  </w:r>
                </w:p>
              </w:tc>
              <w:tc>
                <w:tcPr>
                  <w:tcW w:w="832" w:type="pct"/>
                  <w:vAlign w:val="center"/>
                </w:tcPr>
                <w:p>
                  <w:pPr>
                    <w:pStyle w:val="34"/>
                    <w:spacing w:before="0" w:after="0"/>
                    <w:rPr>
                      <w:rFonts w:eastAsiaTheme="minorEastAsia"/>
                      <w:b/>
                      <w:sz w:val="21"/>
                      <w:szCs w:val="21"/>
                    </w:rPr>
                  </w:pPr>
                  <w:r>
                    <w:rPr>
                      <w:rFonts w:eastAsiaTheme="minorEastAsia"/>
                      <w:b/>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27" w:type="pct"/>
                  <w:vAlign w:val="center"/>
                </w:tcPr>
                <w:p>
                  <w:pPr>
                    <w:pStyle w:val="34"/>
                    <w:spacing w:before="0" w:after="0"/>
                    <w:rPr>
                      <w:rFonts w:eastAsiaTheme="minorEastAsia"/>
                      <w:sz w:val="21"/>
                      <w:szCs w:val="21"/>
                    </w:rPr>
                  </w:pPr>
                  <w:r>
                    <w:rPr>
                      <w:rFonts w:eastAsiaTheme="minorEastAsia"/>
                      <w:sz w:val="21"/>
                      <w:szCs w:val="21"/>
                    </w:rPr>
                    <w:t xml:space="preserve">2类 </w:t>
                  </w:r>
                </w:p>
              </w:tc>
              <w:tc>
                <w:tcPr>
                  <w:tcW w:w="2277" w:type="pct"/>
                  <w:vAlign w:val="center"/>
                </w:tcPr>
                <w:p>
                  <w:pPr>
                    <w:pStyle w:val="34"/>
                    <w:spacing w:before="0" w:after="0"/>
                    <w:rPr>
                      <w:rFonts w:eastAsiaTheme="minorEastAsia"/>
                      <w:sz w:val="21"/>
                      <w:szCs w:val="21"/>
                    </w:rPr>
                  </w:pPr>
                  <w:r>
                    <w:rPr>
                      <w:rFonts w:eastAsiaTheme="minorEastAsia"/>
                      <w:sz w:val="21"/>
                      <w:szCs w:val="21"/>
                    </w:rPr>
                    <w:t>项目厂界</w:t>
                  </w:r>
                </w:p>
              </w:tc>
              <w:tc>
                <w:tcPr>
                  <w:tcW w:w="863" w:type="pct"/>
                  <w:vAlign w:val="center"/>
                </w:tcPr>
                <w:p>
                  <w:pPr>
                    <w:pStyle w:val="34"/>
                    <w:spacing w:before="0" w:after="0"/>
                    <w:rPr>
                      <w:rFonts w:eastAsiaTheme="minorEastAsia"/>
                      <w:sz w:val="21"/>
                      <w:szCs w:val="21"/>
                    </w:rPr>
                  </w:pPr>
                  <w:r>
                    <w:rPr>
                      <w:rFonts w:eastAsiaTheme="minorEastAsia"/>
                      <w:sz w:val="21"/>
                      <w:szCs w:val="21"/>
                    </w:rPr>
                    <w:t>60</w:t>
                  </w:r>
                </w:p>
              </w:tc>
              <w:tc>
                <w:tcPr>
                  <w:tcW w:w="832" w:type="pct"/>
                  <w:vAlign w:val="center"/>
                </w:tcPr>
                <w:p>
                  <w:pPr>
                    <w:pStyle w:val="34"/>
                    <w:spacing w:before="0" w:after="0"/>
                    <w:rPr>
                      <w:rFonts w:eastAsiaTheme="minorEastAsia"/>
                      <w:sz w:val="21"/>
                      <w:szCs w:val="21"/>
                    </w:rPr>
                  </w:pPr>
                  <w:r>
                    <w:rPr>
                      <w:rFonts w:eastAsiaTheme="minorEastAsia"/>
                      <w:sz w:val="21"/>
                      <w:szCs w:val="21"/>
                    </w:rPr>
                    <w:t>50</w:t>
                  </w:r>
                </w:p>
              </w:tc>
            </w:tr>
          </w:tbl>
          <w:p>
            <w:pPr>
              <w:spacing w:before="156" w:beforeLines="50" w:line="360" w:lineRule="auto"/>
              <w:rPr>
                <w:rFonts w:eastAsiaTheme="minorEastAsia"/>
                <w:kern w:val="0"/>
                <w:sz w:val="24"/>
              </w:rPr>
            </w:pPr>
            <w:r>
              <w:rPr>
                <w:rFonts w:eastAsiaTheme="minorEastAsia"/>
                <w:kern w:val="0"/>
                <w:sz w:val="24"/>
              </w:rPr>
              <w:t>3、水污染物排放标准</w:t>
            </w:r>
          </w:p>
          <w:p>
            <w:pPr>
              <w:spacing w:line="360" w:lineRule="auto"/>
              <w:ind w:firstLine="480" w:firstLineChars="200"/>
              <w:rPr>
                <w:rFonts w:eastAsiaTheme="minorEastAsia"/>
                <w:kern w:val="0"/>
                <w:sz w:val="24"/>
              </w:rPr>
            </w:pPr>
            <w:r>
              <w:rPr>
                <w:rFonts w:eastAsiaTheme="minorEastAsia"/>
                <w:kern w:val="0"/>
                <w:sz w:val="24"/>
              </w:rPr>
              <w:t>本项目无生产废水排放，主要废水为生活污水</w:t>
            </w:r>
          </w:p>
          <w:p>
            <w:pPr>
              <w:spacing w:line="360" w:lineRule="auto"/>
              <w:ind w:firstLine="480" w:firstLineChars="200"/>
              <w:rPr>
                <w:rFonts w:eastAsiaTheme="minorEastAsia"/>
                <w:kern w:val="0"/>
                <w:sz w:val="24"/>
              </w:rPr>
            </w:pPr>
            <w:r>
              <w:rPr>
                <w:rFonts w:eastAsiaTheme="minorEastAsia"/>
                <w:kern w:val="0"/>
                <w:sz w:val="24"/>
              </w:rPr>
              <w:t>（1）接入姚安县第二污水处理厂之前</w:t>
            </w:r>
          </w:p>
          <w:p>
            <w:pPr>
              <w:spacing w:line="360" w:lineRule="auto"/>
              <w:ind w:firstLine="480" w:firstLineChars="200"/>
              <w:rPr>
                <w:rFonts w:eastAsiaTheme="minorEastAsia"/>
                <w:kern w:val="0"/>
                <w:sz w:val="24"/>
              </w:rPr>
            </w:pPr>
            <w:r>
              <w:rPr>
                <w:rFonts w:eastAsiaTheme="minorEastAsia"/>
                <w:kern w:val="0"/>
                <w:sz w:val="24"/>
              </w:rPr>
              <w:t>本项目生活污水排入化粪池中处理后，进入项目自建污水处理站处理后回用于种植基地配肥等，不外排。执行《城市污水再生利用-农田灌溉用水水质》（GB/T20922-2007）标准。</w:t>
            </w:r>
          </w:p>
          <w:p>
            <w:pPr>
              <w:spacing w:line="360" w:lineRule="auto"/>
              <w:ind w:firstLine="482" w:firstLineChars="200"/>
              <w:jc w:val="center"/>
              <w:rPr>
                <w:rFonts w:eastAsiaTheme="minorEastAsia"/>
                <w:b/>
                <w:kern w:val="0"/>
                <w:sz w:val="24"/>
              </w:rPr>
            </w:pPr>
            <w:r>
              <w:rPr>
                <w:rFonts w:eastAsiaTheme="minorEastAsia"/>
                <w:b/>
                <w:kern w:val="0"/>
                <w:sz w:val="24"/>
              </w:rPr>
              <w:t>表3-13 项目再生水回用标准  mg/L（pH无量纲）</w:t>
            </w:r>
          </w:p>
          <w:tbl>
            <w:tblPr>
              <w:tblStyle w:val="2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766"/>
              <w:gridCol w:w="929"/>
              <w:gridCol w:w="1010"/>
              <w:gridCol w:w="585"/>
              <w:gridCol w:w="1318"/>
              <w:gridCol w:w="1022"/>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2" w:type="pct"/>
                  <w:vAlign w:val="center"/>
                </w:tcPr>
                <w:p>
                  <w:pPr>
                    <w:jc w:val="center"/>
                    <w:rPr>
                      <w:rFonts w:eastAsiaTheme="minorEastAsia"/>
                      <w:b/>
                      <w:kern w:val="0"/>
                      <w:szCs w:val="21"/>
                    </w:rPr>
                  </w:pPr>
                  <w:r>
                    <w:rPr>
                      <w:rFonts w:eastAsiaTheme="minorEastAsia"/>
                      <w:b/>
                      <w:kern w:val="0"/>
                      <w:szCs w:val="21"/>
                    </w:rPr>
                    <w:t>污染物</w:t>
                  </w:r>
                </w:p>
              </w:tc>
              <w:tc>
                <w:tcPr>
                  <w:tcW w:w="447" w:type="pct"/>
                  <w:vAlign w:val="center"/>
                </w:tcPr>
                <w:p>
                  <w:pPr>
                    <w:jc w:val="center"/>
                    <w:rPr>
                      <w:rFonts w:eastAsiaTheme="minorEastAsia"/>
                      <w:b/>
                      <w:kern w:val="0"/>
                      <w:szCs w:val="21"/>
                    </w:rPr>
                  </w:pPr>
                  <w:r>
                    <w:rPr>
                      <w:rFonts w:eastAsiaTheme="minorEastAsia"/>
                      <w:b/>
                      <w:kern w:val="0"/>
                      <w:szCs w:val="21"/>
                    </w:rPr>
                    <w:t>pH</w:t>
                  </w:r>
                </w:p>
              </w:tc>
              <w:tc>
                <w:tcPr>
                  <w:tcW w:w="542" w:type="pct"/>
                  <w:vAlign w:val="center"/>
                </w:tcPr>
                <w:p>
                  <w:pPr>
                    <w:jc w:val="center"/>
                    <w:rPr>
                      <w:rFonts w:eastAsiaTheme="minorEastAsia"/>
                      <w:b/>
                      <w:kern w:val="0"/>
                      <w:szCs w:val="21"/>
                    </w:rPr>
                  </w:pPr>
                  <w:r>
                    <w:rPr>
                      <w:rFonts w:eastAsiaTheme="minorEastAsia"/>
                      <w:b/>
                      <w:kern w:val="0"/>
                      <w:szCs w:val="21"/>
                    </w:rPr>
                    <w:t>BOD</w:t>
                  </w:r>
                  <w:r>
                    <w:rPr>
                      <w:rFonts w:eastAsiaTheme="minorEastAsia"/>
                      <w:b/>
                      <w:kern w:val="0"/>
                      <w:szCs w:val="21"/>
                      <w:vertAlign w:val="subscript"/>
                    </w:rPr>
                    <w:t>5</w:t>
                  </w:r>
                </w:p>
              </w:tc>
              <w:tc>
                <w:tcPr>
                  <w:tcW w:w="590" w:type="pct"/>
                  <w:vAlign w:val="center"/>
                </w:tcPr>
                <w:p>
                  <w:pPr>
                    <w:jc w:val="center"/>
                    <w:rPr>
                      <w:rFonts w:eastAsiaTheme="minorEastAsia"/>
                      <w:b/>
                      <w:kern w:val="0"/>
                      <w:szCs w:val="21"/>
                    </w:rPr>
                  </w:pPr>
                  <w:r>
                    <w:rPr>
                      <w:rFonts w:eastAsiaTheme="minorEastAsia"/>
                      <w:b/>
                      <w:kern w:val="0"/>
                      <w:szCs w:val="21"/>
                    </w:rPr>
                    <w:t>COD</w:t>
                  </w:r>
                  <w:r>
                    <w:rPr>
                      <w:rFonts w:eastAsiaTheme="minorEastAsia"/>
                      <w:b/>
                      <w:kern w:val="0"/>
                      <w:szCs w:val="21"/>
                      <w:vertAlign w:val="subscript"/>
                    </w:rPr>
                    <w:t>cr</w:t>
                  </w:r>
                </w:p>
              </w:tc>
              <w:tc>
                <w:tcPr>
                  <w:tcW w:w="342" w:type="pct"/>
                  <w:vAlign w:val="center"/>
                </w:tcPr>
                <w:p>
                  <w:pPr>
                    <w:jc w:val="center"/>
                    <w:rPr>
                      <w:rFonts w:eastAsiaTheme="minorEastAsia"/>
                      <w:b/>
                      <w:kern w:val="0"/>
                      <w:szCs w:val="21"/>
                    </w:rPr>
                  </w:pPr>
                  <w:r>
                    <w:rPr>
                      <w:rFonts w:eastAsiaTheme="minorEastAsia"/>
                      <w:b/>
                      <w:kern w:val="0"/>
                      <w:szCs w:val="21"/>
                    </w:rPr>
                    <w:t>SS</w:t>
                  </w:r>
                </w:p>
              </w:tc>
              <w:tc>
                <w:tcPr>
                  <w:tcW w:w="769" w:type="pct"/>
                  <w:vAlign w:val="center"/>
                </w:tcPr>
                <w:p>
                  <w:pPr>
                    <w:jc w:val="center"/>
                    <w:rPr>
                      <w:rFonts w:eastAsiaTheme="minorEastAsia"/>
                      <w:b/>
                      <w:kern w:val="0"/>
                      <w:szCs w:val="21"/>
                    </w:rPr>
                  </w:pPr>
                  <w:r>
                    <w:rPr>
                      <w:rFonts w:eastAsiaTheme="minorEastAsia"/>
                      <w:b/>
                      <w:kern w:val="0"/>
                      <w:szCs w:val="21"/>
                    </w:rPr>
                    <w:t>动植物油</w:t>
                  </w:r>
                </w:p>
              </w:tc>
              <w:tc>
                <w:tcPr>
                  <w:tcW w:w="597" w:type="pct"/>
                  <w:vAlign w:val="center"/>
                </w:tcPr>
                <w:p>
                  <w:pPr>
                    <w:jc w:val="center"/>
                    <w:rPr>
                      <w:rFonts w:eastAsiaTheme="minorEastAsia"/>
                      <w:b/>
                      <w:kern w:val="0"/>
                      <w:szCs w:val="21"/>
                    </w:rPr>
                  </w:pPr>
                  <w:r>
                    <w:rPr>
                      <w:rFonts w:eastAsiaTheme="minorEastAsia"/>
                      <w:b/>
                      <w:kern w:val="0"/>
                      <w:szCs w:val="21"/>
                    </w:rPr>
                    <w:t>氨氮</w:t>
                  </w:r>
                </w:p>
              </w:tc>
              <w:tc>
                <w:tcPr>
                  <w:tcW w:w="597" w:type="pct"/>
                  <w:vAlign w:val="center"/>
                </w:tcPr>
                <w:p>
                  <w:pPr>
                    <w:jc w:val="center"/>
                    <w:rPr>
                      <w:rFonts w:eastAsiaTheme="minorEastAsia"/>
                      <w:b/>
                      <w:kern w:val="0"/>
                      <w:szCs w:val="21"/>
                    </w:rPr>
                  </w:pPr>
                  <w:r>
                    <w:rPr>
                      <w:rFonts w:eastAsiaTheme="minorEastAsia"/>
                      <w:b/>
                      <w:kern w:val="0"/>
                      <w:szCs w:val="21"/>
                    </w:rPr>
                    <w:t>总磷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pct"/>
                  <w:vAlign w:val="center"/>
                </w:tcPr>
                <w:p>
                  <w:pPr>
                    <w:ind w:firstLine="105" w:firstLineChars="50"/>
                    <w:jc w:val="center"/>
                    <w:rPr>
                      <w:rFonts w:eastAsiaTheme="minorEastAsia"/>
                      <w:kern w:val="0"/>
                      <w:szCs w:val="21"/>
                    </w:rPr>
                  </w:pPr>
                  <w:r>
                    <w:rPr>
                      <w:rFonts w:eastAsiaTheme="minorEastAsia"/>
                      <w:kern w:val="0"/>
                      <w:szCs w:val="21"/>
                    </w:rPr>
                    <w:t>GB/T 18920-2020</w:t>
                  </w:r>
                </w:p>
              </w:tc>
              <w:tc>
                <w:tcPr>
                  <w:tcW w:w="447" w:type="pct"/>
                  <w:vAlign w:val="center"/>
                </w:tcPr>
                <w:p>
                  <w:pPr>
                    <w:jc w:val="center"/>
                    <w:rPr>
                      <w:rFonts w:eastAsiaTheme="minorEastAsia"/>
                      <w:kern w:val="0"/>
                      <w:szCs w:val="21"/>
                    </w:rPr>
                  </w:pPr>
                  <w:r>
                    <w:rPr>
                      <w:rFonts w:eastAsiaTheme="minorEastAsia"/>
                      <w:kern w:val="0"/>
                      <w:szCs w:val="21"/>
                    </w:rPr>
                    <w:t>6-9</w:t>
                  </w:r>
                </w:p>
              </w:tc>
              <w:tc>
                <w:tcPr>
                  <w:tcW w:w="542" w:type="pct"/>
                  <w:vAlign w:val="center"/>
                </w:tcPr>
                <w:p>
                  <w:pPr>
                    <w:pStyle w:val="35"/>
                    <w:widowControl w:val="0"/>
                    <w:spacing w:before="0" w:beforeAutospacing="0" w:after="0" w:afterAutospacing="0"/>
                    <w:rPr>
                      <w:rFonts w:ascii="Times New Roman" w:hAnsi="Times New Roman" w:eastAsiaTheme="minorEastAsia"/>
                      <w:sz w:val="21"/>
                      <w:szCs w:val="21"/>
                    </w:rPr>
                  </w:pPr>
                  <w:r>
                    <w:rPr>
                      <w:rFonts w:ascii="Times New Roman" w:hAnsi="Times New Roman" w:eastAsiaTheme="minorEastAsia"/>
                      <w:sz w:val="21"/>
                      <w:szCs w:val="21"/>
                    </w:rPr>
                    <w:t>≤10</w:t>
                  </w:r>
                </w:p>
              </w:tc>
              <w:tc>
                <w:tcPr>
                  <w:tcW w:w="590" w:type="pct"/>
                  <w:vAlign w:val="center"/>
                </w:tcPr>
                <w:p>
                  <w:pPr>
                    <w:jc w:val="center"/>
                    <w:rPr>
                      <w:rFonts w:eastAsiaTheme="minorEastAsia"/>
                      <w:kern w:val="0"/>
                      <w:szCs w:val="21"/>
                    </w:rPr>
                  </w:pPr>
                  <w:r>
                    <w:rPr>
                      <w:rFonts w:eastAsiaTheme="minorEastAsia"/>
                      <w:kern w:val="0"/>
                      <w:szCs w:val="21"/>
                    </w:rPr>
                    <w:t>/</w:t>
                  </w:r>
                </w:p>
              </w:tc>
              <w:tc>
                <w:tcPr>
                  <w:tcW w:w="342" w:type="pct"/>
                  <w:vAlign w:val="center"/>
                </w:tcPr>
                <w:p>
                  <w:pPr>
                    <w:jc w:val="center"/>
                    <w:rPr>
                      <w:rFonts w:eastAsiaTheme="minorEastAsia"/>
                      <w:kern w:val="0"/>
                      <w:szCs w:val="21"/>
                    </w:rPr>
                  </w:pPr>
                  <w:r>
                    <w:rPr>
                      <w:rFonts w:eastAsiaTheme="minorEastAsia"/>
                      <w:kern w:val="0"/>
                      <w:szCs w:val="21"/>
                    </w:rPr>
                    <w:t>/</w:t>
                  </w:r>
                </w:p>
              </w:tc>
              <w:tc>
                <w:tcPr>
                  <w:tcW w:w="769" w:type="pct"/>
                  <w:vAlign w:val="center"/>
                </w:tcPr>
                <w:p>
                  <w:pPr>
                    <w:jc w:val="center"/>
                    <w:rPr>
                      <w:rFonts w:eastAsiaTheme="minorEastAsia"/>
                      <w:kern w:val="0"/>
                      <w:szCs w:val="21"/>
                    </w:rPr>
                  </w:pPr>
                  <w:r>
                    <w:rPr>
                      <w:rFonts w:eastAsiaTheme="minorEastAsia"/>
                      <w:kern w:val="0"/>
                      <w:szCs w:val="21"/>
                    </w:rPr>
                    <w:t>/</w:t>
                  </w:r>
                </w:p>
              </w:tc>
              <w:tc>
                <w:tcPr>
                  <w:tcW w:w="597" w:type="pct"/>
                  <w:vAlign w:val="center"/>
                </w:tcPr>
                <w:p>
                  <w:pPr>
                    <w:jc w:val="center"/>
                    <w:rPr>
                      <w:rFonts w:eastAsiaTheme="minorEastAsia"/>
                      <w:kern w:val="0"/>
                      <w:szCs w:val="21"/>
                    </w:rPr>
                  </w:pPr>
                  <w:r>
                    <w:rPr>
                      <w:rFonts w:eastAsiaTheme="minorEastAsia"/>
                      <w:kern w:val="0"/>
                      <w:szCs w:val="21"/>
                    </w:rPr>
                    <w:t>≤5</w:t>
                  </w:r>
                </w:p>
              </w:tc>
              <w:tc>
                <w:tcPr>
                  <w:tcW w:w="597" w:type="pct"/>
                  <w:vAlign w:val="center"/>
                </w:tcPr>
                <w:p>
                  <w:pPr>
                    <w:jc w:val="center"/>
                    <w:rPr>
                      <w:rFonts w:eastAsiaTheme="minorEastAsia"/>
                      <w:kern w:val="0"/>
                      <w:szCs w:val="21"/>
                    </w:rPr>
                  </w:pPr>
                  <w:r>
                    <w:rPr>
                      <w:rFonts w:eastAsiaTheme="minorEastAsia"/>
                      <w:kern w:val="0"/>
                      <w:szCs w:val="21"/>
                    </w:rPr>
                    <w:t>/</w:t>
                  </w:r>
                </w:p>
              </w:tc>
            </w:tr>
          </w:tbl>
          <w:p>
            <w:pPr>
              <w:pStyle w:val="13"/>
              <w:spacing w:line="360" w:lineRule="auto"/>
              <w:ind w:left="480"/>
              <w:rPr>
                <w:rFonts w:ascii="Times New Roman" w:eastAsiaTheme="minorEastAsia"/>
                <w:color w:val="auto"/>
              </w:rPr>
            </w:pPr>
            <w:r>
              <w:rPr>
                <w:rFonts w:ascii="Times New Roman" w:eastAsiaTheme="minorEastAsia"/>
                <w:color w:val="auto"/>
              </w:rPr>
              <w:t>（2）接入姚安县第二污水处理厂之后</w:t>
            </w:r>
          </w:p>
          <w:p>
            <w:pPr>
              <w:pStyle w:val="13"/>
              <w:spacing w:line="360" w:lineRule="auto"/>
              <w:ind w:left="178" w:leftChars="85" w:firstLine="480" w:firstLineChars="200"/>
              <w:rPr>
                <w:rFonts w:ascii="Times New Roman" w:eastAsiaTheme="minorEastAsia"/>
                <w:color w:val="auto"/>
              </w:rPr>
            </w:pPr>
            <w:r>
              <w:rPr>
                <w:rFonts w:ascii="Times New Roman" w:eastAsiaTheme="minorEastAsia"/>
                <w:color w:val="auto"/>
              </w:rPr>
              <w:t>项目废水经过进入化粪池处理之后排入自建污水处理站进行处理；后续再接入姚安县第二污水处理厂处理。员工生活污水经过化粪池处理后排入污水管网，排入自建污水处理站进行处理；后续再接入姚安县第二污水处理厂处理。执行《污水排入城镇下水道水质标准（GB/T31962-2015）A等级标准。</w:t>
            </w:r>
          </w:p>
          <w:p>
            <w:pPr>
              <w:spacing w:line="360" w:lineRule="auto"/>
              <w:ind w:firstLine="482" w:firstLineChars="200"/>
              <w:jc w:val="center"/>
              <w:rPr>
                <w:rFonts w:eastAsiaTheme="minorEastAsia"/>
                <w:b/>
                <w:kern w:val="0"/>
                <w:sz w:val="24"/>
              </w:rPr>
            </w:pPr>
            <w:r>
              <w:rPr>
                <w:rFonts w:eastAsiaTheme="minorEastAsia"/>
                <w:b/>
                <w:kern w:val="0"/>
                <w:sz w:val="24"/>
              </w:rPr>
              <w:t>表3-14 项目生活污水排放标准  mg/L（pH无量纲）</w:t>
            </w:r>
          </w:p>
          <w:tbl>
            <w:tblPr>
              <w:tblStyle w:val="28"/>
              <w:tblW w:w="49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1304"/>
              <w:gridCol w:w="1008"/>
              <w:gridCol w:w="946"/>
              <w:gridCol w:w="944"/>
              <w:gridCol w:w="927"/>
              <w:gridCol w:w="767"/>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63" w:type="pct"/>
                  <w:vAlign w:val="center"/>
                </w:tcPr>
                <w:p>
                  <w:pPr>
                    <w:jc w:val="center"/>
                    <w:rPr>
                      <w:rFonts w:eastAsiaTheme="minorEastAsia"/>
                      <w:b/>
                      <w:kern w:val="0"/>
                      <w:szCs w:val="21"/>
                    </w:rPr>
                  </w:pPr>
                  <w:r>
                    <w:rPr>
                      <w:rFonts w:eastAsiaTheme="minorEastAsia"/>
                      <w:b/>
                      <w:kern w:val="0"/>
                      <w:szCs w:val="21"/>
                    </w:rPr>
                    <w:t>污染物</w:t>
                  </w:r>
                </w:p>
              </w:tc>
              <w:tc>
                <w:tcPr>
                  <w:tcW w:w="768" w:type="pct"/>
                  <w:vAlign w:val="center"/>
                </w:tcPr>
                <w:p>
                  <w:pPr>
                    <w:jc w:val="center"/>
                    <w:rPr>
                      <w:rFonts w:eastAsiaTheme="minorEastAsia"/>
                      <w:b/>
                      <w:kern w:val="0"/>
                      <w:szCs w:val="21"/>
                    </w:rPr>
                  </w:pPr>
                  <w:r>
                    <w:rPr>
                      <w:rFonts w:eastAsiaTheme="minorEastAsia"/>
                      <w:b/>
                      <w:kern w:val="0"/>
                      <w:szCs w:val="21"/>
                    </w:rPr>
                    <w:t>pH</w:t>
                  </w:r>
                </w:p>
              </w:tc>
              <w:tc>
                <w:tcPr>
                  <w:tcW w:w="594" w:type="pct"/>
                  <w:vAlign w:val="center"/>
                </w:tcPr>
                <w:p>
                  <w:pPr>
                    <w:jc w:val="center"/>
                    <w:rPr>
                      <w:rFonts w:eastAsiaTheme="minorEastAsia"/>
                      <w:b/>
                      <w:kern w:val="0"/>
                      <w:szCs w:val="21"/>
                    </w:rPr>
                  </w:pPr>
                  <w:r>
                    <w:rPr>
                      <w:rFonts w:eastAsiaTheme="minorEastAsia"/>
                      <w:b/>
                      <w:kern w:val="0"/>
                      <w:szCs w:val="21"/>
                    </w:rPr>
                    <w:t>BOD</w:t>
                  </w:r>
                  <w:r>
                    <w:rPr>
                      <w:rFonts w:eastAsiaTheme="minorEastAsia"/>
                      <w:b/>
                      <w:kern w:val="0"/>
                      <w:szCs w:val="21"/>
                      <w:vertAlign w:val="subscript"/>
                    </w:rPr>
                    <w:t>5</w:t>
                  </w:r>
                </w:p>
              </w:tc>
              <w:tc>
                <w:tcPr>
                  <w:tcW w:w="557" w:type="pct"/>
                  <w:vAlign w:val="center"/>
                </w:tcPr>
                <w:p>
                  <w:pPr>
                    <w:jc w:val="center"/>
                    <w:rPr>
                      <w:rFonts w:eastAsiaTheme="minorEastAsia"/>
                      <w:b/>
                      <w:kern w:val="0"/>
                      <w:szCs w:val="21"/>
                    </w:rPr>
                  </w:pPr>
                  <w:r>
                    <w:rPr>
                      <w:rFonts w:eastAsiaTheme="minorEastAsia"/>
                      <w:b/>
                      <w:kern w:val="0"/>
                      <w:szCs w:val="21"/>
                    </w:rPr>
                    <w:t>COD</w:t>
                  </w:r>
                  <w:r>
                    <w:rPr>
                      <w:rFonts w:eastAsiaTheme="minorEastAsia"/>
                      <w:b/>
                      <w:kern w:val="0"/>
                      <w:szCs w:val="21"/>
                      <w:vertAlign w:val="subscript"/>
                    </w:rPr>
                    <w:t>cr</w:t>
                  </w:r>
                </w:p>
              </w:tc>
              <w:tc>
                <w:tcPr>
                  <w:tcW w:w="556" w:type="pct"/>
                  <w:vAlign w:val="center"/>
                </w:tcPr>
                <w:p>
                  <w:pPr>
                    <w:jc w:val="center"/>
                    <w:rPr>
                      <w:rFonts w:eastAsiaTheme="minorEastAsia"/>
                      <w:b/>
                      <w:kern w:val="0"/>
                      <w:szCs w:val="21"/>
                    </w:rPr>
                  </w:pPr>
                  <w:r>
                    <w:rPr>
                      <w:rFonts w:eastAsiaTheme="minorEastAsia"/>
                      <w:b/>
                      <w:kern w:val="0"/>
                      <w:szCs w:val="21"/>
                    </w:rPr>
                    <w:t>SS</w:t>
                  </w:r>
                </w:p>
              </w:tc>
              <w:tc>
                <w:tcPr>
                  <w:tcW w:w="546" w:type="pct"/>
                  <w:vAlign w:val="center"/>
                </w:tcPr>
                <w:p>
                  <w:pPr>
                    <w:jc w:val="center"/>
                    <w:rPr>
                      <w:rFonts w:eastAsiaTheme="minorEastAsia"/>
                      <w:b/>
                      <w:kern w:val="0"/>
                      <w:szCs w:val="21"/>
                    </w:rPr>
                  </w:pPr>
                  <w:r>
                    <w:rPr>
                      <w:rFonts w:eastAsiaTheme="minorEastAsia"/>
                      <w:b/>
                      <w:kern w:val="0"/>
                      <w:szCs w:val="21"/>
                    </w:rPr>
                    <w:t>动植物油</w:t>
                  </w:r>
                </w:p>
              </w:tc>
              <w:tc>
                <w:tcPr>
                  <w:tcW w:w="452" w:type="pct"/>
                  <w:vAlign w:val="center"/>
                </w:tcPr>
                <w:p>
                  <w:pPr>
                    <w:jc w:val="center"/>
                    <w:rPr>
                      <w:rFonts w:eastAsiaTheme="minorEastAsia"/>
                      <w:b/>
                      <w:kern w:val="0"/>
                      <w:szCs w:val="21"/>
                    </w:rPr>
                  </w:pPr>
                  <w:r>
                    <w:rPr>
                      <w:rFonts w:eastAsiaTheme="minorEastAsia"/>
                      <w:b/>
                      <w:kern w:val="0"/>
                      <w:szCs w:val="21"/>
                    </w:rPr>
                    <w:t>氨氮</w:t>
                  </w:r>
                </w:p>
              </w:tc>
              <w:tc>
                <w:tcPr>
                  <w:tcW w:w="365" w:type="pct"/>
                  <w:vAlign w:val="center"/>
                </w:tcPr>
                <w:p>
                  <w:pPr>
                    <w:jc w:val="center"/>
                    <w:rPr>
                      <w:rFonts w:eastAsiaTheme="minorEastAsia"/>
                      <w:b/>
                      <w:kern w:val="0"/>
                      <w:szCs w:val="21"/>
                    </w:rPr>
                  </w:pPr>
                  <w:r>
                    <w:rPr>
                      <w:rFonts w:eastAsiaTheme="minorEastAsia"/>
                      <w:b/>
                      <w:kern w:val="0"/>
                      <w:szCs w:val="21"/>
                    </w:rPr>
                    <w:t>总磷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63" w:type="pct"/>
                  <w:vAlign w:val="center"/>
                </w:tcPr>
                <w:p>
                  <w:pPr>
                    <w:ind w:firstLine="105" w:firstLineChars="50"/>
                    <w:jc w:val="center"/>
                    <w:rPr>
                      <w:rFonts w:eastAsiaTheme="minorEastAsia"/>
                      <w:kern w:val="0"/>
                      <w:szCs w:val="21"/>
                    </w:rPr>
                  </w:pPr>
                  <w:r>
                    <w:rPr>
                      <w:rFonts w:eastAsiaTheme="minorEastAsia"/>
                      <w:kern w:val="0"/>
                      <w:szCs w:val="21"/>
                    </w:rPr>
                    <w:t>GB/T31962-2015</w:t>
                  </w:r>
                </w:p>
              </w:tc>
              <w:tc>
                <w:tcPr>
                  <w:tcW w:w="768" w:type="pct"/>
                  <w:vAlign w:val="center"/>
                </w:tcPr>
                <w:p>
                  <w:pPr>
                    <w:jc w:val="center"/>
                    <w:rPr>
                      <w:rFonts w:eastAsiaTheme="minorEastAsia"/>
                      <w:kern w:val="0"/>
                      <w:szCs w:val="21"/>
                    </w:rPr>
                  </w:pPr>
                  <w:r>
                    <w:rPr>
                      <w:rFonts w:eastAsiaTheme="minorEastAsia"/>
                      <w:kern w:val="0"/>
                      <w:szCs w:val="21"/>
                    </w:rPr>
                    <w:t>6.5-9.5</w:t>
                  </w:r>
                </w:p>
              </w:tc>
              <w:tc>
                <w:tcPr>
                  <w:tcW w:w="594" w:type="pct"/>
                  <w:vAlign w:val="center"/>
                </w:tcPr>
                <w:p>
                  <w:pPr>
                    <w:pStyle w:val="35"/>
                    <w:widowControl w:val="0"/>
                    <w:spacing w:before="0" w:beforeAutospacing="0" w:after="0" w:afterAutospacing="0"/>
                    <w:rPr>
                      <w:rFonts w:ascii="Times New Roman" w:hAnsi="Times New Roman" w:eastAsiaTheme="minorEastAsia"/>
                      <w:sz w:val="21"/>
                      <w:szCs w:val="21"/>
                    </w:rPr>
                  </w:pPr>
                  <w:r>
                    <w:rPr>
                      <w:rFonts w:ascii="Times New Roman" w:hAnsi="Times New Roman" w:eastAsiaTheme="minorEastAsia"/>
                      <w:sz w:val="21"/>
                      <w:szCs w:val="21"/>
                    </w:rPr>
                    <w:t>≤350</w:t>
                  </w:r>
                </w:p>
              </w:tc>
              <w:tc>
                <w:tcPr>
                  <w:tcW w:w="557" w:type="pct"/>
                  <w:vAlign w:val="center"/>
                </w:tcPr>
                <w:p>
                  <w:pPr>
                    <w:jc w:val="center"/>
                    <w:rPr>
                      <w:rFonts w:eastAsiaTheme="minorEastAsia"/>
                      <w:kern w:val="0"/>
                      <w:szCs w:val="21"/>
                    </w:rPr>
                  </w:pPr>
                  <w:r>
                    <w:rPr>
                      <w:rFonts w:eastAsiaTheme="minorEastAsia"/>
                      <w:kern w:val="0"/>
                      <w:szCs w:val="21"/>
                    </w:rPr>
                    <w:t>≤500</w:t>
                  </w:r>
                </w:p>
              </w:tc>
              <w:tc>
                <w:tcPr>
                  <w:tcW w:w="556" w:type="pct"/>
                  <w:vAlign w:val="center"/>
                </w:tcPr>
                <w:p>
                  <w:pPr>
                    <w:jc w:val="center"/>
                    <w:rPr>
                      <w:rFonts w:eastAsiaTheme="minorEastAsia"/>
                      <w:kern w:val="0"/>
                      <w:szCs w:val="21"/>
                    </w:rPr>
                  </w:pPr>
                  <w:r>
                    <w:rPr>
                      <w:rFonts w:eastAsiaTheme="minorEastAsia"/>
                      <w:kern w:val="0"/>
                      <w:szCs w:val="21"/>
                    </w:rPr>
                    <w:t>≤400</w:t>
                  </w:r>
                </w:p>
              </w:tc>
              <w:tc>
                <w:tcPr>
                  <w:tcW w:w="546" w:type="pct"/>
                  <w:vAlign w:val="center"/>
                </w:tcPr>
                <w:p>
                  <w:pPr>
                    <w:jc w:val="center"/>
                    <w:rPr>
                      <w:rFonts w:eastAsiaTheme="minorEastAsia"/>
                      <w:kern w:val="0"/>
                      <w:szCs w:val="21"/>
                    </w:rPr>
                  </w:pPr>
                  <w:r>
                    <w:rPr>
                      <w:rFonts w:eastAsiaTheme="minorEastAsia"/>
                      <w:kern w:val="0"/>
                      <w:szCs w:val="21"/>
                    </w:rPr>
                    <w:t>≤100</w:t>
                  </w:r>
                </w:p>
              </w:tc>
              <w:tc>
                <w:tcPr>
                  <w:tcW w:w="452" w:type="pct"/>
                  <w:vAlign w:val="center"/>
                </w:tcPr>
                <w:p>
                  <w:pPr>
                    <w:jc w:val="center"/>
                    <w:rPr>
                      <w:rFonts w:eastAsiaTheme="minorEastAsia"/>
                      <w:kern w:val="0"/>
                      <w:szCs w:val="21"/>
                    </w:rPr>
                  </w:pPr>
                  <w:r>
                    <w:rPr>
                      <w:rFonts w:eastAsiaTheme="minorEastAsia"/>
                      <w:kern w:val="0"/>
                      <w:szCs w:val="21"/>
                    </w:rPr>
                    <w:t>≤45</w:t>
                  </w:r>
                </w:p>
              </w:tc>
              <w:tc>
                <w:tcPr>
                  <w:tcW w:w="365" w:type="pct"/>
                  <w:vAlign w:val="center"/>
                </w:tcPr>
                <w:p>
                  <w:pPr>
                    <w:jc w:val="center"/>
                    <w:rPr>
                      <w:rFonts w:eastAsiaTheme="minorEastAsia"/>
                      <w:kern w:val="0"/>
                      <w:szCs w:val="21"/>
                    </w:rPr>
                  </w:pPr>
                  <w:r>
                    <w:rPr>
                      <w:rFonts w:eastAsiaTheme="minorEastAsia"/>
                      <w:kern w:val="0"/>
                      <w:szCs w:val="21"/>
                    </w:rPr>
                    <w:t>≤8</w:t>
                  </w:r>
                </w:p>
              </w:tc>
            </w:tr>
          </w:tbl>
          <w:p>
            <w:pPr>
              <w:spacing w:line="360" w:lineRule="auto"/>
              <w:rPr>
                <w:rFonts w:eastAsiaTheme="minorEastAsia"/>
                <w:kern w:val="0"/>
                <w:sz w:val="24"/>
              </w:rPr>
            </w:pPr>
            <w:r>
              <w:rPr>
                <w:rFonts w:eastAsiaTheme="minorEastAsia"/>
                <w:kern w:val="0"/>
                <w:sz w:val="24"/>
              </w:rPr>
              <w:t>4、固体废物</w:t>
            </w:r>
          </w:p>
          <w:p>
            <w:pPr>
              <w:adjustRightInd w:val="0"/>
              <w:snapToGrid w:val="0"/>
              <w:spacing w:line="360" w:lineRule="auto"/>
              <w:ind w:firstLine="480" w:firstLineChars="200"/>
              <w:rPr>
                <w:rFonts w:eastAsiaTheme="minorEastAsia"/>
                <w:kern w:val="0"/>
                <w:sz w:val="24"/>
              </w:rPr>
            </w:pPr>
            <w:r>
              <w:rPr>
                <w:rFonts w:eastAsiaTheme="minorEastAsia"/>
                <w:kern w:val="0"/>
                <w:sz w:val="24"/>
              </w:rPr>
              <w:t>危险废物贮存、处置执行《危险废物贮存污染控制标准》（GB18597-2023）。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pPr>
              <w:adjustRightInd w:val="0"/>
              <w:snapToGrid w:val="0"/>
              <w:spacing w:line="360" w:lineRule="auto"/>
              <w:jc w:val="center"/>
              <w:rPr>
                <w:rFonts w:eastAsiaTheme="minorEastAsia"/>
                <w:kern w:val="0"/>
                <w:sz w:val="24"/>
              </w:rPr>
            </w:pPr>
            <w:r>
              <w:rPr>
                <w:rFonts w:eastAsiaTheme="minorEastAsia"/>
                <w:kern w:val="0"/>
                <w:sz w:val="24"/>
              </w:rPr>
              <w:t>总量</w:t>
            </w:r>
          </w:p>
          <w:p>
            <w:pPr>
              <w:adjustRightInd w:val="0"/>
              <w:snapToGrid w:val="0"/>
              <w:spacing w:line="360" w:lineRule="auto"/>
              <w:jc w:val="center"/>
              <w:rPr>
                <w:rFonts w:eastAsiaTheme="minorEastAsia"/>
                <w:kern w:val="0"/>
                <w:sz w:val="24"/>
              </w:rPr>
            </w:pPr>
            <w:r>
              <w:rPr>
                <w:rFonts w:eastAsiaTheme="minorEastAsia"/>
                <w:kern w:val="0"/>
                <w:sz w:val="24"/>
              </w:rPr>
              <w:t>控制</w:t>
            </w:r>
          </w:p>
          <w:p>
            <w:pPr>
              <w:adjustRightInd w:val="0"/>
              <w:snapToGrid w:val="0"/>
              <w:spacing w:line="360" w:lineRule="auto"/>
              <w:jc w:val="center"/>
              <w:rPr>
                <w:rFonts w:eastAsiaTheme="minorEastAsia"/>
                <w:kern w:val="0"/>
                <w:sz w:val="24"/>
              </w:rPr>
            </w:pPr>
            <w:r>
              <w:rPr>
                <w:rFonts w:eastAsiaTheme="minorEastAsia"/>
                <w:kern w:val="0"/>
                <w:sz w:val="24"/>
              </w:rPr>
              <w:t>指标</w:t>
            </w:r>
          </w:p>
        </w:tc>
        <w:tc>
          <w:tcPr>
            <w:tcW w:w="8789" w:type="dxa"/>
            <w:vAlign w:val="center"/>
          </w:tcPr>
          <w:p>
            <w:pPr>
              <w:spacing w:line="360" w:lineRule="auto"/>
              <w:ind w:firstLine="480" w:firstLineChars="200"/>
              <w:rPr>
                <w:rFonts w:eastAsiaTheme="minorEastAsia"/>
                <w:kern w:val="0"/>
                <w:sz w:val="24"/>
              </w:rPr>
            </w:pPr>
            <w:r>
              <w:rPr>
                <w:rFonts w:eastAsiaTheme="minorEastAsia"/>
                <w:kern w:val="0"/>
                <w:sz w:val="24"/>
              </w:rPr>
              <w:t>据该建设项目排污状况以及环保行政主管部门对总量控制的要求，提出总量控制指标。</w:t>
            </w:r>
          </w:p>
          <w:p>
            <w:pPr>
              <w:pStyle w:val="6"/>
              <w:spacing w:line="360" w:lineRule="auto"/>
              <w:ind w:firstLine="480" w:firstLineChars="200"/>
              <w:rPr>
                <w:rFonts w:eastAsiaTheme="minorEastAsia"/>
                <w:szCs w:val="24"/>
              </w:rPr>
            </w:pPr>
            <w:r>
              <w:rPr>
                <w:rFonts w:eastAsiaTheme="minorEastAsia"/>
                <w:szCs w:val="24"/>
              </w:rPr>
              <w:t>1、废水：项目排放污水主要为生活废水886.95m</w:t>
            </w:r>
            <w:r>
              <w:rPr>
                <w:rFonts w:eastAsiaTheme="minorEastAsia"/>
                <w:szCs w:val="24"/>
                <w:vertAlign w:val="superscript"/>
              </w:rPr>
              <w:t>3</w:t>
            </w:r>
            <w:r>
              <w:rPr>
                <w:rFonts w:eastAsiaTheme="minorEastAsia"/>
                <w:szCs w:val="24"/>
              </w:rPr>
              <w:t>/a；废水中含COD ：0.23t/a，氨氮：0.017t/a，总磷：0.002t/a，前期未接入污水管网时，全部由自建污水处理站处理后回用，无外排，不需要设总量控制指标；后期接入污水管网后，污水排入姚安县第二污水处理厂，本项目总量控制指标已经纳入姚安县第二污水处理厂总量控制指标，本项目不单独设总量控制指标。因此，本项目不设废水总量控制指标。</w:t>
            </w:r>
          </w:p>
          <w:p>
            <w:pPr>
              <w:pStyle w:val="6"/>
              <w:spacing w:line="360" w:lineRule="auto"/>
              <w:ind w:firstLine="480" w:firstLineChars="200"/>
              <w:rPr>
                <w:rFonts w:eastAsiaTheme="minorEastAsia"/>
                <w:szCs w:val="24"/>
              </w:rPr>
            </w:pPr>
            <w:r>
              <w:rPr>
                <w:rFonts w:eastAsiaTheme="minorEastAsia"/>
                <w:szCs w:val="24"/>
              </w:rPr>
              <w:t>2、废气：本项目使用生物质锅炉，则废气量为188.4万m</w:t>
            </w:r>
            <w:r>
              <w:rPr>
                <w:rFonts w:eastAsiaTheme="minorEastAsia"/>
                <w:szCs w:val="24"/>
                <w:vertAlign w:val="superscript"/>
              </w:rPr>
              <w:t>3</w:t>
            </w:r>
            <w:r>
              <w:rPr>
                <w:rFonts w:eastAsiaTheme="minorEastAsia"/>
                <w:szCs w:val="24"/>
              </w:rPr>
              <w:t>/a，NO</w:t>
            </w:r>
            <w:r>
              <w:rPr>
                <w:rFonts w:eastAsiaTheme="minorEastAsia"/>
                <w:szCs w:val="24"/>
                <w:vertAlign w:val="subscript"/>
              </w:rPr>
              <w:t>X</w:t>
            </w:r>
            <w:r>
              <w:rPr>
                <w:rFonts w:eastAsiaTheme="minorEastAsia"/>
                <w:szCs w:val="24"/>
              </w:rPr>
              <w:t>排放量为0.31t/a，SO</w:t>
            </w:r>
            <w:r>
              <w:rPr>
                <w:rFonts w:eastAsiaTheme="minorEastAsia"/>
                <w:szCs w:val="24"/>
                <w:vertAlign w:val="subscript"/>
              </w:rPr>
              <w:t>2</w:t>
            </w:r>
            <w:r>
              <w:rPr>
                <w:rFonts w:eastAsiaTheme="minorEastAsia"/>
                <w:szCs w:val="24"/>
              </w:rPr>
              <w:t>排放量为0.018t/a，颗粒物的排放量为0.002t/a；</w:t>
            </w:r>
          </w:p>
          <w:p>
            <w:pPr>
              <w:numPr>
                <w:ilvl w:val="0"/>
                <w:numId w:val="9"/>
              </w:numPr>
              <w:spacing w:line="360" w:lineRule="auto"/>
              <w:ind w:firstLine="480" w:firstLineChars="200"/>
              <w:rPr>
                <w:rFonts w:eastAsiaTheme="minorEastAsia"/>
                <w:kern w:val="0"/>
                <w:sz w:val="24"/>
              </w:rPr>
            </w:pPr>
            <w:r>
              <w:rPr>
                <w:rFonts w:eastAsiaTheme="minorEastAsia"/>
                <w:kern w:val="0"/>
                <w:sz w:val="24"/>
              </w:rPr>
              <w:t>固体废物处置率100%。</w:t>
            </w:r>
          </w:p>
          <w:p>
            <w:pPr>
              <w:spacing w:line="360" w:lineRule="auto"/>
              <w:rPr>
                <w:rFonts w:eastAsiaTheme="minorEastAsia"/>
                <w:kern w:val="0"/>
                <w:sz w:val="24"/>
              </w:rPr>
            </w:pPr>
          </w:p>
          <w:p>
            <w:pPr>
              <w:spacing w:line="360" w:lineRule="auto"/>
              <w:rPr>
                <w:rFonts w:eastAsiaTheme="minorEastAsia"/>
                <w:kern w:val="0"/>
                <w:sz w:val="24"/>
              </w:rPr>
            </w:pPr>
          </w:p>
          <w:p>
            <w:pPr>
              <w:spacing w:line="360" w:lineRule="auto"/>
              <w:rPr>
                <w:rFonts w:eastAsiaTheme="minorEastAsia"/>
                <w:kern w:val="0"/>
                <w:sz w:val="24"/>
              </w:rPr>
            </w:pPr>
          </w:p>
          <w:p>
            <w:pPr>
              <w:spacing w:line="360" w:lineRule="auto"/>
              <w:rPr>
                <w:rFonts w:eastAsiaTheme="minorEastAsia"/>
                <w:kern w:val="0"/>
                <w:sz w:val="24"/>
              </w:rPr>
            </w:pPr>
          </w:p>
          <w:p>
            <w:pPr>
              <w:spacing w:line="360" w:lineRule="auto"/>
              <w:rPr>
                <w:rFonts w:eastAsiaTheme="minorEastAsia"/>
                <w:kern w:val="0"/>
                <w:sz w:val="24"/>
              </w:rPr>
            </w:pPr>
          </w:p>
          <w:p>
            <w:pPr>
              <w:spacing w:line="360" w:lineRule="auto"/>
              <w:rPr>
                <w:rFonts w:eastAsiaTheme="minorEastAsia"/>
                <w:kern w:val="0"/>
                <w:sz w:val="24"/>
              </w:rPr>
            </w:pPr>
          </w:p>
          <w:p>
            <w:pPr>
              <w:spacing w:line="360" w:lineRule="auto"/>
              <w:rPr>
                <w:rFonts w:eastAsiaTheme="minorEastAsia"/>
                <w:kern w:val="0"/>
                <w:sz w:val="24"/>
              </w:rPr>
            </w:pPr>
          </w:p>
          <w:p>
            <w:pPr>
              <w:spacing w:line="360" w:lineRule="auto"/>
              <w:rPr>
                <w:rFonts w:eastAsiaTheme="minorEastAsia"/>
                <w:kern w:val="0"/>
                <w:sz w:val="24"/>
              </w:rPr>
            </w:pPr>
          </w:p>
          <w:p>
            <w:pPr>
              <w:spacing w:line="360" w:lineRule="auto"/>
              <w:rPr>
                <w:rFonts w:eastAsiaTheme="minorEastAsia"/>
                <w:kern w:val="0"/>
                <w:sz w:val="24"/>
              </w:rPr>
            </w:pPr>
          </w:p>
          <w:p>
            <w:pPr>
              <w:spacing w:line="360" w:lineRule="auto"/>
              <w:rPr>
                <w:rFonts w:eastAsiaTheme="minorEastAsia"/>
                <w:kern w:val="0"/>
                <w:sz w:val="24"/>
              </w:rPr>
            </w:pPr>
          </w:p>
          <w:p>
            <w:pPr>
              <w:spacing w:line="360" w:lineRule="auto"/>
              <w:rPr>
                <w:rFonts w:eastAsiaTheme="minorEastAsia"/>
                <w:kern w:val="0"/>
                <w:sz w:val="24"/>
              </w:rPr>
            </w:pPr>
          </w:p>
          <w:p>
            <w:pPr>
              <w:spacing w:line="360" w:lineRule="auto"/>
              <w:rPr>
                <w:rFonts w:eastAsiaTheme="minorEastAsia"/>
                <w:kern w:val="0"/>
                <w:sz w:val="24"/>
              </w:rPr>
            </w:pPr>
          </w:p>
          <w:p>
            <w:pPr>
              <w:spacing w:line="360" w:lineRule="auto"/>
              <w:rPr>
                <w:rFonts w:eastAsiaTheme="minorEastAsia"/>
                <w:kern w:val="0"/>
                <w:sz w:val="24"/>
              </w:rPr>
            </w:pPr>
          </w:p>
          <w:p>
            <w:pPr>
              <w:spacing w:line="360" w:lineRule="auto"/>
              <w:rPr>
                <w:rFonts w:eastAsiaTheme="minorEastAsia"/>
                <w:kern w:val="0"/>
                <w:sz w:val="24"/>
              </w:rPr>
            </w:pPr>
          </w:p>
          <w:p>
            <w:pPr>
              <w:spacing w:line="360" w:lineRule="auto"/>
              <w:rPr>
                <w:rFonts w:eastAsiaTheme="minorEastAsia"/>
                <w:kern w:val="0"/>
                <w:sz w:val="24"/>
              </w:rPr>
            </w:pPr>
          </w:p>
          <w:p>
            <w:pPr>
              <w:spacing w:line="360" w:lineRule="auto"/>
              <w:rPr>
                <w:rFonts w:eastAsiaTheme="minorEastAsia"/>
                <w:kern w:val="0"/>
                <w:sz w:val="24"/>
              </w:rPr>
            </w:pPr>
          </w:p>
          <w:p>
            <w:pPr>
              <w:spacing w:line="360" w:lineRule="auto"/>
              <w:rPr>
                <w:rFonts w:eastAsiaTheme="minorEastAsia"/>
                <w:kern w:val="0"/>
                <w:sz w:val="24"/>
              </w:rPr>
            </w:pPr>
          </w:p>
          <w:p>
            <w:pPr>
              <w:spacing w:line="360" w:lineRule="auto"/>
              <w:rPr>
                <w:rFonts w:eastAsiaTheme="minorEastAsia"/>
                <w:kern w:val="0"/>
                <w:sz w:val="24"/>
              </w:rPr>
            </w:pPr>
          </w:p>
          <w:p>
            <w:pPr>
              <w:spacing w:line="360" w:lineRule="auto"/>
              <w:rPr>
                <w:rFonts w:eastAsiaTheme="minorEastAsia"/>
                <w:kern w:val="0"/>
                <w:sz w:val="24"/>
              </w:rPr>
            </w:pPr>
          </w:p>
          <w:p>
            <w:pPr>
              <w:spacing w:line="360" w:lineRule="auto"/>
              <w:rPr>
                <w:rFonts w:eastAsiaTheme="minorEastAsia"/>
                <w:kern w:val="0"/>
                <w:sz w:val="24"/>
              </w:rPr>
            </w:pPr>
          </w:p>
          <w:p>
            <w:pPr>
              <w:spacing w:line="360" w:lineRule="auto"/>
              <w:rPr>
                <w:rFonts w:eastAsiaTheme="minorEastAsia"/>
                <w:kern w:val="0"/>
                <w:sz w:val="24"/>
              </w:rPr>
            </w:pPr>
          </w:p>
          <w:p>
            <w:pPr>
              <w:spacing w:line="360" w:lineRule="auto"/>
              <w:rPr>
                <w:rFonts w:eastAsiaTheme="minorEastAsia"/>
                <w:kern w:val="0"/>
                <w:sz w:val="24"/>
              </w:rPr>
            </w:pPr>
          </w:p>
          <w:p>
            <w:pPr>
              <w:spacing w:line="360" w:lineRule="auto"/>
              <w:rPr>
                <w:rFonts w:eastAsiaTheme="minorEastAsia"/>
                <w:kern w:val="0"/>
                <w:sz w:val="24"/>
              </w:rPr>
            </w:pPr>
          </w:p>
          <w:p>
            <w:pPr>
              <w:spacing w:line="360" w:lineRule="auto"/>
              <w:rPr>
                <w:rFonts w:eastAsiaTheme="minorEastAsia"/>
                <w:kern w:val="0"/>
                <w:sz w:val="24"/>
              </w:rPr>
            </w:pPr>
          </w:p>
          <w:p>
            <w:pPr>
              <w:spacing w:line="360" w:lineRule="auto"/>
              <w:rPr>
                <w:rFonts w:eastAsiaTheme="minorEastAsia"/>
                <w:kern w:val="0"/>
                <w:sz w:val="24"/>
              </w:rPr>
            </w:pPr>
          </w:p>
        </w:tc>
      </w:tr>
    </w:tbl>
    <w:p>
      <w:pPr>
        <w:spacing w:line="360" w:lineRule="auto"/>
        <w:rPr>
          <w:sz w:val="24"/>
        </w:rPr>
        <w:sectPr>
          <w:pgSz w:w="11906" w:h="16838"/>
          <w:pgMar w:top="1247" w:right="1247" w:bottom="1247" w:left="1247" w:header="851" w:footer="992" w:gutter="0"/>
          <w:cols w:space="425" w:num="1"/>
          <w:docGrid w:type="lines" w:linePitch="312" w:charSpace="0"/>
        </w:sectPr>
      </w:pPr>
    </w:p>
    <w:p>
      <w:pPr>
        <w:pStyle w:val="23"/>
        <w:spacing w:line="360" w:lineRule="auto"/>
        <w:jc w:val="center"/>
        <w:outlineLvl w:val="0"/>
        <w:rPr>
          <w:rFonts w:ascii="Times New Roman" w:hAnsi="Times New Roman" w:eastAsiaTheme="majorEastAsia"/>
          <w:b/>
          <w:bCs/>
          <w:snapToGrid w:val="0"/>
          <w:sz w:val="30"/>
          <w:szCs w:val="30"/>
        </w:rPr>
      </w:pPr>
      <w:bookmarkStart w:id="227" w:name="_Toc25921"/>
      <w:bookmarkStart w:id="228" w:name="_Toc16595"/>
      <w:bookmarkStart w:id="229" w:name="_Toc144233331"/>
      <w:r>
        <w:rPr>
          <w:rFonts w:ascii="Times New Roman" w:hAnsi="Times New Roman" w:eastAsiaTheme="majorEastAsia"/>
          <w:b/>
          <w:bCs/>
          <w:snapToGrid w:val="0"/>
          <w:sz w:val="30"/>
          <w:szCs w:val="30"/>
        </w:rPr>
        <w:t>四、主要环境影响和保护措施</w:t>
      </w:r>
      <w:bookmarkEnd w:id="227"/>
      <w:bookmarkEnd w:id="228"/>
      <w:bookmarkEnd w:id="229"/>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89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9" w:hRule="atLeast"/>
          <w:jc w:val="center"/>
        </w:trPr>
        <w:tc>
          <w:tcPr>
            <w:tcW w:w="777" w:type="dxa"/>
            <w:tcMar>
              <w:left w:w="28" w:type="dxa"/>
              <w:right w:w="28" w:type="dxa"/>
            </w:tcMar>
            <w:vAlign w:val="center"/>
          </w:tcPr>
          <w:p>
            <w:pPr>
              <w:pStyle w:val="23"/>
              <w:adjustRightInd w:val="0"/>
              <w:snapToGrid w:val="0"/>
              <w:spacing w:before="0" w:beforeAutospacing="0" w:after="0" w:afterAutospacing="0" w:line="360" w:lineRule="auto"/>
              <w:jc w:val="center"/>
              <w:rPr>
                <w:rFonts w:ascii="Times New Roman" w:hAnsi="Times New Roman"/>
                <w:kern w:val="2"/>
                <w:szCs w:val="24"/>
              </w:rPr>
            </w:pPr>
            <w:r>
              <w:rPr>
                <w:rFonts w:ascii="Times New Roman" w:hAnsi="Times New Roman"/>
                <w:kern w:val="2"/>
                <w:szCs w:val="24"/>
              </w:rPr>
              <w:t>施工</w:t>
            </w:r>
          </w:p>
          <w:p>
            <w:pPr>
              <w:pStyle w:val="23"/>
              <w:adjustRightInd w:val="0"/>
              <w:snapToGrid w:val="0"/>
              <w:spacing w:before="0" w:beforeAutospacing="0" w:after="0" w:afterAutospacing="0" w:line="360" w:lineRule="auto"/>
              <w:jc w:val="center"/>
              <w:rPr>
                <w:rFonts w:ascii="Times New Roman" w:hAnsi="Times New Roman"/>
                <w:kern w:val="2"/>
                <w:szCs w:val="24"/>
              </w:rPr>
            </w:pPr>
            <w:r>
              <w:rPr>
                <w:rFonts w:ascii="Times New Roman" w:hAnsi="Times New Roman"/>
                <w:kern w:val="2"/>
                <w:szCs w:val="24"/>
              </w:rPr>
              <w:t>期环</w:t>
            </w:r>
          </w:p>
          <w:p>
            <w:pPr>
              <w:pStyle w:val="23"/>
              <w:adjustRightInd w:val="0"/>
              <w:snapToGrid w:val="0"/>
              <w:spacing w:before="0" w:beforeAutospacing="0" w:after="0" w:afterAutospacing="0" w:line="360" w:lineRule="auto"/>
              <w:jc w:val="center"/>
              <w:rPr>
                <w:rFonts w:ascii="Times New Roman" w:hAnsi="Times New Roman"/>
                <w:kern w:val="2"/>
                <w:szCs w:val="24"/>
              </w:rPr>
            </w:pPr>
            <w:r>
              <w:rPr>
                <w:rFonts w:ascii="Times New Roman" w:hAnsi="Times New Roman"/>
                <w:kern w:val="2"/>
                <w:szCs w:val="24"/>
              </w:rPr>
              <w:t>境保</w:t>
            </w:r>
          </w:p>
          <w:p>
            <w:pPr>
              <w:pStyle w:val="23"/>
              <w:adjustRightInd w:val="0"/>
              <w:snapToGrid w:val="0"/>
              <w:spacing w:before="0" w:beforeAutospacing="0" w:after="0" w:afterAutospacing="0" w:line="360" w:lineRule="auto"/>
              <w:jc w:val="center"/>
              <w:rPr>
                <w:rFonts w:ascii="Times New Roman" w:hAnsi="Times New Roman"/>
                <w:kern w:val="2"/>
                <w:szCs w:val="24"/>
              </w:rPr>
            </w:pPr>
            <w:r>
              <w:rPr>
                <w:rFonts w:ascii="Times New Roman" w:hAnsi="Times New Roman"/>
                <w:kern w:val="2"/>
                <w:szCs w:val="24"/>
              </w:rPr>
              <w:t>护措</w:t>
            </w:r>
          </w:p>
          <w:p>
            <w:pPr>
              <w:pStyle w:val="23"/>
              <w:adjustRightInd w:val="0"/>
              <w:snapToGrid w:val="0"/>
              <w:spacing w:before="0" w:beforeAutospacing="0" w:after="0" w:afterAutospacing="0" w:line="360" w:lineRule="auto"/>
              <w:jc w:val="center"/>
              <w:rPr>
                <w:rFonts w:ascii="Times New Roman" w:hAnsi="Times New Roman"/>
                <w:bCs/>
                <w:kern w:val="2"/>
                <w:szCs w:val="24"/>
              </w:rPr>
            </w:pPr>
            <w:r>
              <w:rPr>
                <w:rFonts w:ascii="Times New Roman" w:hAnsi="Times New Roman"/>
                <w:kern w:val="2"/>
                <w:szCs w:val="24"/>
              </w:rPr>
              <w:t>施</w:t>
            </w:r>
          </w:p>
        </w:tc>
        <w:tc>
          <w:tcPr>
            <w:tcW w:w="0" w:type="auto"/>
            <w:vAlign w:val="center"/>
          </w:tcPr>
          <w:p>
            <w:pPr>
              <w:adjustRightInd w:val="0"/>
              <w:snapToGrid w:val="0"/>
              <w:spacing w:line="360" w:lineRule="auto"/>
              <w:ind w:firstLine="480" w:firstLineChars="200"/>
              <w:rPr>
                <w:bCs/>
                <w:sz w:val="24"/>
              </w:rPr>
            </w:pPr>
            <w:r>
              <w:rPr>
                <w:bCs/>
                <w:sz w:val="24"/>
              </w:rPr>
              <w:t>本项目</w:t>
            </w:r>
            <w:r>
              <w:rPr>
                <w:sz w:val="24"/>
              </w:rPr>
              <w:t>新建2台6t的生物质锅炉及其附属设施，以及新增部分环保设施，工程量较小，主要涉及锅炉的安装、花卉种植大棚和食堂等的修建</w:t>
            </w:r>
            <w:r>
              <w:rPr>
                <w:bCs/>
                <w:sz w:val="24"/>
              </w:rPr>
              <w:t>。</w:t>
            </w:r>
          </w:p>
          <w:p>
            <w:pPr>
              <w:adjustRightInd w:val="0"/>
              <w:snapToGrid w:val="0"/>
              <w:spacing w:line="360" w:lineRule="auto"/>
              <w:rPr>
                <w:b/>
                <w:sz w:val="24"/>
              </w:rPr>
            </w:pPr>
            <w:r>
              <w:rPr>
                <w:b/>
                <w:sz w:val="24"/>
              </w:rPr>
              <w:t>1、施工期废气污染防治措施：</w:t>
            </w:r>
          </w:p>
          <w:p>
            <w:pPr>
              <w:adjustRightInd w:val="0"/>
              <w:snapToGrid w:val="0"/>
              <w:spacing w:line="360" w:lineRule="auto"/>
              <w:ind w:firstLine="480" w:firstLineChars="200"/>
              <w:rPr>
                <w:bCs/>
                <w:sz w:val="24"/>
              </w:rPr>
            </w:pPr>
            <w:r>
              <w:rPr>
                <w:rFonts w:hint="eastAsia" w:ascii="宋体" w:hAnsi="宋体" w:cs="宋体"/>
                <w:bCs/>
                <w:sz w:val="24"/>
              </w:rPr>
              <w:t>①</w:t>
            </w:r>
            <w:r>
              <w:rPr>
                <w:bCs/>
                <w:sz w:val="24"/>
              </w:rPr>
              <w:t>加强施工场地洒水降尘，及时清理废土。</w:t>
            </w:r>
          </w:p>
          <w:p>
            <w:pPr>
              <w:adjustRightInd w:val="0"/>
              <w:snapToGrid w:val="0"/>
              <w:spacing w:line="360" w:lineRule="auto"/>
              <w:ind w:firstLine="480" w:firstLineChars="200"/>
              <w:rPr>
                <w:bCs/>
                <w:sz w:val="24"/>
              </w:rPr>
            </w:pPr>
            <w:r>
              <w:rPr>
                <w:rFonts w:hint="eastAsia" w:ascii="宋体" w:hAnsi="宋体" w:cs="宋体"/>
                <w:bCs/>
                <w:sz w:val="24"/>
              </w:rPr>
              <w:t>②</w:t>
            </w:r>
            <w:r>
              <w:rPr>
                <w:bCs/>
                <w:sz w:val="24"/>
              </w:rPr>
              <w:t>该项目在开挖土方和土方回填过程中会产生一定的扬尘，在施工过程中应注意文明施工，做到洒水作业，减少扬尘对周围环境的污染。</w:t>
            </w:r>
          </w:p>
          <w:p>
            <w:pPr>
              <w:adjustRightInd w:val="0"/>
              <w:snapToGrid w:val="0"/>
              <w:spacing w:line="360" w:lineRule="auto"/>
              <w:ind w:firstLine="480" w:firstLineChars="200"/>
              <w:rPr>
                <w:bCs/>
                <w:sz w:val="24"/>
              </w:rPr>
            </w:pPr>
            <w:r>
              <w:rPr>
                <w:rFonts w:hint="eastAsia" w:ascii="宋体" w:hAnsi="宋体" w:cs="宋体"/>
                <w:bCs/>
                <w:sz w:val="24"/>
              </w:rPr>
              <w:t>③</w:t>
            </w:r>
            <w:r>
              <w:rPr>
                <w:bCs/>
                <w:sz w:val="24"/>
              </w:rPr>
              <w:t>建材在装卸、堆放、拌和过程中会产生粉灰外逸，施工单位必须加强施工区的规划管理，将建筑材料（主要是黄沙、石子）的堆场用篷布遮盖建筑材料。</w:t>
            </w:r>
          </w:p>
          <w:p>
            <w:pPr>
              <w:adjustRightInd w:val="0"/>
              <w:snapToGrid w:val="0"/>
              <w:spacing w:line="360" w:lineRule="auto"/>
              <w:ind w:firstLine="480" w:firstLineChars="200"/>
              <w:rPr>
                <w:bCs/>
                <w:sz w:val="24"/>
              </w:rPr>
            </w:pPr>
            <w:r>
              <w:rPr>
                <w:rFonts w:hint="eastAsia" w:ascii="宋体" w:hAnsi="宋体" w:cs="宋体"/>
                <w:bCs/>
                <w:sz w:val="24"/>
              </w:rPr>
              <w:t>④</w:t>
            </w:r>
            <w:r>
              <w:rPr>
                <w:bCs/>
                <w:sz w:val="24"/>
              </w:rPr>
              <w:t>厂内建材运输道路应定期洒水清扫，保持车辆出入路面清洁、湿润，以减少汽车轮胎与路面接触而引起的地面扬尘污染，并尽量减缓行驶车速。</w:t>
            </w:r>
          </w:p>
          <w:p>
            <w:pPr>
              <w:adjustRightInd w:val="0"/>
              <w:snapToGrid w:val="0"/>
              <w:spacing w:line="360" w:lineRule="auto"/>
              <w:rPr>
                <w:b/>
                <w:sz w:val="24"/>
              </w:rPr>
            </w:pPr>
            <w:r>
              <w:rPr>
                <w:b/>
                <w:sz w:val="24"/>
              </w:rPr>
              <w:t>2、施工期废水污染防治措施：</w:t>
            </w:r>
          </w:p>
          <w:p>
            <w:pPr>
              <w:adjustRightInd w:val="0"/>
              <w:snapToGrid w:val="0"/>
              <w:spacing w:line="360" w:lineRule="auto"/>
              <w:ind w:firstLine="480" w:firstLineChars="200"/>
              <w:rPr>
                <w:bCs/>
                <w:sz w:val="24"/>
              </w:rPr>
            </w:pPr>
            <w:r>
              <w:rPr>
                <w:bCs/>
                <w:sz w:val="24"/>
              </w:rPr>
              <w:t>设置专门的施工设备、工具清洗水池。施工人员清洗水废水，初期雨水清洗后的废水在池内沉淀后，用于场地洒水降尘和绿化。</w:t>
            </w:r>
          </w:p>
          <w:p>
            <w:pPr>
              <w:adjustRightInd w:val="0"/>
              <w:snapToGrid w:val="0"/>
              <w:spacing w:line="360" w:lineRule="auto"/>
              <w:rPr>
                <w:bCs/>
                <w:sz w:val="24"/>
              </w:rPr>
            </w:pPr>
            <w:r>
              <w:rPr>
                <w:b/>
                <w:sz w:val="24"/>
              </w:rPr>
              <w:t>3、施工期噪声污染防治措施：</w:t>
            </w:r>
          </w:p>
          <w:p>
            <w:pPr>
              <w:adjustRightInd w:val="0"/>
              <w:snapToGrid w:val="0"/>
              <w:spacing w:line="360" w:lineRule="auto"/>
              <w:ind w:firstLine="480" w:firstLineChars="200"/>
              <w:rPr>
                <w:bCs/>
                <w:sz w:val="24"/>
              </w:rPr>
            </w:pPr>
            <w:r>
              <w:rPr>
                <w:rFonts w:hint="eastAsia" w:ascii="宋体" w:hAnsi="宋体" w:cs="宋体"/>
                <w:bCs/>
                <w:sz w:val="24"/>
              </w:rPr>
              <w:t>①</w:t>
            </w:r>
            <w:r>
              <w:rPr>
                <w:bCs/>
                <w:sz w:val="24"/>
              </w:rPr>
              <w:t>合理安排作业时间，尽量避免夜间施工。</w:t>
            </w:r>
          </w:p>
          <w:p>
            <w:pPr>
              <w:adjustRightInd w:val="0"/>
              <w:snapToGrid w:val="0"/>
              <w:spacing w:line="360" w:lineRule="auto"/>
              <w:ind w:firstLine="480" w:firstLineChars="200"/>
              <w:rPr>
                <w:bCs/>
                <w:sz w:val="24"/>
              </w:rPr>
            </w:pPr>
            <w:r>
              <w:rPr>
                <w:rFonts w:hint="eastAsia" w:ascii="宋体" w:hAnsi="宋体" w:cs="宋体"/>
                <w:bCs/>
                <w:sz w:val="24"/>
              </w:rPr>
              <w:t>②</w:t>
            </w:r>
            <w:r>
              <w:rPr>
                <w:bCs/>
                <w:sz w:val="24"/>
              </w:rPr>
              <w:t>建筑材料运输车辆尽量在白天进行，并控制鸣笛。</w:t>
            </w:r>
          </w:p>
          <w:p>
            <w:pPr>
              <w:adjustRightInd w:val="0"/>
              <w:snapToGrid w:val="0"/>
              <w:spacing w:line="360" w:lineRule="auto"/>
              <w:rPr>
                <w:bCs/>
                <w:sz w:val="24"/>
              </w:rPr>
            </w:pPr>
            <w:r>
              <w:rPr>
                <w:b/>
                <w:sz w:val="24"/>
              </w:rPr>
              <w:t>4、施工期固体废物处置措施：</w:t>
            </w:r>
          </w:p>
          <w:p>
            <w:pPr>
              <w:adjustRightInd w:val="0"/>
              <w:snapToGrid w:val="0"/>
              <w:spacing w:line="360" w:lineRule="auto"/>
              <w:ind w:firstLine="480" w:firstLineChars="200"/>
              <w:rPr>
                <w:bCs/>
                <w:sz w:val="24"/>
              </w:rPr>
            </w:pPr>
            <w:r>
              <w:rPr>
                <w:rFonts w:hint="eastAsia" w:ascii="宋体" w:hAnsi="宋体" w:cs="宋体"/>
                <w:bCs/>
                <w:sz w:val="24"/>
              </w:rPr>
              <w:t>①</w:t>
            </w:r>
            <w:r>
              <w:rPr>
                <w:bCs/>
                <w:sz w:val="24"/>
              </w:rPr>
              <w:t>施工产生的建筑垃圾可回收利用的，则外售当地废品收购站，不能回收利用的按照当地建筑垃圾管理要求进行处置。</w:t>
            </w:r>
          </w:p>
          <w:p>
            <w:pPr>
              <w:adjustRightInd w:val="0"/>
              <w:snapToGrid w:val="0"/>
              <w:spacing w:line="360" w:lineRule="auto"/>
              <w:ind w:firstLine="480" w:firstLineChars="200"/>
              <w:rPr>
                <w:bCs/>
                <w:sz w:val="24"/>
              </w:rPr>
            </w:pPr>
            <w:r>
              <w:rPr>
                <w:rFonts w:hint="eastAsia" w:ascii="宋体" w:hAnsi="宋体" w:cs="宋体"/>
                <w:bCs/>
                <w:sz w:val="24"/>
              </w:rPr>
              <w:t>②</w:t>
            </w:r>
            <w:r>
              <w:rPr>
                <w:bCs/>
                <w:sz w:val="24"/>
              </w:rPr>
              <w:t>施工人员产生的生活垃圾禁止随意丢弃，充分利用现有的垃圾收集设施集中收集后，委托当地环卫部门定期清运处置。</w:t>
            </w:r>
          </w:p>
          <w:p>
            <w:pPr>
              <w:adjustRightInd w:val="0"/>
              <w:snapToGrid w:val="0"/>
              <w:spacing w:line="360" w:lineRule="auto"/>
              <w:ind w:firstLine="480" w:firstLineChars="200"/>
              <w:rPr>
                <w:bCs/>
                <w:spacing w:val="-10"/>
                <w:sz w:val="24"/>
              </w:rPr>
            </w:pPr>
            <w:r>
              <w:rPr>
                <w:bCs/>
                <w:sz w:val="24"/>
              </w:rPr>
              <w:t>综上，项目后续施工期工程量较小，各类污染物的产生量有限，只要建设单位严格落实环评提出的环境保护措施，施工期对周围环境影响较小。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Mar>
              <w:left w:w="28" w:type="dxa"/>
              <w:right w:w="28" w:type="dxa"/>
            </w:tcMar>
            <w:vAlign w:val="center"/>
          </w:tcPr>
          <w:p>
            <w:pPr>
              <w:adjustRightInd w:val="0"/>
              <w:snapToGrid w:val="0"/>
              <w:spacing w:line="360" w:lineRule="auto"/>
              <w:jc w:val="center"/>
              <w:rPr>
                <w:bCs/>
                <w:sz w:val="24"/>
              </w:rPr>
            </w:pPr>
            <w:r>
              <w:rPr>
                <w:bCs/>
                <w:sz w:val="24"/>
              </w:rPr>
              <w:t>运营</w:t>
            </w:r>
          </w:p>
          <w:p>
            <w:pPr>
              <w:adjustRightInd w:val="0"/>
              <w:snapToGrid w:val="0"/>
              <w:spacing w:line="360" w:lineRule="auto"/>
              <w:jc w:val="center"/>
              <w:rPr>
                <w:bCs/>
                <w:sz w:val="24"/>
              </w:rPr>
            </w:pPr>
            <w:r>
              <w:rPr>
                <w:bCs/>
                <w:sz w:val="24"/>
              </w:rPr>
              <w:t>期环</w:t>
            </w:r>
          </w:p>
          <w:p>
            <w:pPr>
              <w:adjustRightInd w:val="0"/>
              <w:snapToGrid w:val="0"/>
              <w:spacing w:line="360" w:lineRule="auto"/>
              <w:jc w:val="center"/>
              <w:rPr>
                <w:bCs/>
                <w:sz w:val="24"/>
              </w:rPr>
            </w:pPr>
            <w:r>
              <w:rPr>
                <w:bCs/>
                <w:sz w:val="24"/>
              </w:rPr>
              <w:t>境影</w:t>
            </w:r>
          </w:p>
          <w:p>
            <w:pPr>
              <w:adjustRightInd w:val="0"/>
              <w:snapToGrid w:val="0"/>
              <w:spacing w:line="360" w:lineRule="auto"/>
              <w:jc w:val="center"/>
              <w:rPr>
                <w:bCs/>
                <w:sz w:val="24"/>
              </w:rPr>
            </w:pPr>
            <w:r>
              <w:rPr>
                <w:bCs/>
                <w:sz w:val="24"/>
              </w:rPr>
              <w:t>响和</w:t>
            </w:r>
          </w:p>
          <w:p>
            <w:pPr>
              <w:adjustRightInd w:val="0"/>
              <w:snapToGrid w:val="0"/>
              <w:spacing w:line="360" w:lineRule="auto"/>
              <w:jc w:val="center"/>
              <w:rPr>
                <w:bCs/>
                <w:sz w:val="24"/>
              </w:rPr>
            </w:pPr>
            <w:r>
              <w:rPr>
                <w:bCs/>
                <w:sz w:val="24"/>
              </w:rPr>
              <w:t>保护</w:t>
            </w:r>
          </w:p>
          <w:p>
            <w:pPr>
              <w:adjustRightInd w:val="0"/>
              <w:snapToGrid w:val="0"/>
              <w:spacing w:line="360" w:lineRule="auto"/>
              <w:jc w:val="center"/>
              <w:rPr>
                <w:bCs/>
                <w:sz w:val="24"/>
              </w:rPr>
            </w:pPr>
            <w:r>
              <w:rPr>
                <w:bCs/>
                <w:sz w:val="24"/>
              </w:rPr>
              <w:t>措施</w:t>
            </w:r>
          </w:p>
        </w:tc>
        <w:tc>
          <w:tcPr>
            <w:tcW w:w="0" w:type="auto"/>
            <w:vAlign w:val="center"/>
          </w:tcPr>
          <w:p>
            <w:pPr>
              <w:spacing w:line="360" w:lineRule="auto"/>
              <w:rPr>
                <w:b/>
                <w:bCs/>
                <w:sz w:val="24"/>
              </w:rPr>
            </w:pPr>
            <w:r>
              <w:rPr>
                <w:b/>
                <w:bCs/>
                <w:sz w:val="24"/>
              </w:rPr>
              <w:t>1、大气环境影响分析</w:t>
            </w:r>
          </w:p>
          <w:p>
            <w:pPr>
              <w:pStyle w:val="36"/>
              <w:spacing w:line="360" w:lineRule="auto"/>
              <w:ind w:left="480"/>
              <w:rPr>
                <w:b/>
                <w:bCs/>
                <w:sz w:val="24"/>
                <w:szCs w:val="24"/>
              </w:rPr>
            </w:pPr>
            <w:r>
              <w:rPr>
                <w:b/>
                <w:bCs/>
                <w:sz w:val="24"/>
                <w:szCs w:val="24"/>
              </w:rPr>
              <w:t>（1）产排污环节</w:t>
            </w:r>
          </w:p>
          <w:p>
            <w:pPr>
              <w:pStyle w:val="36"/>
              <w:numPr>
                <w:ilvl w:val="0"/>
                <w:numId w:val="10"/>
              </w:numPr>
              <w:spacing w:line="360" w:lineRule="auto"/>
              <w:rPr>
                <w:sz w:val="24"/>
                <w:szCs w:val="24"/>
              </w:rPr>
            </w:pPr>
            <w:r>
              <w:rPr>
                <w:b/>
                <w:bCs/>
                <w:sz w:val="24"/>
                <w:szCs w:val="24"/>
              </w:rPr>
              <w:t>锅炉废气（G1）</w:t>
            </w:r>
          </w:p>
          <w:p>
            <w:pPr>
              <w:pStyle w:val="36"/>
              <w:spacing w:line="360" w:lineRule="auto"/>
              <w:ind w:firstLine="480" w:firstLineChars="200"/>
              <w:jc w:val="both"/>
              <w:rPr>
                <w:sz w:val="24"/>
                <w:szCs w:val="24"/>
              </w:rPr>
            </w:pPr>
            <w:r>
              <w:rPr>
                <w:sz w:val="24"/>
                <w:szCs w:val="24"/>
              </w:rPr>
              <w:t>本项目设置2台生物质成型颗粒燃料锅炉，锅炉规格为6t/h。两台锅炉同时使用。每天运行10h，每年运行152天。</w:t>
            </w:r>
          </w:p>
          <w:p>
            <w:pPr>
              <w:pStyle w:val="36"/>
              <w:spacing w:line="360" w:lineRule="auto"/>
              <w:ind w:firstLine="480" w:firstLineChars="200"/>
              <w:jc w:val="both"/>
              <w:rPr>
                <w:sz w:val="24"/>
                <w:szCs w:val="24"/>
              </w:rPr>
            </w:pPr>
            <w:r>
              <w:rPr>
                <w:sz w:val="24"/>
                <w:szCs w:val="24"/>
              </w:rPr>
              <w:t>根据业主提供，一台生物质锅炉成型颗粒燃料使用量约0.1t/h，两台生物质锅炉成型颗粒燃料使用量则约0.2t/h，年用量为304t/a。根据《排放源统计调查产排污核算方法和系数手册》。生物质成型燃料锅炉废气污染物的产污系数如下：废气量的产排污系数6240Nm</w:t>
            </w:r>
            <w:r>
              <w:rPr>
                <w:sz w:val="24"/>
                <w:szCs w:val="24"/>
                <w:vertAlign w:val="superscript"/>
              </w:rPr>
              <w:t>3</w:t>
            </w:r>
            <w:r>
              <w:rPr>
                <w:sz w:val="24"/>
                <w:szCs w:val="24"/>
              </w:rPr>
              <w:t>/万立方米-原料，SO</w:t>
            </w:r>
            <w:r>
              <w:rPr>
                <w:sz w:val="24"/>
                <w:szCs w:val="24"/>
                <w:vertAlign w:val="subscript"/>
              </w:rPr>
              <w:t>2</w:t>
            </w:r>
            <w:r>
              <w:rPr>
                <w:sz w:val="24"/>
                <w:szCs w:val="24"/>
              </w:rPr>
              <w:t>产污系数：17S=0.34kg/t-原料（含硫量S为少于0.02%），烟尘（颗粒物）产污系数：0.5kg/t-原料，NO</w:t>
            </w:r>
            <w:r>
              <w:rPr>
                <w:sz w:val="24"/>
                <w:szCs w:val="24"/>
                <w:vertAlign w:val="subscript"/>
              </w:rPr>
              <w:t>X</w:t>
            </w:r>
            <w:r>
              <w:rPr>
                <w:sz w:val="24"/>
                <w:szCs w:val="24"/>
              </w:rPr>
              <w:t>产污系数：1.02kg/t-原料。</w:t>
            </w:r>
          </w:p>
          <w:p>
            <w:pPr>
              <w:pStyle w:val="36"/>
              <w:spacing w:line="360" w:lineRule="auto"/>
              <w:ind w:firstLine="480" w:firstLineChars="200"/>
              <w:jc w:val="both"/>
              <w:rPr>
                <w:sz w:val="24"/>
                <w:szCs w:val="24"/>
              </w:rPr>
            </w:pPr>
            <w:r>
              <w:rPr>
                <w:sz w:val="24"/>
                <w:szCs w:val="24"/>
              </w:rPr>
              <w:t>废气产生量为：6240Nm</w:t>
            </w:r>
            <w:r>
              <w:rPr>
                <w:sz w:val="24"/>
                <w:szCs w:val="24"/>
                <w:vertAlign w:val="superscript"/>
              </w:rPr>
              <w:t>3/</w:t>
            </w:r>
            <w:r>
              <w:rPr>
                <w:sz w:val="24"/>
                <w:szCs w:val="24"/>
              </w:rPr>
              <w:t>万立方米-原料=6240×304=188.4Nm</w:t>
            </w:r>
            <w:r>
              <w:rPr>
                <w:sz w:val="24"/>
                <w:szCs w:val="24"/>
                <w:vertAlign w:val="superscript"/>
              </w:rPr>
              <w:t>3</w:t>
            </w:r>
            <w:r>
              <w:rPr>
                <w:sz w:val="24"/>
                <w:szCs w:val="24"/>
              </w:rPr>
              <w:t>/a</w:t>
            </w:r>
          </w:p>
          <w:p>
            <w:pPr>
              <w:pStyle w:val="36"/>
              <w:spacing w:line="360" w:lineRule="auto"/>
              <w:ind w:firstLine="480" w:firstLineChars="200"/>
              <w:jc w:val="both"/>
              <w:rPr>
                <w:sz w:val="24"/>
                <w:szCs w:val="24"/>
              </w:rPr>
            </w:pPr>
            <w:r>
              <w:rPr>
                <w:sz w:val="24"/>
                <w:szCs w:val="24"/>
              </w:rPr>
              <w:t>SO</w:t>
            </w:r>
            <w:r>
              <w:rPr>
                <w:sz w:val="24"/>
                <w:szCs w:val="24"/>
                <w:vertAlign w:val="subscript"/>
              </w:rPr>
              <w:t>2</w:t>
            </w:r>
            <w:r>
              <w:rPr>
                <w:sz w:val="24"/>
                <w:szCs w:val="24"/>
              </w:rPr>
              <w:t>的产生浓度为：17S/6240=0.34×10</w:t>
            </w:r>
            <w:r>
              <w:rPr>
                <w:sz w:val="24"/>
                <w:szCs w:val="24"/>
                <w:vertAlign w:val="superscript"/>
              </w:rPr>
              <w:t>6</w:t>
            </w:r>
            <w:r>
              <w:rPr>
                <w:sz w:val="24"/>
                <w:szCs w:val="24"/>
              </w:rPr>
              <w:t>/6240=54.48mg/m</w:t>
            </w:r>
            <w:r>
              <w:rPr>
                <w:sz w:val="24"/>
                <w:szCs w:val="24"/>
                <w:vertAlign w:val="superscript"/>
              </w:rPr>
              <w:t>3</w:t>
            </w:r>
            <w:r>
              <w:rPr>
                <w:sz w:val="24"/>
                <w:szCs w:val="24"/>
              </w:rPr>
              <w:t>；产生速率为：0.34×0.2=0.068kg/h，0.34×304 /1000=0.103t/a。</w:t>
            </w:r>
          </w:p>
          <w:p>
            <w:pPr>
              <w:pStyle w:val="25"/>
              <w:spacing w:before="0" w:after="0" w:line="360" w:lineRule="auto"/>
              <w:ind w:firstLine="240"/>
              <w:rPr>
                <w:sz w:val="24"/>
                <w:szCs w:val="24"/>
              </w:rPr>
            </w:pPr>
            <w:r>
              <w:rPr>
                <w:sz w:val="24"/>
                <w:szCs w:val="24"/>
              </w:rPr>
              <w:t>NO</w:t>
            </w:r>
            <w:r>
              <w:rPr>
                <w:sz w:val="24"/>
                <w:szCs w:val="24"/>
                <w:vertAlign w:val="subscript"/>
              </w:rPr>
              <w:t>X</w:t>
            </w:r>
            <w:r>
              <w:rPr>
                <w:sz w:val="24"/>
                <w:szCs w:val="24"/>
              </w:rPr>
              <w:t>的产生浓度为：1.02/6240=1.02×10</w:t>
            </w:r>
            <w:r>
              <w:rPr>
                <w:sz w:val="24"/>
                <w:szCs w:val="24"/>
                <w:vertAlign w:val="superscript"/>
              </w:rPr>
              <w:t>6</w:t>
            </w:r>
            <w:r>
              <w:rPr>
                <w:sz w:val="24"/>
                <w:szCs w:val="24"/>
              </w:rPr>
              <w:t>/6240=163.46mg/m</w:t>
            </w:r>
            <w:r>
              <w:rPr>
                <w:sz w:val="24"/>
                <w:szCs w:val="24"/>
                <w:vertAlign w:val="superscript"/>
              </w:rPr>
              <w:t>3</w:t>
            </w:r>
            <w:r>
              <w:rPr>
                <w:sz w:val="24"/>
                <w:szCs w:val="24"/>
              </w:rPr>
              <w:t>；产生速率为：1.02×0.2=0.2kg/h，1.02×304/1000=0.31t/a。</w:t>
            </w:r>
          </w:p>
          <w:p>
            <w:pPr>
              <w:pStyle w:val="25"/>
              <w:spacing w:before="0" w:after="0" w:line="360" w:lineRule="auto"/>
              <w:ind w:firstLine="240"/>
              <w:rPr>
                <w:sz w:val="24"/>
                <w:szCs w:val="24"/>
              </w:rPr>
            </w:pPr>
            <w:r>
              <w:rPr>
                <w:sz w:val="24"/>
                <w:szCs w:val="24"/>
              </w:rPr>
              <w:t>颗粒物的产生浓度为：0.5×10</w:t>
            </w:r>
            <w:r>
              <w:rPr>
                <w:sz w:val="24"/>
                <w:szCs w:val="24"/>
                <w:vertAlign w:val="superscript"/>
              </w:rPr>
              <w:t>6</w:t>
            </w:r>
            <w:r>
              <w:rPr>
                <w:sz w:val="24"/>
                <w:szCs w:val="24"/>
              </w:rPr>
              <w:t>/6240=80.13mg/m</w:t>
            </w:r>
            <w:r>
              <w:rPr>
                <w:sz w:val="24"/>
                <w:szCs w:val="24"/>
                <w:vertAlign w:val="superscript"/>
              </w:rPr>
              <w:t>3</w:t>
            </w:r>
            <w:r>
              <w:rPr>
                <w:sz w:val="24"/>
                <w:szCs w:val="24"/>
              </w:rPr>
              <w:t>；产生速率为：0.5×0.2=0.1kg/h，0.5×304/1000=0.152t/a。</w:t>
            </w:r>
          </w:p>
          <w:p>
            <w:pPr>
              <w:pStyle w:val="36"/>
              <w:spacing w:line="360" w:lineRule="auto"/>
              <w:ind w:firstLine="480" w:firstLineChars="200"/>
              <w:jc w:val="both"/>
              <w:rPr>
                <w:sz w:val="24"/>
                <w:szCs w:val="24"/>
              </w:rPr>
            </w:pPr>
            <w:r>
              <w:rPr>
                <w:sz w:val="24"/>
                <w:szCs w:val="24"/>
              </w:rPr>
              <w:t xml:space="preserve">锅炉废气产排情况详见下表： </w:t>
            </w:r>
          </w:p>
          <w:p>
            <w:pPr>
              <w:widowControl/>
              <w:spacing w:line="360" w:lineRule="auto"/>
              <w:jc w:val="center"/>
              <w:rPr>
                <w:b/>
                <w:bCs/>
                <w:sz w:val="24"/>
              </w:rPr>
            </w:pPr>
            <w:r>
              <w:rPr>
                <w:b/>
                <w:bCs/>
                <w:sz w:val="24"/>
              </w:rPr>
              <w:t>表4-1 项目锅炉废气产排情况</w:t>
            </w:r>
          </w:p>
          <w:tbl>
            <w:tblPr>
              <w:tblStyle w:val="2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981"/>
              <w:gridCol w:w="967"/>
              <w:gridCol w:w="918"/>
              <w:gridCol w:w="770"/>
              <w:gridCol w:w="1057"/>
              <w:gridCol w:w="55"/>
              <w:gridCol w:w="869"/>
              <w:gridCol w:w="1303"/>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4" w:type="pct"/>
                  <w:vAlign w:val="center"/>
                </w:tcPr>
                <w:p>
                  <w:pPr>
                    <w:pStyle w:val="36"/>
                    <w:jc w:val="center"/>
                    <w:rPr>
                      <w:b/>
                      <w:sz w:val="21"/>
                      <w:szCs w:val="21"/>
                    </w:rPr>
                  </w:pPr>
                  <w:r>
                    <w:rPr>
                      <w:b/>
                      <w:sz w:val="21"/>
                      <w:szCs w:val="21"/>
                    </w:rPr>
                    <w:t>产生环节</w:t>
                  </w:r>
                </w:p>
              </w:tc>
              <w:tc>
                <w:tcPr>
                  <w:tcW w:w="575" w:type="pct"/>
                  <w:vAlign w:val="center"/>
                </w:tcPr>
                <w:p>
                  <w:pPr>
                    <w:pStyle w:val="36"/>
                    <w:jc w:val="center"/>
                    <w:rPr>
                      <w:b/>
                      <w:sz w:val="21"/>
                      <w:szCs w:val="21"/>
                    </w:rPr>
                  </w:pPr>
                  <w:r>
                    <w:rPr>
                      <w:b/>
                      <w:sz w:val="21"/>
                      <w:szCs w:val="21"/>
                    </w:rPr>
                    <w:t>污染物</w:t>
                  </w:r>
                </w:p>
              </w:tc>
              <w:tc>
                <w:tcPr>
                  <w:tcW w:w="567" w:type="pct"/>
                  <w:vAlign w:val="center"/>
                </w:tcPr>
                <w:p>
                  <w:pPr>
                    <w:widowControl/>
                    <w:jc w:val="center"/>
                    <w:rPr>
                      <w:b/>
                      <w:szCs w:val="21"/>
                    </w:rPr>
                  </w:pPr>
                  <w:r>
                    <w:rPr>
                      <w:b/>
                      <w:szCs w:val="21"/>
                    </w:rPr>
                    <w:t>产生浓度</w:t>
                  </w:r>
                </w:p>
                <w:p>
                  <w:pPr>
                    <w:widowControl/>
                    <w:jc w:val="center"/>
                    <w:rPr>
                      <w:b/>
                      <w:szCs w:val="21"/>
                    </w:rPr>
                  </w:pPr>
                  <w:r>
                    <w:rPr>
                      <w:b/>
                      <w:szCs w:val="21"/>
                    </w:rPr>
                    <w:t>mg/m</w:t>
                  </w:r>
                  <w:r>
                    <w:rPr>
                      <w:b/>
                      <w:szCs w:val="21"/>
                      <w:vertAlign w:val="superscript"/>
                    </w:rPr>
                    <w:t>3</w:t>
                  </w:r>
                </w:p>
              </w:tc>
              <w:tc>
                <w:tcPr>
                  <w:tcW w:w="538" w:type="pct"/>
                  <w:vAlign w:val="center"/>
                </w:tcPr>
                <w:p>
                  <w:pPr>
                    <w:widowControl/>
                    <w:jc w:val="center"/>
                    <w:rPr>
                      <w:b/>
                      <w:szCs w:val="21"/>
                    </w:rPr>
                  </w:pPr>
                  <w:r>
                    <w:rPr>
                      <w:b/>
                      <w:szCs w:val="21"/>
                    </w:rPr>
                    <w:t>产生</w:t>
                  </w:r>
                </w:p>
                <w:p>
                  <w:pPr>
                    <w:widowControl/>
                    <w:jc w:val="center"/>
                    <w:rPr>
                      <w:b/>
                      <w:szCs w:val="21"/>
                    </w:rPr>
                  </w:pPr>
                  <w:r>
                    <w:rPr>
                      <w:b/>
                      <w:szCs w:val="21"/>
                    </w:rPr>
                    <w:t>速率 kg/h</w:t>
                  </w:r>
                </w:p>
              </w:tc>
              <w:tc>
                <w:tcPr>
                  <w:tcW w:w="454" w:type="pct"/>
                  <w:vAlign w:val="center"/>
                </w:tcPr>
                <w:p>
                  <w:pPr>
                    <w:widowControl/>
                    <w:jc w:val="center"/>
                    <w:rPr>
                      <w:b/>
                      <w:szCs w:val="21"/>
                    </w:rPr>
                  </w:pPr>
                  <w:r>
                    <w:rPr>
                      <w:b/>
                      <w:szCs w:val="21"/>
                    </w:rPr>
                    <w:t>处置措施</w:t>
                  </w:r>
                </w:p>
              </w:tc>
              <w:tc>
                <w:tcPr>
                  <w:tcW w:w="619" w:type="pct"/>
                  <w:vAlign w:val="center"/>
                </w:tcPr>
                <w:p>
                  <w:pPr>
                    <w:widowControl/>
                    <w:jc w:val="center"/>
                    <w:rPr>
                      <w:b/>
                      <w:szCs w:val="21"/>
                    </w:rPr>
                  </w:pPr>
                  <w:r>
                    <w:rPr>
                      <w:b/>
                      <w:szCs w:val="21"/>
                    </w:rPr>
                    <w:t>排放</w:t>
                  </w:r>
                </w:p>
                <w:p>
                  <w:pPr>
                    <w:widowControl/>
                    <w:jc w:val="center"/>
                    <w:rPr>
                      <w:b/>
                      <w:szCs w:val="21"/>
                    </w:rPr>
                  </w:pPr>
                  <w:r>
                    <w:rPr>
                      <w:b/>
                      <w:szCs w:val="21"/>
                    </w:rPr>
                    <w:t>浓度</w:t>
                  </w:r>
                </w:p>
                <w:p>
                  <w:pPr>
                    <w:widowControl/>
                    <w:jc w:val="center"/>
                    <w:rPr>
                      <w:b/>
                      <w:szCs w:val="21"/>
                    </w:rPr>
                  </w:pPr>
                  <w:r>
                    <w:rPr>
                      <w:b/>
                      <w:szCs w:val="21"/>
                    </w:rPr>
                    <w:t>mg/m</w:t>
                  </w:r>
                  <w:r>
                    <w:rPr>
                      <w:b/>
                      <w:szCs w:val="21"/>
                      <w:vertAlign w:val="superscript"/>
                    </w:rPr>
                    <w:t>3</w:t>
                  </w:r>
                </w:p>
              </w:tc>
              <w:tc>
                <w:tcPr>
                  <w:tcW w:w="554" w:type="pct"/>
                  <w:gridSpan w:val="2"/>
                  <w:vAlign w:val="center"/>
                </w:tcPr>
                <w:p>
                  <w:pPr>
                    <w:widowControl/>
                    <w:jc w:val="center"/>
                    <w:rPr>
                      <w:b/>
                      <w:szCs w:val="21"/>
                    </w:rPr>
                  </w:pPr>
                  <w:r>
                    <w:rPr>
                      <w:b/>
                      <w:szCs w:val="21"/>
                    </w:rPr>
                    <w:t>排放</w:t>
                  </w:r>
                </w:p>
                <w:p>
                  <w:pPr>
                    <w:widowControl/>
                    <w:jc w:val="center"/>
                    <w:rPr>
                      <w:b/>
                      <w:szCs w:val="21"/>
                    </w:rPr>
                  </w:pPr>
                  <w:r>
                    <w:rPr>
                      <w:b/>
                      <w:szCs w:val="21"/>
                    </w:rPr>
                    <w:t>速率</w:t>
                  </w:r>
                </w:p>
                <w:p>
                  <w:pPr>
                    <w:widowControl/>
                    <w:jc w:val="center"/>
                    <w:rPr>
                      <w:b/>
                      <w:szCs w:val="21"/>
                    </w:rPr>
                  </w:pPr>
                  <w:r>
                    <w:rPr>
                      <w:b/>
                      <w:szCs w:val="21"/>
                    </w:rPr>
                    <w:t>kg/h</w:t>
                  </w:r>
                </w:p>
              </w:tc>
              <w:tc>
                <w:tcPr>
                  <w:tcW w:w="759" w:type="pct"/>
                  <w:vAlign w:val="center"/>
                </w:tcPr>
                <w:p>
                  <w:pPr>
                    <w:widowControl/>
                    <w:jc w:val="center"/>
                    <w:rPr>
                      <w:b/>
                      <w:szCs w:val="21"/>
                    </w:rPr>
                  </w:pPr>
                  <w:r>
                    <w:rPr>
                      <w:b/>
                      <w:szCs w:val="21"/>
                    </w:rPr>
                    <w:t>排放</w:t>
                  </w:r>
                </w:p>
                <w:p>
                  <w:pPr>
                    <w:widowControl/>
                    <w:jc w:val="center"/>
                    <w:rPr>
                      <w:b/>
                      <w:szCs w:val="21"/>
                    </w:rPr>
                  </w:pPr>
                  <w:r>
                    <w:rPr>
                      <w:b/>
                      <w:szCs w:val="21"/>
                    </w:rPr>
                    <w:t>量</w:t>
                  </w:r>
                </w:p>
                <w:p>
                  <w:pPr>
                    <w:widowControl/>
                    <w:jc w:val="center"/>
                    <w:rPr>
                      <w:b/>
                      <w:szCs w:val="21"/>
                    </w:rPr>
                  </w:pPr>
                  <w:r>
                    <w:rPr>
                      <w:b/>
                      <w:szCs w:val="21"/>
                    </w:rPr>
                    <w:t>t/a</w:t>
                  </w:r>
                </w:p>
              </w:tc>
              <w:tc>
                <w:tcPr>
                  <w:tcW w:w="355" w:type="pct"/>
                  <w:vAlign w:val="center"/>
                </w:tcPr>
                <w:p>
                  <w:pPr>
                    <w:widowControl/>
                    <w:jc w:val="center"/>
                    <w:rPr>
                      <w:b/>
                      <w:szCs w:val="21"/>
                    </w:rPr>
                  </w:pPr>
                  <w:r>
                    <w:rPr>
                      <w:b/>
                      <w:szCs w:val="21"/>
                    </w:rPr>
                    <w:t>标准</w:t>
                  </w:r>
                </w:p>
                <w:p>
                  <w:pPr>
                    <w:widowControl/>
                    <w:jc w:val="center"/>
                    <w:rPr>
                      <w:b/>
                      <w:szCs w:val="21"/>
                    </w:rPr>
                  </w:pPr>
                  <w:r>
                    <w:rPr>
                      <w:b/>
                      <w:szCs w:val="21"/>
                    </w:rPr>
                    <w:t>mg/m</w:t>
                  </w:r>
                  <w:r>
                    <w:rPr>
                      <w:b/>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574" w:type="pct"/>
                  <w:vMerge w:val="restart"/>
                  <w:vAlign w:val="center"/>
                </w:tcPr>
                <w:p>
                  <w:pPr>
                    <w:pStyle w:val="36"/>
                    <w:jc w:val="center"/>
                    <w:rPr>
                      <w:sz w:val="21"/>
                      <w:szCs w:val="21"/>
                    </w:rPr>
                  </w:pPr>
                  <w:r>
                    <w:rPr>
                      <w:sz w:val="21"/>
                      <w:szCs w:val="21"/>
                    </w:rPr>
                    <w:t>生物质锅炉40m</w:t>
                  </w:r>
                </w:p>
                <w:p>
                  <w:pPr>
                    <w:pStyle w:val="36"/>
                    <w:jc w:val="center"/>
                    <w:rPr>
                      <w:sz w:val="21"/>
                      <w:szCs w:val="21"/>
                    </w:rPr>
                  </w:pPr>
                  <w:r>
                    <w:rPr>
                      <w:sz w:val="21"/>
                      <w:szCs w:val="21"/>
                    </w:rPr>
                    <w:t>排气筒</w:t>
                  </w:r>
                </w:p>
              </w:tc>
              <w:tc>
                <w:tcPr>
                  <w:tcW w:w="575" w:type="pct"/>
                  <w:vAlign w:val="center"/>
                </w:tcPr>
                <w:p>
                  <w:pPr>
                    <w:pStyle w:val="36"/>
                    <w:jc w:val="center"/>
                    <w:rPr>
                      <w:sz w:val="21"/>
                      <w:szCs w:val="21"/>
                    </w:rPr>
                  </w:pPr>
                  <w:r>
                    <w:rPr>
                      <w:sz w:val="21"/>
                      <w:szCs w:val="21"/>
                    </w:rPr>
                    <w:t>废气量</w:t>
                  </w:r>
                </w:p>
              </w:tc>
              <w:tc>
                <w:tcPr>
                  <w:tcW w:w="1106" w:type="pct"/>
                  <w:gridSpan w:val="2"/>
                  <w:vAlign w:val="center"/>
                </w:tcPr>
                <w:p>
                  <w:pPr>
                    <w:pStyle w:val="36"/>
                    <w:jc w:val="center"/>
                    <w:rPr>
                      <w:sz w:val="21"/>
                      <w:szCs w:val="21"/>
                    </w:rPr>
                  </w:pPr>
                  <w:r>
                    <w:rPr>
                      <w:sz w:val="21"/>
                      <w:szCs w:val="21"/>
                    </w:rPr>
                    <w:t>188.4</w:t>
                  </w:r>
                </w:p>
              </w:tc>
              <w:tc>
                <w:tcPr>
                  <w:tcW w:w="454" w:type="pct"/>
                  <w:vMerge w:val="restart"/>
                  <w:vAlign w:val="center"/>
                </w:tcPr>
                <w:p>
                  <w:pPr>
                    <w:pStyle w:val="36"/>
                    <w:jc w:val="center"/>
                    <w:rPr>
                      <w:sz w:val="21"/>
                      <w:szCs w:val="21"/>
                    </w:rPr>
                  </w:pPr>
                  <w:r>
                    <w:rPr>
                      <w:kern w:val="2"/>
                      <w:sz w:val="24"/>
                      <w:szCs w:val="24"/>
                      <w:lang w:bidi="ar"/>
                    </w:rPr>
                    <w:t>“湿式脱硫+布袋除尘”</w:t>
                  </w:r>
                </w:p>
              </w:tc>
              <w:tc>
                <w:tcPr>
                  <w:tcW w:w="1933" w:type="pct"/>
                  <w:gridSpan w:val="4"/>
                  <w:vAlign w:val="center"/>
                </w:tcPr>
                <w:p>
                  <w:pPr>
                    <w:pStyle w:val="36"/>
                    <w:jc w:val="center"/>
                    <w:rPr>
                      <w:sz w:val="21"/>
                      <w:szCs w:val="21"/>
                    </w:rPr>
                  </w:pPr>
                  <w:r>
                    <w:rPr>
                      <w:sz w:val="21"/>
                      <w:szCs w:val="21"/>
                    </w:rPr>
                    <w:t>188.4</w:t>
                  </w:r>
                </w:p>
              </w:tc>
              <w:tc>
                <w:tcPr>
                  <w:tcW w:w="355" w:type="pct"/>
                  <w:vAlign w:val="center"/>
                </w:tcPr>
                <w:p>
                  <w:pPr>
                    <w:pStyle w:val="36"/>
                    <w:jc w:val="center"/>
                    <w:rPr>
                      <w:sz w:val="21"/>
                      <w:szCs w:val="21"/>
                    </w:rPr>
                  </w:pP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574" w:type="pct"/>
                  <w:vMerge w:val="continue"/>
                  <w:vAlign w:val="center"/>
                </w:tcPr>
                <w:p>
                  <w:pPr>
                    <w:pStyle w:val="36"/>
                    <w:jc w:val="center"/>
                    <w:rPr>
                      <w:sz w:val="21"/>
                      <w:szCs w:val="21"/>
                    </w:rPr>
                  </w:pPr>
                </w:p>
              </w:tc>
              <w:tc>
                <w:tcPr>
                  <w:tcW w:w="575" w:type="pct"/>
                  <w:vAlign w:val="center"/>
                </w:tcPr>
                <w:p>
                  <w:pPr>
                    <w:pStyle w:val="36"/>
                    <w:jc w:val="center"/>
                    <w:rPr>
                      <w:sz w:val="21"/>
                      <w:szCs w:val="21"/>
                    </w:rPr>
                  </w:pPr>
                  <w:r>
                    <w:rPr>
                      <w:sz w:val="21"/>
                      <w:szCs w:val="21"/>
                    </w:rPr>
                    <w:t>颗粒物</w:t>
                  </w:r>
                </w:p>
              </w:tc>
              <w:tc>
                <w:tcPr>
                  <w:tcW w:w="567" w:type="pct"/>
                  <w:vAlign w:val="center"/>
                </w:tcPr>
                <w:p>
                  <w:pPr>
                    <w:pStyle w:val="36"/>
                    <w:jc w:val="center"/>
                    <w:rPr>
                      <w:sz w:val="21"/>
                      <w:szCs w:val="21"/>
                    </w:rPr>
                  </w:pPr>
                  <w:r>
                    <w:rPr>
                      <w:sz w:val="21"/>
                      <w:szCs w:val="21"/>
                    </w:rPr>
                    <w:t>80.13</w:t>
                  </w:r>
                </w:p>
              </w:tc>
              <w:tc>
                <w:tcPr>
                  <w:tcW w:w="538" w:type="pct"/>
                  <w:vAlign w:val="center"/>
                </w:tcPr>
                <w:p>
                  <w:pPr>
                    <w:pStyle w:val="36"/>
                    <w:jc w:val="center"/>
                    <w:rPr>
                      <w:sz w:val="21"/>
                      <w:szCs w:val="21"/>
                    </w:rPr>
                  </w:pPr>
                  <w:r>
                    <w:rPr>
                      <w:sz w:val="21"/>
                      <w:szCs w:val="21"/>
                    </w:rPr>
                    <w:t>0.1</w:t>
                  </w:r>
                </w:p>
              </w:tc>
              <w:tc>
                <w:tcPr>
                  <w:tcW w:w="454" w:type="pct"/>
                  <w:vMerge w:val="continue"/>
                  <w:vAlign w:val="center"/>
                </w:tcPr>
                <w:p>
                  <w:pPr>
                    <w:pStyle w:val="36"/>
                    <w:jc w:val="center"/>
                    <w:rPr>
                      <w:sz w:val="21"/>
                      <w:szCs w:val="21"/>
                    </w:rPr>
                  </w:pPr>
                </w:p>
              </w:tc>
              <w:tc>
                <w:tcPr>
                  <w:tcW w:w="662" w:type="pct"/>
                  <w:gridSpan w:val="2"/>
                  <w:vAlign w:val="center"/>
                </w:tcPr>
                <w:p>
                  <w:pPr>
                    <w:pStyle w:val="36"/>
                    <w:jc w:val="center"/>
                    <w:rPr>
                      <w:sz w:val="21"/>
                      <w:szCs w:val="21"/>
                    </w:rPr>
                  </w:pPr>
                  <w:r>
                    <w:rPr>
                      <w:sz w:val="21"/>
                      <w:szCs w:val="21"/>
                    </w:rPr>
                    <w:t>0.8</w:t>
                  </w:r>
                </w:p>
              </w:tc>
              <w:tc>
                <w:tcPr>
                  <w:tcW w:w="511" w:type="pct"/>
                  <w:vAlign w:val="center"/>
                </w:tcPr>
                <w:p>
                  <w:pPr>
                    <w:pStyle w:val="36"/>
                    <w:jc w:val="center"/>
                    <w:rPr>
                      <w:sz w:val="21"/>
                      <w:szCs w:val="21"/>
                    </w:rPr>
                  </w:pPr>
                  <w:r>
                    <w:rPr>
                      <w:sz w:val="21"/>
                      <w:szCs w:val="21"/>
                    </w:rPr>
                    <w:t>0.1</w:t>
                  </w:r>
                </w:p>
              </w:tc>
              <w:tc>
                <w:tcPr>
                  <w:tcW w:w="759" w:type="pct"/>
                  <w:vAlign w:val="center"/>
                </w:tcPr>
                <w:p>
                  <w:pPr>
                    <w:pStyle w:val="36"/>
                    <w:jc w:val="center"/>
                    <w:rPr>
                      <w:sz w:val="21"/>
                      <w:szCs w:val="21"/>
                    </w:rPr>
                  </w:pPr>
                  <w:r>
                    <w:rPr>
                      <w:sz w:val="21"/>
                      <w:szCs w:val="21"/>
                    </w:rPr>
                    <w:t>0.002</w:t>
                  </w:r>
                </w:p>
              </w:tc>
              <w:tc>
                <w:tcPr>
                  <w:tcW w:w="355" w:type="pct"/>
                  <w:vAlign w:val="center"/>
                </w:tcPr>
                <w:p>
                  <w:pPr>
                    <w:pStyle w:val="36"/>
                    <w:jc w:val="center"/>
                    <w:rPr>
                      <w:sz w:val="21"/>
                      <w:szCs w:val="21"/>
                    </w:rPr>
                  </w:pPr>
                  <w:r>
                    <w:rPr>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574" w:type="pct"/>
                  <w:vMerge w:val="continue"/>
                  <w:vAlign w:val="center"/>
                </w:tcPr>
                <w:p>
                  <w:pPr>
                    <w:pStyle w:val="36"/>
                    <w:jc w:val="center"/>
                    <w:rPr>
                      <w:sz w:val="21"/>
                      <w:szCs w:val="21"/>
                    </w:rPr>
                  </w:pPr>
                </w:p>
              </w:tc>
              <w:tc>
                <w:tcPr>
                  <w:tcW w:w="575" w:type="pct"/>
                  <w:vAlign w:val="center"/>
                </w:tcPr>
                <w:p>
                  <w:pPr>
                    <w:pStyle w:val="36"/>
                    <w:jc w:val="center"/>
                    <w:rPr>
                      <w:sz w:val="21"/>
                      <w:szCs w:val="21"/>
                    </w:rPr>
                  </w:pPr>
                  <w:r>
                    <w:rPr>
                      <w:sz w:val="21"/>
                      <w:szCs w:val="21"/>
                    </w:rPr>
                    <w:t>SO</w:t>
                  </w:r>
                  <w:r>
                    <w:rPr>
                      <w:sz w:val="21"/>
                      <w:szCs w:val="21"/>
                      <w:vertAlign w:val="subscript"/>
                    </w:rPr>
                    <w:t>2</w:t>
                  </w:r>
                </w:p>
              </w:tc>
              <w:tc>
                <w:tcPr>
                  <w:tcW w:w="567" w:type="pct"/>
                  <w:vAlign w:val="center"/>
                </w:tcPr>
                <w:p>
                  <w:pPr>
                    <w:pStyle w:val="36"/>
                    <w:jc w:val="center"/>
                    <w:rPr>
                      <w:sz w:val="21"/>
                      <w:szCs w:val="21"/>
                    </w:rPr>
                  </w:pPr>
                  <w:r>
                    <w:rPr>
                      <w:sz w:val="21"/>
                      <w:szCs w:val="21"/>
                    </w:rPr>
                    <w:t>54.48</w:t>
                  </w:r>
                </w:p>
              </w:tc>
              <w:tc>
                <w:tcPr>
                  <w:tcW w:w="538" w:type="pct"/>
                  <w:vAlign w:val="center"/>
                </w:tcPr>
                <w:p>
                  <w:pPr>
                    <w:pStyle w:val="36"/>
                    <w:jc w:val="center"/>
                    <w:rPr>
                      <w:sz w:val="21"/>
                      <w:szCs w:val="21"/>
                    </w:rPr>
                  </w:pPr>
                  <w:r>
                    <w:rPr>
                      <w:sz w:val="21"/>
                      <w:szCs w:val="21"/>
                    </w:rPr>
                    <w:t>0.136</w:t>
                  </w:r>
                </w:p>
              </w:tc>
              <w:tc>
                <w:tcPr>
                  <w:tcW w:w="454" w:type="pct"/>
                  <w:vMerge w:val="continue"/>
                  <w:vAlign w:val="center"/>
                </w:tcPr>
                <w:p>
                  <w:pPr>
                    <w:pStyle w:val="36"/>
                    <w:jc w:val="center"/>
                    <w:rPr>
                      <w:sz w:val="21"/>
                      <w:szCs w:val="21"/>
                    </w:rPr>
                  </w:pPr>
                </w:p>
              </w:tc>
              <w:tc>
                <w:tcPr>
                  <w:tcW w:w="662" w:type="pct"/>
                  <w:gridSpan w:val="2"/>
                  <w:vAlign w:val="center"/>
                </w:tcPr>
                <w:p>
                  <w:pPr>
                    <w:pStyle w:val="36"/>
                    <w:jc w:val="center"/>
                    <w:rPr>
                      <w:sz w:val="21"/>
                      <w:szCs w:val="21"/>
                    </w:rPr>
                  </w:pPr>
                  <w:r>
                    <w:rPr>
                      <w:sz w:val="21"/>
                      <w:szCs w:val="21"/>
                    </w:rPr>
                    <w:t>10.89</w:t>
                  </w:r>
                </w:p>
              </w:tc>
              <w:tc>
                <w:tcPr>
                  <w:tcW w:w="511" w:type="pct"/>
                  <w:vAlign w:val="center"/>
                </w:tcPr>
                <w:p>
                  <w:pPr>
                    <w:pStyle w:val="36"/>
                    <w:jc w:val="center"/>
                    <w:rPr>
                      <w:sz w:val="21"/>
                      <w:szCs w:val="21"/>
                    </w:rPr>
                  </w:pPr>
                  <w:r>
                    <w:rPr>
                      <w:sz w:val="21"/>
                      <w:szCs w:val="21"/>
                    </w:rPr>
                    <w:t>0.136</w:t>
                  </w:r>
                </w:p>
              </w:tc>
              <w:tc>
                <w:tcPr>
                  <w:tcW w:w="759" w:type="pct"/>
                  <w:vAlign w:val="center"/>
                </w:tcPr>
                <w:p>
                  <w:pPr>
                    <w:pStyle w:val="36"/>
                    <w:jc w:val="center"/>
                    <w:rPr>
                      <w:sz w:val="21"/>
                      <w:szCs w:val="21"/>
                    </w:rPr>
                  </w:pPr>
                  <w:r>
                    <w:rPr>
                      <w:sz w:val="21"/>
                      <w:szCs w:val="21"/>
                    </w:rPr>
                    <w:t>0.018</w:t>
                  </w:r>
                </w:p>
              </w:tc>
              <w:tc>
                <w:tcPr>
                  <w:tcW w:w="355" w:type="pct"/>
                  <w:vAlign w:val="center"/>
                </w:tcPr>
                <w:p>
                  <w:pPr>
                    <w:pStyle w:val="36"/>
                    <w:jc w:val="center"/>
                    <w:rPr>
                      <w:sz w:val="21"/>
                      <w:szCs w:val="21"/>
                    </w:rPr>
                  </w:pPr>
                  <w:r>
                    <w:rPr>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574" w:type="pct"/>
                  <w:vMerge w:val="continue"/>
                  <w:vAlign w:val="center"/>
                </w:tcPr>
                <w:p>
                  <w:pPr>
                    <w:pStyle w:val="36"/>
                    <w:jc w:val="center"/>
                    <w:rPr>
                      <w:sz w:val="21"/>
                      <w:szCs w:val="21"/>
                    </w:rPr>
                  </w:pPr>
                </w:p>
              </w:tc>
              <w:tc>
                <w:tcPr>
                  <w:tcW w:w="575" w:type="pct"/>
                  <w:vAlign w:val="center"/>
                </w:tcPr>
                <w:p>
                  <w:pPr>
                    <w:pStyle w:val="36"/>
                    <w:jc w:val="center"/>
                    <w:rPr>
                      <w:sz w:val="21"/>
                      <w:szCs w:val="21"/>
                    </w:rPr>
                  </w:pPr>
                  <w:r>
                    <w:rPr>
                      <w:sz w:val="21"/>
                      <w:szCs w:val="21"/>
                    </w:rPr>
                    <w:t>NOx</w:t>
                  </w:r>
                </w:p>
              </w:tc>
              <w:tc>
                <w:tcPr>
                  <w:tcW w:w="567" w:type="pct"/>
                  <w:vAlign w:val="center"/>
                </w:tcPr>
                <w:p>
                  <w:pPr>
                    <w:pStyle w:val="36"/>
                    <w:jc w:val="center"/>
                    <w:rPr>
                      <w:sz w:val="21"/>
                      <w:szCs w:val="21"/>
                    </w:rPr>
                  </w:pPr>
                  <w:r>
                    <w:rPr>
                      <w:sz w:val="21"/>
                      <w:szCs w:val="21"/>
                    </w:rPr>
                    <w:t>163.46</w:t>
                  </w:r>
                </w:p>
              </w:tc>
              <w:tc>
                <w:tcPr>
                  <w:tcW w:w="538" w:type="pct"/>
                  <w:vAlign w:val="center"/>
                </w:tcPr>
                <w:p>
                  <w:pPr>
                    <w:pStyle w:val="36"/>
                    <w:jc w:val="center"/>
                    <w:rPr>
                      <w:sz w:val="21"/>
                      <w:szCs w:val="21"/>
                    </w:rPr>
                  </w:pPr>
                  <w:r>
                    <w:rPr>
                      <w:sz w:val="21"/>
                      <w:szCs w:val="21"/>
                    </w:rPr>
                    <w:t>0.2</w:t>
                  </w:r>
                </w:p>
              </w:tc>
              <w:tc>
                <w:tcPr>
                  <w:tcW w:w="454" w:type="pct"/>
                  <w:vMerge w:val="continue"/>
                  <w:vAlign w:val="center"/>
                </w:tcPr>
                <w:p>
                  <w:pPr>
                    <w:pStyle w:val="36"/>
                    <w:jc w:val="center"/>
                    <w:rPr>
                      <w:sz w:val="21"/>
                      <w:szCs w:val="21"/>
                    </w:rPr>
                  </w:pPr>
                </w:p>
              </w:tc>
              <w:tc>
                <w:tcPr>
                  <w:tcW w:w="662" w:type="pct"/>
                  <w:gridSpan w:val="2"/>
                  <w:vAlign w:val="center"/>
                </w:tcPr>
                <w:p>
                  <w:pPr>
                    <w:pStyle w:val="36"/>
                    <w:jc w:val="center"/>
                    <w:rPr>
                      <w:sz w:val="21"/>
                      <w:szCs w:val="21"/>
                    </w:rPr>
                  </w:pPr>
                  <w:r>
                    <w:rPr>
                      <w:sz w:val="21"/>
                      <w:szCs w:val="21"/>
                    </w:rPr>
                    <w:t>163.46</w:t>
                  </w:r>
                </w:p>
              </w:tc>
              <w:tc>
                <w:tcPr>
                  <w:tcW w:w="511" w:type="pct"/>
                  <w:vAlign w:val="center"/>
                </w:tcPr>
                <w:p>
                  <w:pPr>
                    <w:pStyle w:val="36"/>
                    <w:jc w:val="center"/>
                    <w:rPr>
                      <w:sz w:val="21"/>
                      <w:szCs w:val="21"/>
                    </w:rPr>
                  </w:pPr>
                  <w:r>
                    <w:rPr>
                      <w:sz w:val="21"/>
                      <w:szCs w:val="21"/>
                    </w:rPr>
                    <w:t>0.2</w:t>
                  </w:r>
                </w:p>
              </w:tc>
              <w:tc>
                <w:tcPr>
                  <w:tcW w:w="759" w:type="pct"/>
                  <w:vAlign w:val="center"/>
                </w:tcPr>
                <w:p>
                  <w:pPr>
                    <w:pStyle w:val="36"/>
                    <w:jc w:val="center"/>
                    <w:rPr>
                      <w:sz w:val="21"/>
                      <w:szCs w:val="21"/>
                    </w:rPr>
                  </w:pPr>
                  <w:r>
                    <w:rPr>
                      <w:sz w:val="21"/>
                      <w:szCs w:val="21"/>
                    </w:rPr>
                    <w:t>0.31</w:t>
                  </w:r>
                </w:p>
              </w:tc>
              <w:tc>
                <w:tcPr>
                  <w:tcW w:w="355" w:type="pct"/>
                  <w:vAlign w:val="center"/>
                </w:tcPr>
                <w:p>
                  <w:pPr>
                    <w:pStyle w:val="36"/>
                    <w:jc w:val="center"/>
                    <w:rPr>
                      <w:sz w:val="21"/>
                      <w:szCs w:val="21"/>
                    </w:rPr>
                  </w:pPr>
                  <w:r>
                    <w:rPr>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574" w:type="pct"/>
                  <w:vMerge w:val="continue"/>
                  <w:vAlign w:val="center"/>
                </w:tcPr>
                <w:p>
                  <w:pPr>
                    <w:pStyle w:val="36"/>
                    <w:jc w:val="center"/>
                    <w:rPr>
                      <w:sz w:val="21"/>
                      <w:szCs w:val="21"/>
                    </w:rPr>
                  </w:pPr>
                </w:p>
              </w:tc>
              <w:tc>
                <w:tcPr>
                  <w:tcW w:w="575" w:type="pct"/>
                  <w:vAlign w:val="center"/>
                </w:tcPr>
                <w:p>
                  <w:pPr>
                    <w:pStyle w:val="36"/>
                    <w:jc w:val="center"/>
                    <w:rPr>
                      <w:sz w:val="21"/>
                      <w:szCs w:val="21"/>
                    </w:rPr>
                  </w:pPr>
                  <w:r>
                    <w:rPr>
                      <w:sz w:val="21"/>
                      <w:szCs w:val="21"/>
                    </w:rPr>
                    <w:t>黑度</w:t>
                  </w:r>
                </w:p>
              </w:tc>
              <w:tc>
                <w:tcPr>
                  <w:tcW w:w="1106" w:type="pct"/>
                  <w:gridSpan w:val="2"/>
                  <w:vAlign w:val="center"/>
                </w:tcPr>
                <w:p>
                  <w:pPr>
                    <w:pStyle w:val="36"/>
                    <w:jc w:val="center"/>
                    <w:rPr>
                      <w:sz w:val="21"/>
                      <w:szCs w:val="21"/>
                    </w:rPr>
                  </w:pPr>
                  <w:r>
                    <w:rPr>
                      <w:sz w:val="21"/>
                      <w:szCs w:val="21"/>
                    </w:rPr>
                    <w:t>1级</w:t>
                  </w:r>
                </w:p>
              </w:tc>
              <w:tc>
                <w:tcPr>
                  <w:tcW w:w="454" w:type="pct"/>
                  <w:vMerge w:val="continue"/>
                  <w:vAlign w:val="center"/>
                </w:tcPr>
                <w:p>
                  <w:pPr>
                    <w:pStyle w:val="36"/>
                    <w:jc w:val="center"/>
                    <w:rPr>
                      <w:sz w:val="21"/>
                      <w:szCs w:val="21"/>
                    </w:rPr>
                  </w:pPr>
                </w:p>
              </w:tc>
              <w:tc>
                <w:tcPr>
                  <w:tcW w:w="1933" w:type="pct"/>
                  <w:gridSpan w:val="4"/>
                  <w:vAlign w:val="center"/>
                </w:tcPr>
                <w:p>
                  <w:pPr>
                    <w:pStyle w:val="36"/>
                    <w:jc w:val="center"/>
                    <w:rPr>
                      <w:sz w:val="21"/>
                      <w:szCs w:val="21"/>
                    </w:rPr>
                  </w:pPr>
                  <w:r>
                    <w:rPr>
                      <w:sz w:val="21"/>
                      <w:szCs w:val="21"/>
                    </w:rPr>
                    <w:t>1级</w:t>
                  </w:r>
                </w:p>
              </w:tc>
              <w:tc>
                <w:tcPr>
                  <w:tcW w:w="355" w:type="pct"/>
                  <w:vAlign w:val="center"/>
                </w:tcPr>
                <w:p>
                  <w:pPr>
                    <w:pStyle w:val="36"/>
                    <w:jc w:val="center"/>
                    <w:rPr>
                      <w:sz w:val="21"/>
                      <w:szCs w:val="21"/>
                    </w:rPr>
                  </w:pPr>
                  <w:r>
                    <w:rPr>
                      <w:sz w:val="21"/>
                      <w:szCs w:val="21"/>
                    </w:rPr>
                    <w:t>1级</w:t>
                  </w:r>
                </w:p>
              </w:tc>
            </w:tr>
          </w:tbl>
          <w:p>
            <w:pPr>
              <w:pStyle w:val="36"/>
              <w:spacing w:line="360" w:lineRule="auto"/>
              <w:ind w:firstLine="480" w:firstLineChars="200"/>
              <w:jc w:val="both"/>
              <w:rPr>
                <w:sz w:val="24"/>
                <w:szCs w:val="24"/>
              </w:rPr>
            </w:pPr>
            <w:r>
              <w:rPr>
                <w:sz w:val="24"/>
                <w:szCs w:val="24"/>
              </w:rPr>
              <w:t>生物质燃煤锅炉产生废气量为188.4万Nm</w:t>
            </w:r>
            <w:r>
              <w:rPr>
                <w:sz w:val="24"/>
                <w:szCs w:val="24"/>
                <w:vertAlign w:val="superscript"/>
              </w:rPr>
              <w:t>3</w:t>
            </w:r>
            <w:r>
              <w:rPr>
                <w:sz w:val="24"/>
                <w:szCs w:val="24"/>
              </w:rPr>
              <w:t>/a，NO</w:t>
            </w:r>
            <w:r>
              <w:rPr>
                <w:sz w:val="24"/>
                <w:szCs w:val="24"/>
                <w:vertAlign w:val="subscript"/>
              </w:rPr>
              <w:t>X</w:t>
            </w:r>
            <w:r>
              <w:rPr>
                <w:sz w:val="24"/>
                <w:szCs w:val="24"/>
              </w:rPr>
              <w:t>排放量为0.31t/a，SO</w:t>
            </w:r>
            <w:r>
              <w:rPr>
                <w:sz w:val="24"/>
                <w:szCs w:val="24"/>
                <w:vertAlign w:val="subscript"/>
              </w:rPr>
              <w:t>2</w:t>
            </w:r>
            <w:r>
              <w:rPr>
                <w:sz w:val="24"/>
                <w:szCs w:val="24"/>
              </w:rPr>
              <w:t>排放量为0.103t/a，颗粒物的排放量为0.152t/a。 “湿式脱硫+布袋除尘”处理后，产生废气量为188.4万m</w:t>
            </w:r>
            <w:r>
              <w:rPr>
                <w:sz w:val="24"/>
                <w:szCs w:val="24"/>
                <w:vertAlign w:val="superscript"/>
              </w:rPr>
              <w:t>3</w:t>
            </w:r>
            <w:r>
              <w:rPr>
                <w:sz w:val="24"/>
                <w:szCs w:val="24"/>
              </w:rPr>
              <w:t>/a，NO</w:t>
            </w:r>
            <w:r>
              <w:rPr>
                <w:sz w:val="24"/>
                <w:szCs w:val="24"/>
                <w:vertAlign w:val="subscript"/>
              </w:rPr>
              <w:t>X</w:t>
            </w:r>
            <w:r>
              <w:rPr>
                <w:sz w:val="24"/>
                <w:szCs w:val="24"/>
              </w:rPr>
              <w:t>排放量为0.31t/a，SO</w:t>
            </w:r>
            <w:r>
              <w:rPr>
                <w:sz w:val="24"/>
                <w:szCs w:val="24"/>
                <w:vertAlign w:val="subscript"/>
              </w:rPr>
              <w:t>2</w:t>
            </w:r>
            <w:r>
              <w:rPr>
                <w:sz w:val="24"/>
                <w:szCs w:val="24"/>
              </w:rPr>
              <w:t>排放量为0.018t/a，颗粒物的排放量为0.002t/a。</w:t>
            </w:r>
          </w:p>
          <w:p>
            <w:pPr>
              <w:pStyle w:val="36"/>
              <w:spacing w:line="360" w:lineRule="auto"/>
              <w:ind w:firstLine="480" w:firstLineChars="200"/>
              <w:jc w:val="both"/>
              <w:rPr>
                <w:sz w:val="24"/>
              </w:rPr>
            </w:pPr>
            <w:r>
              <w:rPr>
                <w:sz w:val="24"/>
              </w:rPr>
              <w:t>锅炉废气经过处理后废气排放浓度满足《锅炉大气污染物排放标准》（GB13271-2014）中燃煤锅炉要求（生物质锅炉参照燃煤锅炉标准）。</w:t>
            </w:r>
          </w:p>
          <w:p>
            <w:pPr>
              <w:pStyle w:val="36"/>
              <w:numPr>
                <w:ilvl w:val="0"/>
                <w:numId w:val="10"/>
              </w:numPr>
              <w:spacing w:line="360" w:lineRule="auto"/>
              <w:jc w:val="both"/>
              <w:rPr>
                <w:b/>
                <w:bCs/>
                <w:sz w:val="24"/>
                <w:szCs w:val="24"/>
              </w:rPr>
            </w:pPr>
            <w:r>
              <w:rPr>
                <w:b/>
                <w:bCs/>
                <w:sz w:val="24"/>
                <w:szCs w:val="24"/>
              </w:rPr>
              <w:t>使用农药产生的异味（G2）</w:t>
            </w:r>
          </w:p>
          <w:p>
            <w:pPr>
              <w:pStyle w:val="36"/>
              <w:spacing w:line="360" w:lineRule="auto"/>
              <w:ind w:firstLine="480" w:firstLineChars="200"/>
              <w:jc w:val="both"/>
              <w:rPr>
                <w:sz w:val="24"/>
                <w:szCs w:val="24"/>
              </w:rPr>
            </w:pPr>
            <w:r>
              <w:rPr>
                <w:sz w:val="24"/>
                <w:szCs w:val="24"/>
              </w:rPr>
              <w:t>项目进行病虫害防治时，会使用一些轻度农药百草枯进行杀虫，符合《农药管理条例》，此农药都是风光分解和低残留药物，且农药使用量较小。对周边环境影响较小。</w:t>
            </w:r>
          </w:p>
          <w:p>
            <w:pPr>
              <w:pStyle w:val="12"/>
              <w:numPr>
                <w:ilvl w:val="0"/>
                <w:numId w:val="10"/>
              </w:numPr>
              <w:spacing w:line="360" w:lineRule="auto"/>
              <w:rPr>
                <w:rFonts w:ascii="Times New Roman" w:hAnsi="Times New Roman"/>
                <w:b/>
                <w:bCs/>
                <w:sz w:val="24"/>
              </w:rPr>
            </w:pPr>
            <w:r>
              <w:rPr>
                <w:rFonts w:ascii="Times New Roman" w:hAnsi="Times New Roman"/>
                <w:b/>
                <w:bCs/>
                <w:sz w:val="24"/>
              </w:rPr>
              <w:t>极少量制冷剂（G3）</w:t>
            </w:r>
          </w:p>
          <w:p>
            <w:pPr>
              <w:pStyle w:val="36"/>
              <w:spacing w:line="360" w:lineRule="auto"/>
              <w:ind w:firstLine="480" w:firstLineChars="200"/>
              <w:jc w:val="both"/>
              <w:rPr>
                <w:sz w:val="24"/>
                <w:szCs w:val="24"/>
              </w:rPr>
            </w:pPr>
            <w:r>
              <w:rPr>
                <w:sz w:val="24"/>
                <w:szCs w:val="24"/>
              </w:rPr>
              <w:t>本项目制冷剂采用三氟乙烷R404A，制冷设备采用上进下出的方式制冷剂循环使用。制冷剂输送采用管道输送方式，密闭性较好，但与管道连接处、膨胀阀等连接处都会有极少量的制冷剂泄漏，无组织排放。由于冷库使用时间较少，制冷剂泄漏量极小，对周边环境影响较小。</w:t>
            </w:r>
          </w:p>
          <w:p>
            <w:pPr>
              <w:pStyle w:val="36"/>
              <w:numPr>
                <w:ilvl w:val="0"/>
                <w:numId w:val="10"/>
              </w:numPr>
              <w:spacing w:line="360" w:lineRule="auto"/>
              <w:jc w:val="both"/>
              <w:rPr>
                <w:b/>
                <w:bCs/>
                <w:kern w:val="2"/>
                <w:sz w:val="24"/>
                <w:szCs w:val="24"/>
              </w:rPr>
            </w:pPr>
            <w:r>
              <w:rPr>
                <w:b/>
                <w:bCs/>
                <w:kern w:val="2"/>
                <w:sz w:val="24"/>
                <w:szCs w:val="24"/>
              </w:rPr>
              <w:t>食堂油烟净化设施</w:t>
            </w:r>
          </w:p>
          <w:p>
            <w:pPr>
              <w:pStyle w:val="36"/>
              <w:spacing w:line="360" w:lineRule="auto"/>
              <w:ind w:firstLine="480" w:firstLineChars="200"/>
              <w:jc w:val="both"/>
              <w:rPr>
                <w:sz w:val="24"/>
                <w:szCs w:val="24"/>
              </w:rPr>
            </w:pPr>
            <w:r>
              <w:rPr>
                <w:sz w:val="24"/>
                <w:szCs w:val="24"/>
              </w:rPr>
              <w:t>项目全年在厂区用餐人数为28人，食堂设置1个灶台，热源为电，属于清洁能源。因此，食堂产生的废气主要为烹饪时产生的油烟废气，根据类比调查，每人每日消耗动植物油以0.01kg/d 计，在烹饪时挥发损失约3%，则消耗食用油 0.35kg/d，产生废气含油量约10.5g/d。食堂按1个基准灶头计算，每天运营时间为2h，则该项目油烟排放量为5.25g/h，抽油烟机排风量为 1200m</w:t>
            </w:r>
            <w:r>
              <w:rPr>
                <w:sz w:val="24"/>
                <w:szCs w:val="24"/>
                <w:vertAlign w:val="superscript"/>
              </w:rPr>
              <w:t>3</w:t>
            </w:r>
            <w:r>
              <w:rPr>
                <w:sz w:val="24"/>
                <w:szCs w:val="24"/>
              </w:rPr>
              <w:t xml:space="preserve"> /h，油烟浓度（未处理前）为4.375mg/m</w:t>
            </w:r>
            <w:r>
              <w:rPr>
                <w:sz w:val="24"/>
                <w:szCs w:val="24"/>
                <w:vertAlign w:val="superscript"/>
              </w:rPr>
              <w:t>3</w:t>
            </w:r>
            <w:r>
              <w:rPr>
                <w:sz w:val="24"/>
                <w:szCs w:val="24"/>
              </w:rPr>
              <w:t>，安装高效油烟净化器1套，净化效率不低于 60%，处理后的油烟浓度为1.75mg/m</w:t>
            </w:r>
            <w:r>
              <w:rPr>
                <w:sz w:val="24"/>
                <w:szCs w:val="24"/>
                <w:vertAlign w:val="superscript"/>
              </w:rPr>
              <w:t>3</w:t>
            </w:r>
            <w:r>
              <w:rPr>
                <w:sz w:val="24"/>
                <w:szCs w:val="24"/>
              </w:rPr>
              <w:t>，通过食堂专用烟道引至楼顶排放，对大气环境影响较小。</w:t>
            </w:r>
          </w:p>
          <w:p>
            <w:pPr>
              <w:pStyle w:val="36"/>
              <w:spacing w:line="360" w:lineRule="auto"/>
              <w:ind w:left="480"/>
              <w:rPr>
                <w:b/>
                <w:bCs/>
                <w:sz w:val="24"/>
                <w:szCs w:val="24"/>
              </w:rPr>
            </w:pPr>
            <w:r>
              <w:rPr>
                <w:b/>
                <w:bCs/>
                <w:sz w:val="24"/>
                <w:szCs w:val="24"/>
              </w:rPr>
              <w:t>（2）废气污染防治措施</w:t>
            </w:r>
          </w:p>
          <w:p>
            <w:pPr>
              <w:spacing w:line="360" w:lineRule="auto"/>
              <w:ind w:firstLine="480" w:firstLineChars="200"/>
              <w:rPr>
                <w:sz w:val="24"/>
              </w:rPr>
            </w:pPr>
            <w:r>
              <w:rPr>
                <w:sz w:val="24"/>
              </w:rPr>
              <w:t>锅炉废气及防治措施：</w:t>
            </w:r>
          </w:p>
          <w:p>
            <w:pPr>
              <w:spacing w:line="360" w:lineRule="auto"/>
              <w:ind w:firstLine="480" w:firstLineChars="200"/>
              <w:rPr>
                <w:sz w:val="24"/>
              </w:rPr>
            </w:pPr>
            <w:r>
              <w:rPr>
                <w:sz w:val="24"/>
              </w:rPr>
              <w:t>改进锅炉的通风设备。充足的空气可以保证燃料的充分燃烧，从而避免燃料燃烧可能出现的不完全燃烧。</w:t>
            </w:r>
          </w:p>
          <w:p>
            <w:pPr>
              <w:spacing w:line="360" w:lineRule="auto"/>
              <w:ind w:firstLine="480" w:firstLineChars="200"/>
              <w:rPr>
                <w:sz w:val="24"/>
              </w:rPr>
            </w:pPr>
            <w:r>
              <w:rPr>
                <w:sz w:val="24"/>
              </w:rPr>
              <w:t>输送制冷剂的管道应采用较好的密封方式。</w:t>
            </w:r>
          </w:p>
          <w:p>
            <w:pPr>
              <w:spacing w:line="360" w:lineRule="auto"/>
              <w:ind w:firstLine="480" w:firstLineChars="200"/>
              <w:rPr>
                <w:sz w:val="24"/>
              </w:rPr>
            </w:pPr>
            <w:r>
              <w:rPr>
                <w:sz w:val="24"/>
              </w:rPr>
              <w:t>确保净化设备高效稳定运行。</w:t>
            </w:r>
          </w:p>
          <w:p>
            <w:pPr>
              <w:spacing w:line="360" w:lineRule="auto"/>
              <w:ind w:firstLine="480" w:firstLineChars="200"/>
              <w:rPr>
                <w:sz w:val="24"/>
              </w:rPr>
            </w:pPr>
            <w:r>
              <w:rPr>
                <w:sz w:val="24"/>
              </w:rPr>
              <w:t>在生物质锅炉房内设置</w:t>
            </w:r>
            <w:r>
              <w:rPr>
                <w:sz w:val="24"/>
                <w:lang w:bidi="ar"/>
              </w:rPr>
              <w:t>“湿式脱硫+布袋除尘”设备</w:t>
            </w:r>
            <w:r>
              <w:rPr>
                <w:sz w:val="24"/>
              </w:rPr>
              <w:t>，然后通过40m排气筒高空排放；</w:t>
            </w:r>
          </w:p>
          <w:p>
            <w:pPr>
              <w:pStyle w:val="12"/>
              <w:spacing w:line="360" w:lineRule="auto"/>
              <w:rPr>
                <w:rFonts w:ascii="Times New Roman" w:hAnsi="Times New Roman"/>
                <w:sz w:val="24"/>
              </w:rPr>
            </w:pPr>
            <w:r>
              <w:rPr>
                <w:rFonts w:ascii="Times New Roman" w:hAnsi="Times New Roman"/>
                <w:sz w:val="24"/>
              </w:rPr>
              <w:t xml:space="preserve">    根据《锅炉大气污染物排放标准》（GB13271－2014）要求，本项目共设置1根排气筒，生物质锅炉设置排气筒40m。</w:t>
            </w:r>
          </w:p>
          <w:p>
            <w:pPr>
              <w:spacing w:line="360" w:lineRule="auto"/>
              <w:ind w:firstLine="482" w:firstLineChars="200"/>
              <w:rPr>
                <w:b/>
                <w:bCs/>
                <w:sz w:val="24"/>
              </w:rPr>
            </w:pPr>
            <w:r>
              <w:rPr>
                <w:b/>
                <w:bCs/>
                <w:sz w:val="24"/>
              </w:rPr>
              <w:t>（3）大气环境影响评价结论</w:t>
            </w:r>
          </w:p>
          <w:p>
            <w:pPr>
              <w:spacing w:line="360" w:lineRule="auto"/>
              <w:ind w:firstLine="480" w:firstLineChars="200"/>
              <w:rPr>
                <w:sz w:val="24"/>
                <w:lang w:bidi="ar"/>
              </w:rPr>
            </w:pPr>
            <w:r>
              <w:rPr>
                <w:sz w:val="24"/>
                <w:lang w:bidi="ar"/>
              </w:rPr>
              <w:t>本项目生产过程中产生的废气均得到有效处理，治理措施针对性较强，能够实现达标排放，对周边环境影响较小。</w:t>
            </w:r>
          </w:p>
          <w:p>
            <w:pPr>
              <w:pStyle w:val="13"/>
              <w:numPr>
                <w:ilvl w:val="0"/>
                <w:numId w:val="11"/>
              </w:numPr>
              <w:spacing w:line="360" w:lineRule="auto"/>
              <w:jc w:val="both"/>
              <w:rPr>
                <w:rFonts w:ascii="Times New Roman"/>
                <w:color w:val="auto"/>
                <w:lang w:bidi="ar"/>
              </w:rPr>
            </w:pPr>
            <w:r>
              <w:rPr>
                <w:rFonts w:ascii="Times New Roman"/>
                <w:color w:val="auto"/>
                <w:lang w:bidi="ar"/>
              </w:rPr>
              <w:t>锅炉废气</w:t>
            </w:r>
          </w:p>
          <w:p>
            <w:pPr>
              <w:pStyle w:val="12"/>
              <w:spacing w:line="360" w:lineRule="auto"/>
              <w:ind w:firstLine="480" w:firstLineChars="200"/>
              <w:rPr>
                <w:rFonts w:ascii="Times New Roman" w:hAnsi="Times New Roman"/>
                <w:sz w:val="24"/>
                <w:lang w:bidi="ar"/>
              </w:rPr>
            </w:pPr>
            <w:r>
              <w:rPr>
                <w:rFonts w:ascii="Times New Roman" w:hAnsi="Times New Roman"/>
                <w:sz w:val="24"/>
              </w:rPr>
              <w:t>本项目生物质锅炉产生废气量为188.4万m</w:t>
            </w:r>
            <w:r>
              <w:rPr>
                <w:rFonts w:ascii="Times New Roman" w:hAnsi="Times New Roman"/>
                <w:sz w:val="24"/>
                <w:vertAlign w:val="superscript"/>
              </w:rPr>
              <w:t>3</w:t>
            </w:r>
            <w:r>
              <w:rPr>
                <w:rFonts w:ascii="Times New Roman" w:hAnsi="Times New Roman"/>
                <w:sz w:val="24"/>
              </w:rPr>
              <w:t>/a，NO</w:t>
            </w:r>
            <w:r>
              <w:rPr>
                <w:rFonts w:ascii="Times New Roman" w:hAnsi="Times New Roman"/>
                <w:sz w:val="24"/>
                <w:vertAlign w:val="subscript"/>
              </w:rPr>
              <w:t>X</w:t>
            </w:r>
            <w:r>
              <w:rPr>
                <w:rFonts w:ascii="Times New Roman" w:hAnsi="Times New Roman"/>
                <w:sz w:val="24"/>
              </w:rPr>
              <w:t>排放量为0.31t/a，SO</w:t>
            </w:r>
            <w:r>
              <w:rPr>
                <w:rFonts w:ascii="Times New Roman" w:hAnsi="Times New Roman"/>
                <w:sz w:val="24"/>
                <w:vertAlign w:val="subscript"/>
              </w:rPr>
              <w:t>2</w:t>
            </w:r>
            <w:r>
              <w:rPr>
                <w:rFonts w:ascii="Times New Roman" w:hAnsi="Times New Roman"/>
                <w:sz w:val="24"/>
              </w:rPr>
              <w:t>排放量为0.018t/a，颗粒物的排放量为0.002t/a。</w:t>
            </w:r>
            <w:r>
              <w:rPr>
                <w:rFonts w:ascii="Times New Roman" w:hAnsi="Times New Roman"/>
                <w:sz w:val="24"/>
                <w:lang w:bidi="ar"/>
              </w:rPr>
              <w:t>排放浓度满足《锅炉大气污染物排放标准》（GB13271-2014）中燃煤锅炉要求，达标排放，对周边环境影响较小。</w:t>
            </w:r>
          </w:p>
          <w:p>
            <w:pPr>
              <w:pStyle w:val="13"/>
              <w:ind w:firstLine="2650" w:firstLineChars="1100"/>
              <w:rPr>
                <w:rFonts w:ascii="Times New Roman"/>
                <w:b/>
                <w:color w:val="auto"/>
              </w:rPr>
            </w:pPr>
            <w:r>
              <w:rPr>
                <w:rFonts w:ascii="Times New Roman"/>
                <w:b/>
                <w:color w:val="auto"/>
                <w:lang w:bidi="ar"/>
              </w:rPr>
              <w:t>4-2 锅炉废气排放达标分析（单位mg/m</w:t>
            </w:r>
            <w:r>
              <w:rPr>
                <w:rFonts w:ascii="Times New Roman"/>
                <w:b/>
                <w:color w:val="auto"/>
                <w:vertAlign w:val="superscript"/>
                <w:lang w:bidi="ar"/>
              </w:rPr>
              <w:t>3</w:t>
            </w:r>
            <w:r>
              <w:rPr>
                <w:rFonts w:ascii="Times New Roman"/>
                <w:b/>
                <w:color w:val="auto"/>
                <w:lang w:bidi="ar"/>
              </w:rPr>
              <w:t>）</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7"/>
              <w:gridCol w:w="1255"/>
              <w:gridCol w:w="1360"/>
              <w:gridCol w:w="1267"/>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733" w:type="pct"/>
                  <w:vAlign w:val="center"/>
                </w:tcPr>
                <w:p>
                  <w:pPr>
                    <w:pStyle w:val="12"/>
                    <w:jc w:val="center"/>
                    <w:rPr>
                      <w:rFonts w:ascii="Times New Roman" w:hAnsi="Times New Roman"/>
                      <w:b/>
                      <w:szCs w:val="21"/>
                    </w:rPr>
                  </w:pPr>
                  <w:r>
                    <w:rPr>
                      <w:rFonts w:ascii="Times New Roman" w:hAnsi="Times New Roman"/>
                      <w:b/>
                      <w:szCs w:val="21"/>
                    </w:rPr>
                    <w:t>项目</w:t>
                  </w:r>
                </w:p>
              </w:tc>
              <w:tc>
                <w:tcPr>
                  <w:tcW w:w="721" w:type="pct"/>
                  <w:vAlign w:val="center"/>
                </w:tcPr>
                <w:p>
                  <w:pPr>
                    <w:pStyle w:val="12"/>
                    <w:jc w:val="center"/>
                    <w:rPr>
                      <w:rFonts w:ascii="Times New Roman" w:hAnsi="Times New Roman"/>
                      <w:b/>
                      <w:szCs w:val="21"/>
                    </w:rPr>
                  </w:pPr>
                  <w:r>
                    <w:rPr>
                      <w:rFonts w:ascii="Times New Roman" w:hAnsi="Times New Roman"/>
                      <w:b/>
                      <w:szCs w:val="21"/>
                    </w:rPr>
                    <w:t>SO</w:t>
                  </w:r>
                  <w:r>
                    <w:rPr>
                      <w:rFonts w:ascii="Times New Roman" w:hAnsi="Times New Roman"/>
                      <w:b/>
                      <w:szCs w:val="21"/>
                      <w:vertAlign w:val="subscript"/>
                    </w:rPr>
                    <w:t>2</w:t>
                  </w:r>
                </w:p>
              </w:tc>
              <w:tc>
                <w:tcPr>
                  <w:tcW w:w="781" w:type="pct"/>
                  <w:vAlign w:val="center"/>
                </w:tcPr>
                <w:p>
                  <w:pPr>
                    <w:pStyle w:val="12"/>
                    <w:jc w:val="center"/>
                    <w:rPr>
                      <w:rFonts w:ascii="Times New Roman" w:hAnsi="Times New Roman"/>
                      <w:b/>
                      <w:szCs w:val="21"/>
                    </w:rPr>
                  </w:pPr>
                  <w:r>
                    <w:rPr>
                      <w:rFonts w:ascii="Times New Roman" w:hAnsi="Times New Roman"/>
                      <w:b/>
                      <w:szCs w:val="21"/>
                    </w:rPr>
                    <w:t>NOx</w:t>
                  </w:r>
                </w:p>
              </w:tc>
              <w:tc>
                <w:tcPr>
                  <w:tcW w:w="728" w:type="pct"/>
                  <w:vAlign w:val="center"/>
                </w:tcPr>
                <w:p>
                  <w:pPr>
                    <w:pStyle w:val="12"/>
                    <w:jc w:val="center"/>
                    <w:rPr>
                      <w:rFonts w:ascii="Times New Roman" w:hAnsi="Times New Roman"/>
                      <w:b/>
                      <w:szCs w:val="21"/>
                    </w:rPr>
                  </w:pPr>
                  <w:r>
                    <w:rPr>
                      <w:rFonts w:ascii="Times New Roman" w:hAnsi="Times New Roman"/>
                      <w:b/>
                      <w:szCs w:val="21"/>
                    </w:rPr>
                    <w:t>烟尘</w:t>
                  </w:r>
                </w:p>
              </w:tc>
              <w:tc>
                <w:tcPr>
                  <w:tcW w:w="1035" w:type="pct"/>
                  <w:vAlign w:val="center"/>
                </w:tcPr>
                <w:p>
                  <w:pPr>
                    <w:pStyle w:val="12"/>
                    <w:jc w:val="center"/>
                    <w:rPr>
                      <w:rFonts w:ascii="Times New Roman" w:hAnsi="Times New Roman"/>
                      <w:b/>
                      <w:szCs w:val="21"/>
                    </w:rPr>
                  </w:pPr>
                  <w:r>
                    <w:rPr>
                      <w:rFonts w:ascii="Times New Roman" w:hAnsi="Times New Roman"/>
                      <w:b/>
                      <w:szCs w:val="21"/>
                    </w:rPr>
                    <w:t>烟气黑度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33" w:type="pct"/>
                  <w:vAlign w:val="center"/>
                </w:tcPr>
                <w:p>
                  <w:pPr>
                    <w:pStyle w:val="12"/>
                    <w:jc w:val="center"/>
                    <w:rPr>
                      <w:rFonts w:ascii="Times New Roman" w:hAnsi="Times New Roman"/>
                      <w:szCs w:val="21"/>
                    </w:rPr>
                  </w:pPr>
                  <w:r>
                    <w:rPr>
                      <w:rFonts w:ascii="Times New Roman" w:hAnsi="Times New Roman"/>
                      <w:szCs w:val="21"/>
                    </w:rPr>
                    <w:t>排放标准</w:t>
                  </w:r>
                </w:p>
              </w:tc>
              <w:tc>
                <w:tcPr>
                  <w:tcW w:w="721" w:type="pct"/>
                  <w:vAlign w:val="center"/>
                </w:tcPr>
                <w:p>
                  <w:pPr>
                    <w:pStyle w:val="12"/>
                    <w:jc w:val="center"/>
                    <w:rPr>
                      <w:rFonts w:ascii="Times New Roman" w:hAnsi="Times New Roman"/>
                      <w:szCs w:val="21"/>
                    </w:rPr>
                  </w:pPr>
                  <w:r>
                    <w:rPr>
                      <w:rFonts w:ascii="Times New Roman" w:hAnsi="Times New Roman"/>
                      <w:szCs w:val="21"/>
                    </w:rPr>
                    <w:t>300</w:t>
                  </w:r>
                </w:p>
              </w:tc>
              <w:tc>
                <w:tcPr>
                  <w:tcW w:w="781" w:type="pct"/>
                  <w:vAlign w:val="center"/>
                </w:tcPr>
                <w:p>
                  <w:pPr>
                    <w:pStyle w:val="12"/>
                    <w:jc w:val="center"/>
                    <w:rPr>
                      <w:rFonts w:ascii="Times New Roman" w:hAnsi="Times New Roman"/>
                      <w:szCs w:val="21"/>
                    </w:rPr>
                  </w:pPr>
                  <w:r>
                    <w:rPr>
                      <w:rFonts w:ascii="Times New Roman" w:hAnsi="Times New Roman"/>
                      <w:szCs w:val="21"/>
                    </w:rPr>
                    <w:t>300</w:t>
                  </w:r>
                </w:p>
              </w:tc>
              <w:tc>
                <w:tcPr>
                  <w:tcW w:w="728" w:type="pct"/>
                  <w:vAlign w:val="center"/>
                </w:tcPr>
                <w:p>
                  <w:pPr>
                    <w:pStyle w:val="12"/>
                    <w:jc w:val="center"/>
                    <w:rPr>
                      <w:rFonts w:ascii="Times New Roman" w:hAnsi="Times New Roman"/>
                      <w:szCs w:val="21"/>
                    </w:rPr>
                  </w:pPr>
                  <w:r>
                    <w:rPr>
                      <w:rFonts w:ascii="Times New Roman" w:hAnsi="Times New Roman"/>
                      <w:szCs w:val="21"/>
                    </w:rPr>
                    <w:t>50</w:t>
                  </w:r>
                </w:p>
              </w:tc>
              <w:tc>
                <w:tcPr>
                  <w:tcW w:w="1035" w:type="pct"/>
                  <w:vAlign w:val="center"/>
                </w:tcPr>
                <w:p>
                  <w:pPr>
                    <w:pStyle w:val="12"/>
                    <w:jc w:val="center"/>
                    <w:rPr>
                      <w:rFonts w:ascii="Times New Roman" w:hAnsi="Times New Roman"/>
                      <w:szCs w:val="21"/>
                    </w:rPr>
                  </w:pPr>
                  <w:r>
                    <w:rPr>
                      <w:rFonts w:ascii="Times New Roman" w:hAnsi="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33" w:type="pct"/>
                  <w:vAlign w:val="center"/>
                </w:tcPr>
                <w:p>
                  <w:pPr>
                    <w:pStyle w:val="12"/>
                    <w:jc w:val="center"/>
                    <w:rPr>
                      <w:rFonts w:ascii="Times New Roman" w:hAnsi="Times New Roman"/>
                      <w:szCs w:val="21"/>
                    </w:rPr>
                  </w:pPr>
                  <w:r>
                    <w:rPr>
                      <w:rFonts w:ascii="Times New Roman" w:hAnsi="Times New Roman"/>
                      <w:szCs w:val="21"/>
                    </w:rPr>
                    <w:t>锅炉废气排放浓度</w:t>
                  </w:r>
                </w:p>
              </w:tc>
              <w:tc>
                <w:tcPr>
                  <w:tcW w:w="721" w:type="pct"/>
                  <w:vAlign w:val="center"/>
                </w:tcPr>
                <w:p>
                  <w:pPr>
                    <w:pStyle w:val="12"/>
                    <w:jc w:val="center"/>
                    <w:rPr>
                      <w:rFonts w:ascii="Times New Roman" w:hAnsi="Times New Roman"/>
                      <w:szCs w:val="21"/>
                    </w:rPr>
                  </w:pPr>
                  <w:r>
                    <w:rPr>
                      <w:rFonts w:ascii="Times New Roman" w:hAnsi="Times New Roman"/>
                      <w:szCs w:val="21"/>
                    </w:rPr>
                    <w:t>10.89</w:t>
                  </w:r>
                </w:p>
              </w:tc>
              <w:tc>
                <w:tcPr>
                  <w:tcW w:w="781" w:type="pct"/>
                  <w:vAlign w:val="center"/>
                </w:tcPr>
                <w:p>
                  <w:pPr>
                    <w:pStyle w:val="12"/>
                    <w:jc w:val="center"/>
                    <w:rPr>
                      <w:rFonts w:ascii="Times New Roman" w:hAnsi="Times New Roman"/>
                      <w:szCs w:val="21"/>
                    </w:rPr>
                  </w:pPr>
                  <w:r>
                    <w:rPr>
                      <w:rFonts w:ascii="Times New Roman" w:hAnsi="Times New Roman"/>
                      <w:szCs w:val="21"/>
                    </w:rPr>
                    <w:t>163.46</w:t>
                  </w:r>
                </w:p>
              </w:tc>
              <w:tc>
                <w:tcPr>
                  <w:tcW w:w="728" w:type="pct"/>
                  <w:vAlign w:val="center"/>
                </w:tcPr>
                <w:p>
                  <w:pPr>
                    <w:pStyle w:val="12"/>
                    <w:jc w:val="center"/>
                    <w:rPr>
                      <w:rFonts w:ascii="Times New Roman" w:hAnsi="Times New Roman"/>
                      <w:szCs w:val="21"/>
                    </w:rPr>
                  </w:pPr>
                  <w:r>
                    <w:rPr>
                      <w:rFonts w:ascii="Times New Roman" w:hAnsi="Times New Roman"/>
                      <w:szCs w:val="21"/>
                    </w:rPr>
                    <w:t>0.8</w:t>
                  </w:r>
                </w:p>
              </w:tc>
              <w:tc>
                <w:tcPr>
                  <w:tcW w:w="1035" w:type="pct"/>
                  <w:vAlign w:val="center"/>
                </w:tcPr>
                <w:p>
                  <w:pPr>
                    <w:pStyle w:val="12"/>
                    <w:jc w:val="center"/>
                    <w:rPr>
                      <w:rFonts w:ascii="Times New Roman" w:hAnsi="Times New Roman"/>
                      <w:sz w:val="18"/>
                      <w:szCs w:val="18"/>
                    </w:rPr>
                  </w:pPr>
                  <w:r>
                    <w:rPr>
                      <w:rFonts w:ascii="Times New Roman" w:hAnsi="Times New Roman"/>
                      <w:szCs w:val="21"/>
                    </w:rPr>
                    <w:t>&lt;1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33" w:type="pct"/>
                  <w:vAlign w:val="center"/>
                </w:tcPr>
                <w:p>
                  <w:pPr>
                    <w:pStyle w:val="12"/>
                    <w:jc w:val="center"/>
                    <w:rPr>
                      <w:rFonts w:ascii="Times New Roman" w:hAnsi="Times New Roman"/>
                      <w:szCs w:val="21"/>
                    </w:rPr>
                  </w:pPr>
                  <w:r>
                    <w:rPr>
                      <w:rFonts w:ascii="Times New Roman" w:hAnsi="Times New Roman"/>
                      <w:szCs w:val="21"/>
                    </w:rPr>
                    <w:t>达标性分析</w:t>
                  </w:r>
                </w:p>
              </w:tc>
              <w:tc>
                <w:tcPr>
                  <w:tcW w:w="721" w:type="pct"/>
                  <w:vAlign w:val="center"/>
                </w:tcPr>
                <w:p>
                  <w:pPr>
                    <w:pStyle w:val="12"/>
                    <w:jc w:val="center"/>
                    <w:rPr>
                      <w:rFonts w:ascii="Times New Roman" w:hAnsi="Times New Roman"/>
                      <w:szCs w:val="21"/>
                    </w:rPr>
                  </w:pPr>
                  <w:r>
                    <w:rPr>
                      <w:rFonts w:ascii="Times New Roman" w:hAnsi="Times New Roman"/>
                      <w:szCs w:val="21"/>
                    </w:rPr>
                    <w:t>达标</w:t>
                  </w:r>
                </w:p>
              </w:tc>
              <w:tc>
                <w:tcPr>
                  <w:tcW w:w="781" w:type="pct"/>
                  <w:vAlign w:val="center"/>
                </w:tcPr>
                <w:p>
                  <w:pPr>
                    <w:pStyle w:val="12"/>
                    <w:jc w:val="center"/>
                    <w:rPr>
                      <w:rFonts w:ascii="Times New Roman" w:hAnsi="Times New Roman"/>
                      <w:szCs w:val="21"/>
                    </w:rPr>
                  </w:pPr>
                  <w:r>
                    <w:rPr>
                      <w:rFonts w:ascii="Times New Roman" w:hAnsi="Times New Roman"/>
                      <w:szCs w:val="21"/>
                    </w:rPr>
                    <w:t>达标</w:t>
                  </w:r>
                </w:p>
              </w:tc>
              <w:tc>
                <w:tcPr>
                  <w:tcW w:w="728" w:type="pct"/>
                  <w:vAlign w:val="center"/>
                </w:tcPr>
                <w:p>
                  <w:pPr>
                    <w:pStyle w:val="12"/>
                    <w:jc w:val="center"/>
                    <w:rPr>
                      <w:rFonts w:ascii="Times New Roman" w:hAnsi="Times New Roman"/>
                      <w:szCs w:val="21"/>
                    </w:rPr>
                  </w:pPr>
                  <w:r>
                    <w:rPr>
                      <w:rFonts w:ascii="Times New Roman" w:hAnsi="Times New Roman"/>
                      <w:szCs w:val="21"/>
                    </w:rPr>
                    <w:t>达标</w:t>
                  </w:r>
                </w:p>
              </w:tc>
              <w:tc>
                <w:tcPr>
                  <w:tcW w:w="1035" w:type="pct"/>
                  <w:vAlign w:val="center"/>
                </w:tcPr>
                <w:p>
                  <w:pPr>
                    <w:pStyle w:val="12"/>
                    <w:jc w:val="center"/>
                    <w:rPr>
                      <w:rFonts w:ascii="Times New Roman" w:hAnsi="Times New Roman"/>
                      <w:szCs w:val="21"/>
                    </w:rPr>
                  </w:pPr>
                  <w:r>
                    <w:rPr>
                      <w:rFonts w:ascii="Times New Roman" w:hAnsi="Times New Roman"/>
                      <w:szCs w:val="21"/>
                    </w:rPr>
                    <w:t>达标</w:t>
                  </w:r>
                </w:p>
              </w:tc>
            </w:tr>
          </w:tbl>
          <w:p>
            <w:pPr>
              <w:pStyle w:val="13"/>
              <w:jc w:val="center"/>
              <w:rPr>
                <w:rFonts w:ascii="Times New Roman"/>
                <w:b/>
                <w:color w:val="auto"/>
              </w:rPr>
            </w:pPr>
            <w:r>
              <w:rPr>
                <w:rFonts w:ascii="Times New Roman"/>
                <w:b/>
                <w:color w:val="auto"/>
              </w:rPr>
              <w:t>4-3 锅炉废气对周边敏感点影响分析</w:t>
            </w:r>
            <w:r>
              <w:rPr>
                <w:rFonts w:ascii="Times New Roman"/>
                <w:b/>
                <w:color w:val="auto"/>
                <w:lang w:bidi="ar"/>
              </w:rPr>
              <w:t>（单位mg/m</w:t>
            </w:r>
            <w:r>
              <w:rPr>
                <w:rFonts w:ascii="Times New Roman"/>
                <w:b/>
                <w:color w:val="auto"/>
                <w:vertAlign w:val="superscript"/>
                <w:lang w:bidi="ar"/>
              </w:rPr>
              <w:t>3</w:t>
            </w:r>
            <w:r>
              <w:rPr>
                <w:rFonts w:ascii="Times New Roman"/>
                <w:b/>
                <w:color w:val="auto"/>
                <w:lang w:bidi="ar"/>
              </w:rPr>
              <w:t>）</w:t>
            </w:r>
          </w:p>
          <w:tbl>
            <w:tblPr>
              <w:tblStyle w:val="27"/>
              <w:tblW w:w="49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5"/>
              <w:gridCol w:w="2784"/>
              <w:gridCol w:w="2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760" w:type="pct"/>
                  <w:vMerge w:val="restart"/>
                  <w:vAlign w:val="center"/>
                </w:tcPr>
                <w:p>
                  <w:pPr>
                    <w:widowControl/>
                    <w:jc w:val="center"/>
                    <w:rPr>
                      <w:b/>
                      <w:bCs/>
                      <w:kern w:val="0"/>
                      <w:szCs w:val="21"/>
                    </w:rPr>
                  </w:pPr>
                  <w:r>
                    <w:rPr>
                      <w:b/>
                      <w:bCs/>
                      <w:kern w:val="0"/>
                      <w:szCs w:val="21"/>
                    </w:rPr>
                    <w:t>监测点位</w:t>
                  </w:r>
                </w:p>
              </w:tc>
              <w:tc>
                <w:tcPr>
                  <w:tcW w:w="1620" w:type="pct"/>
                  <w:vAlign w:val="center"/>
                </w:tcPr>
                <w:p>
                  <w:pPr>
                    <w:widowControl/>
                    <w:jc w:val="center"/>
                    <w:rPr>
                      <w:b/>
                      <w:bCs/>
                      <w:kern w:val="0"/>
                      <w:szCs w:val="21"/>
                    </w:rPr>
                  </w:pPr>
                  <w:r>
                    <w:rPr>
                      <w:b/>
                      <w:bCs/>
                      <w:kern w:val="0"/>
                      <w:szCs w:val="21"/>
                    </w:rPr>
                    <w:t>检测项目</w:t>
                  </w:r>
                </w:p>
              </w:tc>
              <w:tc>
                <w:tcPr>
                  <w:tcW w:w="1620" w:type="pct"/>
                  <w:vAlign w:val="center"/>
                </w:tcPr>
                <w:p>
                  <w:pPr>
                    <w:widowControl/>
                    <w:jc w:val="center"/>
                    <w:rPr>
                      <w:b/>
                      <w:bCs/>
                      <w:kern w:val="0"/>
                      <w:szCs w:val="21"/>
                    </w:rPr>
                  </w:pPr>
                  <w:r>
                    <w:rPr>
                      <w:b/>
                      <w:bCs/>
                      <w:kern w:val="0"/>
                      <w:szCs w:val="21"/>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760" w:type="pct"/>
                  <w:vMerge w:val="continue"/>
                  <w:vAlign w:val="center"/>
                </w:tcPr>
                <w:p>
                  <w:pPr>
                    <w:widowControl/>
                    <w:jc w:val="center"/>
                    <w:rPr>
                      <w:szCs w:val="21"/>
                    </w:rPr>
                  </w:pPr>
                </w:p>
              </w:tc>
              <w:tc>
                <w:tcPr>
                  <w:tcW w:w="1620" w:type="pct"/>
                  <w:vAlign w:val="center"/>
                </w:tcPr>
                <w:p>
                  <w:pPr>
                    <w:widowControl/>
                    <w:jc w:val="center"/>
                    <w:rPr>
                      <w:b/>
                      <w:bCs/>
                      <w:kern w:val="0"/>
                      <w:szCs w:val="21"/>
                    </w:rPr>
                  </w:pPr>
                  <w:r>
                    <w:rPr>
                      <w:b/>
                      <w:bCs/>
                      <w:kern w:val="0"/>
                      <w:szCs w:val="21"/>
                    </w:rPr>
                    <w:t>氮氧化物mg/m</w:t>
                  </w:r>
                  <w:r>
                    <w:rPr>
                      <w:b/>
                      <w:bCs/>
                      <w:kern w:val="0"/>
                      <w:szCs w:val="21"/>
                      <w:vertAlign w:val="superscript"/>
                    </w:rPr>
                    <w:t>3</w:t>
                  </w:r>
                </w:p>
              </w:tc>
              <w:tc>
                <w:tcPr>
                  <w:tcW w:w="1620" w:type="pct"/>
                  <w:vAlign w:val="center"/>
                </w:tcPr>
                <w:p>
                  <w:pPr>
                    <w:widowControl/>
                    <w:jc w:val="center"/>
                    <w:rPr>
                      <w:b/>
                      <w:bCs/>
                      <w:kern w:val="0"/>
                      <w:szCs w:val="21"/>
                    </w:rPr>
                  </w:pPr>
                  <w:r>
                    <w:rPr>
                      <w:b/>
                      <w:bCs/>
                      <w:kern w:val="0"/>
                      <w:szCs w:val="21"/>
                    </w:rPr>
                    <w:t>氮氧化物mg/m</w:t>
                  </w:r>
                  <w:r>
                    <w:rPr>
                      <w:b/>
                      <w:bCs/>
                      <w:kern w:val="0"/>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760" w:type="pct"/>
                  <w:vMerge w:val="restart"/>
                  <w:vAlign w:val="center"/>
                </w:tcPr>
                <w:p>
                  <w:pPr>
                    <w:widowControl/>
                    <w:jc w:val="center"/>
                    <w:rPr>
                      <w:kern w:val="0"/>
                      <w:szCs w:val="21"/>
                    </w:rPr>
                  </w:pPr>
                  <w:r>
                    <w:rPr>
                      <w:kern w:val="0"/>
                      <w:szCs w:val="21"/>
                    </w:rPr>
                    <w:t>荷福新村幼儿园G1</w:t>
                  </w:r>
                </w:p>
              </w:tc>
              <w:tc>
                <w:tcPr>
                  <w:tcW w:w="1620" w:type="pct"/>
                  <w:vAlign w:val="center"/>
                </w:tcPr>
                <w:p>
                  <w:pPr>
                    <w:widowControl/>
                    <w:jc w:val="center"/>
                    <w:rPr>
                      <w:kern w:val="0"/>
                      <w:szCs w:val="21"/>
                    </w:rPr>
                  </w:pPr>
                  <w:r>
                    <w:rPr>
                      <w:kern w:val="0"/>
                      <w:szCs w:val="21"/>
                    </w:rPr>
                    <w:t>0.033</w:t>
                  </w:r>
                </w:p>
              </w:tc>
              <w:tc>
                <w:tcPr>
                  <w:tcW w:w="1620" w:type="pct"/>
                  <w:vAlign w:val="center"/>
                </w:tcPr>
                <w:p>
                  <w:pPr>
                    <w:widowControl/>
                    <w:jc w:val="center"/>
                    <w:rPr>
                      <w:kern w:val="0"/>
                      <w:szCs w:val="21"/>
                    </w:rPr>
                  </w:pPr>
                  <w:r>
                    <w:rPr>
                      <w:kern w:val="0"/>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760" w:type="pct"/>
                  <w:vMerge w:val="continue"/>
                  <w:vAlign w:val="center"/>
                </w:tcPr>
                <w:p>
                  <w:pPr>
                    <w:widowControl/>
                    <w:jc w:val="center"/>
                    <w:rPr>
                      <w:kern w:val="0"/>
                      <w:szCs w:val="21"/>
                    </w:rPr>
                  </w:pPr>
                </w:p>
              </w:tc>
              <w:tc>
                <w:tcPr>
                  <w:tcW w:w="1620" w:type="pct"/>
                  <w:vAlign w:val="center"/>
                </w:tcPr>
                <w:p>
                  <w:pPr>
                    <w:widowControl/>
                    <w:jc w:val="center"/>
                    <w:rPr>
                      <w:kern w:val="0"/>
                      <w:szCs w:val="21"/>
                    </w:rPr>
                  </w:pPr>
                  <w:r>
                    <w:rPr>
                      <w:kern w:val="0"/>
                      <w:szCs w:val="21"/>
                    </w:rPr>
                    <w:t>0.032</w:t>
                  </w:r>
                </w:p>
              </w:tc>
              <w:tc>
                <w:tcPr>
                  <w:tcW w:w="1620" w:type="pct"/>
                  <w:vAlign w:val="center"/>
                </w:tcPr>
                <w:p>
                  <w:pPr>
                    <w:widowControl/>
                    <w:jc w:val="center"/>
                    <w:rPr>
                      <w:kern w:val="0"/>
                      <w:szCs w:val="21"/>
                    </w:rPr>
                  </w:pPr>
                  <w:r>
                    <w:rPr>
                      <w:kern w:val="0"/>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760" w:type="pct"/>
                  <w:vMerge w:val="continue"/>
                  <w:vAlign w:val="center"/>
                </w:tcPr>
                <w:p>
                  <w:pPr>
                    <w:widowControl/>
                    <w:jc w:val="center"/>
                    <w:rPr>
                      <w:kern w:val="0"/>
                      <w:szCs w:val="21"/>
                    </w:rPr>
                  </w:pPr>
                </w:p>
              </w:tc>
              <w:tc>
                <w:tcPr>
                  <w:tcW w:w="1620" w:type="pct"/>
                  <w:vAlign w:val="center"/>
                </w:tcPr>
                <w:p>
                  <w:pPr>
                    <w:widowControl/>
                    <w:jc w:val="center"/>
                    <w:rPr>
                      <w:kern w:val="0"/>
                      <w:szCs w:val="21"/>
                    </w:rPr>
                  </w:pPr>
                  <w:r>
                    <w:rPr>
                      <w:kern w:val="0"/>
                      <w:szCs w:val="21"/>
                    </w:rPr>
                    <w:t>0.033</w:t>
                  </w:r>
                </w:p>
              </w:tc>
              <w:tc>
                <w:tcPr>
                  <w:tcW w:w="1620" w:type="pct"/>
                  <w:vAlign w:val="center"/>
                </w:tcPr>
                <w:p>
                  <w:pPr>
                    <w:widowControl/>
                    <w:jc w:val="center"/>
                    <w:rPr>
                      <w:kern w:val="0"/>
                      <w:szCs w:val="21"/>
                    </w:rPr>
                  </w:pPr>
                  <w:r>
                    <w:rPr>
                      <w:kern w:val="0"/>
                      <w:szCs w:val="21"/>
                    </w:rPr>
                    <w:t>0.1</w:t>
                  </w:r>
                </w:p>
              </w:tc>
            </w:tr>
          </w:tbl>
          <w:p>
            <w:pPr>
              <w:spacing w:line="360" w:lineRule="auto"/>
              <w:ind w:firstLine="720" w:firstLineChars="300"/>
              <w:rPr>
                <w:sz w:val="24"/>
                <w:lang w:bidi="ar"/>
              </w:rPr>
            </w:pPr>
            <w:r>
              <w:rPr>
                <w:sz w:val="24"/>
                <w:lang w:bidi="ar"/>
              </w:rPr>
              <w:t>综合上表可知，锅炉排放废气中氮氧化物处于标准值之下，因此对周围敏感点影响不大。</w:t>
            </w:r>
          </w:p>
          <w:p>
            <w:pPr>
              <w:numPr>
                <w:ilvl w:val="0"/>
                <w:numId w:val="11"/>
              </w:numPr>
              <w:spacing w:line="360" w:lineRule="auto"/>
              <w:rPr>
                <w:sz w:val="24"/>
                <w:lang w:bidi="ar"/>
              </w:rPr>
            </w:pPr>
            <w:r>
              <w:rPr>
                <w:sz w:val="24"/>
              </w:rPr>
              <w:t>农药废气</w:t>
            </w:r>
            <w:r>
              <w:rPr>
                <w:sz w:val="24"/>
                <w:lang w:bidi="ar"/>
              </w:rPr>
              <w:t>产生量较小，通过使用高效低毒农药，且厂房为全密闭式，对周边环境影响较小。</w:t>
            </w:r>
          </w:p>
          <w:p>
            <w:pPr>
              <w:numPr>
                <w:ilvl w:val="0"/>
                <w:numId w:val="11"/>
              </w:numPr>
              <w:spacing w:line="360" w:lineRule="auto"/>
              <w:rPr>
                <w:sz w:val="24"/>
              </w:rPr>
            </w:pPr>
            <w:r>
              <w:rPr>
                <w:sz w:val="24"/>
                <w:lang w:bidi="ar"/>
              </w:rPr>
              <w:t>制冷剂采用管道输送方式，密闭性较好，但与管道连接处、膨胀阀等连接处都会有极少量的制冷剂泄漏，为无组织排放。由于冷库使用时间较少，制冷剂泄漏量极小，对周边环境影响较小。</w:t>
            </w:r>
          </w:p>
          <w:p>
            <w:pPr>
              <w:spacing w:line="360" w:lineRule="auto"/>
              <w:ind w:firstLine="480" w:firstLineChars="200"/>
              <w:rPr>
                <w:sz w:val="24"/>
                <w:lang w:bidi="ar"/>
              </w:rPr>
            </w:pPr>
            <w:r>
              <w:rPr>
                <w:sz w:val="24"/>
                <w:lang w:bidi="ar"/>
              </w:rPr>
              <w:t>综上所述，项目产生的废气得到了合理有效处理处置，对周边环境影响较小。</w:t>
            </w:r>
          </w:p>
          <w:p>
            <w:pPr>
              <w:autoSpaceDE w:val="0"/>
              <w:autoSpaceDN w:val="0"/>
              <w:spacing w:line="360" w:lineRule="auto"/>
              <w:ind w:firstLine="482" w:firstLineChars="200"/>
              <w:jc w:val="left"/>
              <w:rPr>
                <w:b/>
                <w:bCs/>
                <w:sz w:val="24"/>
              </w:rPr>
            </w:pPr>
            <w:r>
              <w:rPr>
                <w:b/>
                <w:bCs/>
                <w:sz w:val="24"/>
              </w:rPr>
              <w:t>2、水环境影响分析</w:t>
            </w:r>
          </w:p>
          <w:p>
            <w:pPr>
              <w:spacing w:line="360" w:lineRule="auto"/>
              <w:ind w:firstLine="482" w:firstLineChars="200"/>
              <w:rPr>
                <w:b/>
                <w:bCs/>
                <w:sz w:val="24"/>
                <w:lang w:bidi="ar"/>
              </w:rPr>
            </w:pPr>
            <w:r>
              <w:rPr>
                <w:b/>
                <w:bCs/>
                <w:sz w:val="24"/>
                <w:lang w:bidi="ar"/>
              </w:rPr>
              <w:t>（1）产排污环节</w:t>
            </w:r>
          </w:p>
          <w:p>
            <w:pPr>
              <w:pStyle w:val="6"/>
              <w:numPr>
                <w:ilvl w:val="0"/>
                <w:numId w:val="12"/>
              </w:numPr>
              <w:spacing w:line="360" w:lineRule="auto"/>
              <w:rPr>
                <w:szCs w:val="24"/>
              </w:rPr>
            </w:pPr>
            <w:r>
              <w:rPr>
                <w:szCs w:val="24"/>
              </w:rPr>
              <w:t>锅炉废水（W2）</w:t>
            </w:r>
          </w:p>
          <w:p>
            <w:pPr>
              <w:pStyle w:val="6"/>
              <w:spacing w:line="360" w:lineRule="auto"/>
              <w:ind w:firstLine="480" w:firstLineChars="200"/>
              <w:rPr>
                <w:szCs w:val="24"/>
              </w:rPr>
            </w:pPr>
            <w:r>
              <w:rPr>
                <w:szCs w:val="24"/>
              </w:rPr>
              <w:t>根据工程分析，锅炉废水产生量为2.4m</w:t>
            </w:r>
            <w:r>
              <w:rPr>
                <w:szCs w:val="24"/>
                <w:vertAlign w:val="superscript"/>
              </w:rPr>
              <w:t>3</w:t>
            </w:r>
            <w:r>
              <w:rPr>
                <w:szCs w:val="24"/>
              </w:rPr>
              <w:t>/d</w:t>
            </w:r>
            <w:r>
              <w:t>，制备软水所产生的浓水为。</w:t>
            </w:r>
            <w:r>
              <w:rPr>
                <w:szCs w:val="24"/>
              </w:rPr>
              <w:t>产生的锅炉废水主要含有少量PH、CODcr、溶解性总固体，通过收集、沉淀、污水站处理达标后回用于种植灌溉，对周边环境影响较小。</w:t>
            </w:r>
          </w:p>
          <w:p>
            <w:pPr>
              <w:pStyle w:val="6"/>
              <w:numPr>
                <w:ilvl w:val="0"/>
                <w:numId w:val="12"/>
              </w:numPr>
              <w:spacing w:line="360" w:lineRule="auto"/>
              <w:rPr>
                <w:szCs w:val="24"/>
              </w:rPr>
            </w:pPr>
            <w:r>
              <w:rPr>
                <w:szCs w:val="24"/>
              </w:rPr>
              <w:t>种植浇灌渗出水（W3）</w:t>
            </w:r>
          </w:p>
          <w:p>
            <w:pPr>
              <w:pStyle w:val="6"/>
              <w:spacing w:line="360" w:lineRule="auto"/>
              <w:ind w:firstLine="480" w:firstLineChars="200"/>
              <w:rPr>
                <w:szCs w:val="24"/>
              </w:rPr>
            </w:pPr>
            <w:r>
              <w:rPr>
                <w:szCs w:val="24"/>
              </w:rPr>
              <w:t>根据工程分析，种植浇灌渗出水产生量为1.205m</w:t>
            </w:r>
            <w:r>
              <w:rPr>
                <w:szCs w:val="24"/>
                <w:vertAlign w:val="superscript"/>
              </w:rPr>
              <w:t>3</w:t>
            </w:r>
            <w:r>
              <w:rPr>
                <w:szCs w:val="24"/>
              </w:rPr>
              <w:t>/d，主要污染物为pH、COD</w:t>
            </w:r>
            <w:r>
              <w:rPr>
                <w:szCs w:val="24"/>
                <w:vertAlign w:val="subscript"/>
              </w:rPr>
              <w:t>cr</w:t>
            </w:r>
            <w:r>
              <w:rPr>
                <w:szCs w:val="24"/>
              </w:rPr>
              <w:t>、BOD</w:t>
            </w:r>
            <w:r>
              <w:rPr>
                <w:szCs w:val="24"/>
                <w:vertAlign w:val="subscript"/>
              </w:rPr>
              <w:t>5</w:t>
            </w:r>
            <w:r>
              <w:rPr>
                <w:szCs w:val="24"/>
              </w:rPr>
              <w:t>、SS、NH</w:t>
            </w:r>
            <w:r>
              <w:rPr>
                <w:szCs w:val="24"/>
                <w:vertAlign w:val="subscript"/>
              </w:rPr>
              <w:t>3</w:t>
            </w:r>
            <w:r>
              <w:rPr>
                <w:szCs w:val="24"/>
              </w:rPr>
              <w:t>-N、总磷，由于配肥对水质要求不高，此部分废水通过收集沉淀后回用于水肥系统配肥，对周边环境影响较小。</w:t>
            </w:r>
          </w:p>
          <w:p>
            <w:pPr>
              <w:pStyle w:val="6"/>
              <w:numPr>
                <w:ilvl w:val="0"/>
                <w:numId w:val="12"/>
              </w:numPr>
              <w:spacing w:line="360" w:lineRule="auto"/>
              <w:rPr>
                <w:szCs w:val="24"/>
              </w:rPr>
            </w:pPr>
            <w:r>
              <w:rPr>
                <w:szCs w:val="24"/>
              </w:rPr>
              <w:t>包花预清洗废水（W4）</w:t>
            </w:r>
          </w:p>
          <w:p>
            <w:pPr>
              <w:pStyle w:val="6"/>
              <w:spacing w:line="360" w:lineRule="auto"/>
              <w:ind w:firstLine="480" w:firstLineChars="200"/>
              <w:rPr>
                <w:szCs w:val="24"/>
              </w:rPr>
            </w:pPr>
            <w:r>
              <w:rPr>
                <w:szCs w:val="24"/>
              </w:rPr>
              <w:t>根据工程分析，包花预清洗废水产生量为1.2m</w:t>
            </w:r>
            <w:r>
              <w:rPr>
                <w:szCs w:val="24"/>
                <w:vertAlign w:val="superscript"/>
              </w:rPr>
              <w:t>3</w:t>
            </w:r>
            <w:r>
              <w:rPr>
                <w:szCs w:val="24"/>
              </w:rPr>
              <w:t>/d，清洗水为一天一换，清洗废水中主要污染物为少量的SS，产生的废水沉淀后回用于种植灌溉，对周边环境影响较小。</w:t>
            </w:r>
          </w:p>
          <w:p>
            <w:pPr>
              <w:pStyle w:val="46"/>
              <w:numPr>
                <w:ilvl w:val="0"/>
                <w:numId w:val="12"/>
              </w:numPr>
              <w:spacing w:line="360" w:lineRule="auto"/>
              <w:ind w:firstLineChars="0"/>
              <w:rPr>
                <w:sz w:val="24"/>
                <w:lang w:bidi="ar"/>
              </w:rPr>
            </w:pPr>
            <w:r>
              <w:rPr>
                <w:sz w:val="24"/>
                <w:lang w:bidi="ar"/>
              </w:rPr>
              <w:t>生活污水</w:t>
            </w:r>
          </w:p>
          <w:p>
            <w:pPr>
              <w:spacing w:line="360" w:lineRule="auto"/>
              <w:ind w:firstLine="480" w:firstLineChars="200"/>
              <w:rPr>
                <w:sz w:val="24"/>
                <w:lang w:bidi="ar"/>
              </w:rPr>
            </w:pPr>
            <w:r>
              <w:rPr>
                <w:sz w:val="24"/>
                <w:lang w:bidi="ar"/>
              </w:rPr>
              <w:t>项目无生产废水排放，污水主要为员工生活污水和食堂废水。污染物浓度参考同类型其他项目，项目水污染物产排情况见下表。</w:t>
            </w:r>
          </w:p>
          <w:p>
            <w:pPr>
              <w:snapToGrid w:val="0"/>
              <w:spacing w:line="360" w:lineRule="auto"/>
              <w:jc w:val="center"/>
              <w:rPr>
                <w:b/>
                <w:bCs/>
                <w:sz w:val="24"/>
              </w:rPr>
            </w:pPr>
            <w:r>
              <w:rPr>
                <w:b/>
                <w:bCs/>
                <w:sz w:val="24"/>
              </w:rPr>
              <w:t>表4-4食堂污水产生情况一览表</w:t>
            </w:r>
          </w:p>
          <w:tbl>
            <w:tblPr>
              <w:tblStyle w:val="27"/>
              <w:tblW w:w="4961" w:type="pct"/>
              <w:tblInd w:w="1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1822"/>
              <w:gridCol w:w="2240"/>
              <w:gridCol w:w="1038"/>
              <w:gridCol w:w="907"/>
              <w:gridCol w:w="649"/>
              <w:gridCol w:w="801"/>
              <w:gridCol w:w="1179"/>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1055" w:type="pct"/>
                  <w:vAlign w:val="center"/>
                </w:tcPr>
                <w:p>
                  <w:pPr>
                    <w:jc w:val="center"/>
                    <w:rPr>
                      <w:b/>
                    </w:rPr>
                  </w:pPr>
                  <w:r>
                    <w:rPr>
                      <w:b/>
                    </w:rPr>
                    <w:t>排放源</w:t>
                  </w:r>
                </w:p>
              </w:tc>
              <w:tc>
                <w:tcPr>
                  <w:tcW w:w="1297" w:type="pct"/>
                  <w:tcBorders>
                    <w:tl2br w:val="single" w:color="auto" w:sz="4" w:space="0"/>
                  </w:tcBorders>
                  <w:vAlign w:val="center"/>
                </w:tcPr>
                <w:p>
                  <w:pPr>
                    <w:jc w:val="center"/>
                    <w:rPr>
                      <w:b/>
                    </w:rPr>
                  </w:pPr>
                  <w:r>
                    <w:rPr>
                      <w:b/>
                    </w:rPr>
                    <w:t xml:space="preserve">      污染物名称</w:t>
                  </w:r>
                </w:p>
                <w:p>
                  <w:pPr>
                    <w:rPr>
                      <w:b/>
                    </w:rPr>
                  </w:pPr>
                  <w:r>
                    <w:rPr>
                      <w:b/>
                    </w:rPr>
                    <w:t>处理工艺</w:t>
                  </w:r>
                </w:p>
              </w:tc>
              <w:tc>
                <w:tcPr>
                  <w:tcW w:w="601" w:type="pct"/>
                  <w:vAlign w:val="center"/>
                </w:tcPr>
                <w:p>
                  <w:pPr>
                    <w:jc w:val="center"/>
                    <w:rPr>
                      <w:b/>
                    </w:rPr>
                  </w:pPr>
                  <w:r>
                    <w:rPr>
                      <w:b/>
                    </w:rPr>
                    <w:t>CODcr</w:t>
                  </w:r>
                </w:p>
              </w:tc>
              <w:tc>
                <w:tcPr>
                  <w:tcW w:w="525" w:type="pct"/>
                  <w:vAlign w:val="center"/>
                </w:tcPr>
                <w:p>
                  <w:pPr>
                    <w:jc w:val="center"/>
                    <w:rPr>
                      <w:b/>
                    </w:rPr>
                  </w:pPr>
                  <w:r>
                    <w:rPr>
                      <w:b/>
                    </w:rPr>
                    <w:t>BOD</w:t>
                  </w:r>
                  <w:r>
                    <w:rPr>
                      <w:b/>
                      <w:vertAlign w:val="subscript"/>
                    </w:rPr>
                    <w:t>5</w:t>
                  </w:r>
                </w:p>
              </w:tc>
              <w:tc>
                <w:tcPr>
                  <w:tcW w:w="376" w:type="pct"/>
                  <w:vAlign w:val="center"/>
                </w:tcPr>
                <w:p>
                  <w:pPr>
                    <w:jc w:val="center"/>
                    <w:rPr>
                      <w:b/>
                    </w:rPr>
                  </w:pPr>
                  <w:r>
                    <w:rPr>
                      <w:b/>
                    </w:rPr>
                    <w:t>SS</w:t>
                  </w:r>
                </w:p>
              </w:tc>
              <w:tc>
                <w:tcPr>
                  <w:tcW w:w="464" w:type="pct"/>
                  <w:vAlign w:val="center"/>
                </w:tcPr>
                <w:p>
                  <w:pPr>
                    <w:jc w:val="center"/>
                    <w:rPr>
                      <w:b/>
                    </w:rPr>
                  </w:pPr>
                  <w:r>
                    <w:rPr>
                      <w:b/>
                    </w:rPr>
                    <w:t>氨氮</w:t>
                  </w:r>
                </w:p>
              </w:tc>
              <w:tc>
                <w:tcPr>
                  <w:tcW w:w="683" w:type="pct"/>
                  <w:vAlign w:val="center"/>
                </w:tcPr>
                <w:p>
                  <w:pPr>
                    <w:jc w:val="center"/>
                    <w:rPr>
                      <w:b/>
                    </w:rPr>
                  </w:pPr>
                  <w:r>
                    <w:rPr>
                      <w:b/>
                    </w:rPr>
                    <w:t>动植物油</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95" w:hRule="atLeast"/>
              </w:trPr>
              <w:tc>
                <w:tcPr>
                  <w:tcW w:w="1055" w:type="pct"/>
                  <w:vAlign w:val="center"/>
                </w:tcPr>
                <w:p>
                  <w:pPr>
                    <w:jc w:val="center"/>
                  </w:pPr>
                  <w:r>
                    <w:t>食堂污水（</w:t>
                  </w:r>
                  <w:r>
                    <w:rPr>
                      <w:szCs w:val="21"/>
                    </w:rPr>
                    <w:t>Q=0.67m</w:t>
                  </w:r>
                  <w:r>
                    <w:rPr>
                      <w:szCs w:val="21"/>
                      <w:vertAlign w:val="superscript"/>
                    </w:rPr>
                    <w:t>3</w:t>
                  </w:r>
                  <w:r>
                    <w:rPr>
                      <w:szCs w:val="21"/>
                    </w:rPr>
                    <w:t>/d，245.3m</w:t>
                  </w:r>
                  <w:r>
                    <w:rPr>
                      <w:szCs w:val="21"/>
                      <w:vertAlign w:val="superscript"/>
                    </w:rPr>
                    <w:t>3</w:t>
                  </w:r>
                  <w:r>
                    <w:rPr>
                      <w:szCs w:val="21"/>
                    </w:rPr>
                    <w:t>/a</w:t>
                  </w:r>
                  <w:r>
                    <w:t>）</w:t>
                  </w:r>
                </w:p>
              </w:tc>
              <w:tc>
                <w:tcPr>
                  <w:tcW w:w="1297" w:type="pct"/>
                  <w:vAlign w:val="center"/>
                </w:tcPr>
                <w:p>
                  <w:pPr>
                    <w:jc w:val="center"/>
                  </w:pPr>
                  <w:r>
                    <w:t>产生量（t/a）</w:t>
                  </w:r>
                </w:p>
              </w:tc>
              <w:tc>
                <w:tcPr>
                  <w:tcW w:w="601" w:type="pct"/>
                  <w:vAlign w:val="center"/>
                </w:tcPr>
                <w:p>
                  <w:pPr>
                    <w:jc w:val="center"/>
                  </w:pPr>
                  <w:r>
                    <w:t>0.12</w:t>
                  </w:r>
                </w:p>
              </w:tc>
              <w:tc>
                <w:tcPr>
                  <w:tcW w:w="525" w:type="pct"/>
                  <w:vAlign w:val="center"/>
                </w:tcPr>
                <w:p>
                  <w:pPr>
                    <w:jc w:val="center"/>
                  </w:pPr>
                  <w:r>
                    <w:t>0.09</w:t>
                  </w:r>
                </w:p>
              </w:tc>
              <w:tc>
                <w:tcPr>
                  <w:tcW w:w="376" w:type="pct"/>
                  <w:vAlign w:val="center"/>
                </w:tcPr>
                <w:p>
                  <w:pPr>
                    <w:jc w:val="center"/>
                  </w:pPr>
                  <w:r>
                    <w:t>0.06</w:t>
                  </w:r>
                </w:p>
              </w:tc>
              <w:tc>
                <w:tcPr>
                  <w:tcW w:w="464" w:type="pct"/>
                  <w:vAlign w:val="center"/>
                </w:tcPr>
                <w:p>
                  <w:pPr>
                    <w:jc w:val="center"/>
                  </w:pPr>
                  <w:r>
                    <w:t>0.007</w:t>
                  </w:r>
                </w:p>
              </w:tc>
              <w:tc>
                <w:tcPr>
                  <w:tcW w:w="683" w:type="pct"/>
                  <w:vAlign w:val="center"/>
                </w:tcPr>
                <w:p>
                  <w:pPr>
                    <w:ind w:firstLine="210" w:firstLineChars="100"/>
                    <w:jc w:val="center"/>
                  </w:pPr>
                  <w:r>
                    <w:t>0.04</w:t>
                  </w:r>
                </w:p>
              </w:tc>
            </w:tr>
          </w:tbl>
          <w:p>
            <w:pPr>
              <w:snapToGrid w:val="0"/>
              <w:spacing w:line="360" w:lineRule="auto"/>
              <w:jc w:val="center"/>
              <w:rPr>
                <w:b/>
                <w:bCs/>
                <w:sz w:val="24"/>
              </w:rPr>
            </w:pPr>
            <w:r>
              <w:rPr>
                <w:b/>
                <w:bCs/>
                <w:sz w:val="24"/>
              </w:rPr>
              <w:t>表4-3生活污水产生情况一览表</w:t>
            </w:r>
          </w:p>
          <w:tbl>
            <w:tblPr>
              <w:tblStyle w:val="27"/>
              <w:tblW w:w="49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2471"/>
              <w:gridCol w:w="2024"/>
              <w:gridCol w:w="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1425" w:type="pct"/>
                  <w:vAlign w:val="center"/>
                </w:tcPr>
                <w:p>
                  <w:pPr>
                    <w:jc w:val="center"/>
                    <w:rPr>
                      <w:b/>
                      <w:szCs w:val="21"/>
                    </w:rPr>
                  </w:pPr>
                  <w:r>
                    <w:rPr>
                      <w:b/>
                      <w:szCs w:val="21"/>
                    </w:rPr>
                    <w:t>排放源</w:t>
                  </w:r>
                </w:p>
              </w:tc>
              <w:tc>
                <w:tcPr>
                  <w:tcW w:w="1167" w:type="pct"/>
                  <w:vAlign w:val="center"/>
                </w:tcPr>
                <w:p>
                  <w:pPr>
                    <w:jc w:val="center"/>
                    <w:rPr>
                      <w:b/>
                      <w:szCs w:val="21"/>
                    </w:rPr>
                  </w:pPr>
                  <w:r>
                    <w:rPr>
                      <w:b/>
                      <w:szCs w:val="21"/>
                    </w:rPr>
                    <w:t>污染物名称</w:t>
                  </w:r>
                </w:p>
              </w:tc>
              <w:tc>
                <w:tcPr>
                  <w:tcW w:w="2407" w:type="pct"/>
                  <w:vAlign w:val="center"/>
                </w:tcPr>
                <w:p>
                  <w:pPr>
                    <w:jc w:val="center"/>
                    <w:rPr>
                      <w:b/>
                      <w:szCs w:val="21"/>
                    </w:rPr>
                  </w:pPr>
                  <w:r>
                    <w:rPr>
                      <w:b/>
                      <w:szCs w:val="21"/>
                    </w:rPr>
                    <w:t>产生量（t/a）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1" w:hRule="atLeast"/>
                <w:jc w:val="center"/>
              </w:trPr>
              <w:tc>
                <w:tcPr>
                  <w:tcW w:w="1425" w:type="pct"/>
                  <w:vMerge w:val="restart"/>
                  <w:vAlign w:val="center"/>
                </w:tcPr>
                <w:p>
                  <w:pPr>
                    <w:jc w:val="center"/>
                    <w:rPr>
                      <w:szCs w:val="21"/>
                    </w:rPr>
                  </w:pPr>
                  <w:r>
                    <w:rPr>
                      <w:szCs w:val="21"/>
                    </w:rPr>
                    <w:t>生活污水（不包含食堂污水）(Q=2.2m</w:t>
                  </w:r>
                  <w:r>
                    <w:rPr>
                      <w:szCs w:val="21"/>
                      <w:vertAlign w:val="superscript"/>
                    </w:rPr>
                    <w:t>3</w:t>
                  </w:r>
                  <w:r>
                    <w:rPr>
                      <w:szCs w:val="21"/>
                    </w:rPr>
                    <w:t>/d，642.4m</w:t>
                  </w:r>
                  <w:r>
                    <w:rPr>
                      <w:szCs w:val="21"/>
                      <w:vertAlign w:val="superscript"/>
                    </w:rPr>
                    <w:t>3</w:t>
                  </w:r>
                  <w:r>
                    <w:rPr>
                      <w:szCs w:val="21"/>
                    </w:rPr>
                    <w:t>/a)</w:t>
                  </w:r>
                </w:p>
              </w:tc>
              <w:tc>
                <w:tcPr>
                  <w:tcW w:w="1167" w:type="pct"/>
                  <w:vAlign w:val="center"/>
                </w:tcPr>
                <w:p>
                  <w:pPr>
                    <w:jc w:val="center"/>
                    <w:rPr>
                      <w:szCs w:val="21"/>
                    </w:rPr>
                  </w:pPr>
                  <w:r>
                    <w:rPr>
                      <w:szCs w:val="21"/>
                    </w:rPr>
                    <w:t>CODCr</w:t>
                  </w:r>
                </w:p>
              </w:tc>
              <w:tc>
                <w:tcPr>
                  <w:tcW w:w="2407" w:type="pct"/>
                  <w:vAlign w:val="center"/>
                </w:tcPr>
                <w:p>
                  <w:pPr>
                    <w:jc w:val="center"/>
                    <w:rPr>
                      <w:szCs w:val="21"/>
                    </w:rPr>
                  </w:pPr>
                  <w:r>
                    <w:rPr>
                      <w:szCs w:val="21"/>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6" w:hRule="atLeast"/>
                <w:jc w:val="center"/>
              </w:trPr>
              <w:tc>
                <w:tcPr>
                  <w:tcW w:w="1425" w:type="pct"/>
                  <w:vMerge w:val="continue"/>
                  <w:vAlign w:val="center"/>
                </w:tcPr>
                <w:p>
                  <w:pPr>
                    <w:jc w:val="center"/>
                  </w:pPr>
                </w:p>
              </w:tc>
              <w:tc>
                <w:tcPr>
                  <w:tcW w:w="1167" w:type="pct"/>
                  <w:vAlign w:val="center"/>
                </w:tcPr>
                <w:p>
                  <w:pPr>
                    <w:jc w:val="center"/>
                    <w:rPr>
                      <w:szCs w:val="21"/>
                    </w:rPr>
                  </w:pPr>
                  <w:r>
                    <w:rPr>
                      <w:szCs w:val="21"/>
                    </w:rPr>
                    <w:t>BOD</w:t>
                  </w:r>
                  <w:r>
                    <w:rPr>
                      <w:szCs w:val="21"/>
                      <w:vertAlign w:val="subscript"/>
                    </w:rPr>
                    <w:t>5</w:t>
                  </w:r>
                </w:p>
              </w:tc>
              <w:tc>
                <w:tcPr>
                  <w:tcW w:w="2407" w:type="pct"/>
                  <w:vAlign w:val="center"/>
                </w:tcPr>
                <w:p>
                  <w:pPr>
                    <w:jc w:val="center"/>
                    <w:rPr>
                      <w:szCs w:val="21"/>
                    </w:rPr>
                  </w:pPr>
                  <w:r>
                    <w:rPr>
                      <w:szCs w:val="21"/>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6" w:hRule="atLeast"/>
                <w:jc w:val="center"/>
              </w:trPr>
              <w:tc>
                <w:tcPr>
                  <w:tcW w:w="1425" w:type="pct"/>
                  <w:vMerge w:val="continue"/>
                  <w:vAlign w:val="center"/>
                </w:tcPr>
                <w:p>
                  <w:pPr>
                    <w:jc w:val="center"/>
                    <w:rPr>
                      <w:szCs w:val="21"/>
                    </w:rPr>
                  </w:pPr>
                </w:p>
              </w:tc>
              <w:tc>
                <w:tcPr>
                  <w:tcW w:w="1167" w:type="pct"/>
                  <w:vAlign w:val="center"/>
                </w:tcPr>
                <w:p>
                  <w:pPr>
                    <w:jc w:val="center"/>
                    <w:rPr>
                      <w:szCs w:val="21"/>
                    </w:rPr>
                  </w:pPr>
                  <w:r>
                    <w:rPr>
                      <w:szCs w:val="21"/>
                    </w:rPr>
                    <w:t>SS</w:t>
                  </w:r>
                </w:p>
              </w:tc>
              <w:tc>
                <w:tcPr>
                  <w:tcW w:w="2407" w:type="pct"/>
                  <w:vAlign w:val="center"/>
                </w:tcPr>
                <w:p>
                  <w:pPr>
                    <w:jc w:val="center"/>
                    <w:rPr>
                      <w:szCs w:val="21"/>
                    </w:rPr>
                  </w:pPr>
                  <w:r>
                    <w:rPr>
                      <w:szCs w:val="21"/>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6" w:hRule="atLeast"/>
                <w:jc w:val="center"/>
              </w:trPr>
              <w:tc>
                <w:tcPr>
                  <w:tcW w:w="1425" w:type="pct"/>
                  <w:vMerge w:val="continue"/>
                  <w:vAlign w:val="center"/>
                </w:tcPr>
                <w:p>
                  <w:pPr>
                    <w:jc w:val="center"/>
                    <w:rPr>
                      <w:szCs w:val="21"/>
                    </w:rPr>
                  </w:pPr>
                </w:p>
              </w:tc>
              <w:tc>
                <w:tcPr>
                  <w:tcW w:w="1167" w:type="pct"/>
                  <w:vAlign w:val="center"/>
                </w:tcPr>
                <w:p>
                  <w:pPr>
                    <w:jc w:val="center"/>
                    <w:rPr>
                      <w:szCs w:val="21"/>
                    </w:rPr>
                  </w:pPr>
                  <w:r>
                    <w:rPr>
                      <w:szCs w:val="21"/>
                    </w:rPr>
                    <w:t>氨氮</w:t>
                  </w:r>
                </w:p>
              </w:tc>
              <w:tc>
                <w:tcPr>
                  <w:tcW w:w="2407" w:type="pct"/>
                  <w:vAlign w:val="center"/>
                </w:tcPr>
                <w:p>
                  <w:pPr>
                    <w:jc w:val="center"/>
                    <w:rPr>
                      <w:szCs w:val="21"/>
                    </w:rPr>
                  </w:pPr>
                  <w:r>
                    <w:rPr>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6" w:hRule="atLeast"/>
                <w:jc w:val="center"/>
              </w:trPr>
              <w:tc>
                <w:tcPr>
                  <w:tcW w:w="1425" w:type="pct"/>
                  <w:vMerge w:val="continue"/>
                  <w:vAlign w:val="center"/>
                </w:tcPr>
                <w:p>
                  <w:pPr>
                    <w:jc w:val="center"/>
                    <w:rPr>
                      <w:szCs w:val="21"/>
                    </w:rPr>
                  </w:pPr>
                </w:p>
              </w:tc>
              <w:tc>
                <w:tcPr>
                  <w:tcW w:w="1167" w:type="pct"/>
                  <w:vAlign w:val="center"/>
                </w:tcPr>
                <w:p>
                  <w:pPr>
                    <w:jc w:val="center"/>
                    <w:rPr>
                      <w:szCs w:val="21"/>
                    </w:rPr>
                  </w:pPr>
                  <w:r>
                    <w:rPr>
                      <w:szCs w:val="21"/>
                    </w:rPr>
                    <w:t>总磷</w:t>
                  </w:r>
                </w:p>
              </w:tc>
              <w:tc>
                <w:tcPr>
                  <w:tcW w:w="2407" w:type="pct"/>
                  <w:vAlign w:val="center"/>
                </w:tcPr>
                <w:p>
                  <w:pPr>
                    <w:jc w:val="center"/>
                    <w:rPr>
                      <w:szCs w:val="21"/>
                    </w:rPr>
                  </w:pPr>
                  <w:r>
                    <w:rPr>
                      <w:szCs w:val="21"/>
                    </w:rPr>
                    <w:t>0.002</w:t>
                  </w:r>
                </w:p>
              </w:tc>
            </w:tr>
          </w:tbl>
          <w:p>
            <w:pPr>
              <w:pStyle w:val="6"/>
              <w:numPr>
                <w:ilvl w:val="0"/>
                <w:numId w:val="12"/>
              </w:numPr>
              <w:spacing w:line="360" w:lineRule="auto"/>
              <w:rPr>
                <w:szCs w:val="24"/>
              </w:rPr>
            </w:pPr>
            <w:r>
              <w:rPr>
                <w:szCs w:val="24"/>
              </w:rPr>
              <w:t>初期雨水</w:t>
            </w:r>
          </w:p>
          <w:p>
            <w:pPr>
              <w:pStyle w:val="6"/>
              <w:spacing w:line="360" w:lineRule="auto"/>
              <w:ind w:firstLine="480" w:firstLineChars="200"/>
              <w:rPr>
                <w:szCs w:val="24"/>
              </w:rPr>
            </w:pPr>
            <w:r>
              <w:rPr>
                <w:szCs w:val="24"/>
              </w:rPr>
              <w:t>根据工程分析，项目初期雨水最大产生量为749.9m</w:t>
            </w:r>
            <w:r>
              <w:rPr>
                <w:szCs w:val="24"/>
                <w:vertAlign w:val="superscript"/>
              </w:rPr>
              <w:t>3</w:t>
            </w:r>
            <w:r>
              <w:rPr>
                <w:szCs w:val="24"/>
              </w:rPr>
              <w:t>，主要污染物为少量SS，通过设置容积为760m</w:t>
            </w:r>
            <w:r>
              <w:rPr>
                <w:szCs w:val="24"/>
                <w:vertAlign w:val="superscript"/>
              </w:rPr>
              <w:t>3</w:t>
            </w:r>
            <w:r>
              <w:rPr>
                <w:szCs w:val="24"/>
              </w:rPr>
              <w:t>的初期雨水沉淀池对前初期雨水进行沉淀处理后回用于种植基地浇灌、配肥等，对周边环境影响较小。</w:t>
            </w:r>
          </w:p>
          <w:p>
            <w:pPr>
              <w:pStyle w:val="23"/>
              <w:widowControl w:val="0"/>
              <w:numPr>
                <w:ilvl w:val="0"/>
                <w:numId w:val="12"/>
              </w:numPr>
              <w:spacing w:before="0" w:beforeAutospacing="0" w:after="0" w:afterAutospacing="0" w:line="360" w:lineRule="auto"/>
              <w:rPr>
                <w:rFonts w:ascii="Times New Roman" w:hAnsi="Times New Roman"/>
                <w:szCs w:val="24"/>
              </w:rPr>
            </w:pPr>
            <w:r>
              <w:rPr>
                <w:rFonts w:ascii="Times New Roman" w:hAnsi="Times New Roman"/>
                <w:szCs w:val="24"/>
                <w:lang w:bidi="ar"/>
              </w:rPr>
              <w:t>纯水制备产生浓水（W1）</w:t>
            </w:r>
          </w:p>
          <w:p>
            <w:pPr>
              <w:pStyle w:val="23"/>
              <w:widowControl w:val="0"/>
              <w:spacing w:before="0" w:beforeAutospacing="0" w:after="0" w:afterAutospacing="0" w:line="360" w:lineRule="auto"/>
              <w:ind w:firstLine="480" w:firstLineChars="200"/>
              <w:rPr>
                <w:rFonts w:ascii="Times New Roman" w:hAnsi="Times New Roman"/>
                <w:szCs w:val="24"/>
              </w:rPr>
            </w:pPr>
            <w:r>
              <w:rPr>
                <w:rFonts w:ascii="Times New Roman" w:hAnsi="Times New Roman"/>
                <w:szCs w:val="24"/>
                <w:lang w:bidi="ar"/>
              </w:rPr>
              <w:t>根据工程分析，纯水制备产生浓水产生量为</w:t>
            </w:r>
            <w:r>
              <w:rPr>
                <w:rFonts w:ascii="Times New Roman" w:hAnsi="Times New Roman"/>
              </w:rPr>
              <w:t>43.512m</w:t>
            </w:r>
            <w:r>
              <w:rPr>
                <w:rFonts w:ascii="Times New Roman" w:hAnsi="Times New Roman"/>
                <w:vertAlign w:val="superscript"/>
              </w:rPr>
              <w:t>3</w:t>
            </w:r>
            <w:r>
              <w:rPr>
                <w:rFonts w:ascii="Times New Roman" w:hAnsi="Times New Roman"/>
              </w:rPr>
              <w:t>/d</w:t>
            </w:r>
            <w:r>
              <w:rPr>
                <w:rFonts w:ascii="Times New Roman" w:hAnsi="Times New Roman"/>
                <w:szCs w:val="24"/>
                <w:lang w:bidi="ar"/>
              </w:rPr>
              <w:t>，浓水中污染物含量很低，能够满足</w:t>
            </w:r>
            <w:r>
              <w:rPr>
                <w:rFonts w:ascii="Times New Roman" w:hAnsi="Times New Roman"/>
                <w:kern w:val="2"/>
                <w:szCs w:val="24"/>
                <w:lang w:bidi="ar"/>
              </w:rPr>
              <w:t>《城市污水再生利用-农田灌溉用水水质》（GB/T20922-2007）中灌溉要求，</w:t>
            </w:r>
            <w:r>
              <w:rPr>
                <w:rFonts w:ascii="Times New Roman" w:hAnsi="Times New Roman"/>
                <w:szCs w:val="24"/>
                <w:lang w:bidi="ar"/>
              </w:rPr>
              <w:t>通过收集后回用于种植灌溉，对周边环境影响较小。</w:t>
            </w:r>
          </w:p>
          <w:p>
            <w:pPr>
              <w:spacing w:line="360" w:lineRule="auto"/>
              <w:ind w:left="420" w:leftChars="200"/>
              <w:rPr>
                <w:b/>
                <w:bCs/>
                <w:sz w:val="24"/>
              </w:rPr>
            </w:pPr>
            <w:r>
              <w:rPr>
                <w:b/>
                <w:bCs/>
                <w:sz w:val="24"/>
              </w:rPr>
              <w:t>（2）废水污染防治措施：</w:t>
            </w:r>
          </w:p>
          <w:p>
            <w:pPr>
              <w:spacing w:line="360" w:lineRule="auto"/>
              <w:ind w:firstLine="482" w:firstLineChars="200"/>
              <w:rPr>
                <w:b/>
                <w:bCs/>
                <w:sz w:val="24"/>
                <w:lang w:bidi="ar"/>
              </w:rPr>
            </w:pPr>
            <w:r>
              <w:rPr>
                <w:b/>
                <w:bCs/>
                <w:sz w:val="24"/>
                <w:lang w:bidi="ar"/>
              </w:rPr>
              <w:t>1.生活废水</w:t>
            </w:r>
          </w:p>
          <w:p>
            <w:pPr>
              <w:spacing w:line="360" w:lineRule="auto"/>
              <w:ind w:firstLine="480" w:firstLineChars="200"/>
              <w:rPr>
                <w:sz w:val="24"/>
                <w:lang w:bidi="ar"/>
              </w:rPr>
            </w:pPr>
            <w:r>
              <w:rPr>
                <w:sz w:val="24"/>
                <w:lang w:bidi="ar"/>
              </w:rPr>
              <w:t>项目在食堂旁设置隔油池1座，容积为1.5m</w:t>
            </w:r>
            <w:r>
              <w:rPr>
                <w:sz w:val="24"/>
                <w:vertAlign w:val="superscript"/>
                <w:lang w:bidi="ar"/>
              </w:rPr>
              <w:t>3</w:t>
            </w:r>
            <w:r>
              <w:rPr>
                <w:sz w:val="24"/>
                <w:lang w:bidi="ar"/>
              </w:rPr>
              <w:t>，用于收集食堂含油废水，卫生间旁设有化粪池，容积为6m</w:t>
            </w:r>
            <w:r>
              <w:rPr>
                <w:sz w:val="24"/>
                <w:vertAlign w:val="superscript"/>
                <w:lang w:bidi="ar"/>
              </w:rPr>
              <w:t>3</w:t>
            </w:r>
            <w:r>
              <w:rPr>
                <w:sz w:val="24"/>
                <w:lang w:bidi="ar"/>
              </w:rPr>
              <w:t>；用于收集员工生活污水。设有一座</w:t>
            </w:r>
            <w:r>
              <w:rPr>
                <w:sz w:val="24"/>
              </w:rPr>
              <w:t>处理规模为5m</w:t>
            </w:r>
            <w:r>
              <w:rPr>
                <w:sz w:val="24"/>
                <w:vertAlign w:val="superscript"/>
              </w:rPr>
              <w:t>3</w:t>
            </w:r>
            <w:r>
              <w:rPr>
                <w:sz w:val="24"/>
              </w:rPr>
              <w:t>/d的污水处理站。</w:t>
            </w:r>
          </w:p>
          <w:p>
            <w:pPr>
              <w:spacing w:line="360" w:lineRule="auto"/>
              <w:ind w:firstLine="480" w:firstLineChars="200"/>
              <w:rPr>
                <w:sz w:val="24"/>
                <w:lang w:bidi="ar"/>
              </w:rPr>
            </w:pPr>
            <w:r>
              <w:rPr>
                <w:sz w:val="24"/>
                <w:lang w:bidi="ar"/>
              </w:rPr>
              <w:t>1）接入姚安县第二污水处理厂之前</w:t>
            </w:r>
          </w:p>
          <w:p>
            <w:pPr>
              <w:spacing w:line="360" w:lineRule="auto"/>
              <w:ind w:firstLine="480" w:firstLineChars="200"/>
              <w:rPr>
                <w:sz w:val="24"/>
                <w:lang w:bidi="ar"/>
              </w:rPr>
            </w:pPr>
            <w:r>
              <w:rPr>
                <w:sz w:val="24"/>
                <w:lang w:bidi="ar"/>
              </w:rPr>
              <w:t>本项目食堂含油污水经隔油池隔油后与其他生活污水一起排入化粪池中处理后，进入项目自建污水处理站处理后回用于种植基地浇灌，不外排。执行《城市污水再生利用-农田灌溉用水水质》（GB/T20922-2007）标准。不外排废水，对环境影响较小。</w:t>
            </w:r>
          </w:p>
          <w:p>
            <w:pPr>
              <w:spacing w:line="360" w:lineRule="auto"/>
              <w:ind w:firstLine="480" w:firstLineChars="200"/>
              <w:rPr>
                <w:sz w:val="24"/>
                <w:lang w:bidi="ar"/>
              </w:rPr>
            </w:pPr>
            <w:r>
              <w:rPr>
                <w:sz w:val="24"/>
                <w:lang w:bidi="ar"/>
              </w:rPr>
              <w:t>2）接入姚安县第二污水处理厂之后</w:t>
            </w:r>
          </w:p>
          <w:p>
            <w:pPr>
              <w:spacing w:line="360" w:lineRule="auto"/>
              <w:ind w:firstLine="480" w:firstLineChars="200"/>
              <w:rPr>
                <w:b/>
                <w:bCs/>
                <w:sz w:val="24"/>
                <w:lang w:bidi="ar"/>
              </w:rPr>
            </w:pPr>
            <w:r>
              <w:rPr>
                <w:sz w:val="24"/>
                <w:lang w:bidi="ar"/>
              </w:rPr>
              <w:t>项目食堂废水经过隔油池处理后进入化粪池处理，之后排入园区污水管网，进入污水处理厂进行处理；员工生活污水经过化粪池处理后排入污水管网，进入姚安县第二污水处理厂进行处理，执行《污水排入城镇下水道水质标准》（GB/T31962-2015）A等级标准。对环境影响较小。</w:t>
            </w:r>
          </w:p>
          <w:p>
            <w:pPr>
              <w:numPr>
                <w:ilvl w:val="0"/>
                <w:numId w:val="13"/>
              </w:numPr>
              <w:spacing w:line="360" w:lineRule="auto"/>
              <w:ind w:firstLine="482" w:firstLineChars="200"/>
              <w:rPr>
                <w:b/>
                <w:bCs/>
                <w:sz w:val="24"/>
                <w:lang w:bidi="ar"/>
              </w:rPr>
            </w:pPr>
            <w:r>
              <w:rPr>
                <w:b/>
                <w:bCs/>
                <w:sz w:val="24"/>
                <w:lang w:bidi="ar"/>
              </w:rPr>
              <w:t>生产废水</w:t>
            </w:r>
          </w:p>
          <w:p>
            <w:pPr>
              <w:spacing w:line="360" w:lineRule="auto"/>
              <w:ind w:left="480"/>
              <w:rPr>
                <w:sz w:val="24"/>
                <w:lang w:bidi="ar"/>
              </w:rPr>
            </w:pPr>
            <w:r>
              <w:rPr>
                <w:rFonts w:hint="eastAsia" w:ascii="宋体" w:hAnsi="宋体" w:cs="宋体"/>
                <w:sz w:val="24"/>
                <w:lang w:bidi="ar"/>
              </w:rPr>
              <w:t>①</w:t>
            </w:r>
            <w:r>
              <w:rPr>
                <w:sz w:val="24"/>
                <w:lang w:bidi="ar"/>
              </w:rPr>
              <w:t>包花预清洗废水</w:t>
            </w:r>
          </w:p>
          <w:p>
            <w:pPr>
              <w:spacing w:line="360" w:lineRule="auto"/>
              <w:ind w:firstLine="480" w:firstLineChars="200"/>
              <w:rPr>
                <w:sz w:val="24"/>
                <w:lang w:bidi="ar"/>
              </w:rPr>
            </w:pPr>
            <w:r>
              <w:rPr>
                <w:sz w:val="24"/>
                <w:lang w:bidi="ar"/>
              </w:rPr>
              <w:t>清洗废水中主要污染物为少量的PH、CODcr，产生的废水经沉淀后回用于种植灌溉。</w:t>
            </w:r>
          </w:p>
          <w:p>
            <w:pPr>
              <w:spacing w:line="360" w:lineRule="auto"/>
              <w:ind w:left="480"/>
              <w:rPr>
                <w:sz w:val="24"/>
                <w:lang w:bidi="ar"/>
              </w:rPr>
            </w:pPr>
            <w:r>
              <w:rPr>
                <w:rFonts w:hint="eastAsia" w:ascii="宋体" w:hAnsi="宋体" w:cs="宋体"/>
                <w:sz w:val="24"/>
                <w:lang w:bidi="ar"/>
              </w:rPr>
              <w:t>②</w:t>
            </w:r>
            <w:r>
              <w:rPr>
                <w:sz w:val="24"/>
                <w:lang w:bidi="ar"/>
              </w:rPr>
              <w:t>种植浇灌渗出水</w:t>
            </w:r>
          </w:p>
          <w:p>
            <w:pPr>
              <w:spacing w:line="360" w:lineRule="auto"/>
              <w:ind w:firstLine="480" w:firstLineChars="200"/>
              <w:rPr>
                <w:sz w:val="24"/>
                <w:lang w:bidi="ar"/>
              </w:rPr>
            </w:pPr>
            <w:r>
              <w:rPr>
                <w:sz w:val="24"/>
                <w:lang w:bidi="ar"/>
              </w:rPr>
              <w:t>种植浇灌渗出水产生废水通过收集沉淀后回用于水肥系统。</w:t>
            </w:r>
          </w:p>
          <w:p>
            <w:pPr>
              <w:spacing w:line="360" w:lineRule="auto"/>
              <w:ind w:left="480"/>
              <w:rPr>
                <w:sz w:val="24"/>
                <w:lang w:bidi="ar"/>
              </w:rPr>
            </w:pPr>
            <w:r>
              <w:rPr>
                <w:rFonts w:hint="eastAsia" w:ascii="宋体" w:hAnsi="宋体" w:cs="宋体"/>
                <w:sz w:val="24"/>
                <w:lang w:bidi="ar"/>
              </w:rPr>
              <w:t>③</w:t>
            </w:r>
            <w:r>
              <w:rPr>
                <w:sz w:val="24"/>
                <w:lang w:bidi="ar"/>
              </w:rPr>
              <w:t>锅炉废水</w:t>
            </w:r>
          </w:p>
          <w:p>
            <w:pPr>
              <w:spacing w:line="360" w:lineRule="auto"/>
              <w:ind w:firstLine="480" w:firstLineChars="200"/>
              <w:rPr>
                <w:sz w:val="24"/>
                <w:lang w:bidi="ar"/>
              </w:rPr>
            </w:pPr>
            <w:r>
              <w:rPr>
                <w:sz w:val="24"/>
                <w:lang w:bidi="ar"/>
              </w:rPr>
              <w:t>锅炉废水通过收集沉淀处理后回用于种植灌溉，对周边环境影响较小。</w:t>
            </w:r>
          </w:p>
          <w:p>
            <w:pPr>
              <w:spacing w:line="360" w:lineRule="auto"/>
              <w:ind w:left="480"/>
              <w:rPr>
                <w:sz w:val="24"/>
                <w:lang w:bidi="ar"/>
              </w:rPr>
            </w:pPr>
            <w:r>
              <w:rPr>
                <w:rFonts w:hint="eastAsia" w:ascii="宋体" w:hAnsi="宋体" w:cs="宋体"/>
                <w:sz w:val="24"/>
                <w:lang w:bidi="ar"/>
              </w:rPr>
              <w:t>⑤</w:t>
            </w:r>
            <w:r>
              <w:rPr>
                <w:sz w:val="24"/>
                <w:lang w:bidi="ar"/>
              </w:rPr>
              <w:t>初期雨水</w:t>
            </w:r>
          </w:p>
          <w:p>
            <w:pPr>
              <w:spacing w:line="360" w:lineRule="auto"/>
              <w:ind w:firstLine="480" w:firstLineChars="200"/>
              <w:rPr>
                <w:sz w:val="24"/>
              </w:rPr>
            </w:pPr>
            <w:r>
              <w:rPr>
                <w:sz w:val="24"/>
                <w:lang w:bidi="ar"/>
              </w:rPr>
              <w:t>初期雨水沉淀池对前初期雨水进行收集沉淀处理后回用于种植基地浇灌、配肥等，对周边环境影响较小。</w:t>
            </w:r>
          </w:p>
          <w:p>
            <w:pPr>
              <w:spacing w:line="360" w:lineRule="auto"/>
              <w:ind w:firstLine="482" w:firstLineChars="200"/>
              <w:rPr>
                <w:b/>
                <w:bCs/>
                <w:sz w:val="24"/>
                <w:lang w:bidi="ar"/>
              </w:rPr>
            </w:pPr>
            <w:r>
              <w:rPr>
                <w:b/>
                <w:bCs/>
                <w:sz w:val="24"/>
                <w:lang w:bidi="ar"/>
              </w:rPr>
              <w:t>（3）废水处理的可行性分析</w:t>
            </w:r>
          </w:p>
          <w:p>
            <w:pPr>
              <w:spacing w:line="360" w:lineRule="auto"/>
              <w:rPr>
                <w:sz w:val="24"/>
                <w:lang w:bidi="ar"/>
              </w:rPr>
            </w:pPr>
            <w:r>
              <w:rPr>
                <w:sz w:val="24"/>
                <w:lang w:bidi="ar"/>
              </w:rPr>
              <w:t xml:space="preserve">    </w:t>
            </w:r>
            <w:r>
              <w:rPr>
                <w:rFonts w:hint="eastAsia" w:ascii="宋体" w:hAnsi="宋体" w:cs="宋体"/>
                <w:sz w:val="24"/>
                <w:lang w:bidi="ar"/>
              </w:rPr>
              <w:t>①</w:t>
            </w:r>
            <w:r>
              <w:rPr>
                <w:sz w:val="24"/>
                <w:lang w:bidi="ar"/>
              </w:rPr>
              <w:t>包花预清洗废水</w:t>
            </w:r>
          </w:p>
          <w:p>
            <w:pPr>
              <w:spacing w:line="360" w:lineRule="auto"/>
              <w:ind w:firstLine="480" w:firstLineChars="200"/>
              <w:rPr>
                <w:sz w:val="24"/>
                <w:lang w:bidi="ar"/>
              </w:rPr>
            </w:pPr>
            <w:r>
              <w:rPr>
                <w:sz w:val="24"/>
                <w:lang w:bidi="ar"/>
              </w:rPr>
              <w:t>清洗废水中主要污染物为少量的SS，产生的废水经过10m</w:t>
            </w:r>
            <w:r>
              <w:rPr>
                <w:sz w:val="24"/>
                <w:vertAlign w:val="superscript"/>
                <w:lang w:bidi="ar"/>
              </w:rPr>
              <w:t>3</w:t>
            </w:r>
            <w:r>
              <w:rPr>
                <w:sz w:val="24"/>
                <w:lang w:bidi="ar"/>
              </w:rPr>
              <w:t>的回用水池沉淀处理后回用于种植灌溉，回用水池能够满足回用需求，措施可行。</w:t>
            </w:r>
          </w:p>
          <w:p>
            <w:pPr>
              <w:spacing w:line="360" w:lineRule="auto"/>
              <w:rPr>
                <w:sz w:val="24"/>
                <w:lang w:bidi="ar"/>
              </w:rPr>
            </w:pPr>
            <w:r>
              <w:rPr>
                <w:sz w:val="24"/>
                <w:lang w:bidi="ar"/>
              </w:rPr>
              <w:t xml:space="preserve">    </w:t>
            </w:r>
            <w:r>
              <w:rPr>
                <w:rFonts w:hint="eastAsia" w:ascii="宋体" w:hAnsi="宋体" w:cs="宋体"/>
                <w:sz w:val="24"/>
                <w:lang w:bidi="ar"/>
              </w:rPr>
              <w:t>②</w:t>
            </w:r>
            <w:r>
              <w:rPr>
                <w:sz w:val="24"/>
                <w:lang w:bidi="ar"/>
              </w:rPr>
              <w:t>种植浇灌渗出水</w:t>
            </w:r>
          </w:p>
          <w:p>
            <w:pPr>
              <w:spacing w:line="360" w:lineRule="auto"/>
              <w:ind w:firstLine="480" w:firstLineChars="200"/>
              <w:rPr>
                <w:sz w:val="24"/>
                <w:lang w:bidi="ar"/>
              </w:rPr>
            </w:pPr>
            <w:r>
              <w:rPr>
                <w:sz w:val="24"/>
                <w:lang w:bidi="ar"/>
              </w:rPr>
              <w:t>种植浇灌渗出水废水通过收集后回用于水肥系统，措施可行。</w:t>
            </w:r>
          </w:p>
          <w:p>
            <w:pPr>
              <w:spacing w:line="360" w:lineRule="auto"/>
              <w:rPr>
                <w:sz w:val="24"/>
                <w:lang w:bidi="ar"/>
              </w:rPr>
            </w:pPr>
            <w:r>
              <w:rPr>
                <w:sz w:val="24"/>
                <w:lang w:bidi="ar"/>
              </w:rPr>
              <w:t xml:space="preserve">    </w:t>
            </w:r>
            <w:r>
              <w:rPr>
                <w:rFonts w:hint="eastAsia" w:ascii="宋体" w:hAnsi="宋体" w:cs="宋体"/>
                <w:sz w:val="24"/>
                <w:lang w:bidi="ar"/>
              </w:rPr>
              <w:t>③</w:t>
            </w:r>
            <w:r>
              <w:rPr>
                <w:sz w:val="24"/>
                <w:lang w:bidi="ar"/>
              </w:rPr>
              <w:t>锅炉废水</w:t>
            </w:r>
          </w:p>
          <w:p>
            <w:pPr>
              <w:spacing w:line="360" w:lineRule="auto"/>
              <w:ind w:firstLine="480" w:firstLineChars="200"/>
              <w:rPr>
                <w:sz w:val="24"/>
                <w:lang w:bidi="ar"/>
              </w:rPr>
            </w:pPr>
            <w:r>
              <w:rPr>
                <w:sz w:val="24"/>
                <w:lang w:bidi="ar"/>
              </w:rPr>
              <w:t>锅炉废水通过收集后处理回用于种植灌溉，措施可行。</w:t>
            </w:r>
          </w:p>
          <w:p>
            <w:pPr>
              <w:spacing w:line="360" w:lineRule="auto"/>
              <w:rPr>
                <w:sz w:val="24"/>
                <w:lang w:bidi="ar"/>
              </w:rPr>
            </w:pPr>
            <w:r>
              <w:rPr>
                <w:sz w:val="24"/>
                <w:lang w:bidi="ar"/>
              </w:rPr>
              <w:t xml:space="preserve">    </w:t>
            </w:r>
            <w:r>
              <w:rPr>
                <w:rFonts w:hint="eastAsia" w:ascii="宋体" w:hAnsi="宋体" w:cs="宋体"/>
                <w:sz w:val="24"/>
                <w:lang w:bidi="ar"/>
              </w:rPr>
              <w:t>④</w:t>
            </w:r>
            <w:r>
              <w:rPr>
                <w:sz w:val="24"/>
                <w:lang w:bidi="ar"/>
              </w:rPr>
              <w:t>生活污水</w:t>
            </w:r>
          </w:p>
          <w:p>
            <w:pPr>
              <w:spacing w:line="360" w:lineRule="auto"/>
              <w:ind w:firstLine="480" w:firstLineChars="200"/>
              <w:rPr>
                <w:sz w:val="24"/>
                <w:lang w:bidi="ar"/>
              </w:rPr>
            </w:pPr>
            <w:r>
              <w:rPr>
                <w:sz w:val="24"/>
                <w:lang w:bidi="ar"/>
              </w:rPr>
              <w:t>本项目废水主要为生活废水和食堂废水。可行性分析如下：</w:t>
            </w:r>
          </w:p>
          <w:p>
            <w:pPr>
              <w:spacing w:line="360" w:lineRule="auto"/>
              <w:ind w:firstLine="480" w:firstLineChars="200"/>
              <w:rPr>
                <w:sz w:val="24"/>
                <w:lang w:bidi="ar"/>
              </w:rPr>
            </w:pPr>
            <w:r>
              <w:rPr>
                <w:sz w:val="24"/>
                <w:lang w:bidi="ar"/>
              </w:rPr>
              <w:t>1）接入姚安县第二污水处理厂之前</w:t>
            </w:r>
          </w:p>
          <w:p>
            <w:pPr>
              <w:spacing w:line="360" w:lineRule="auto"/>
              <w:ind w:firstLine="480" w:firstLineChars="200"/>
              <w:rPr>
                <w:sz w:val="24"/>
                <w:lang w:bidi="ar"/>
              </w:rPr>
            </w:pPr>
            <w:r>
              <w:rPr>
                <w:sz w:val="24"/>
                <w:lang w:bidi="ar"/>
              </w:rPr>
              <w:t>根据工程分析，项目食堂废水产生量为0.67m</w:t>
            </w:r>
            <w:r>
              <w:rPr>
                <w:sz w:val="24"/>
                <w:vertAlign w:val="superscript"/>
                <w:lang w:bidi="ar"/>
              </w:rPr>
              <w:t>3</w:t>
            </w:r>
            <w:r>
              <w:rPr>
                <w:sz w:val="24"/>
                <w:lang w:bidi="ar"/>
              </w:rPr>
              <w:t>/d，245.3m</w:t>
            </w:r>
            <w:r>
              <w:rPr>
                <w:sz w:val="24"/>
                <w:vertAlign w:val="superscript"/>
                <w:lang w:bidi="ar"/>
              </w:rPr>
              <w:t>3</w:t>
            </w:r>
            <w:r>
              <w:rPr>
                <w:sz w:val="24"/>
                <w:lang w:bidi="ar"/>
              </w:rPr>
              <w:t>/a，项目生活污水产生量为1.76m</w:t>
            </w:r>
            <w:r>
              <w:rPr>
                <w:sz w:val="24"/>
                <w:vertAlign w:val="superscript"/>
                <w:lang w:bidi="ar"/>
              </w:rPr>
              <w:t>3</w:t>
            </w:r>
            <w:r>
              <w:rPr>
                <w:sz w:val="24"/>
                <w:lang w:bidi="ar"/>
              </w:rPr>
              <w:t>/d，642.4m</w:t>
            </w:r>
            <w:r>
              <w:rPr>
                <w:sz w:val="24"/>
                <w:vertAlign w:val="superscript"/>
                <w:lang w:bidi="ar"/>
              </w:rPr>
              <w:t>3</w:t>
            </w:r>
            <w:r>
              <w:rPr>
                <w:sz w:val="24"/>
                <w:lang w:bidi="ar"/>
              </w:rPr>
              <w:t>/a。本项目食堂含油污水经隔油池隔油后与其他生活污水一起排入化粪池中处理后，进入项目自建污水处理站处理后回用于种植基地浇灌，不外排，</w:t>
            </w:r>
            <w:r>
              <w:rPr>
                <w:rFonts w:hint="eastAsia"/>
                <w:sz w:val="24"/>
                <w:lang w:bidi="ar"/>
              </w:rPr>
              <w:t>一体化</w:t>
            </w:r>
            <w:r>
              <w:rPr>
                <w:sz w:val="24"/>
                <w:lang w:bidi="ar"/>
              </w:rPr>
              <w:t>污水处理站处理规模为5m</w:t>
            </w:r>
            <w:r>
              <w:rPr>
                <w:sz w:val="24"/>
                <w:vertAlign w:val="superscript"/>
                <w:lang w:bidi="ar"/>
              </w:rPr>
              <w:t>3</w:t>
            </w:r>
            <w:r>
              <w:rPr>
                <w:sz w:val="24"/>
                <w:lang w:bidi="ar"/>
              </w:rPr>
              <w:t>/d，处理工艺为</w:t>
            </w:r>
            <w:r>
              <w:rPr>
                <w:rFonts w:hint="eastAsia"/>
                <w:sz w:val="24"/>
                <w:lang w:bidi="ar"/>
              </w:rPr>
              <w:t>“</w:t>
            </w:r>
            <w:r>
              <w:rPr>
                <w:sz w:val="24"/>
                <w:lang w:bidi="ar"/>
              </w:rPr>
              <w:t>A</w:t>
            </w:r>
            <w:r>
              <w:rPr>
                <w:sz w:val="24"/>
                <w:vertAlign w:val="superscript"/>
                <w:lang w:bidi="ar"/>
              </w:rPr>
              <w:t>2</w:t>
            </w:r>
            <w:r>
              <w:rPr>
                <w:sz w:val="24"/>
                <w:lang w:bidi="ar"/>
              </w:rPr>
              <w:t>O+MBR</w:t>
            </w:r>
            <w:r>
              <w:rPr>
                <w:rFonts w:hint="eastAsia"/>
                <w:sz w:val="24"/>
                <w:lang w:bidi="ar"/>
              </w:rPr>
              <w:t>”</w:t>
            </w:r>
            <w:r>
              <w:rPr>
                <w:sz w:val="24"/>
                <w:lang w:bidi="ar"/>
              </w:rPr>
              <w:t>，通过搅拌，曝气和沉淀消毒等工艺对污水进行处理，能满足灌溉用水标准。执行《城市污水再生利用-农田灌溉用水水质》（GB/T20922-2007）标准。</w:t>
            </w:r>
          </w:p>
          <w:p>
            <w:pPr>
              <w:snapToGrid w:val="0"/>
              <w:spacing w:line="360" w:lineRule="auto"/>
              <w:jc w:val="center"/>
              <w:rPr>
                <w:b/>
                <w:bCs/>
                <w:sz w:val="24"/>
              </w:rPr>
            </w:pPr>
            <w:r>
              <w:rPr>
                <w:b/>
                <w:bCs/>
                <w:sz w:val="24"/>
              </w:rPr>
              <w:t>表4-5 食堂废水达标分析表</w:t>
            </w:r>
          </w:p>
          <w:tbl>
            <w:tblPr>
              <w:tblStyle w:val="27"/>
              <w:tblW w:w="8554"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1789"/>
              <w:gridCol w:w="2376"/>
              <w:gridCol w:w="890"/>
              <w:gridCol w:w="907"/>
              <w:gridCol w:w="720"/>
              <w:gridCol w:w="778"/>
              <w:gridCol w:w="1094"/>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46" w:type="pct"/>
                  <w:tcBorders>
                    <w:tl2br w:val="nil"/>
                    <w:tr2bl w:val="nil"/>
                  </w:tcBorders>
                  <w:vAlign w:val="center"/>
                </w:tcPr>
                <w:p>
                  <w:pPr>
                    <w:jc w:val="center"/>
                    <w:rPr>
                      <w:b/>
                      <w:szCs w:val="21"/>
                    </w:rPr>
                  </w:pPr>
                  <w:r>
                    <w:rPr>
                      <w:b/>
                      <w:szCs w:val="21"/>
                    </w:rPr>
                    <w:t>排放源</w:t>
                  </w:r>
                </w:p>
              </w:tc>
              <w:tc>
                <w:tcPr>
                  <w:tcW w:w="1389" w:type="pct"/>
                  <w:tcBorders>
                    <w:tl2br w:val="nil"/>
                    <w:tr2bl w:val="nil"/>
                  </w:tcBorders>
                  <w:vAlign w:val="center"/>
                </w:tcPr>
                <w:p>
                  <w:pPr>
                    <w:rPr>
                      <w:b/>
                      <w:szCs w:val="21"/>
                    </w:rPr>
                  </w:pPr>
                  <w:r>
                    <w:rPr>
                      <w:b/>
                      <w:szCs w:val="21"/>
                    </w:rPr>
                    <w:t>污染物名称</w:t>
                  </w:r>
                </w:p>
              </w:tc>
              <w:tc>
                <w:tcPr>
                  <w:tcW w:w="520" w:type="pct"/>
                  <w:tcBorders>
                    <w:tl2br w:val="nil"/>
                    <w:tr2bl w:val="nil"/>
                  </w:tcBorders>
                  <w:vAlign w:val="center"/>
                </w:tcPr>
                <w:p>
                  <w:pPr>
                    <w:jc w:val="center"/>
                    <w:rPr>
                      <w:b/>
                      <w:szCs w:val="21"/>
                    </w:rPr>
                  </w:pPr>
                  <w:r>
                    <w:rPr>
                      <w:b/>
                      <w:szCs w:val="21"/>
                    </w:rPr>
                    <w:t>COD</w:t>
                  </w:r>
                  <w:r>
                    <w:rPr>
                      <w:b/>
                      <w:szCs w:val="21"/>
                      <w:vertAlign w:val="subscript"/>
                    </w:rPr>
                    <w:t>cr</w:t>
                  </w:r>
                </w:p>
              </w:tc>
              <w:tc>
                <w:tcPr>
                  <w:tcW w:w="530" w:type="pct"/>
                  <w:tcBorders>
                    <w:tl2br w:val="nil"/>
                    <w:tr2bl w:val="nil"/>
                  </w:tcBorders>
                  <w:vAlign w:val="center"/>
                </w:tcPr>
                <w:p>
                  <w:pPr>
                    <w:jc w:val="center"/>
                    <w:rPr>
                      <w:b/>
                      <w:szCs w:val="21"/>
                    </w:rPr>
                  </w:pPr>
                  <w:r>
                    <w:rPr>
                      <w:b/>
                      <w:szCs w:val="21"/>
                    </w:rPr>
                    <w:t>BOD</w:t>
                  </w:r>
                  <w:r>
                    <w:rPr>
                      <w:b/>
                      <w:szCs w:val="21"/>
                      <w:vertAlign w:val="subscript"/>
                    </w:rPr>
                    <w:t>5</w:t>
                  </w:r>
                </w:p>
              </w:tc>
              <w:tc>
                <w:tcPr>
                  <w:tcW w:w="421" w:type="pct"/>
                  <w:tcBorders>
                    <w:tl2br w:val="nil"/>
                    <w:tr2bl w:val="nil"/>
                  </w:tcBorders>
                  <w:vAlign w:val="center"/>
                </w:tcPr>
                <w:p>
                  <w:pPr>
                    <w:jc w:val="center"/>
                    <w:rPr>
                      <w:b/>
                      <w:szCs w:val="21"/>
                    </w:rPr>
                  </w:pPr>
                  <w:r>
                    <w:rPr>
                      <w:b/>
                      <w:szCs w:val="21"/>
                    </w:rPr>
                    <w:t>SS</w:t>
                  </w:r>
                </w:p>
              </w:tc>
              <w:tc>
                <w:tcPr>
                  <w:tcW w:w="455" w:type="pct"/>
                  <w:tcBorders>
                    <w:tl2br w:val="nil"/>
                    <w:tr2bl w:val="nil"/>
                  </w:tcBorders>
                  <w:vAlign w:val="center"/>
                </w:tcPr>
                <w:p>
                  <w:pPr>
                    <w:jc w:val="center"/>
                    <w:rPr>
                      <w:b/>
                      <w:szCs w:val="21"/>
                    </w:rPr>
                  </w:pPr>
                  <w:r>
                    <w:rPr>
                      <w:b/>
                      <w:szCs w:val="21"/>
                    </w:rPr>
                    <w:t>氨氮</w:t>
                  </w:r>
                </w:p>
              </w:tc>
              <w:tc>
                <w:tcPr>
                  <w:tcW w:w="639" w:type="pct"/>
                  <w:tcBorders>
                    <w:tl2br w:val="nil"/>
                    <w:tr2bl w:val="nil"/>
                  </w:tcBorders>
                  <w:vAlign w:val="center"/>
                </w:tcPr>
                <w:p>
                  <w:pPr>
                    <w:jc w:val="center"/>
                    <w:rPr>
                      <w:b/>
                      <w:szCs w:val="21"/>
                    </w:rPr>
                  </w:pPr>
                  <w:r>
                    <w:rPr>
                      <w:b/>
                      <w:szCs w:val="21"/>
                    </w:rPr>
                    <w:t>动植物油</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59" w:hRule="atLeast"/>
                <w:jc w:val="center"/>
              </w:trPr>
              <w:tc>
                <w:tcPr>
                  <w:tcW w:w="1046" w:type="pct"/>
                  <w:vMerge w:val="restart"/>
                  <w:tcBorders>
                    <w:tl2br w:val="nil"/>
                    <w:tr2bl w:val="nil"/>
                  </w:tcBorders>
                  <w:vAlign w:val="center"/>
                </w:tcPr>
                <w:p>
                  <w:pPr>
                    <w:jc w:val="center"/>
                    <w:rPr>
                      <w:szCs w:val="21"/>
                    </w:rPr>
                  </w:pPr>
                  <w:r>
                    <w:rPr>
                      <w:szCs w:val="21"/>
                    </w:rPr>
                    <w:t>食堂污水（Q=0.67m</w:t>
                  </w:r>
                  <w:r>
                    <w:rPr>
                      <w:szCs w:val="21"/>
                      <w:vertAlign w:val="superscript"/>
                    </w:rPr>
                    <w:t>3</w:t>
                  </w:r>
                  <w:r>
                    <w:rPr>
                      <w:szCs w:val="21"/>
                    </w:rPr>
                    <w:t>/d，245.3m</w:t>
                  </w:r>
                  <w:r>
                    <w:rPr>
                      <w:szCs w:val="21"/>
                      <w:vertAlign w:val="superscript"/>
                    </w:rPr>
                    <w:t>3</w:t>
                  </w:r>
                  <w:r>
                    <w:rPr>
                      <w:szCs w:val="21"/>
                    </w:rPr>
                    <w:t>/a）</w:t>
                  </w:r>
                </w:p>
              </w:tc>
              <w:tc>
                <w:tcPr>
                  <w:tcW w:w="1389" w:type="pct"/>
                  <w:tcBorders>
                    <w:tl2br w:val="nil"/>
                    <w:tr2bl w:val="nil"/>
                  </w:tcBorders>
                  <w:vAlign w:val="center"/>
                </w:tcPr>
                <w:p>
                  <w:pPr>
                    <w:jc w:val="center"/>
                    <w:rPr>
                      <w:szCs w:val="21"/>
                    </w:rPr>
                  </w:pPr>
                  <w:r>
                    <w:rPr>
                      <w:szCs w:val="21"/>
                    </w:rPr>
                    <w:t>隔油池入口浓度（mg/L）</w:t>
                  </w:r>
                </w:p>
              </w:tc>
              <w:tc>
                <w:tcPr>
                  <w:tcW w:w="520" w:type="pct"/>
                  <w:tcBorders>
                    <w:tl2br w:val="nil"/>
                    <w:tr2bl w:val="nil"/>
                  </w:tcBorders>
                  <w:vAlign w:val="center"/>
                </w:tcPr>
                <w:p>
                  <w:pPr>
                    <w:jc w:val="center"/>
                    <w:rPr>
                      <w:szCs w:val="21"/>
                    </w:rPr>
                  </w:pPr>
                  <w:r>
                    <w:rPr>
                      <w:szCs w:val="21"/>
                    </w:rPr>
                    <w:t>400</w:t>
                  </w:r>
                </w:p>
              </w:tc>
              <w:tc>
                <w:tcPr>
                  <w:tcW w:w="530" w:type="pct"/>
                  <w:tcBorders>
                    <w:tl2br w:val="nil"/>
                    <w:tr2bl w:val="nil"/>
                  </w:tcBorders>
                  <w:vAlign w:val="center"/>
                </w:tcPr>
                <w:p>
                  <w:pPr>
                    <w:jc w:val="center"/>
                    <w:rPr>
                      <w:szCs w:val="21"/>
                    </w:rPr>
                  </w:pPr>
                  <w:r>
                    <w:rPr>
                      <w:szCs w:val="21"/>
                    </w:rPr>
                    <w:t>300</w:t>
                  </w:r>
                </w:p>
              </w:tc>
              <w:tc>
                <w:tcPr>
                  <w:tcW w:w="421" w:type="pct"/>
                  <w:tcBorders>
                    <w:tl2br w:val="nil"/>
                    <w:tr2bl w:val="nil"/>
                  </w:tcBorders>
                  <w:vAlign w:val="center"/>
                </w:tcPr>
                <w:p>
                  <w:pPr>
                    <w:jc w:val="center"/>
                    <w:rPr>
                      <w:szCs w:val="21"/>
                    </w:rPr>
                  </w:pPr>
                  <w:r>
                    <w:rPr>
                      <w:szCs w:val="21"/>
                    </w:rPr>
                    <w:t>200</w:t>
                  </w:r>
                </w:p>
              </w:tc>
              <w:tc>
                <w:tcPr>
                  <w:tcW w:w="455" w:type="pct"/>
                  <w:tcBorders>
                    <w:tl2br w:val="nil"/>
                    <w:tr2bl w:val="nil"/>
                  </w:tcBorders>
                  <w:vAlign w:val="center"/>
                </w:tcPr>
                <w:p>
                  <w:pPr>
                    <w:jc w:val="center"/>
                    <w:rPr>
                      <w:szCs w:val="21"/>
                    </w:rPr>
                  </w:pPr>
                  <w:r>
                    <w:rPr>
                      <w:szCs w:val="21"/>
                    </w:rPr>
                    <w:t>25</w:t>
                  </w:r>
                </w:p>
              </w:tc>
              <w:tc>
                <w:tcPr>
                  <w:tcW w:w="639" w:type="pct"/>
                  <w:tcBorders>
                    <w:tl2br w:val="nil"/>
                    <w:tr2bl w:val="nil"/>
                  </w:tcBorders>
                  <w:vAlign w:val="center"/>
                </w:tcPr>
                <w:p>
                  <w:pPr>
                    <w:jc w:val="center"/>
                    <w:rPr>
                      <w:szCs w:val="21"/>
                    </w:rPr>
                  </w:pPr>
                  <w:r>
                    <w:rPr>
                      <w:szCs w:val="21"/>
                    </w:rPr>
                    <w:t>150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59" w:hRule="atLeast"/>
                <w:jc w:val="center"/>
              </w:trPr>
              <w:tc>
                <w:tcPr>
                  <w:tcW w:w="1046" w:type="pct"/>
                  <w:vMerge w:val="continue"/>
                  <w:tcBorders>
                    <w:tl2br w:val="nil"/>
                    <w:tr2bl w:val="nil"/>
                  </w:tcBorders>
                  <w:vAlign w:val="center"/>
                </w:tcPr>
                <w:p>
                  <w:pPr>
                    <w:jc w:val="center"/>
                    <w:rPr>
                      <w:szCs w:val="21"/>
                    </w:rPr>
                  </w:pPr>
                </w:p>
              </w:tc>
              <w:tc>
                <w:tcPr>
                  <w:tcW w:w="1389" w:type="pct"/>
                  <w:tcBorders>
                    <w:tl2br w:val="nil"/>
                    <w:tr2bl w:val="nil"/>
                  </w:tcBorders>
                  <w:vAlign w:val="center"/>
                </w:tcPr>
                <w:p>
                  <w:pPr>
                    <w:jc w:val="center"/>
                    <w:rPr>
                      <w:szCs w:val="21"/>
                    </w:rPr>
                  </w:pPr>
                  <w:r>
                    <w:rPr>
                      <w:szCs w:val="21"/>
                    </w:rPr>
                    <w:t>隔油池处理效率（%）</w:t>
                  </w:r>
                </w:p>
              </w:tc>
              <w:tc>
                <w:tcPr>
                  <w:tcW w:w="520" w:type="pct"/>
                  <w:tcBorders>
                    <w:tl2br w:val="nil"/>
                    <w:tr2bl w:val="nil"/>
                  </w:tcBorders>
                  <w:vAlign w:val="center"/>
                </w:tcPr>
                <w:p>
                  <w:pPr>
                    <w:jc w:val="center"/>
                    <w:rPr>
                      <w:szCs w:val="21"/>
                    </w:rPr>
                  </w:pPr>
                  <w:r>
                    <w:rPr>
                      <w:szCs w:val="21"/>
                    </w:rPr>
                    <w:t>/</w:t>
                  </w:r>
                </w:p>
              </w:tc>
              <w:tc>
                <w:tcPr>
                  <w:tcW w:w="530" w:type="pct"/>
                  <w:tcBorders>
                    <w:tl2br w:val="nil"/>
                    <w:tr2bl w:val="nil"/>
                  </w:tcBorders>
                  <w:vAlign w:val="center"/>
                </w:tcPr>
                <w:p>
                  <w:pPr>
                    <w:jc w:val="center"/>
                    <w:rPr>
                      <w:szCs w:val="21"/>
                    </w:rPr>
                  </w:pPr>
                  <w:r>
                    <w:rPr>
                      <w:szCs w:val="21"/>
                    </w:rPr>
                    <w:t>/</w:t>
                  </w:r>
                </w:p>
              </w:tc>
              <w:tc>
                <w:tcPr>
                  <w:tcW w:w="421" w:type="pct"/>
                  <w:tcBorders>
                    <w:tl2br w:val="nil"/>
                    <w:tr2bl w:val="nil"/>
                  </w:tcBorders>
                  <w:vAlign w:val="center"/>
                </w:tcPr>
                <w:p>
                  <w:pPr>
                    <w:jc w:val="center"/>
                    <w:rPr>
                      <w:szCs w:val="21"/>
                    </w:rPr>
                  </w:pPr>
                  <w:r>
                    <w:rPr>
                      <w:szCs w:val="21"/>
                    </w:rPr>
                    <w:t>/</w:t>
                  </w:r>
                </w:p>
              </w:tc>
              <w:tc>
                <w:tcPr>
                  <w:tcW w:w="455" w:type="pct"/>
                  <w:tcBorders>
                    <w:tl2br w:val="nil"/>
                    <w:tr2bl w:val="nil"/>
                  </w:tcBorders>
                  <w:vAlign w:val="center"/>
                </w:tcPr>
                <w:p>
                  <w:pPr>
                    <w:jc w:val="center"/>
                    <w:rPr>
                      <w:szCs w:val="21"/>
                    </w:rPr>
                  </w:pPr>
                  <w:r>
                    <w:rPr>
                      <w:szCs w:val="21"/>
                    </w:rPr>
                    <w:t>/</w:t>
                  </w:r>
                </w:p>
              </w:tc>
              <w:tc>
                <w:tcPr>
                  <w:tcW w:w="639" w:type="pct"/>
                  <w:tcBorders>
                    <w:tl2br w:val="nil"/>
                    <w:tr2bl w:val="nil"/>
                  </w:tcBorders>
                  <w:vAlign w:val="center"/>
                </w:tcPr>
                <w:p>
                  <w:pPr>
                    <w:jc w:val="center"/>
                    <w:rPr>
                      <w:szCs w:val="21"/>
                    </w:rPr>
                  </w:pPr>
                  <w:r>
                    <w:rPr>
                      <w:szCs w:val="21"/>
                    </w:rPr>
                    <w:t>60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59" w:hRule="atLeast"/>
                <w:jc w:val="center"/>
              </w:trPr>
              <w:tc>
                <w:tcPr>
                  <w:tcW w:w="1046" w:type="pct"/>
                  <w:vMerge w:val="continue"/>
                  <w:tcBorders>
                    <w:tl2br w:val="nil"/>
                    <w:tr2bl w:val="nil"/>
                  </w:tcBorders>
                  <w:vAlign w:val="center"/>
                </w:tcPr>
                <w:p>
                  <w:pPr>
                    <w:jc w:val="center"/>
                    <w:rPr>
                      <w:szCs w:val="21"/>
                    </w:rPr>
                  </w:pPr>
                </w:p>
              </w:tc>
              <w:tc>
                <w:tcPr>
                  <w:tcW w:w="1389" w:type="pct"/>
                  <w:tcBorders>
                    <w:tl2br w:val="nil"/>
                    <w:tr2bl w:val="nil"/>
                  </w:tcBorders>
                  <w:vAlign w:val="center"/>
                </w:tcPr>
                <w:p>
                  <w:pPr>
                    <w:jc w:val="center"/>
                    <w:rPr>
                      <w:szCs w:val="21"/>
                    </w:rPr>
                  </w:pPr>
                  <w:r>
                    <w:rPr>
                      <w:szCs w:val="21"/>
                    </w:rPr>
                    <w:t>隔油池出口浓度（mg/L）</w:t>
                  </w:r>
                </w:p>
              </w:tc>
              <w:tc>
                <w:tcPr>
                  <w:tcW w:w="520" w:type="pct"/>
                  <w:tcBorders>
                    <w:tl2br w:val="nil"/>
                    <w:tr2bl w:val="nil"/>
                  </w:tcBorders>
                  <w:vAlign w:val="center"/>
                </w:tcPr>
                <w:p>
                  <w:pPr>
                    <w:jc w:val="center"/>
                    <w:rPr>
                      <w:szCs w:val="21"/>
                    </w:rPr>
                  </w:pPr>
                  <w:r>
                    <w:rPr>
                      <w:szCs w:val="21"/>
                    </w:rPr>
                    <w:t>400</w:t>
                  </w:r>
                </w:p>
              </w:tc>
              <w:tc>
                <w:tcPr>
                  <w:tcW w:w="530" w:type="pct"/>
                  <w:tcBorders>
                    <w:tl2br w:val="nil"/>
                    <w:tr2bl w:val="nil"/>
                  </w:tcBorders>
                  <w:vAlign w:val="center"/>
                </w:tcPr>
                <w:p>
                  <w:pPr>
                    <w:jc w:val="center"/>
                    <w:rPr>
                      <w:szCs w:val="21"/>
                    </w:rPr>
                  </w:pPr>
                  <w:r>
                    <w:rPr>
                      <w:szCs w:val="21"/>
                    </w:rPr>
                    <w:t>300</w:t>
                  </w:r>
                </w:p>
              </w:tc>
              <w:tc>
                <w:tcPr>
                  <w:tcW w:w="421" w:type="pct"/>
                  <w:tcBorders>
                    <w:tl2br w:val="nil"/>
                    <w:tr2bl w:val="nil"/>
                  </w:tcBorders>
                  <w:vAlign w:val="center"/>
                </w:tcPr>
                <w:p>
                  <w:pPr>
                    <w:jc w:val="center"/>
                    <w:rPr>
                      <w:szCs w:val="21"/>
                    </w:rPr>
                  </w:pPr>
                  <w:r>
                    <w:rPr>
                      <w:szCs w:val="21"/>
                    </w:rPr>
                    <w:t>200</w:t>
                  </w:r>
                </w:p>
              </w:tc>
              <w:tc>
                <w:tcPr>
                  <w:tcW w:w="455" w:type="pct"/>
                  <w:tcBorders>
                    <w:tl2br w:val="nil"/>
                    <w:tr2bl w:val="nil"/>
                  </w:tcBorders>
                  <w:vAlign w:val="center"/>
                </w:tcPr>
                <w:p>
                  <w:pPr>
                    <w:jc w:val="center"/>
                    <w:rPr>
                      <w:szCs w:val="21"/>
                    </w:rPr>
                  </w:pPr>
                  <w:r>
                    <w:rPr>
                      <w:szCs w:val="21"/>
                    </w:rPr>
                    <w:t>25</w:t>
                  </w:r>
                </w:p>
              </w:tc>
              <w:tc>
                <w:tcPr>
                  <w:tcW w:w="639" w:type="pct"/>
                  <w:tcBorders>
                    <w:tl2br w:val="nil"/>
                    <w:tr2bl w:val="nil"/>
                  </w:tcBorders>
                  <w:vAlign w:val="center"/>
                </w:tcPr>
                <w:p>
                  <w:pPr>
                    <w:jc w:val="center"/>
                    <w:rPr>
                      <w:szCs w:val="21"/>
                    </w:rPr>
                  </w:pPr>
                  <w:r>
                    <w:rPr>
                      <w:szCs w:val="21"/>
                    </w:rPr>
                    <w:t>90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59" w:hRule="atLeast"/>
                <w:jc w:val="center"/>
              </w:trPr>
              <w:tc>
                <w:tcPr>
                  <w:tcW w:w="1046" w:type="pct"/>
                  <w:vMerge w:val="continue"/>
                  <w:tcBorders>
                    <w:tl2br w:val="nil"/>
                    <w:tr2bl w:val="nil"/>
                  </w:tcBorders>
                  <w:vAlign w:val="center"/>
                </w:tcPr>
                <w:p>
                  <w:pPr>
                    <w:jc w:val="center"/>
                    <w:rPr>
                      <w:szCs w:val="21"/>
                    </w:rPr>
                  </w:pPr>
                </w:p>
              </w:tc>
              <w:tc>
                <w:tcPr>
                  <w:tcW w:w="1389" w:type="pct"/>
                  <w:tcBorders>
                    <w:tl2br w:val="nil"/>
                    <w:tr2bl w:val="nil"/>
                  </w:tcBorders>
                  <w:vAlign w:val="center"/>
                </w:tcPr>
                <w:p>
                  <w:pPr>
                    <w:jc w:val="center"/>
                    <w:rPr>
                      <w:szCs w:val="21"/>
                    </w:rPr>
                  </w:pPr>
                  <w:r>
                    <w:rPr>
                      <w:szCs w:val="21"/>
                    </w:rPr>
                    <w:t>化粪池入口浓度（mg/L）</w:t>
                  </w:r>
                </w:p>
              </w:tc>
              <w:tc>
                <w:tcPr>
                  <w:tcW w:w="520" w:type="pct"/>
                  <w:tcBorders>
                    <w:tl2br w:val="nil"/>
                    <w:tr2bl w:val="nil"/>
                  </w:tcBorders>
                  <w:vAlign w:val="center"/>
                </w:tcPr>
                <w:p>
                  <w:pPr>
                    <w:jc w:val="center"/>
                    <w:rPr>
                      <w:szCs w:val="21"/>
                    </w:rPr>
                  </w:pPr>
                  <w:r>
                    <w:rPr>
                      <w:szCs w:val="21"/>
                    </w:rPr>
                    <w:t>400</w:t>
                  </w:r>
                </w:p>
              </w:tc>
              <w:tc>
                <w:tcPr>
                  <w:tcW w:w="530" w:type="pct"/>
                  <w:tcBorders>
                    <w:tl2br w:val="nil"/>
                    <w:tr2bl w:val="nil"/>
                  </w:tcBorders>
                  <w:vAlign w:val="center"/>
                </w:tcPr>
                <w:p>
                  <w:pPr>
                    <w:jc w:val="center"/>
                    <w:rPr>
                      <w:szCs w:val="21"/>
                    </w:rPr>
                  </w:pPr>
                  <w:r>
                    <w:rPr>
                      <w:szCs w:val="21"/>
                    </w:rPr>
                    <w:t>300</w:t>
                  </w:r>
                </w:p>
              </w:tc>
              <w:tc>
                <w:tcPr>
                  <w:tcW w:w="421" w:type="pct"/>
                  <w:tcBorders>
                    <w:tl2br w:val="nil"/>
                    <w:tr2bl w:val="nil"/>
                  </w:tcBorders>
                  <w:vAlign w:val="center"/>
                </w:tcPr>
                <w:p>
                  <w:pPr>
                    <w:jc w:val="center"/>
                    <w:rPr>
                      <w:szCs w:val="21"/>
                    </w:rPr>
                  </w:pPr>
                  <w:r>
                    <w:rPr>
                      <w:szCs w:val="21"/>
                    </w:rPr>
                    <w:t>200</w:t>
                  </w:r>
                </w:p>
              </w:tc>
              <w:tc>
                <w:tcPr>
                  <w:tcW w:w="455" w:type="pct"/>
                  <w:tcBorders>
                    <w:tl2br w:val="nil"/>
                    <w:tr2bl w:val="nil"/>
                  </w:tcBorders>
                  <w:vAlign w:val="center"/>
                </w:tcPr>
                <w:p>
                  <w:pPr>
                    <w:jc w:val="center"/>
                    <w:rPr>
                      <w:szCs w:val="21"/>
                    </w:rPr>
                  </w:pPr>
                  <w:r>
                    <w:rPr>
                      <w:szCs w:val="21"/>
                    </w:rPr>
                    <w:t>25</w:t>
                  </w:r>
                </w:p>
              </w:tc>
              <w:tc>
                <w:tcPr>
                  <w:tcW w:w="639" w:type="pct"/>
                  <w:tcBorders>
                    <w:tl2br w:val="nil"/>
                    <w:tr2bl w:val="nil"/>
                  </w:tcBorders>
                  <w:vAlign w:val="center"/>
                </w:tcPr>
                <w:p>
                  <w:pPr>
                    <w:jc w:val="center"/>
                    <w:rPr>
                      <w:szCs w:val="21"/>
                    </w:rPr>
                  </w:pPr>
                  <w:r>
                    <w:rPr>
                      <w:szCs w:val="21"/>
                    </w:rPr>
                    <w:t>90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73" w:hRule="atLeast"/>
                <w:jc w:val="center"/>
              </w:trPr>
              <w:tc>
                <w:tcPr>
                  <w:tcW w:w="1046" w:type="pct"/>
                  <w:vMerge w:val="continue"/>
                  <w:tcBorders>
                    <w:tl2br w:val="nil"/>
                    <w:tr2bl w:val="nil"/>
                  </w:tcBorders>
                  <w:vAlign w:val="center"/>
                </w:tcPr>
                <w:p>
                  <w:pPr>
                    <w:jc w:val="center"/>
                    <w:rPr>
                      <w:szCs w:val="21"/>
                    </w:rPr>
                  </w:pPr>
                </w:p>
              </w:tc>
              <w:tc>
                <w:tcPr>
                  <w:tcW w:w="1389" w:type="pct"/>
                  <w:tcBorders>
                    <w:tl2br w:val="nil"/>
                    <w:tr2bl w:val="nil"/>
                  </w:tcBorders>
                  <w:vAlign w:val="center"/>
                </w:tcPr>
                <w:p>
                  <w:pPr>
                    <w:jc w:val="center"/>
                    <w:rPr>
                      <w:szCs w:val="21"/>
                    </w:rPr>
                  </w:pPr>
                  <w:r>
                    <w:rPr>
                      <w:szCs w:val="21"/>
                    </w:rPr>
                    <w:t>化粪池处理效率（%）</w:t>
                  </w:r>
                </w:p>
              </w:tc>
              <w:tc>
                <w:tcPr>
                  <w:tcW w:w="520" w:type="pct"/>
                  <w:tcBorders>
                    <w:tl2br w:val="nil"/>
                    <w:tr2bl w:val="nil"/>
                  </w:tcBorders>
                  <w:vAlign w:val="center"/>
                </w:tcPr>
                <w:p>
                  <w:pPr>
                    <w:jc w:val="center"/>
                    <w:rPr>
                      <w:szCs w:val="21"/>
                    </w:rPr>
                  </w:pPr>
                  <w:r>
                    <w:rPr>
                      <w:szCs w:val="21"/>
                    </w:rPr>
                    <w:t>15%</w:t>
                  </w:r>
                </w:p>
              </w:tc>
              <w:tc>
                <w:tcPr>
                  <w:tcW w:w="530" w:type="pct"/>
                  <w:tcBorders>
                    <w:tl2br w:val="nil"/>
                    <w:tr2bl w:val="nil"/>
                  </w:tcBorders>
                  <w:vAlign w:val="center"/>
                </w:tcPr>
                <w:p>
                  <w:pPr>
                    <w:jc w:val="center"/>
                    <w:rPr>
                      <w:szCs w:val="21"/>
                    </w:rPr>
                  </w:pPr>
                  <w:r>
                    <w:rPr>
                      <w:szCs w:val="21"/>
                    </w:rPr>
                    <w:t>9%</w:t>
                  </w:r>
                </w:p>
              </w:tc>
              <w:tc>
                <w:tcPr>
                  <w:tcW w:w="421" w:type="pct"/>
                  <w:tcBorders>
                    <w:tl2br w:val="nil"/>
                    <w:tr2bl w:val="nil"/>
                  </w:tcBorders>
                  <w:vAlign w:val="center"/>
                </w:tcPr>
                <w:p>
                  <w:pPr>
                    <w:jc w:val="center"/>
                    <w:rPr>
                      <w:szCs w:val="21"/>
                    </w:rPr>
                  </w:pPr>
                  <w:r>
                    <w:rPr>
                      <w:szCs w:val="21"/>
                    </w:rPr>
                    <w:t>30%</w:t>
                  </w:r>
                </w:p>
              </w:tc>
              <w:tc>
                <w:tcPr>
                  <w:tcW w:w="455" w:type="pct"/>
                  <w:tcBorders>
                    <w:tl2br w:val="nil"/>
                    <w:tr2bl w:val="nil"/>
                  </w:tcBorders>
                  <w:vAlign w:val="center"/>
                </w:tcPr>
                <w:p>
                  <w:pPr>
                    <w:jc w:val="center"/>
                    <w:rPr>
                      <w:szCs w:val="21"/>
                    </w:rPr>
                  </w:pPr>
                  <w:r>
                    <w:rPr>
                      <w:szCs w:val="21"/>
                    </w:rPr>
                    <w:t>3%</w:t>
                  </w:r>
                </w:p>
              </w:tc>
              <w:tc>
                <w:tcPr>
                  <w:tcW w:w="639" w:type="pct"/>
                  <w:tcBorders>
                    <w:tl2br w:val="nil"/>
                    <w:tr2bl w:val="nil"/>
                  </w:tcBorders>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59" w:hRule="atLeast"/>
                <w:jc w:val="center"/>
              </w:trPr>
              <w:tc>
                <w:tcPr>
                  <w:tcW w:w="1046" w:type="pct"/>
                  <w:vMerge w:val="continue"/>
                  <w:tcBorders>
                    <w:tl2br w:val="nil"/>
                    <w:tr2bl w:val="nil"/>
                  </w:tcBorders>
                  <w:vAlign w:val="center"/>
                </w:tcPr>
                <w:p>
                  <w:pPr>
                    <w:jc w:val="center"/>
                    <w:rPr>
                      <w:szCs w:val="21"/>
                    </w:rPr>
                  </w:pPr>
                </w:p>
              </w:tc>
              <w:tc>
                <w:tcPr>
                  <w:tcW w:w="1389" w:type="pct"/>
                  <w:tcBorders>
                    <w:tl2br w:val="nil"/>
                    <w:tr2bl w:val="nil"/>
                  </w:tcBorders>
                  <w:vAlign w:val="center"/>
                </w:tcPr>
                <w:p>
                  <w:pPr>
                    <w:jc w:val="center"/>
                    <w:rPr>
                      <w:szCs w:val="21"/>
                    </w:rPr>
                  </w:pPr>
                  <w:r>
                    <w:rPr>
                      <w:szCs w:val="21"/>
                    </w:rPr>
                    <w:t>化粪池出口浓度（mg/L）</w:t>
                  </w:r>
                </w:p>
              </w:tc>
              <w:tc>
                <w:tcPr>
                  <w:tcW w:w="520" w:type="pct"/>
                  <w:tcBorders>
                    <w:tl2br w:val="nil"/>
                    <w:tr2bl w:val="nil"/>
                  </w:tcBorders>
                  <w:vAlign w:val="center"/>
                </w:tcPr>
                <w:p>
                  <w:pPr>
                    <w:jc w:val="center"/>
                    <w:rPr>
                      <w:szCs w:val="21"/>
                    </w:rPr>
                  </w:pPr>
                  <w:r>
                    <w:rPr>
                      <w:szCs w:val="21"/>
                    </w:rPr>
                    <w:t>340</w:t>
                  </w:r>
                </w:p>
              </w:tc>
              <w:tc>
                <w:tcPr>
                  <w:tcW w:w="530" w:type="pct"/>
                  <w:tcBorders>
                    <w:tl2br w:val="nil"/>
                    <w:tr2bl w:val="nil"/>
                  </w:tcBorders>
                  <w:vAlign w:val="center"/>
                </w:tcPr>
                <w:p>
                  <w:pPr>
                    <w:jc w:val="center"/>
                    <w:rPr>
                      <w:szCs w:val="21"/>
                    </w:rPr>
                  </w:pPr>
                  <w:r>
                    <w:rPr>
                      <w:szCs w:val="21"/>
                    </w:rPr>
                    <w:t>273</w:t>
                  </w:r>
                </w:p>
              </w:tc>
              <w:tc>
                <w:tcPr>
                  <w:tcW w:w="421" w:type="pct"/>
                  <w:tcBorders>
                    <w:tl2br w:val="nil"/>
                    <w:tr2bl w:val="nil"/>
                  </w:tcBorders>
                  <w:vAlign w:val="center"/>
                </w:tcPr>
                <w:p>
                  <w:pPr>
                    <w:jc w:val="center"/>
                    <w:rPr>
                      <w:szCs w:val="21"/>
                    </w:rPr>
                  </w:pPr>
                  <w:r>
                    <w:rPr>
                      <w:szCs w:val="21"/>
                    </w:rPr>
                    <w:t>140</w:t>
                  </w:r>
                </w:p>
              </w:tc>
              <w:tc>
                <w:tcPr>
                  <w:tcW w:w="455" w:type="pct"/>
                  <w:tcBorders>
                    <w:tl2br w:val="nil"/>
                    <w:tr2bl w:val="nil"/>
                  </w:tcBorders>
                  <w:vAlign w:val="center"/>
                </w:tcPr>
                <w:p>
                  <w:pPr>
                    <w:jc w:val="center"/>
                    <w:rPr>
                      <w:szCs w:val="21"/>
                    </w:rPr>
                  </w:pPr>
                  <w:r>
                    <w:rPr>
                      <w:szCs w:val="21"/>
                    </w:rPr>
                    <w:t>24.25</w:t>
                  </w:r>
                </w:p>
              </w:tc>
              <w:tc>
                <w:tcPr>
                  <w:tcW w:w="639" w:type="pct"/>
                  <w:tcBorders>
                    <w:tl2br w:val="nil"/>
                    <w:tr2bl w:val="nil"/>
                  </w:tcBorders>
                  <w:vAlign w:val="center"/>
                </w:tcPr>
                <w:p>
                  <w:pPr>
                    <w:jc w:val="center"/>
                    <w:rPr>
                      <w:szCs w:val="21"/>
                    </w:rPr>
                  </w:pPr>
                  <w:r>
                    <w:rPr>
                      <w:szCs w:val="21"/>
                    </w:rPr>
                    <w:t>90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59" w:hRule="atLeast"/>
                <w:jc w:val="center"/>
              </w:trPr>
              <w:tc>
                <w:tcPr>
                  <w:tcW w:w="1046" w:type="pct"/>
                  <w:vMerge w:val="continue"/>
                  <w:tcBorders>
                    <w:tl2br w:val="nil"/>
                    <w:tr2bl w:val="nil"/>
                  </w:tcBorders>
                  <w:vAlign w:val="center"/>
                </w:tcPr>
                <w:p>
                  <w:pPr>
                    <w:jc w:val="center"/>
                    <w:rPr>
                      <w:szCs w:val="21"/>
                    </w:rPr>
                  </w:pPr>
                </w:p>
              </w:tc>
              <w:tc>
                <w:tcPr>
                  <w:tcW w:w="1389" w:type="pct"/>
                  <w:tcBorders>
                    <w:tl2br w:val="nil"/>
                    <w:tr2bl w:val="nil"/>
                  </w:tcBorders>
                  <w:vAlign w:val="center"/>
                </w:tcPr>
                <w:p>
                  <w:pPr>
                    <w:jc w:val="center"/>
                    <w:rPr>
                      <w:szCs w:val="21"/>
                    </w:rPr>
                  </w:pPr>
                  <w:r>
                    <w:rPr>
                      <w:szCs w:val="21"/>
                    </w:rPr>
                    <w:t>污水处理站入口浓度（mg/L）</w:t>
                  </w:r>
                </w:p>
              </w:tc>
              <w:tc>
                <w:tcPr>
                  <w:tcW w:w="520" w:type="pct"/>
                  <w:tcBorders>
                    <w:tl2br w:val="nil"/>
                    <w:tr2bl w:val="nil"/>
                  </w:tcBorders>
                  <w:vAlign w:val="center"/>
                </w:tcPr>
                <w:p>
                  <w:pPr>
                    <w:jc w:val="center"/>
                    <w:rPr>
                      <w:szCs w:val="21"/>
                    </w:rPr>
                  </w:pPr>
                  <w:r>
                    <w:rPr>
                      <w:szCs w:val="21"/>
                    </w:rPr>
                    <w:t>340</w:t>
                  </w:r>
                </w:p>
              </w:tc>
              <w:tc>
                <w:tcPr>
                  <w:tcW w:w="530" w:type="pct"/>
                  <w:tcBorders>
                    <w:tl2br w:val="nil"/>
                    <w:tr2bl w:val="nil"/>
                  </w:tcBorders>
                  <w:vAlign w:val="center"/>
                </w:tcPr>
                <w:p>
                  <w:pPr>
                    <w:jc w:val="center"/>
                    <w:rPr>
                      <w:szCs w:val="21"/>
                    </w:rPr>
                  </w:pPr>
                  <w:r>
                    <w:rPr>
                      <w:szCs w:val="21"/>
                    </w:rPr>
                    <w:t>273</w:t>
                  </w:r>
                </w:p>
              </w:tc>
              <w:tc>
                <w:tcPr>
                  <w:tcW w:w="421" w:type="pct"/>
                  <w:tcBorders>
                    <w:tl2br w:val="nil"/>
                    <w:tr2bl w:val="nil"/>
                  </w:tcBorders>
                  <w:vAlign w:val="center"/>
                </w:tcPr>
                <w:p>
                  <w:pPr>
                    <w:jc w:val="center"/>
                    <w:rPr>
                      <w:szCs w:val="21"/>
                    </w:rPr>
                  </w:pPr>
                  <w:r>
                    <w:rPr>
                      <w:szCs w:val="21"/>
                    </w:rPr>
                    <w:t>140</w:t>
                  </w:r>
                </w:p>
              </w:tc>
              <w:tc>
                <w:tcPr>
                  <w:tcW w:w="455" w:type="pct"/>
                  <w:tcBorders>
                    <w:tl2br w:val="nil"/>
                    <w:tr2bl w:val="nil"/>
                  </w:tcBorders>
                  <w:vAlign w:val="center"/>
                </w:tcPr>
                <w:p>
                  <w:pPr>
                    <w:jc w:val="center"/>
                    <w:rPr>
                      <w:szCs w:val="21"/>
                    </w:rPr>
                  </w:pPr>
                  <w:r>
                    <w:rPr>
                      <w:szCs w:val="21"/>
                    </w:rPr>
                    <w:t>24.25</w:t>
                  </w:r>
                </w:p>
              </w:tc>
              <w:tc>
                <w:tcPr>
                  <w:tcW w:w="639" w:type="pct"/>
                  <w:tcBorders>
                    <w:tl2br w:val="nil"/>
                    <w:tr2bl w:val="nil"/>
                  </w:tcBorders>
                  <w:vAlign w:val="center"/>
                </w:tcPr>
                <w:p>
                  <w:pPr>
                    <w:jc w:val="center"/>
                    <w:rPr>
                      <w:szCs w:val="21"/>
                    </w:rPr>
                  </w:pPr>
                  <w:r>
                    <w:rPr>
                      <w:szCs w:val="21"/>
                    </w:rPr>
                    <w:t>90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59" w:hRule="atLeast"/>
                <w:jc w:val="center"/>
              </w:trPr>
              <w:tc>
                <w:tcPr>
                  <w:tcW w:w="1046" w:type="pct"/>
                  <w:vMerge w:val="continue"/>
                  <w:tcBorders>
                    <w:tl2br w:val="nil"/>
                    <w:tr2bl w:val="nil"/>
                  </w:tcBorders>
                  <w:vAlign w:val="center"/>
                </w:tcPr>
                <w:p>
                  <w:pPr>
                    <w:jc w:val="center"/>
                    <w:rPr>
                      <w:szCs w:val="21"/>
                    </w:rPr>
                  </w:pPr>
                </w:p>
              </w:tc>
              <w:tc>
                <w:tcPr>
                  <w:tcW w:w="1389" w:type="pct"/>
                  <w:tcBorders>
                    <w:tl2br w:val="nil"/>
                    <w:tr2bl w:val="nil"/>
                  </w:tcBorders>
                  <w:vAlign w:val="center"/>
                </w:tcPr>
                <w:p>
                  <w:pPr>
                    <w:jc w:val="center"/>
                    <w:rPr>
                      <w:szCs w:val="21"/>
                    </w:rPr>
                  </w:pPr>
                  <w:r>
                    <w:rPr>
                      <w:szCs w:val="21"/>
                    </w:rPr>
                    <w:t>污水处理站处理效率（%）</w:t>
                  </w:r>
                </w:p>
              </w:tc>
              <w:tc>
                <w:tcPr>
                  <w:tcW w:w="520" w:type="pct"/>
                  <w:tcBorders>
                    <w:tl2br w:val="nil"/>
                    <w:tr2bl w:val="nil"/>
                  </w:tcBorders>
                  <w:vAlign w:val="center"/>
                </w:tcPr>
                <w:p>
                  <w:pPr>
                    <w:adjustRightInd w:val="0"/>
                    <w:snapToGrid w:val="0"/>
                    <w:jc w:val="center"/>
                    <w:rPr>
                      <w:szCs w:val="21"/>
                    </w:rPr>
                  </w:pPr>
                  <w:r>
                    <w:rPr>
                      <w:bCs/>
                      <w:szCs w:val="21"/>
                    </w:rPr>
                    <w:t>&gt;98%</w:t>
                  </w:r>
                </w:p>
              </w:tc>
              <w:tc>
                <w:tcPr>
                  <w:tcW w:w="530" w:type="pct"/>
                  <w:tcBorders>
                    <w:tl2br w:val="nil"/>
                    <w:tr2bl w:val="nil"/>
                  </w:tcBorders>
                  <w:vAlign w:val="center"/>
                </w:tcPr>
                <w:p>
                  <w:pPr>
                    <w:adjustRightInd w:val="0"/>
                    <w:snapToGrid w:val="0"/>
                    <w:jc w:val="center"/>
                    <w:rPr>
                      <w:szCs w:val="21"/>
                    </w:rPr>
                  </w:pPr>
                  <w:r>
                    <w:rPr>
                      <w:bCs/>
                      <w:szCs w:val="21"/>
                    </w:rPr>
                    <w:t>&gt;97%</w:t>
                  </w:r>
                </w:p>
              </w:tc>
              <w:tc>
                <w:tcPr>
                  <w:tcW w:w="421" w:type="pct"/>
                  <w:tcBorders>
                    <w:tl2br w:val="nil"/>
                    <w:tr2bl w:val="nil"/>
                  </w:tcBorders>
                  <w:vAlign w:val="center"/>
                </w:tcPr>
                <w:p>
                  <w:pPr>
                    <w:adjustRightInd w:val="0"/>
                    <w:snapToGrid w:val="0"/>
                    <w:jc w:val="center"/>
                    <w:rPr>
                      <w:szCs w:val="21"/>
                    </w:rPr>
                  </w:pPr>
                  <w:r>
                    <w:rPr>
                      <w:bCs/>
                      <w:szCs w:val="21"/>
                    </w:rPr>
                    <w:t>&gt;95%</w:t>
                  </w:r>
                </w:p>
              </w:tc>
              <w:tc>
                <w:tcPr>
                  <w:tcW w:w="455" w:type="pct"/>
                  <w:tcBorders>
                    <w:tl2br w:val="nil"/>
                    <w:tr2bl w:val="nil"/>
                  </w:tcBorders>
                  <w:vAlign w:val="center"/>
                </w:tcPr>
                <w:p>
                  <w:pPr>
                    <w:adjustRightInd w:val="0"/>
                    <w:snapToGrid w:val="0"/>
                    <w:jc w:val="center"/>
                    <w:rPr>
                      <w:szCs w:val="21"/>
                    </w:rPr>
                  </w:pPr>
                  <w:r>
                    <w:rPr>
                      <w:bCs/>
                      <w:szCs w:val="21"/>
                    </w:rPr>
                    <w:t>&gt;90%</w:t>
                  </w:r>
                </w:p>
              </w:tc>
              <w:tc>
                <w:tcPr>
                  <w:tcW w:w="639" w:type="pct"/>
                  <w:tcBorders>
                    <w:tl2br w:val="nil"/>
                    <w:tr2bl w:val="nil"/>
                  </w:tcBorders>
                  <w:vAlign w:val="center"/>
                </w:tcPr>
                <w:p>
                  <w:pPr>
                    <w:adjustRightInd w:val="0"/>
                    <w:snapToGrid w:val="0"/>
                    <w:jc w:val="center"/>
                    <w:rPr>
                      <w:szCs w:val="21"/>
                    </w:rPr>
                  </w:pPr>
                  <w:r>
                    <w:rPr>
                      <w:bCs/>
                      <w:szCs w:val="21"/>
                    </w:rPr>
                    <w:t>&gt;97%</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59" w:hRule="atLeast"/>
                <w:jc w:val="center"/>
              </w:trPr>
              <w:tc>
                <w:tcPr>
                  <w:tcW w:w="1046" w:type="pct"/>
                  <w:vMerge w:val="continue"/>
                  <w:tcBorders>
                    <w:tl2br w:val="nil"/>
                    <w:tr2bl w:val="nil"/>
                  </w:tcBorders>
                  <w:vAlign w:val="center"/>
                </w:tcPr>
                <w:p>
                  <w:pPr>
                    <w:jc w:val="center"/>
                    <w:rPr>
                      <w:szCs w:val="21"/>
                    </w:rPr>
                  </w:pPr>
                </w:p>
              </w:tc>
              <w:tc>
                <w:tcPr>
                  <w:tcW w:w="1389" w:type="pct"/>
                  <w:tcBorders>
                    <w:tl2br w:val="nil"/>
                    <w:tr2bl w:val="nil"/>
                  </w:tcBorders>
                  <w:vAlign w:val="center"/>
                </w:tcPr>
                <w:p>
                  <w:pPr>
                    <w:jc w:val="center"/>
                    <w:rPr>
                      <w:szCs w:val="21"/>
                    </w:rPr>
                  </w:pPr>
                  <w:r>
                    <w:rPr>
                      <w:szCs w:val="21"/>
                    </w:rPr>
                    <w:t>污水处理站出口浓度（mg/L）</w:t>
                  </w:r>
                </w:p>
              </w:tc>
              <w:tc>
                <w:tcPr>
                  <w:tcW w:w="520" w:type="pct"/>
                  <w:tcBorders>
                    <w:tl2br w:val="nil"/>
                    <w:tr2bl w:val="nil"/>
                  </w:tcBorders>
                  <w:vAlign w:val="center"/>
                </w:tcPr>
                <w:p>
                  <w:pPr>
                    <w:widowControl/>
                    <w:jc w:val="center"/>
                    <w:textAlignment w:val="center"/>
                    <w:rPr>
                      <w:szCs w:val="21"/>
                    </w:rPr>
                  </w:pPr>
                  <w:r>
                    <w:rPr>
                      <w:kern w:val="0"/>
                      <w:szCs w:val="21"/>
                      <w:lang w:bidi="ar"/>
                    </w:rPr>
                    <w:t>6.8</w:t>
                  </w:r>
                </w:p>
              </w:tc>
              <w:tc>
                <w:tcPr>
                  <w:tcW w:w="530" w:type="pct"/>
                  <w:tcBorders>
                    <w:tl2br w:val="nil"/>
                    <w:tr2bl w:val="nil"/>
                  </w:tcBorders>
                  <w:vAlign w:val="center"/>
                </w:tcPr>
                <w:p>
                  <w:pPr>
                    <w:widowControl/>
                    <w:jc w:val="center"/>
                    <w:textAlignment w:val="center"/>
                    <w:rPr>
                      <w:szCs w:val="21"/>
                    </w:rPr>
                  </w:pPr>
                  <w:r>
                    <w:rPr>
                      <w:kern w:val="0"/>
                      <w:szCs w:val="21"/>
                      <w:lang w:bidi="ar"/>
                    </w:rPr>
                    <w:t>8.19</w:t>
                  </w:r>
                </w:p>
              </w:tc>
              <w:tc>
                <w:tcPr>
                  <w:tcW w:w="421" w:type="pct"/>
                  <w:tcBorders>
                    <w:tl2br w:val="nil"/>
                    <w:tr2bl w:val="nil"/>
                  </w:tcBorders>
                  <w:vAlign w:val="center"/>
                </w:tcPr>
                <w:p>
                  <w:pPr>
                    <w:widowControl/>
                    <w:jc w:val="center"/>
                    <w:textAlignment w:val="center"/>
                    <w:rPr>
                      <w:szCs w:val="21"/>
                    </w:rPr>
                  </w:pPr>
                  <w:r>
                    <w:rPr>
                      <w:kern w:val="0"/>
                      <w:szCs w:val="21"/>
                      <w:lang w:bidi="ar"/>
                    </w:rPr>
                    <w:t>7</w:t>
                  </w:r>
                </w:p>
              </w:tc>
              <w:tc>
                <w:tcPr>
                  <w:tcW w:w="455" w:type="pct"/>
                  <w:tcBorders>
                    <w:tl2br w:val="nil"/>
                    <w:tr2bl w:val="nil"/>
                  </w:tcBorders>
                  <w:vAlign w:val="center"/>
                </w:tcPr>
                <w:p>
                  <w:pPr>
                    <w:widowControl/>
                    <w:jc w:val="center"/>
                    <w:textAlignment w:val="center"/>
                    <w:rPr>
                      <w:szCs w:val="21"/>
                    </w:rPr>
                  </w:pPr>
                  <w:r>
                    <w:rPr>
                      <w:kern w:val="0"/>
                      <w:szCs w:val="21"/>
                      <w:lang w:bidi="ar"/>
                    </w:rPr>
                    <w:t>2.425</w:t>
                  </w:r>
                </w:p>
              </w:tc>
              <w:tc>
                <w:tcPr>
                  <w:tcW w:w="639" w:type="pct"/>
                  <w:tcBorders>
                    <w:tl2br w:val="nil"/>
                    <w:tr2bl w:val="nil"/>
                  </w:tcBorders>
                  <w:vAlign w:val="center"/>
                </w:tcPr>
                <w:p>
                  <w:pPr>
                    <w:widowControl/>
                    <w:jc w:val="center"/>
                    <w:textAlignment w:val="center"/>
                    <w:rPr>
                      <w:szCs w:val="21"/>
                    </w:rPr>
                  </w:pPr>
                  <w:r>
                    <w:rPr>
                      <w:kern w:val="0"/>
                      <w:szCs w:val="21"/>
                      <w:lang w:bidi="ar"/>
                    </w:rPr>
                    <w:t>2.7</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73" w:hRule="atLeast"/>
                <w:jc w:val="center"/>
              </w:trPr>
              <w:tc>
                <w:tcPr>
                  <w:tcW w:w="1046" w:type="pct"/>
                  <w:vMerge w:val="continue"/>
                  <w:tcBorders>
                    <w:tl2br w:val="nil"/>
                    <w:tr2bl w:val="nil"/>
                  </w:tcBorders>
                  <w:vAlign w:val="center"/>
                </w:tcPr>
                <w:p>
                  <w:pPr>
                    <w:jc w:val="center"/>
                    <w:rPr>
                      <w:szCs w:val="21"/>
                    </w:rPr>
                  </w:pPr>
                </w:p>
              </w:tc>
              <w:tc>
                <w:tcPr>
                  <w:tcW w:w="1389" w:type="pct"/>
                  <w:tcBorders>
                    <w:tl2br w:val="nil"/>
                    <w:tr2bl w:val="nil"/>
                  </w:tcBorders>
                  <w:vAlign w:val="center"/>
                </w:tcPr>
                <w:p>
                  <w:pPr>
                    <w:jc w:val="center"/>
                    <w:rPr>
                      <w:szCs w:val="21"/>
                    </w:rPr>
                  </w:pPr>
                  <w:r>
                    <w:rPr>
                      <w:szCs w:val="21"/>
                      <w:lang w:bidi="ar"/>
                    </w:rPr>
                    <w:t>GB/T20922-2007标准值</w:t>
                  </w:r>
                </w:p>
              </w:tc>
              <w:tc>
                <w:tcPr>
                  <w:tcW w:w="520" w:type="pct"/>
                  <w:tcBorders>
                    <w:tl2br w:val="nil"/>
                    <w:tr2bl w:val="nil"/>
                  </w:tcBorders>
                  <w:vAlign w:val="center"/>
                </w:tcPr>
                <w:p>
                  <w:pPr>
                    <w:pStyle w:val="35"/>
                    <w:widowControl w:val="0"/>
                    <w:spacing w:before="0" w:beforeAutospacing="0" w:after="0" w:afterAutospacing="0"/>
                    <w:rPr>
                      <w:rFonts w:ascii="Times New Roman" w:hAnsi="Times New Roman"/>
                      <w:sz w:val="21"/>
                      <w:szCs w:val="21"/>
                    </w:rPr>
                  </w:pPr>
                  <w:r>
                    <w:rPr>
                      <w:rFonts w:ascii="Times New Roman" w:hAnsi="Times New Roman"/>
                      <w:kern w:val="2"/>
                      <w:sz w:val="21"/>
                      <w:szCs w:val="21"/>
                      <w:lang w:bidi="ar"/>
                    </w:rPr>
                    <w:t>≤180</w:t>
                  </w:r>
                </w:p>
              </w:tc>
              <w:tc>
                <w:tcPr>
                  <w:tcW w:w="530" w:type="pct"/>
                  <w:tcBorders>
                    <w:tl2br w:val="nil"/>
                    <w:tr2bl w:val="nil"/>
                  </w:tcBorders>
                  <w:vAlign w:val="center"/>
                </w:tcPr>
                <w:p>
                  <w:pPr>
                    <w:jc w:val="center"/>
                    <w:rPr>
                      <w:szCs w:val="21"/>
                    </w:rPr>
                  </w:pPr>
                  <w:r>
                    <w:rPr>
                      <w:szCs w:val="21"/>
                      <w:lang w:bidi="ar"/>
                    </w:rPr>
                    <w:t>≤80</w:t>
                  </w:r>
                </w:p>
              </w:tc>
              <w:tc>
                <w:tcPr>
                  <w:tcW w:w="421" w:type="pct"/>
                  <w:tcBorders>
                    <w:tl2br w:val="nil"/>
                    <w:tr2bl w:val="nil"/>
                  </w:tcBorders>
                  <w:vAlign w:val="center"/>
                </w:tcPr>
                <w:p>
                  <w:pPr>
                    <w:jc w:val="center"/>
                    <w:rPr>
                      <w:szCs w:val="21"/>
                    </w:rPr>
                  </w:pPr>
                  <w:r>
                    <w:rPr>
                      <w:szCs w:val="21"/>
                      <w:lang w:bidi="ar"/>
                    </w:rPr>
                    <w:t>≤90</w:t>
                  </w:r>
                </w:p>
              </w:tc>
              <w:tc>
                <w:tcPr>
                  <w:tcW w:w="455" w:type="pct"/>
                  <w:tcBorders>
                    <w:tl2br w:val="nil"/>
                    <w:tr2bl w:val="nil"/>
                  </w:tcBorders>
                  <w:vAlign w:val="center"/>
                </w:tcPr>
                <w:p>
                  <w:pPr>
                    <w:jc w:val="center"/>
                    <w:rPr>
                      <w:szCs w:val="21"/>
                    </w:rPr>
                  </w:pPr>
                  <w:r>
                    <w:rPr>
                      <w:szCs w:val="21"/>
                    </w:rPr>
                    <w:t>/</w:t>
                  </w:r>
                </w:p>
              </w:tc>
              <w:tc>
                <w:tcPr>
                  <w:tcW w:w="639" w:type="pct"/>
                  <w:tcBorders>
                    <w:tl2br w:val="nil"/>
                    <w:tr2bl w:val="nil"/>
                  </w:tcBorders>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1046" w:type="pct"/>
                  <w:vMerge w:val="continue"/>
                  <w:tcBorders>
                    <w:tl2br w:val="nil"/>
                    <w:tr2bl w:val="nil"/>
                  </w:tcBorders>
                  <w:vAlign w:val="center"/>
                </w:tcPr>
                <w:p>
                  <w:pPr>
                    <w:jc w:val="center"/>
                    <w:rPr>
                      <w:szCs w:val="21"/>
                    </w:rPr>
                  </w:pPr>
                </w:p>
              </w:tc>
              <w:tc>
                <w:tcPr>
                  <w:tcW w:w="1389" w:type="pct"/>
                  <w:tcBorders>
                    <w:tl2br w:val="nil"/>
                    <w:tr2bl w:val="nil"/>
                  </w:tcBorders>
                  <w:vAlign w:val="center"/>
                </w:tcPr>
                <w:p>
                  <w:pPr>
                    <w:jc w:val="center"/>
                    <w:rPr>
                      <w:szCs w:val="21"/>
                    </w:rPr>
                  </w:pPr>
                  <w:r>
                    <w:rPr>
                      <w:szCs w:val="21"/>
                    </w:rPr>
                    <w:t>达标性分析</w:t>
                  </w:r>
                </w:p>
              </w:tc>
              <w:tc>
                <w:tcPr>
                  <w:tcW w:w="520" w:type="pct"/>
                  <w:tcBorders>
                    <w:tl2br w:val="nil"/>
                    <w:tr2bl w:val="nil"/>
                  </w:tcBorders>
                  <w:vAlign w:val="center"/>
                </w:tcPr>
                <w:p>
                  <w:pPr>
                    <w:jc w:val="center"/>
                    <w:rPr>
                      <w:szCs w:val="21"/>
                    </w:rPr>
                  </w:pPr>
                  <w:r>
                    <w:rPr>
                      <w:szCs w:val="21"/>
                    </w:rPr>
                    <w:t>达标</w:t>
                  </w:r>
                </w:p>
              </w:tc>
              <w:tc>
                <w:tcPr>
                  <w:tcW w:w="530" w:type="pct"/>
                  <w:tcBorders>
                    <w:tl2br w:val="nil"/>
                    <w:tr2bl w:val="nil"/>
                  </w:tcBorders>
                  <w:vAlign w:val="center"/>
                </w:tcPr>
                <w:p>
                  <w:pPr>
                    <w:jc w:val="center"/>
                    <w:rPr>
                      <w:szCs w:val="21"/>
                    </w:rPr>
                  </w:pPr>
                  <w:r>
                    <w:rPr>
                      <w:szCs w:val="21"/>
                    </w:rPr>
                    <w:t>达标</w:t>
                  </w:r>
                </w:p>
              </w:tc>
              <w:tc>
                <w:tcPr>
                  <w:tcW w:w="421" w:type="pct"/>
                  <w:tcBorders>
                    <w:tl2br w:val="nil"/>
                    <w:tr2bl w:val="nil"/>
                  </w:tcBorders>
                  <w:vAlign w:val="center"/>
                </w:tcPr>
                <w:p>
                  <w:pPr>
                    <w:jc w:val="center"/>
                    <w:rPr>
                      <w:szCs w:val="21"/>
                    </w:rPr>
                  </w:pPr>
                  <w:r>
                    <w:rPr>
                      <w:szCs w:val="21"/>
                    </w:rPr>
                    <w:t>达标</w:t>
                  </w:r>
                </w:p>
              </w:tc>
              <w:tc>
                <w:tcPr>
                  <w:tcW w:w="455" w:type="pct"/>
                  <w:tcBorders>
                    <w:tl2br w:val="nil"/>
                    <w:tr2bl w:val="nil"/>
                  </w:tcBorders>
                  <w:vAlign w:val="center"/>
                </w:tcPr>
                <w:p>
                  <w:pPr>
                    <w:jc w:val="center"/>
                    <w:rPr>
                      <w:szCs w:val="21"/>
                    </w:rPr>
                  </w:pPr>
                  <w:r>
                    <w:rPr>
                      <w:szCs w:val="21"/>
                    </w:rPr>
                    <w:t>达标</w:t>
                  </w:r>
                </w:p>
              </w:tc>
              <w:tc>
                <w:tcPr>
                  <w:tcW w:w="639" w:type="pct"/>
                  <w:tcBorders>
                    <w:tl2br w:val="nil"/>
                    <w:tr2bl w:val="nil"/>
                  </w:tcBorders>
                  <w:vAlign w:val="center"/>
                </w:tcPr>
                <w:p>
                  <w:pPr>
                    <w:jc w:val="center"/>
                    <w:rPr>
                      <w:szCs w:val="21"/>
                    </w:rPr>
                  </w:pPr>
                  <w:r>
                    <w:rPr>
                      <w:szCs w:val="21"/>
                    </w:rPr>
                    <w:t>达标</w:t>
                  </w:r>
                </w:p>
              </w:tc>
            </w:tr>
          </w:tbl>
          <w:p>
            <w:pPr>
              <w:snapToGrid w:val="0"/>
              <w:spacing w:line="360" w:lineRule="auto"/>
              <w:jc w:val="center"/>
              <w:rPr>
                <w:sz w:val="24"/>
              </w:rPr>
            </w:pPr>
            <w:r>
              <w:rPr>
                <w:b/>
                <w:bCs/>
                <w:sz w:val="24"/>
              </w:rPr>
              <w:t>表4-6 生活污水达标分析表</w:t>
            </w:r>
          </w:p>
          <w:tbl>
            <w:tblPr>
              <w:tblStyle w:val="27"/>
              <w:tblW w:w="4998"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1983"/>
              <w:gridCol w:w="2876"/>
              <w:gridCol w:w="980"/>
              <w:gridCol w:w="930"/>
              <w:gridCol w:w="646"/>
              <w:gridCol w:w="690"/>
              <w:gridCol w:w="596"/>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35" w:hRule="atLeast"/>
                <w:jc w:val="center"/>
              </w:trPr>
              <w:tc>
                <w:tcPr>
                  <w:tcW w:w="1139" w:type="pct"/>
                  <w:tcBorders>
                    <w:tl2br w:val="nil"/>
                    <w:tr2bl w:val="nil"/>
                  </w:tcBorders>
                  <w:vAlign w:val="center"/>
                </w:tcPr>
                <w:p>
                  <w:pPr>
                    <w:jc w:val="center"/>
                    <w:rPr>
                      <w:b/>
                      <w:szCs w:val="21"/>
                    </w:rPr>
                  </w:pPr>
                  <w:r>
                    <w:rPr>
                      <w:b/>
                      <w:szCs w:val="21"/>
                    </w:rPr>
                    <w:t>排放源</w:t>
                  </w:r>
                </w:p>
              </w:tc>
              <w:tc>
                <w:tcPr>
                  <w:tcW w:w="1652" w:type="pct"/>
                  <w:tcBorders>
                    <w:tl2br w:val="nil"/>
                    <w:tr2bl w:val="nil"/>
                  </w:tcBorders>
                  <w:vAlign w:val="center"/>
                </w:tcPr>
                <w:p>
                  <w:pPr>
                    <w:jc w:val="center"/>
                    <w:rPr>
                      <w:b/>
                      <w:szCs w:val="21"/>
                    </w:rPr>
                  </w:pPr>
                  <w:r>
                    <w:rPr>
                      <w:b/>
                      <w:szCs w:val="21"/>
                    </w:rPr>
                    <w:t>污染物名称</w:t>
                  </w:r>
                </w:p>
              </w:tc>
              <w:tc>
                <w:tcPr>
                  <w:tcW w:w="563" w:type="pct"/>
                  <w:tcBorders>
                    <w:tl2br w:val="nil"/>
                    <w:tr2bl w:val="nil"/>
                  </w:tcBorders>
                  <w:vAlign w:val="center"/>
                </w:tcPr>
                <w:p>
                  <w:pPr>
                    <w:jc w:val="center"/>
                    <w:rPr>
                      <w:b/>
                      <w:szCs w:val="21"/>
                    </w:rPr>
                  </w:pPr>
                  <w:r>
                    <w:rPr>
                      <w:b/>
                      <w:szCs w:val="21"/>
                    </w:rPr>
                    <w:t>COD</w:t>
                  </w:r>
                  <w:r>
                    <w:rPr>
                      <w:b/>
                      <w:szCs w:val="21"/>
                      <w:vertAlign w:val="subscript"/>
                    </w:rPr>
                    <w:t>cr</w:t>
                  </w:r>
                </w:p>
              </w:tc>
              <w:tc>
                <w:tcPr>
                  <w:tcW w:w="534" w:type="pct"/>
                  <w:tcBorders>
                    <w:tl2br w:val="nil"/>
                    <w:tr2bl w:val="nil"/>
                  </w:tcBorders>
                  <w:vAlign w:val="center"/>
                </w:tcPr>
                <w:p>
                  <w:pPr>
                    <w:jc w:val="center"/>
                    <w:rPr>
                      <w:b/>
                      <w:szCs w:val="21"/>
                    </w:rPr>
                  </w:pPr>
                  <w:r>
                    <w:rPr>
                      <w:b/>
                      <w:szCs w:val="21"/>
                    </w:rPr>
                    <w:t>BOD</w:t>
                  </w:r>
                  <w:r>
                    <w:rPr>
                      <w:b/>
                      <w:szCs w:val="21"/>
                      <w:vertAlign w:val="subscript"/>
                    </w:rPr>
                    <w:t>5</w:t>
                  </w:r>
                </w:p>
              </w:tc>
              <w:tc>
                <w:tcPr>
                  <w:tcW w:w="371" w:type="pct"/>
                  <w:tcBorders>
                    <w:tl2br w:val="nil"/>
                    <w:tr2bl w:val="nil"/>
                  </w:tcBorders>
                  <w:vAlign w:val="center"/>
                </w:tcPr>
                <w:p>
                  <w:pPr>
                    <w:jc w:val="center"/>
                    <w:rPr>
                      <w:b/>
                      <w:szCs w:val="21"/>
                    </w:rPr>
                  </w:pPr>
                  <w:r>
                    <w:rPr>
                      <w:b/>
                      <w:szCs w:val="21"/>
                    </w:rPr>
                    <w:t>SS</w:t>
                  </w:r>
                </w:p>
              </w:tc>
              <w:tc>
                <w:tcPr>
                  <w:tcW w:w="396" w:type="pct"/>
                  <w:tcBorders>
                    <w:tl2br w:val="nil"/>
                    <w:tr2bl w:val="nil"/>
                  </w:tcBorders>
                  <w:vAlign w:val="center"/>
                </w:tcPr>
                <w:p>
                  <w:pPr>
                    <w:jc w:val="center"/>
                    <w:rPr>
                      <w:b/>
                      <w:szCs w:val="21"/>
                    </w:rPr>
                  </w:pPr>
                  <w:r>
                    <w:rPr>
                      <w:b/>
                      <w:szCs w:val="21"/>
                    </w:rPr>
                    <w:t>氨氮</w:t>
                  </w:r>
                </w:p>
              </w:tc>
              <w:tc>
                <w:tcPr>
                  <w:tcW w:w="342" w:type="pct"/>
                  <w:tcBorders>
                    <w:tl2br w:val="nil"/>
                    <w:tr2bl w:val="nil"/>
                  </w:tcBorders>
                  <w:vAlign w:val="center"/>
                </w:tcPr>
                <w:p>
                  <w:pPr>
                    <w:jc w:val="center"/>
                    <w:rPr>
                      <w:b/>
                      <w:szCs w:val="21"/>
                    </w:rPr>
                  </w:pPr>
                  <w:r>
                    <w:rPr>
                      <w:b/>
                      <w:szCs w:val="21"/>
                    </w:rPr>
                    <w:t>总磷</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1139" w:type="pct"/>
                  <w:vMerge w:val="restart"/>
                  <w:tcBorders>
                    <w:tl2br w:val="nil"/>
                    <w:tr2bl w:val="nil"/>
                  </w:tcBorders>
                  <w:vAlign w:val="center"/>
                </w:tcPr>
                <w:p>
                  <w:pPr>
                    <w:jc w:val="center"/>
                    <w:rPr>
                      <w:szCs w:val="21"/>
                    </w:rPr>
                  </w:pPr>
                  <w:r>
                    <w:rPr>
                      <w:szCs w:val="21"/>
                    </w:rPr>
                    <w:t>生活污水（Q=2.2</w:t>
                  </w:r>
                  <w:r>
                    <w:rPr>
                      <w:bCs/>
                      <w:szCs w:val="21"/>
                    </w:rPr>
                    <w:t>m</w:t>
                  </w:r>
                  <w:r>
                    <w:rPr>
                      <w:bCs/>
                      <w:szCs w:val="21"/>
                      <w:vertAlign w:val="superscript"/>
                    </w:rPr>
                    <w:t>3</w:t>
                  </w:r>
                  <w:r>
                    <w:rPr>
                      <w:bCs/>
                      <w:szCs w:val="21"/>
                    </w:rPr>
                    <w:t>/d，642.4m</w:t>
                  </w:r>
                  <w:r>
                    <w:rPr>
                      <w:bCs/>
                      <w:szCs w:val="21"/>
                      <w:vertAlign w:val="superscript"/>
                    </w:rPr>
                    <w:t>3</w:t>
                  </w:r>
                  <w:r>
                    <w:rPr>
                      <w:bCs/>
                      <w:szCs w:val="21"/>
                    </w:rPr>
                    <w:t>/a</w:t>
                  </w:r>
                  <w:r>
                    <w:rPr>
                      <w:szCs w:val="21"/>
                    </w:rPr>
                    <w:t>）</w:t>
                  </w:r>
                </w:p>
              </w:tc>
              <w:tc>
                <w:tcPr>
                  <w:tcW w:w="1652" w:type="pct"/>
                  <w:tcBorders>
                    <w:tl2br w:val="nil"/>
                    <w:tr2bl w:val="nil"/>
                  </w:tcBorders>
                  <w:vAlign w:val="center"/>
                </w:tcPr>
                <w:p>
                  <w:pPr>
                    <w:jc w:val="center"/>
                    <w:rPr>
                      <w:szCs w:val="21"/>
                    </w:rPr>
                  </w:pPr>
                  <w:r>
                    <w:rPr>
                      <w:szCs w:val="21"/>
                    </w:rPr>
                    <w:t>化粪池入口浓度（mg/L）</w:t>
                  </w:r>
                </w:p>
              </w:tc>
              <w:tc>
                <w:tcPr>
                  <w:tcW w:w="563" w:type="pct"/>
                  <w:tcBorders>
                    <w:tl2br w:val="nil"/>
                    <w:tr2bl w:val="nil"/>
                  </w:tcBorders>
                  <w:vAlign w:val="center"/>
                </w:tcPr>
                <w:p>
                  <w:pPr>
                    <w:jc w:val="center"/>
                    <w:rPr>
                      <w:szCs w:val="21"/>
                    </w:rPr>
                  </w:pPr>
                  <w:r>
                    <w:rPr>
                      <w:szCs w:val="21"/>
                    </w:rPr>
                    <w:t>250</w:t>
                  </w:r>
                </w:p>
              </w:tc>
              <w:tc>
                <w:tcPr>
                  <w:tcW w:w="534" w:type="pct"/>
                  <w:tcBorders>
                    <w:tl2br w:val="nil"/>
                    <w:tr2bl w:val="nil"/>
                  </w:tcBorders>
                  <w:vAlign w:val="center"/>
                </w:tcPr>
                <w:p>
                  <w:pPr>
                    <w:jc w:val="center"/>
                    <w:rPr>
                      <w:szCs w:val="21"/>
                    </w:rPr>
                  </w:pPr>
                  <w:r>
                    <w:rPr>
                      <w:szCs w:val="21"/>
                    </w:rPr>
                    <w:t>150</w:t>
                  </w:r>
                </w:p>
              </w:tc>
              <w:tc>
                <w:tcPr>
                  <w:tcW w:w="371" w:type="pct"/>
                  <w:tcBorders>
                    <w:tl2br w:val="nil"/>
                    <w:tr2bl w:val="nil"/>
                  </w:tcBorders>
                  <w:vAlign w:val="center"/>
                </w:tcPr>
                <w:p>
                  <w:pPr>
                    <w:jc w:val="center"/>
                    <w:rPr>
                      <w:szCs w:val="21"/>
                    </w:rPr>
                  </w:pPr>
                  <w:r>
                    <w:rPr>
                      <w:szCs w:val="21"/>
                    </w:rPr>
                    <w:t>200</w:t>
                  </w:r>
                </w:p>
              </w:tc>
              <w:tc>
                <w:tcPr>
                  <w:tcW w:w="396" w:type="pct"/>
                  <w:tcBorders>
                    <w:tl2br w:val="nil"/>
                    <w:tr2bl w:val="nil"/>
                  </w:tcBorders>
                  <w:vAlign w:val="center"/>
                </w:tcPr>
                <w:p>
                  <w:pPr>
                    <w:jc w:val="center"/>
                    <w:rPr>
                      <w:szCs w:val="21"/>
                    </w:rPr>
                  </w:pPr>
                  <w:r>
                    <w:rPr>
                      <w:szCs w:val="21"/>
                    </w:rPr>
                    <w:t>25</w:t>
                  </w:r>
                </w:p>
              </w:tc>
              <w:tc>
                <w:tcPr>
                  <w:tcW w:w="342" w:type="pct"/>
                  <w:tcBorders>
                    <w:tl2br w:val="nil"/>
                    <w:tr2bl w:val="nil"/>
                  </w:tcBorders>
                  <w:vAlign w:val="center"/>
                </w:tcPr>
                <w:p>
                  <w:pPr>
                    <w:jc w:val="center"/>
                    <w:rPr>
                      <w:szCs w:val="21"/>
                    </w:rPr>
                  </w:pPr>
                  <w:r>
                    <w:rPr>
                      <w:szCs w:val="21"/>
                    </w:rPr>
                    <w:t>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1139" w:type="pct"/>
                  <w:vMerge w:val="continue"/>
                  <w:tcBorders>
                    <w:tl2br w:val="nil"/>
                    <w:tr2bl w:val="nil"/>
                  </w:tcBorders>
                  <w:vAlign w:val="center"/>
                </w:tcPr>
                <w:p>
                  <w:pPr>
                    <w:jc w:val="center"/>
                    <w:rPr>
                      <w:szCs w:val="21"/>
                    </w:rPr>
                  </w:pPr>
                </w:p>
              </w:tc>
              <w:tc>
                <w:tcPr>
                  <w:tcW w:w="1652" w:type="pct"/>
                  <w:tcBorders>
                    <w:tl2br w:val="nil"/>
                    <w:tr2bl w:val="nil"/>
                  </w:tcBorders>
                  <w:vAlign w:val="center"/>
                </w:tcPr>
                <w:p>
                  <w:pPr>
                    <w:rPr>
                      <w:szCs w:val="21"/>
                    </w:rPr>
                  </w:pPr>
                  <w:r>
                    <w:rPr>
                      <w:szCs w:val="21"/>
                    </w:rPr>
                    <w:t>化粪池处理效率（%）</w:t>
                  </w:r>
                </w:p>
              </w:tc>
              <w:tc>
                <w:tcPr>
                  <w:tcW w:w="563" w:type="pct"/>
                  <w:tcBorders>
                    <w:tl2br w:val="nil"/>
                    <w:tr2bl w:val="nil"/>
                  </w:tcBorders>
                  <w:vAlign w:val="center"/>
                </w:tcPr>
                <w:p>
                  <w:pPr>
                    <w:jc w:val="center"/>
                    <w:rPr>
                      <w:szCs w:val="21"/>
                    </w:rPr>
                  </w:pPr>
                  <w:r>
                    <w:rPr>
                      <w:szCs w:val="21"/>
                    </w:rPr>
                    <w:t>15%</w:t>
                  </w:r>
                </w:p>
              </w:tc>
              <w:tc>
                <w:tcPr>
                  <w:tcW w:w="534" w:type="pct"/>
                  <w:tcBorders>
                    <w:tl2br w:val="nil"/>
                    <w:tr2bl w:val="nil"/>
                  </w:tcBorders>
                  <w:vAlign w:val="center"/>
                </w:tcPr>
                <w:p>
                  <w:pPr>
                    <w:jc w:val="center"/>
                    <w:rPr>
                      <w:szCs w:val="21"/>
                    </w:rPr>
                  </w:pPr>
                  <w:r>
                    <w:rPr>
                      <w:szCs w:val="21"/>
                    </w:rPr>
                    <w:t>9%</w:t>
                  </w:r>
                </w:p>
              </w:tc>
              <w:tc>
                <w:tcPr>
                  <w:tcW w:w="371" w:type="pct"/>
                  <w:tcBorders>
                    <w:tl2br w:val="nil"/>
                    <w:tr2bl w:val="nil"/>
                  </w:tcBorders>
                  <w:vAlign w:val="center"/>
                </w:tcPr>
                <w:p>
                  <w:pPr>
                    <w:jc w:val="center"/>
                    <w:rPr>
                      <w:szCs w:val="21"/>
                    </w:rPr>
                  </w:pPr>
                  <w:r>
                    <w:rPr>
                      <w:szCs w:val="21"/>
                    </w:rPr>
                    <w:t>30%</w:t>
                  </w:r>
                </w:p>
              </w:tc>
              <w:tc>
                <w:tcPr>
                  <w:tcW w:w="396" w:type="pct"/>
                  <w:tcBorders>
                    <w:tl2br w:val="nil"/>
                    <w:tr2bl w:val="nil"/>
                  </w:tcBorders>
                  <w:vAlign w:val="center"/>
                </w:tcPr>
                <w:p>
                  <w:pPr>
                    <w:jc w:val="center"/>
                    <w:rPr>
                      <w:szCs w:val="21"/>
                    </w:rPr>
                  </w:pPr>
                  <w:r>
                    <w:rPr>
                      <w:szCs w:val="21"/>
                    </w:rPr>
                    <w:t>3%</w:t>
                  </w:r>
                </w:p>
              </w:tc>
              <w:tc>
                <w:tcPr>
                  <w:tcW w:w="342" w:type="pct"/>
                  <w:tcBorders>
                    <w:tl2br w:val="nil"/>
                    <w:tr2bl w:val="nil"/>
                  </w:tcBorders>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1139" w:type="pct"/>
                  <w:vMerge w:val="continue"/>
                  <w:tcBorders>
                    <w:tl2br w:val="nil"/>
                    <w:tr2bl w:val="nil"/>
                  </w:tcBorders>
                  <w:vAlign w:val="center"/>
                </w:tcPr>
                <w:p>
                  <w:pPr>
                    <w:jc w:val="center"/>
                    <w:rPr>
                      <w:szCs w:val="21"/>
                    </w:rPr>
                  </w:pPr>
                </w:p>
              </w:tc>
              <w:tc>
                <w:tcPr>
                  <w:tcW w:w="1652" w:type="pct"/>
                  <w:tcBorders>
                    <w:tl2br w:val="nil"/>
                    <w:tr2bl w:val="nil"/>
                  </w:tcBorders>
                  <w:vAlign w:val="center"/>
                </w:tcPr>
                <w:p>
                  <w:pPr>
                    <w:jc w:val="center"/>
                    <w:rPr>
                      <w:szCs w:val="21"/>
                    </w:rPr>
                  </w:pPr>
                  <w:r>
                    <w:rPr>
                      <w:szCs w:val="21"/>
                    </w:rPr>
                    <w:t>化粪池出口浓度（mg/L）</w:t>
                  </w:r>
                </w:p>
              </w:tc>
              <w:tc>
                <w:tcPr>
                  <w:tcW w:w="563" w:type="pct"/>
                  <w:tcBorders>
                    <w:tl2br w:val="nil"/>
                    <w:tr2bl w:val="nil"/>
                  </w:tcBorders>
                  <w:vAlign w:val="center"/>
                </w:tcPr>
                <w:p>
                  <w:pPr>
                    <w:jc w:val="center"/>
                    <w:rPr>
                      <w:szCs w:val="21"/>
                    </w:rPr>
                  </w:pPr>
                  <w:r>
                    <w:rPr>
                      <w:szCs w:val="21"/>
                    </w:rPr>
                    <w:t>212.5</w:t>
                  </w:r>
                </w:p>
              </w:tc>
              <w:tc>
                <w:tcPr>
                  <w:tcW w:w="534" w:type="pct"/>
                  <w:tcBorders>
                    <w:tl2br w:val="nil"/>
                    <w:tr2bl w:val="nil"/>
                  </w:tcBorders>
                  <w:vAlign w:val="center"/>
                </w:tcPr>
                <w:p>
                  <w:pPr>
                    <w:jc w:val="center"/>
                    <w:rPr>
                      <w:szCs w:val="21"/>
                    </w:rPr>
                  </w:pPr>
                  <w:r>
                    <w:rPr>
                      <w:szCs w:val="21"/>
                    </w:rPr>
                    <w:t>136.5</w:t>
                  </w:r>
                </w:p>
              </w:tc>
              <w:tc>
                <w:tcPr>
                  <w:tcW w:w="371" w:type="pct"/>
                  <w:tcBorders>
                    <w:tl2br w:val="nil"/>
                    <w:tr2bl w:val="nil"/>
                  </w:tcBorders>
                  <w:vAlign w:val="center"/>
                </w:tcPr>
                <w:p>
                  <w:pPr>
                    <w:jc w:val="center"/>
                    <w:rPr>
                      <w:szCs w:val="21"/>
                    </w:rPr>
                  </w:pPr>
                  <w:r>
                    <w:rPr>
                      <w:szCs w:val="21"/>
                    </w:rPr>
                    <w:t>140</w:t>
                  </w:r>
                </w:p>
              </w:tc>
              <w:tc>
                <w:tcPr>
                  <w:tcW w:w="396" w:type="pct"/>
                  <w:tcBorders>
                    <w:tl2br w:val="nil"/>
                    <w:tr2bl w:val="nil"/>
                  </w:tcBorders>
                  <w:vAlign w:val="center"/>
                </w:tcPr>
                <w:p>
                  <w:pPr>
                    <w:jc w:val="center"/>
                    <w:rPr>
                      <w:szCs w:val="21"/>
                    </w:rPr>
                  </w:pPr>
                  <w:r>
                    <w:rPr>
                      <w:szCs w:val="21"/>
                    </w:rPr>
                    <w:t>24.25</w:t>
                  </w:r>
                </w:p>
              </w:tc>
              <w:tc>
                <w:tcPr>
                  <w:tcW w:w="342" w:type="pct"/>
                  <w:tcBorders>
                    <w:tl2br w:val="nil"/>
                    <w:tr2bl w:val="nil"/>
                  </w:tcBorders>
                  <w:vAlign w:val="center"/>
                </w:tcPr>
                <w:p>
                  <w:pPr>
                    <w:jc w:val="center"/>
                    <w:rPr>
                      <w:szCs w:val="21"/>
                    </w:rPr>
                  </w:pPr>
                  <w:r>
                    <w:rPr>
                      <w:szCs w:val="21"/>
                    </w:rPr>
                    <w:t>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1139" w:type="pct"/>
                  <w:vMerge w:val="continue"/>
                  <w:tcBorders>
                    <w:tl2br w:val="nil"/>
                    <w:tr2bl w:val="nil"/>
                  </w:tcBorders>
                  <w:vAlign w:val="center"/>
                </w:tcPr>
                <w:p>
                  <w:pPr>
                    <w:jc w:val="center"/>
                    <w:rPr>
                      <w:szCs w:val="21"/>
                    </w:rPr>
                  </w:pPr>
                </w:p>
              </w:tc>
              <w:tc>
                <w:tcPr>
                  <w:tcW w:w="1652" w:type="pct"/>
                  <w:tcBorders>
                    <w:tl2br w:val="nil"/>
                    <w:tr2bl w:val="nil"/>
                  </w:tcBorders>
                  <w:vAlign w:val="center"/>
                </w:tcPr>
                <w:p>
                  <w:pPr>
                    <w:jc w:val="center"/>
                    <w:rPr>
                      <w:szCs w:val="21"/>
                    </w:rPr>
                  </w:pPr>
                  <w:r>
                    <w:rPr>
                      <w:szCs w:val="21"/>
                    </w:rPr>
                    <w:t>污水处理站入口浓度（mg/L）</w:t>
                  </w:r>
                </w:p>
              </w:tc>
              <w:tc>
                <w:tcPr>
                  <w:tcW w:w="563" w:type="pct"/>
                  <w:tcBorders>
                    <w:tl2br w:val="nil"/>
                    <w:tr2bl w:val="nil"/>
                  </w:tcBorders>
                  <w:vAlign w:val="center"/>
                </w:tcPr>
                <w:p>
                  <w:pPr>
                    <w:jc w:val="center"/>
                    <w:rPr>
                      <w:szCs w:val="21"/>
                    </w:rPr>
                  </w:pPr>
                  <w:r>
                    <w:rPr>
                      <w:szCs w:val="21"/>
                    </w:rPr>
                    <w:t>212.5</w:t>
                  </w:r>
                </w:p>
              </w:tc>
              <w:tc>
                <w:tcPr>
                  <w:tcW w:w="534" w:type="pct"/>
                  <w:tcBorders>
                    <w:tl2br w:val="nil"/>
                    <w:tr2bl w:val="nil"/>
                  </w:tcBorders>
                  <w:vAlign w:val="center"/>
                </w:tcPr>
                <w:p>
                  <w:pPr>
                    <w:jc w:val="center"/>
                    <w:rPr>
                      <w:szCs w:val="21"/>
                    </w:rPr>
                  </w:pPr>
                  <w:r>
                    <w:rPr>
                      <w:szCs w:val="21"/>
                    </w:rPr>
                    <w:t>136.5</w:t>
                  </w:r>
                </w:p>
              </w:tc>
              <w:tc>
                <w:tcPr>
                  <w:tcW w:w="371" w:type="pct"/>
                  <w:tcBorders>
                    <w:tl2br w:val="nil"/>
                    <w:tr2bl w:val="nil"/>
                  </w:tcBorders>
                  <w:vAlign w:val="center"/>
                </w:tcPr>
                <w:p>
                  <w:pPr>
                    <w:jc w:val="center"/>
                    <w:rPr>
                      <w:szCs w:val="21"/>
                    </w:rPr>
                  </w:pPr>
                  <w:r>
                    <w:rPr>
                      <w:szCs w:val="21"/>
                    </w:rPr>
                    <w:t>140</w:t>
                  </w:r>
                </w:p>
              </w:tc>
              <w:tc>
                <w:tcPr>
                  <w:tcW w:w="396" w:type="pct"/>
                  <w:tcBorders>
                    <w:tl2br w:val="nil"/>
                    <w:tr2bl w:val="nil"/>
                  </w:tcBorders>
                  <w:vAlign w:val="center"/>
                </w:tcPr>
                <w:p>
                  <w:pPr>
                    <w:jc w:val="center"/>
                    <w:rPr>
                      <w:szCs w:val="21"/>
                    </w:rPr>
                  </w:pPr>
                  <w:r>
                    <w:rPr>
                      <w:szCs w:val="21"/>
                    </w:rPr>
                    <w:t>24.25</w:t>
                  </w:r>
                </w:p>
              </w:tc>
              <w:tc>
                <w:tcPr>
                  <w:tcW w:w="342" w:type="pct"/>
                  <w:tcBorders>
                    <w:tl2br w:val="nil"/>
                    <w:tr2bl w:val="nil"/>
                  </w:tcBorders>
                  <w:vAlign w:val="center"/>
                </w:tcPr>
                <w:p>
                  <w:pPr>
                    <w:jc w:val="center"/>
                    <w:rPr>
                      <w:szCs w:val="21"/>
                    </w:rPr>
                  </w:pPr>
                  <w:r>
                    <w:rPr>
                      <w:szCs w:val="21"/>
                    </w:rPr>
                    <w:t>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1139" w:type="pct"/>
                  <w:vMerge w:val="continue"/>
                  <w:tcBorders>
                    <w:tl2br w:val="nil"/>
                    <w:tr2bl w:val="nil"/>
                  </w:tcBorders>
                  <w:vAlign w:val="center"/>
                </w:tcPr>
                <w:p>
                  <w:pPr>
                    <w:jc w:val="center"/>
                    <w:rPr>
                      <w:szCs w:val="21"/>
                    </w:rPr>
                  </w:pPr>
                </w:p>
              </w:tc>
              <w:tc>
                <w:tcPr>
                  <w:tcW w:w="1652" w:type="pct"/>
                  <w:tcBorders>
                    <w:tl2br w:val="nil"/>
                    <w:tr2bl w:val="nil"/>
                  </w:tcBorders>
                  <w:vAlign w:val="center"/>
                </w:tcPr>
                <w:p>
                  <w:pPr>
                    <w:jc w:val="center"/>
                    <w:rPr>
                      <w:szCs w:val="21"/>
                    </w:rPr>
                  </w:pPr>
                  <w:r>
                    <w:rPr>
                      <w:szCs w:val="21"/>
                    </w:rPr>
                    <w:t>污水处理站处理效率（%）</w:t>
                  </w:r>
                </w:p>
              </w:tc>
              <w:tc>
                <w:tcPr>
                  <w:tcW w:w="563" w:type="pct"/>
                  <w:tcBorders>
                    <w:tl2br w:val="nil"/>
                    <w:tr2bl w:val="nil"/>
                  </w:tcBorders>
                  <w:vAlign w:val="center"/>
                </w:tcPr>
                <w:p>
                  <w:pPr>
                    <w:adjustRightInd w:val="0"/>
                    <w:snapToGrid w:val="0"/>
                    <w:jc w:val="center"/>
                    <w:rPr>
                      <w:szCs w:val="21"/>
                    </w:rPr>
                  </w:pPr>
                  <w:r>
                    <w:rPr>
                      <w:bCs/>
                      <w:szCs w:val="21"/>
                    </w:rPr>
                    <w:t>&gt;98</w:t>
                  </w:r>
                </w:p>
              </w:tc>
              <w:tc>
                <w:tcPr>
                  <w:tcW w:w="534" w:type="pct"/>
                  <w:tcBorders>
                    <w:tl2br w:val="nil"/>
                    <w:tr2bl w:val="nil"/>
                  </w:tcBorders>
                  <w:vAlign w:val="center"/>
                </w:tcPr>
                <w:p>
                  <w:pPr>
                    <w:adjustRightInd w:val="0"/>
                    <w:snapToGrid w:val="0"/>
                    <w:jc w:val="center"/>
                    <w:rPr>
                      <w:szCs w:val="21"/>
                    </w:rPr>
                  </w:pPr>
                  <w:r>
                    <w:rPr>
                      <w:bCs/>
                      <w:szCs w:val="21"/>
                    </w:rPr>
                    <w:t>&gt;97</w:t>
                  </w:r>
                </w:p>
              </w:tc>
              <w:tc>
                <w:tcPr>
                  <w:tcW w:w="371" w:type="pct"/>
                  <w:tcBorders>
                    <w:tl2br w:val="nil"/>
                    <w:tr2bl w:val="nil"/>
                  </w:tcBorders>
                  <w:vAlign w:val="center"/>
                </w:tcPr>
                <w:p>
                  <w:pPr>
                    <w:adjustRightInd w:val="0"/>
                    <w:snapToGrid w:val="0"/>
                    <w:jc w:val="center"/>
                    <w:rPr>
                      <w:szCs w:val="21"/>
                    </w:rPr>
                  </w:pPr>
                  <w:r>
                    <w:rPr>
                      <w:bCs/>
                      <w:szCs w:val="21"/>
                    </w:rPr>
                    <w:t>&gt;95</w:t>
                  </w:r>
                </w:p>
              </w:tc>
              <w:tc>
                <w:tcPr>
                  <w:tcW w:w="396" w:type="pct"/>
                  <w:tcBorders>
                    <w:tl2br w:val="nil"/>
                    <w:tr2bl w:val="nil"/>
                  </w:tcBorders>
                  <w:vAlign w:val="center"/>
                </w:tcPr>
                <w:p>
                  <w:pPr>
                    <w:adjustRightInd w:val="0"/>
                    <w:snapToGrid w:val="0"/>
                    <w:jc w:val="center"/>
                    <w:rPr>
                      <w:szCs w:val="21"/>
                    </w:rPr>
                  </w:pPr>
                  <w:r>
                    <w:rPr>
                      <w:bCs/>
                      <w:szCs w:val="21"/>
                    </w:rPr>
                    <w:t>&gt;90</w:t>
                  </w:r>
                </w:p>
              </w:tc>
              <w:tc>
                <w:tcPr>
                  <w:tcW w:w="342" w:type="pct"/>
                  <w:tcBorders>
                    <w:tl2br w:val="nil"/>
                    <w:tr2bl w:val="nil"/>
                  </w:tcBorders>
                  <w:vAlign w:val="center"/>
                </w:tcPr>
                <w:p>
                  <w:pPr>
                    <w:adjustRightInd w:val="0"/>
                    <w:snapToGrid w:val="0"/>
                    <w:jc w:val="center"/>
                    <w:rPr>
                      <w:szCs w:val="21"/>
                    </w:rPr>
                  </w:pPr>
                  <w:r>
                    <w:rPr>
                      <w:bCs/>
                      <w:szCs w:val="21"/>
                    </w:rPr>
                    <w:t>&gt;97</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1139" w:type="pct"/>
                  <w:vMerge w:val="continue"/>
                  <w:tcBorders>
                    <w:tl2br w:val="nil"/>
                    <w:tr2bl w:val="nil"/>
                  </w:tcBorders>
                  <w:vAlign w:val="center"/>
                </w:tcPr>
                <w:p>
                  <w:pPr>
                    <w:jc w:val="center"/>
                    <w:rPr>
                      <w:szCs w:val="21"/>
                    </w:rPr>
                  </w:pPr>
                </w:p>
              </w:tc>
              <w:tc>
                <w:tcPr>
                  <w:tcW w:w="1652" w:type="pct"/>
                  <w:tcBorders>
                    <w:tl2br w:val="nil"/>
                    <w:tr2bl w:val="nil"/>
                  </w:tcBorders>
                  <w:vAlign w:val="center"/>
                </w:tcPr>
                <w:p>
                  <w:pPr>
                    <w:jc w:val="center"/>
                    <w:rPr>
                      <w:szCs w:val="21"/>
                    </w:rPr>
                  </w:pPr>
                  <w:r>
                    <w:rPr>
                      <w:szCs w:val="21"/>
                    </w:rPr>
                    <w:t>污水处理站出口浓度（mg/L）</w:t>
                  </w:r>
                </w:p>
              </w:tc>
              <w:tc>
                <w:tcPr>
                  <w:tcW w:w="563" w:type="pct"/>
                  <w:tcBorders>
                    <w:tl2br w:val="nil"/>
                    <w:tr2bl w:val="nil"/>
                  </w:tcBorders>
                  <w:vAlign w:val="center"/>
                </w:tcPr>
                <w:p>
                  <w:pPr>
                    <w:widowControl/>
                    <w:jc w:val="center"/>
                    <w:textAlignment w:val="center"/>
                    <w:rPr>
                      <w:szCs w:val="21"/>
                    </w:rPr>
                  </w:pPr>
                  <w:r>
                    <w:rPr>
                      <w:kern w:val="0"/>
                      <w:szCs w:val="21"/>
                      <w:lang w:bidi="ar"/>
                    </w:rPr>
                    <w:t>4.25</w:t>
                  </w:r>
                </w:p>
              </w:tc>
              <w:tc>
                <w:tcPr>
                  <w:tcW w:w="534" w:type="pct"/>
                  <w:tcBorders>
                    <w:tl2br w:val="nil"/>
                    <w:tr2bl w:val="nil"/>
                  </w:tcBorders>
                  <w:vAlign w:val="center"/>
                </w:tcPr>
                <w:p>
                  <w:pPr>
                    <w:widowControl/>
                    <w:jc w:val="center"/>
                    <w:textAlignment w:val="center"/>
                    <w:rPr>
                      <w:szCs w:val="21"/>
                    </w:rPr>
                  </w:pPr>
                  <w:r>
                    <w:rPr>
                      <w:kern w:val="0"/>
                      <w:szCs w:val="21"/>
                      <w:lang w:bidi="ar"/>
                    </w:rPr>
                    <w:t>4.095</w:t>
                  </w:r>
                </w:p>
              </w:tc>
              <w:tc>
                <w:tcPr>
                  <w:tcW w:w="371" w:type="pct"/>
                  <w:tcBorders>
                    <w:tl2br w:val="nil"/>
                    <w:tr2bl w:val="nil"/>
                  </w:tcBorders>
                  <w:vAlign w:val="center"/>
                </w:tcPr>
                <w:p>
                  <w:pPr>
                    <w:widowControl/>
                    <w:jc w:val="center"/>
                    <w:textAlignment w:val="center"/>
                    <w:rPr>
                      <w:szCs w:val="21"/>
                    </w:rPr>
                  </w:pPr>
                  <w:r>
                    <w:rPr>
                      <w:kern w:val="0"/>
                      <w:szCs w:val="21"/>
                      <w:lang w:bidi="ar"/>
                    </w:rPr>
                    <w:t>7</w:t>
                  </w:r>
                </w:p>
              </w:tc>
              <w:tc>
                <w:tcPr>
                  <w:tcW w:w="396" w:type="pct"/>
                  <w:tcBorders>
                    <w:tl2br w:val="nil"/>
                    <w:tr2bl w:val="nil"/>
                  </w:tcBorders>
                  <w:vAlign w:val="center"/>
                </w:tcPr>
                <w:p>
                  <w:pPr>
                    <w:widowControl/>
                    <w:jc w:val="center"/>
                    <w:textAlignment w:val="center"/>
                    <w:rPr>
                      <w:szCs w:val="21"/>
                    </w:rPr>
                  </w:pPr>
                  <w:r>
                    <w:rPr>
                      <w:kern w:val="0"/>
                      <w:szCs w:val="21"/>
                      <w:lang w:bidi="ar"/>
                    </w:rPr>
                    <w:t>2.425</w:t>
                  </w:r>
                </w:p>
              </w:tc>
              <w:tc>
                <w:tcPr>
                  <w:tcW w:w="342" w:type="pct"/>
                  <w:tcBorders>
                    <w:tl2br w:val="nil"/>
                    <w:tr2bl w:val="nil"/>
                  </w:tcBorders>
                  <w:vAlign w:val="center"/>
                </w:tcPr>
                <w:p>
                  <w:pPr>
                    <w:widowControl/>
                    <w:jc w:val="center"/>
                    <w:textAlignment w:val="center"/>
                    <w:rPr>
                      <w:szCs w:val="21"/>
                    </w:rPr>
                  </w:pPr>
                  <w:r>
                    <w:rPr>
                      <w:kern w:val="0"/>
                      <w:szCs w:val="21"/>
                      <w:lang w:bidi="ar"/>
                    </w:rPr>
                    <w:t>0.12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1139" w:type="pct"/>
                  <w:vMerge w:val="continue"/>
                  <w:tcBorders>
                    <w:tl2br w:val="nil"/>
                    <w:tr2bl w:val="nil"/>
                  </w:tcBorders>
                  <w:vAlign w:val="center"/>
                </w:tcPr>
                <w:p>
                  <w:pPr>
                    <w:jc w:val="center"/>
                    <w:rPr>
                      <w:szCs w:val="21"/>
                    </w:rPr>
                  </w:pPr>
                </w:p>
              </w:tc>
              <w:tc>
                <w:tcPr>
                  <w:tcW w:w="1652" w:type="pct"/>
                  <w:tcBorders>
                    <w:tl2br w:val="nil"/>
                    <w:tr2bl w:val="nil"/>
                  </w:tcBorders>
                  <w:vAlign w:val="center"/>
                </w:tcPr>
                <w:p>
                  <w:pPr>
                    <w:jc w:val="center"/>
                    <w:rPr>
                      <w:szCs w:val="21"/>
                    </w:rPr>
                  </w:pPr>
                  <w:r>
                    <w:rPr>
                      <w:szCs w:val="21"/>
                      <w:lang w:bidi="ar"/>
                    </w:rPr>
                    <w:t>GB/T20922-2007标准值</w:t>
                  </w:r>
                </w:p>
              </w:tc>
              <w:tc>
                <w:tcPr>
                  <w:tcW w:w="563" w:type="pct"/>
                  <w:tcBorders>
                    <w:tl2br w:val="nil"/>
                    <w:tr2bl w:val="nil"/>
                  </w:tcBorders>
                  <w:vAlign w:val="center"/>
                </w:tcPr>
                <w:p>
                  <w:pPr>
                    <w:pStyle w:val="35"/>
                    <w:widowControl w:val="0"/>
                    <w:spacing w:before="0" w:beforeAutospacing="0" w:after="0" w:afterAutospacing="0"/>
                    <w:rPr>
                      <w:rFonts w:ascii="Times New Roman" w:hAnsi="Times New Roman"/>
                      <w:sz w:val="21"/>
                      <w:szCs w:val="21"/>
                    </w:rPr>
                  </w:pPr>
                  <w:r>
                    <w:rPr>
                      <w:rFonts w:ascii="Times New Roman" w:hAnsi="Times New Roman"/>
                      <w:kern w:val="2"/>
                      <w:sz w:val="21"/>
                      <w:szCs w:val="21"/>
                      <w:lang w:bidi="ar"/>
                    </w:rPr>
                    <w:t>≤180</w:t>
                  </w:r>
                </w:p>
              </w:tc>
              <w:tc>
                <w:tcPr>
                  <w:tcW w:w="534" w:type="pct"/>
                  <w:tcBorders>
                    <w:tl2br w:val="nil"/>
                    <w:tr2bl w:val="nil"/>
                  </w:tcBorders>
                  <w:vAlign w:val="center"/>
                </w:tcPr>
                <w:p>
                  <w:pPr>
                    <w:jc w:val="center"/>
                    <w:rPr>
                      <w:szCs w:val="21"/>
                    </w:rPr>
                  </w:pPr>
                  <w:r>
                    <w:rPr>
                      <w:szCs w:val="21"/>
                      <w:lang w:bidi="ar"/>
                    </w:rPr>
                    <w:t>≤80</w:t>
                  </w:r>
                </w:p>
              </w:tc>
              <w:tc>
                <w:tcPr>
                  <w:tcW w:w="371" w:type="pct"/>
                  <w:tcBorders>
                    <w:tl2br w:val="nil"/>
                    <w:tr2bl w:val="nil"/>
                  </w:tcBorders>
                  <w:vAlign w:val="center"/>
                </w:tcPr>
                <w:p>
                  <w:pPr>
                    <w:jc w:val="center"/>
                    <w:rPr>
                      <w:szCs w:val="21"/>
                    </w:rPr>
                  </w:pPr>
                  <w:r>
                    <w:rPr>
                      <w:szCs w:val="21"/>
                      <w:lang w:bidi="ar"/>
                    </w:rPr>
                    <w:t>≤90</w:t>
                  </w:r>
                </w:p>
              </w:tc>
              <w:tc>
                <w:tcPr>
                  <w:tcW w:w="396" w:type="pct"/>
                  <w:tcBorders>
                    <w:tl2br w:val="nil"/>
                    <w:tr2bl w:val="nil"/>
                  </w:tcBorders>
                  <w:vAlign w:val="center"/>
                </w:tcPr>
                <w:p>
                  <w:pPr>
                    <w:jc w:val="center"/>
                    <w:rPr>
                      <w:szCs w:val="21"/>
                    </w:rPr>
                  </w:pPr>
                  <w:r>
                    <w:rPr>
                      <w:szCs w:val="21"/>
                    </w:rPr>
                    <w:t>/</w:t>
                  </w:r>
                </w:p>
              </w:tc>
              <w:tc>
                <w:tcPr>
                  <w:tcW w:w="342" w:type="pct"/>
                  <w:tcBorders>
                    <w:tl2br w:val="nil"/>
                    <w:tr2bl w:val="nil"/>
                  </w:tcBorders>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1139" w:type="pct"/>
                  <w:vMerge w:val="continue"/>
                  <w:tcBorders>
                    <w:tl2br w:val="nil"/>
                    <w:tr2bl w:val="nil"/>
                  </w:tcBorders>
                  <w:vAlign w:val="center"/>
                </w:tcPr>
                <w:p>
                  <w:pPr>
                    <w:jc w:val="center"/>
                    <w:rPr>
                      <w:szCs w:val="21"/>
                    </w:rPr>
                  </w:pPr>
                </w:p>
              </w:tc>
              <w:tc>
                <w:tcPr>
                  <w:tcW w:w="1652" w:type="pct"/>
                  <w:tcBorders>
                    <w:tl2br w:val="nil"/>
                    <w:tr2bl w:val="nil"/>
                  </w:tcBorders>
                  <w:vAlign w:val="center"/>
                </w:tcPr>
                <w:p>
                  <w:pPr>
                    <w:jc w:val="center"/>
                    <w:rPr>
                      <w:szCs w:val="21"/>
                    </w:rPr>
                  </w:pPr>
                  <w:r>
                    <w:rPr>
                      <w:szCs w:val="21"/>
                    </w:rPr>
                    <w:t>达标性分析</w:t>
                  </w:r>
                </w:p>
              </w:tc>
              <w:tc>
                <w:tcPr>
                  <w:tcW w:w="563" w:type="pct"/>
                  <w:tcBorders>
                    <w:tl2br w:val="nil"/>
                    <w:tr2bl w:val="nil"/>
                  </w:tcBorders>
                  <w:vAlign w:val="center"/>
                </w:tcPr>
                <w:p>
                  <w:pPr>
                    <w:jc w:val="center"/>
                    <w:rPr>
                      <w:szCs w:val="21"/>
                    </w:rPr>
                  </w:pPr>
                  <w:r>
                    <w:rPr>
                      <w:szCs w:val="21"/>
                    </w:rPr>
                    <w:t>达标</w:t>
                  </w:r>
                </w:p>
              </w:tc>
              <w:tc>
                <w:tcPr>
                  <w:tcW w:w="534" w:type="pct"/>
                  <w:tcBorders>
                    <w:tl2br w:val="nil"/>
                    <w:tr2bl w:val="nil"/>
                  </w:tcBorders>
                  <w:vAlign w:val="center"/>
                </w:tcPr>
                <w:p>
                  <w:pPr>
                    <w:jc w:val="center"/>
                    <w:rPr>
                      <w:szCs w:val="21"/>
                    </w:rPr>
                  </w:pPr>
                  <w:r>
                    <w:rPr>
                      <w:szCs w:val="21"/>
                    </w:rPr>
                    <w:t>达标</w:t>
                  </w:r>
                </w:p>
              </w:tc>
              <w:tc>
                <w:tcPr>
                  <w:tcW w:w="371" w:type="pct"/>
                  <w:tcBorders>
                    <w:tl2br w:val="nil"/>
                    <w:tr2bl w:val="nil"/>
                  </w:tcBorders>
                  <w:vAlign w:val="center"/>
                </w:tcPr>
                <w:p>
                  <w:pPr>
                    <w:jc w:val="center"/>
                    <w:rPr>
                      <w:szCs w:val="21"/>
                    </w:rPr>
                  </w:pPr>
                  <w:r>
                    <w:rPr>
                      <w:szCs w:val="21"/>
                    </w:rPr>
                    <w:t>达标</w:t>
                  </w:r>
                </w:p>
              </w:tc>
              <w:tc>
                <w:tcPr>
                  <w:tcW w:w="396" w:type="pct"/>
                  <w:tcBorders>
                    <w:tl2br w:val="nil"/>
                    <w:tr2bl w:val="nil"/>
                  </w:tcBorders>
                  <w:vAlign w:val="center"/>
                </w:tcPr>
                <w:p>
                  <w:pPr>
                    <w:jc w:val="center"/>
                    <w:rPr>
                      <w:szCs w:val="21"/>
                    </w:rPr>
                  </w:pPr>
                  <w:r>
                    <w:rPr>
                      <w:szCs w:val="21"/>
                    </w:rPr>
                    <w:t>达标</w:t>
                  </w:r>
                </w:p>
              </w:tc>
              <w:tc>
                <w:tcPr>
                  <w:tcW w:w="342" w:type="pct"/>
                  <w:tcBorders>
                    <w:tl2br w:val="nil"/>
                    <w:tr2bl w:val="nil"/>
                  </w:tcBorders>
                  <w:vAlign w:val="center"/>
                </w:tcPr>
                <w:p>
                  <w:pPr>
                    <w:jc w:val="center"/>
                    <w:rPr>
                      <w:szCs w:val="21"/>
                    </w:rPr>
                  </w:pPr>
                  <w:r>
                    <w:rPr>
                      <w:szCs w:val="21"/>
                    </w:rPr>
                    <w:t>达标</w:t>
                  </w:r>
                </w:p>
              </w:tc>
            </w:tr>
          </w:tbl>
          <w:p>
            <w:pPr>
              <w:snapToGrid w:val="0"/>
              <w:spacing w:line="360" w:lineRule="auto"/>
              <w:ind w:firstLine="480" w:firstLineChars="200"/>
              <w:rPr>
                <w:sz w:val="24"/>
              </w:rPr>
            </w:pPr>
            <w:r>
              <w:rPr>
                <w:sz w:val="24"/>
              </w:rPr>
              <w:t>根据上表本项目生活污水排入化粪池中处理后，进入项目自建污水处理站处理后达到《城市污水再生利用-农田灌溉用水水质》（GB/T20922-2007）标准，可以回用于项目区种植基地浇灌，对周边环境影响较小。</w:t>
            </w:r>
          </w:p>
          <w:p>
            <w:pPr>
              <w:snapToGrid w:val="0"/>
              <w:spacing w:line="360" w:lineRule="auto"/>
              <w:ind w:firstLine="480" w:firstLineChars="200"/>
              <w:rPr>
                <w:sz w:val="24"/>
              </w:rPr>
            </w:pPr>
            <w:r>
              <w:rPr>
                <w:sz w:val="24"/>
              </w:rPr>
              <w:t>2）接入姚安县第二污水处理厂之后</w:t>
            </w:r>
          </w:p>
          <w:p>
            <w:pPr>
              <w:snapToGrid w:val="0"/>
              <w:spacing w:line="360" w:lineRule="auto"/>
              <w:ind w:firstLine="480" w:firstLineChars="200"/>
              <w:rPr>
                <w:sz w:val="24"/>
              </w:rPr>
            </w:pPr>
            <w:r>
              <w:rPr>
                <w:sz w:val="24"/>
              </w:rPr>
              <w:t>根据工程分析，</w:t>
            </w:r>
            <w:r>
              <w:rPr>
                <w:sz w:val="24"/>
                <w:lang w:bidi="ar"/>
              </w:rPr>
              <w:t>项目食堂废水产生量为0.67m</w:t>
            </w:r>
            <w:r>
              <w:rPr>
                <w:sz w:val="24"/>
                <w:vertAlign w:val="superscript"/>
                <w:lang w:bidi="ar"/>
              </w:rPr>
              <w:t>3</w:t>
            </w:r>
            <w:r>
              <w:rPr>
                <w:sz w:val="24"/>
                <w:lang w:bidi="ar"/>
              </w:rPr>
              <w:t>/d，245.3m</w:t>
            </w:r>
            <w:r>
              <w:rPr>
                <w:sz w:val="24"/>
                <w:vertAlign w:val="superscript"/>
                <w:lang w:bidi="ar"/>
              </w:rPr>
              <w:t>3</w:t>
            </w:r>
            <w:r>
              <w:rPr>
                <w:sz w:val="24"/>
                <w:lang w:bidi="ar"/>
              </w:rPr>
              <w:t>/a，项目生活污水产生量为1.76m</w:t>
            </w:r>
            <w:r>
              <w:rPr>
                <w:sz w:val="24"/>
                <w:vertAlign w:val="superscript"/>
                <w:lang w:bidi="ar"/>
              </w:rPr>
              <w:t>3</w:t>
            </w:r>
            <w:r>
              <w:rPr>
                <w:sz w:val="24"/>
                <w:lang w:bidi="ar"/>
              </w:rPr>
              <w:t>/d，642.4m</w:t>
            </w:r>
            <w:r>
              <w:rPr>
                <w:sz w:val="24"/>
                <w:vertAlign w:val="superscript"/>
                <w:lang w:bidi="ar"/>
              </w:rPr>
              <w:t>3</w:t>
            </w:r>
            <w:r>
              <w:rPr>
                <w:sz w:val="24"/>
                <w:lang w:bidi="ar"/>
              </w:rPr>
              <w:t>/a。</w:t>
            </w:r>
            <w:r>
              <w:rPr>
                <w:sz w:val="24"/>
              </w:rPr>
              <w:t>项目食堂废水经过隔油池处理后进入化粪池处理，之后排入园区污水管网，进入污水处理厂进行处理；员工生活污水经过化粪池处理后排入污水管网，进入姚安县第二污水处理厂进行处理，执行《污水排入城镇下水道水质标准》（GB/T31962-2015）A等级标准。</w:t>
            </w:r>
          </w:p>
          <w:p>
            <w:pPr>
              <w:snapToGrid w:val="0"/>
              <w:spacing w:line="360" w:lineRule="auto"/>
              <w:ind w:firstLine="480" w:firstLineChars="200"/>
              <w:rPr>
                <w:sz w:val="24"/>
              </w:rPr>
            </w:pPr>
            <w:r>
              <w:rPr>
                <w:sz w:val="24"/>
              </w:rPr>
              <w:t>姚安县第二污水处理厂位于光禄镇与姚安工业园区间的最低位置，占地面积27818m</w:t>
            </w:r>
            <w:r>
              <w:rPr>
                <w:sz w:val="24"/>
                <w:vertAlign w:val="superscript"/>
              </w:rPr>
              <w:t>2</w:t>
            </w:r>
            <w:r>
              <w:rPr>
                <w:sz w:val="24"/>
              </w:rPr>
              <w:t>，项目接纳光禄镇居民生活污水和姚安工业园区污水。污水处理厂设计规模近期为5000m</w:t>
            </w:r>
            <w:r>
              <w:rPr>
                <w:sz w:val="24"/>
                <w:vertAlign w:val="superscript"/>
              </w:rPr>
              <w:t>3</w:t>
            </w:r>
            <w:r>
              <w:rPr>
                <w:sz w:val="24"/>
              </w:rPr>
              <w:t>/d（工艺A</w:t>
            </w:r>
            <w:r>
              <w:rPr>
                <w:sz w:val="24"/>
                <w:vertAlign w:val="superscript"/>
              </w:rPr>
              <w:t>2</w:t>
            </w:r>
            <w:r>
              <w:rPr>
                <w:sz w:val="24"/>
              </w:rPr>
              <w:t>/O+MBBR），远期为10000m</w:t>
            </w:r>
            <w:r>
              <w:rPr>
                <w:sz w:val="24"/>
                <w:vertAlign w:val="superscript"/>
              </w:rPr>
              <w:t>3</w:t>
            </w:r>
            <w:r>
              <w:rPr>
                <w:sz w:val="24"/>
              </w:rPr>
              <w:t>/d，出水水质可达一级A标，处理效果和规模可以满足本项目需要。</w:t>
            </w:r>
          </w:p>
          <w:p>
            <w:pPr>
              <w:snapToGrid w:val="0"/>
              <w:spacing w:line="360" w:lineRule="auto"/>
              <w:ind w:firstLine="480" w:firstLineChars="200"/>
              <w:rPr>
                <w:sz w:val="24"/>
              </w:rPr>
            </w:pPr>
            <w:r>
              <w:rPr>
                <w:sz w:val="24"/>
              </w:rPr>
              <w:t>达标情况见下表。</w:t>
            </w:r>
          </w:p>
          <w:p>
            <w:pPr>
              <w:snapToGrid w:val="0"/>
              <w:spacing w:line="360" w:lineRule="auto"/>
              <w:jc w:val="center"/>
            </w:pPr>
            <w:r>
              <w:rPr>
                <w:b/>
                <w:bCs/>
                <w:sz w:val="24"/>
              </w:rPr>
              <w:t>表4-7食堂废水达标分析表</w:t>
            </w:r>
          </w:p>
          <w:tbl>
            <w:tblPr>
              <w:tblStyle w:val="27"/>
              <w:tblW w:w="4998"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1823"/>
              <w:gridCol w:w="2421"/>
              <w:gridCol w:w="911"/>
              <w:gridCol w:w="1007"/>
              <w:gridCol w:w="799"/>
              <w:gridCol w:w="799"/>
              <w:gridCol w:w="941"/>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1047" w:type="pct"/>
                  <w:tcBorders>
                    <w:tl2br w:val="nil"/>
                    <w:tr2bl w:val="nil"/>
                  </w:tcBorders>
                  <w:vAlign w:val="center"/>
                </w:tcPr>
                <w:p>
                  <w:pPr>
                    <w:jc w:val="center"/>
                    <w:rPr>
                      <w:b/>
                      <w:szCs w:val="21"/>
                    </w:rPr>
                  </w:pPr>
                  <w:r>
                    <w:rPr>
                      <w:b/>
                      <w:szCs w:val="21"/>
                    </w:rPr>
                    <w:t>排放源</w:t>
                  </w:r>
                </w:p>
              </w:tc>
              <w:tc>
                <w:tcPr>
                  <w:tcW w:w="1390" w:type="pct"/>
                  <w:tcBorders>
                    <w:tl2br w:val="nil"/>
                    <w:tr2bl w:val="nil"/>
                  </w:tcBorders>
                  <w:vAlign w:val="center"/>
                </w:tcPr>
                <w:p>
                  <w:pPr>
                    <w:rPr>
                      <w:b/>
                      <w:szCs w:val="21"/>
                    </w:rPr>
                  </w:pPr>
                  <w:r>
                    <w:rPr>
                      <w:b/>
                      <w:szCs w:val="21"/>
                    </w:rPr>
                    <w:t>污染物名称</w:t>
                  </w:r>
                </w:p>
              </w:tc>
              <w:tc>
                <w:tcPr>
                  <w:tcW w:w="523" w:type="pct"/>
                  <w:tcBorders>
                    <w:tl2br w:val="nil"/>
                    <w:tr2bl w:val="nil"/>
                  </w:tcBorders>
                  <w:vAlign w:val="center"/>
                </w:tcPr>
                <w:p>
                  <w:pPr>
                    <w:jc w:val="center"/>
                    <w:rPr>
                      <w:b/>
                      <w:szCs w:val="21"/>
                    </w:rPr>
                  </w:pPr>
                  <w:r>
                    <w:rPr>
                      <w:b/>
                      <w:szCs w:val="21"/>
                    </w:rPr>
                    <w:t>COD</w:t>
                  </w:r>
                  <w:r>
                    <w:rPr>
                      <w:b/>
                      <w:szCs w:val="21"/>
                      <w:vertAlign w:val="subscript"/>
                    </w:rPr>
                    <w:t>cr</w:t>
                  </w:r>
                </w:p>
              </w:tc>
              <w:tc>
                <w:tcPr>
                  <w:tcW w:w="578" w:type="pct"/>
                  <w:tcBorders>
                    <w:tl2br w:val="nil"/>
                    <w:tr2bl w:val="nil"/>
                  </w:tcBorders>
                  <w:vAlign w:val="center"/>
                </w:tcPr>
                <w:p>
                  <w:pPr>
                    <w:jc w:val="center"/>
                    <w:rPr>
                      <w:b/>
                      <w:szCs w:val="21"/>
                    </w:rPr>
                  </w:pPr>
                  <w:r>
                    <w:rPr>
                      <w:b/>
                      <w:szCs w:val="21"/>
                    </w:rPr>
                    <w:t>BOD</w:t>
                  </w:r>
                  <w:r>
                    <w:rPr>
                      <w:b/>
                      <w:szCs w:val="21"/>
                      <w:vertAlign w:val="subscript"/>
                    </w:rPr>
                    <w:t>5</w:t>
                  </w:r>
                </w:p>
              </w:tc>
              <w:tc>
                <w:tcPr>
                  <w:tcW w:w="459" w:type="pct"/>
                  <w:tcBorders>
                    <w:tl2br w:val="nil"/>
                    <w:tr2bl w:val="nil"/>
                  </w:tcBorders>
                  <w:vAlign w:val="center"/>
                </w:tcPr>
                <w:p>
                  <w:pPr>
                    <w:jc w:val="center"/>
                    <w:rPr>
                      <w:b/>
                      <w:szCs w:val="21"/>
                    </w:rPr>
                  </w:pPr>
                  <w:r>
                    <w:rPr>
                      <w:b/>
                      <w:szCs w:val="21"/>
                    </w:rPr>
                    <w:t>SS</w:t>
                  </w:r>
                </w:p>
              </w:tc>
              <w:tc>
                <w:tcPr>
                  <w:tcW w:w="459" w:type="pct"/>
                  <w:tcBorders>
                    <w:tl2br w:val="nil"/>
                    <w:tr2bl w:val="nil"/>
                  </w:tcBorders>
                  <w:vAlign w:val="center"/>
                </w:tcPr>
                <w:p>
                  <w:pPr>
                    <w:jc w:val="center"/>
                    <w:rPr>
                      <w:b/>
                      <w:szCs w:val="21"/>
                    </w:rPr>
                  </w:pPr>
                  <w:r>
                    <w:rPr>
                      <w:b/>
                      <w:szCs w:val="21"/>
                    </w:rPr>
                    <w:t>氨氮</w:t>
                  </w:r>
                </w:p>
              </w:tc>
              <w:tc>
                <w:tcPr>
                  <w:tcW w:w="540" w:type="pct"/>
                  <w:tcBorders>
                    <w:tl2br w:val="nil"/>
                    <w:tr2bl w:val="nil"/>
                  </w:tcBorders>
                  <w:vAlign w:val="center"/>
                </w:tcPr>
                <w:p>
                  <w:pPr>
                    <w:jc w:val="center"/>
                    <w:rPr>
                      <w:b/>
                      <w:szCs w:val="21"/>
                    </w:rPr>
                  </w:pPr>
                  <w:r>
                    <w:rPr>
                      <w:b/>
                      <w:szCs w:val="21"/>
                    </w:rPr>
                    <w:t>动植物油</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47" w:type="pct"/>
                  <w:vMerge w:val="restart"/>
                  <w:tcBorders>
                    <w:tl2br w:val="nil"/>
                    <w:tr2bl w:val="nil"/>
                  </w:tcBorders>
                  <w:vAlign w:val="center"/>
                </w:tcPr>
                <w:p>
                  <w:pPr>
                    <w:jc w:val="center"/>
                    <w:rPr>
                      <w:szCs w:val="21"/>
                    </w:rPr>
                  </w:pPr>
                  <w:r>
                    <w:rPr>
                      <w:szCs w:val="21"/>
                    </w:rPr>
                    <w:t>食堂污水（Q=0.67m</w:t>
                  </w:r>
                  <w:r>
                    <w:rPr>
                      <w:szCs w:val="21"/>
                      <w:vertAlign w:val="superscript"/>
                    </w:rPr>
                    <w:t>3</w:t>
                  </w:r>
                  <w:r>
                    <w:rPr>
                      <w:szCs w:val="21"/>
                    </w:rPr>
                    <w:t>/d，245.3m</w:t>
                  </w:r>
                  <w:r>
                    <w:rPr>
                      <w:szCs w:val="21"/>
                      <w:vertAlign w:val="superscript"/>
                    </w:rPr>
                    <w:t>3</w:t>
                  </w:r>
                  <w:r>
                    <w:rPr>
                      <w:szCs w:val="21"/>
                    </w:rPr>
                    <w:t>/a）</w:t>
                  </w:r>
                </w:p>
              </w:tc>
              <w:tc>
                <w:tcPr>
                  <w:tcW w:w="1390" w:type="pct"/>
                  <w:tcBorders>
                    <w:tl2br w:val="nil"/>
                    <w:tr2bl w:val="nil"/>
                  </w:tcBorders>
                  <w:vAlign w:val="center"/>
                </w:tcPr>
                <w:p>
                  <w:pPr>
                    <w:jc w:val="center"/>
                    <w:rPr>
                      <w:szCs w:val="21"/>
                    </w:rPr>
                  </w:pPr>
                  <w:r>
                    <w:rPr>
                      <w:szCs w:val="21"/>
                    </w:rPr>
                    <w:t>隔油池入口浓度（mg/L）</w:t>
                  </w:r>
                </w:p>
              </w:tc>
              <w:tc>
                <w:tcPr>
                  <w:tcW w:w="523" w:type="pct"/>
                  <w:tcBorders>
                    <w:tl2br w:val="nil"/>
                    <w:tr2bl w:val="nil"/>
                  </w:tcBorders>
                  <w:vAlign w:val="center"/>
                </w:tcPr>
                <w:p>
                  <w:pPr>
                    <w:jc w:val="center"/>
                    <w:rPr>
                      <w:szCs w:val="21"/>
                    </w:rPr>
                  </w:pPr>
                  <w:r>
                    <w:rPr>
                      <w:szCs w:val="21"/>
                    </w:rPr>
                    <w:t>400</w:t>
                  </w:r>
                </w:p>
              </w:tc>
              <w:tc>
                <w:tcPr>
                  <w:tcW w:w="578" w:type="pct"/>
                  <w:tcBorders>
                    <w:tl2br w:val="nil"/>
                    <w:tr2bl w:val="nil"/>
                  </w:tcBorders>
                  <w:vAlign w:val="center"/>
                </w:tcPr>
                <w:p>
                  <w:pPr>
                    <w:jc w:val="center"/>
                    <w:rPr>
                      <w:szCs w:val="21"/>
                    </w:rPr>
                  </w:pPr>
                  <w:r>
                    <w:rPr>
                      <w:szCs w:val="21"/>
                    </w:rPr>
                    <w:t>300</w:t>
                  </w:r>
                </w:p>
              </w:tc>
              <w:tc>
                <w:tcPr>
                  <w:tcW w:w="459" w:type="pct"/>
                  <w:tcBorders>
                    <w:tl2br w:val="nil"/>
                    <w:tr2bl w:val="nil"/>
                  </w:tcBorders>
                  <w:vAlign w:val="center"/>
                </w:tcPr>
                <w:p>
                  <w:pPr>
                    <w:jc w:val="center"/>
                    <w:rPr>
                      <w:szCs w:val="21"/>
                    </w:rPr>
                  </w:pPr>
                  <w:r>
                    <w:rPr>
                      <w:szCs w:val="21"/>
                    </w:rPr>
                    <w:t>200</w:t>
                  </w:r>
                </w:p>
              </w:tc>
              <w:tc>
                <w:tcPr>
                  <w:tcW w:w="459" w:type="pct"/>
                  <w:tcBorders>
                    <w:tl2br w:val="nil"/>
                    <w:tr2bl w:val="nil"/>
                  </w:tcBorders>
                  <w:vAlign w:val="center"/>
                </w:tcPr>
                <w:p>
                  <w:pPr>
                    <w:jc w:val="center"/>
                    <w:rPr>
                      <w:szCs w:val="21"/>
                    </w:rPr>
                  </w:pPr>
                  <w:r>
                    <w:rPr>
                      <w:szCs w:val="21"/>
                    </w:rPr>
                    <w:t>25</w:t>
                  </w:r>
                </w:p>
              </w:tc>
              <w:tc>
                <w:tcPr>
                  <w:tcW w:w="540" w:type="pct"/>
                  <w:tcBorders>
                    <w:tl2br w:val="nil"/>
                    <w:tr2bl w:val="nil"/>
                  </w:tcBorders>
                  <w:vAlign w:val="center"/>
                </w:tcPr>
                <w:p>
                  <w:pPr>
                    <w:jc w:val="center"/>
                    <w:rPr>
                      <w:szCs w:val="21"/>
                    </w:rPr>
                  </w:pPr>
                  <w:r>
                    <w:rPr>
                      <w:szCs w:val="21"/>
                    </w:rPr>
                    <w:t>150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47" w:type="pct"/>
                  <w:vMerge w:val="continue"/>
                  <w:tcBorders>
                    <w:tl2br w:val="nil"/>
                    <w:tr2bl w:val="nil"/>
                  </w:tcBorders>
                  <w:vAlign w:val="center"/>
                </w:tcPr>
                <w:p>
                  <w:pPr>
                    <w:jc w:val="center"/>
                    <w:rPr>
                      <w:szCs w:val="21"/>
                    </w:rPr>
                  </w:pPr>
                </w:p>
              </w:tc>
              <w:tc>
                <w:tcPr>
                  <w:tcW w:w="1390" w:type="pct"/>
                  <w:tcBorders>
                    <w:tl2br w:val="nil"/>
                    <w:tr2bl w:val="nil"/>
                  </w:tcBorders>
                  <w:vAlign w:val="center"/>
                </w:tcPr>
                <w:p>
                  <w:pPr>
                    <w:jc w:val="center"/>
                    <w:rPr>
                      <w:szCs w:val="21"/>
                    </w:rPr>
                  </w:pPr>
                  <w:r>
                    <w:rPr>
                      <w:szCs w:val="21"/>
                    </w:rPr>
                    <w:t>隔油池处理效率（%）</w:t>
                  </w:r>
                </w:p>
              </w:tc>
              <w:tc>
                <w:tcPr>
                  <w:tcW w:w="523" w:type="pct"/>
                  <w:tcBorders>
                    <w:tl2br w:val="nil"/>
                    <w:tr2bl w:val="nil"/>
                  </w:tcBorders>
                  <w:vAlign w:val="center"/>
                </w:tcPr>
                <w:p>
                  <w:pPr>
                    <w:jc w:val="center"/>
                    <w:rPr>
                      <w:szCs w:val="21"/>
                    </w:rPr>
                  </w:pPr>
                  <w:r>
                    <w:rPr>
                      <w:szCs w:val="21"/>
                    </w:rPr>
                    <w:t>/</w:t>
                  </w:r>
                </w:p>
              </w:tc>
              <w:tc>
                <w:tcPr>
                  <w:tcW w:w="578" w:type="pct"/>
                  <w:tcBorders>
                    <w:tl2br w:val="nil"/>
                    <w:tr2bl w:val="nil"/>
                  </w:tcBorders>
                  <w:vAlign w:val="center"/>
                </w:tcPr>
                <w:p>
                  <w:pPr>
                    <w:jc w:val="center"/>
                    <w:rPr>
                      <w:szCs w:val="21"/>
                    </w:rPr>
                  </w:pPr>
                  <w:r>
                    <w:rPr>
                      <w:szCs w:val="21"/>
                    </w:rPr>
                    <w:t>/</w:t>
                  </w:r>
                </w:p>
              </w:tc>
              <w:tc>
                <w:tcPr>
                  <w:tcW w:w="459" w:type="pct"/>
                  <w:tcBorders>
                    <w:tl2br w:val="nil"/>
                    <w:tr2bl w:val="nil"/>
                  </w:tcBorders>
                  <w:vAlign w:val="center"/>
                </w:tcPr>
                <w:p>
                  <w:pPr>
                    <w:jc w:val="center"/>
                    <w:rPr>
                      <w:szCs w:val="21"/>
                    </w:rPr>
                  </w:pPr>
                  <w:r>
                    <w:rPr>
                      <w:szCs w:val="21"/>
                    </w:rPr>
                    <w:t>/</w:t>
                  </w:r>
                </w:p>
              </w:tc>
              <w:tc>
                <w:tcPr>
                  <w:tcW w:w="459" w:type="pct"/>
                  <w:tcBorders>
                    <w:tl2br w:val="nil"/>
                    <w:tr2bl w:val="nil"/>
                  </w:tcBorders>
                  <w:vAlign w:val="center"/>
                </w:tcPr>
                <w:p>
                  <w:pPr>
                    <w:jc w:val="center"/>
                    <w:rPr>
                      <w:szCs w:val="21"/>
                    </w:rPr>
                  </w:pPr>
                  <w:r>
                    <w:rPr>
                      <w:szCs w:val="21"/>
                    </w:rPr>
                    <w:t>/</w:t>
                  </w:r>
                </w:p>
              </w:tc>
              <w:tc>
                <w:tcPr>
                  <w:tcW w:w="540" w:type="pct"/>
                  <w:tcBorders>
                    <w:tl2br w:val="nil"/>
                    <w:tr2bl w:val="nil"/>
                  </w:tcBorders>
                  <w:vAlign w:val="center"/>
                </w:tcPr>
                <w:p>
                  <w:pPr>
                    <w:jc w:val="center"/>
                    <w:rPr>
                      <w:szCs w:val="21"/>
                    </w:rPr>
                  </w:pPr>
                  <w:r>
                    <w:rPr>
                      <w:szCs w:val="21"/>
                    </w:rPr>
                    <w:t>60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47" w:type="pct"/>
                  <w:vMerge w:val="continue"/>
                  <w:tcBorders>
                    <w:tl2br w:val="nil"/>
                    <w:tr2bl w:val="nil"/>
                  </w:tcBorders>
                  <w:vAlign w:val="center"/>
                </w:tcPr>
                <w:p>
                  <w:pPr>
                    <w:jc w:val="center"/>
                    <w:rPr>
                      <w:szCs w:val="21"/>
                    </w:rPr>
                  </w:pPr>
                </w:p>
              </w:tc>
              <w:tc>
                <w:tcPr>
                  <w:tcW w:w="1390" w:type="pct"/>
                  <w:tcBorders>
                    <w:tl2br w:val="nil"/>
                    <w:tr2bl w:val="nil"/>
                  </w:tcBorders>
                  <w:vAlign w:val="center"/>
                </w:tcPr>
                <w:p>
                  <w:pPr>
                    <w:jc w:val="center"/>
                    <w:rPr>
                      <w:szCs w:val="21"/>
                    </w:rPr>
                  </w:pPr>
                  <w:r>
                    <w:rPr>
                      <w:szCs w:val="21"/>
                    </w:rPr>
                    <w:t>隔油池出口浓度（mg/L）</w:t>
                  </w:r>
                </w:p>
              </w:tc>
              <w:tc>
                <w:tcPr>
                  <w:tcW w:w="523" w:type="pct"/>
                  <w:tcBorders>
                    <w:tl2br w:val="nil"/>
                    <w:tr2bl w:val="nil"/>
                  </w:tcBorders>
                  <w:vAlign w:val="center"/>
                </w:tcPr>
                <w:p>
                  <w:pPr>
                    <w:jc w:val="center"/>
                    <w:rPr>
                      <w:szCs w:val="21"/>
                    </w:rPr>
                  </w:pPr>
                  <w:r>
                    <w:rPr>
                      <w:szCs w:val="21"/>
                    </w:rPr>
                    <w:t>400</w:t>
                  </w:r>
                </w:p>
              </w:tc>
              <w:tc>
                <w:tcPr>
                  <w:tcW w:w="578" w:type="pct"/>
                  <w:tcBorders>
                    <w:tl2br w:val="nil"/>
                    <w:tr2bl w:val="nil"/>
                  </w:tcBorders>
                  <w:vAlign w:val="center"/>
                </w:tcPr>
                <w:p>
                  <w:pPr>
                    <w:jc w:val="center"/>
                    <w:rPr>
                      <w:szCs w:val="21"/>
                    </w:rPr>
                  </w:pPr>
                  <w:r>
                    <w:rPr>
                      <w:szCs w:val="21"/>
                    </w:rPr>
                    <w:t>300</w:t>
                  </w:r>
                </w:p>
              </w:tc>
              <w:tc>
                <w:tcPr>
                  <w:tcW w:w="459" w:type="pct"/>
                  <w:tcBorders>
                    <w:tl2br w:val="nil"/>
                    <w:tr2bl w:val="nil"/>
                  </w:tcBorders>
                  <w:vAlign w:val="center"/>
                </w:tcPr>
                <w:p>
                  <w:pPr>
                    <w:jc w:val="center"/>
                    <w:rPr>
                      <w:szCs w:val="21"/>
                    </w:rPr>
                  </w:pPr>
                  <w:r>
                    <w:rPr>
                      <w:szCs w:val="21"/>
                    </w:rPr>
                    <w:t>200</w:t>
                  </w:r>
                </w:p>
              </w:tc>
              <w:tc>
                <w:tcPr>
                  <w:tcW w:w="459" w:type="pct"/>
                  <w:tcBorders>
                    <w:tl2br w:val="nil"/>
                    <w:tr2bl w:val="nil"/>
                  </w:tcBorders>
                  <w:vAlign w:val="center"/>
                </w:tcPr>
                <w:p>
                  <w:pPr>
                    <w:jc w:val="center"/>
                    <w:rPr>
                      <w:szCs w:val="21"/>
                    </w:rPr>
                  </w:pPr>
                  <w:r>
                    <w:rPr>
                      <w:szCs w:val="21"/>
                    </w:rPr>
                    <w:t>25</w:t>
                  </w:r>
                </w:p>
              </w:tc>
              <w:tc>
                <w:tcPr>
                  <w:tcW w:w="540" w:type="pct"/>
                  <w:tcBorders>
                    <w:tl2br w:val="nil"/>
                    <w:tr2bl w:val="nil"/>
                  </w:tcBorders>
                  <w:vAlign w:val="center"/>
                </w:tcPr>
                <w:p>
                  <w:pPr>
                    <w:jc w:val="center"/>
                    <w:rPr>
                      <w:szCs w:val="21"/>
                    </w:rPr>
                  </w:pPr>
                  <w:r>
                    <w:rPr>
                      <w:szCs w:val="21"/>
                    </w:rPr>
                    <w:t>90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47" w:type="pct"/>
                  <w:vMerge w:val="continue"/>
                  <w:tcBorders>
                    <w:tl2br w:val="nil"/>
                    <w:tr2bl w:val="nil"/>
                  </w:tcBorders>
                  <w:vAlign w:val="center"/>
                </w:tcPr>
                <w:p>
                  <w:pPr>
                    <w:jc w:val="center"/>
                    <w:rPr>
                      <w:szCs w:val="21"/>
                    </w:rPr>
                  </w:pPr>
                </w:p>
              </w:tc>
              <w:tc>
                <w:tcPr>
                  <w:tcW w:w="1390" w:type="pct"/>
                  <w:tcBorders>
                    <w:tl2br w:val="nil"/>
                    <w:tr2bl w:val="nil"/>
                  </w:tcBorders>
                  <w:vAlign w:val="center"/>
                </w:tcPr>
                <w:p>
                  <w:pPr>
                    <w:jc w:val="center"/>
                    <w:rPr>
                      <w:szCs w:val="21"/>
                    </w:rPr>
                  </w:pPr>
                  <w:r>
                    <w:rPr>
                      <w:szCs w:val="21"/>
                    </w:rPr>
                    <w:t>化粪池入口浓度（mg/L）</w:t>
                  </w:r>
                </w:p>
              </w:tc>
              <w:tc>
                <w:tcPr>
                  <w:tcW w:w="523" w:type="pct"/>
                  <w:tcBorders>
                    <w:tl2br w:val="nil"/>
                    <w:tr2bl w:val="nil"/>
                  </w:tcBorders>
                  <w:vAlign w:val="center"/>
                </w:tcPr>
                <w:p>
                  <w:pPr>
                    <w:jc w:val="center"/>
                    <w:rPr>
                      <w:szCs w:val="21"/>
                    </w:rPr>
                  </w:pPr>
                  <w:r>
                    <w:rPr>
                      <w:szCs w:val="21"/>
                    </w:rPr>
                    <w:t>400</w:t>
                  </w:r>
                </w:p>
              </w:tc>
              <w:tc>
                <w:tcPr>
                  <w:tcW w:w="578" w:type="pct"/>
                  <w:tcBorders>
                    <w:tl2br w:val="nil"/>
                    <w:tr2bl w:val="nil"/>
                  </w:tcBorders>
                  <w:vAlign w:val="center"/>
                </w:tcPr>
                <w:p>
                  <w:pPr>
                    <w:jc w:val="center"/>
                    <w:rPr>
                      <w:szCs w:val="21"/>
                    </w:rPr>
                  </w:pPr>
                  <w:r>
                    <w:rPr>
                      <w:szCs w:val="21"/>
                    </w:rPr>
                    <w:t>300</w:t>
                  </w:r>
                </w:p>
              </w:tc>
              <w:tc>
                <w:tcPr>
                  <w:tcW w:w="459" w:type="pct"/>
                  <w:tcBorders>
                    <w:tl2br w:val="nil"/>
                    <w:tr2bl w:val="nil"/>
                  </w:tcBorders>
                  <w:vAlign w:val="center"/>
                </w:tcPr>
                <w:p>
                  <w:pPr>
                    <w:jc w:val="center"/>
                    <w:rPr>
                      <w:szCs w:val="21"/>
                    </w:rPr>
                  </w:pPr>
                  <w:r>
                    <w:rPr>
                      <w:szCs w:val="21"/>
                    </w:rPr>
                    <w:t>200</w:t>
                  </w:r>
                </w:p>
              </w:tc>
              <w:tc>
                <w:tcPr>
                  <w:tcW w:w="459" w:type="pct"/>
                  <w:tcBorders>
                    <w:tl2br w:val="nil"/>
                    <w:tr2bl w:val="nil"/>
                  </w:tcBorders>
                  <w:vAlign w:val="center"/>
                </w:tcPr>
                <w:p>
                  <w:pPr>
                    <w:jc w:val="center"/>
                    <w:rPr>
                      <w:szCs w:val="21"/>
                    </w:rPr>
                  </w:pPr>
                  <w:r>
                    <w:rPr>
                      <w:szCs w:val="21"/>
                    </w:rPr>
                    <w:t>25</w:t>
                  </w:r>
                </w:p>
              </w:tc>
              <w:tc>
                <w:tcPr>
                  <w:tcW w:w="540" w:type="pct"/>
                  <w:tcBorders>
                    <w:tl2br w:val="nil"/>
                    <w:tr2bl w:val="nil"/>
                  </w:tcBorders>
                  <w:vAlign w:val="center"/>
                </w:tcPr>
                <w:p>
                  <w:pPr>
                    <w:jc w:val="center"/>
                    <w:rPr>
                      <w:szCs w:val="21"/>
                    </w:rPr>
                  </w:pPr>
                  <w:r>
                    <w:rPr>
                      <w:szCs w:val="21"/>
                    </w:rPr>
                    <w:t>90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1047" w:type="pct"/>
                  <w:vMerge w:val="continue"/>
                  <w:tcBorders>
                    <w:tl2br w:val="nil"/>
                    <w:tr2bl w:val="nil"/>
                  </w:tcBorders>
                  <w:vAlign w:val="center"/>
                </w:tcPr>
                <w:p>
                  <w:pPr>
                    <w:jc w:val="center"/>
                    <w:rPr>
                      <w:szCs w:val="21"/>
                    </w:rPr>
                  </w:pPr>
                </w:p>
              </w:tc>
              <w:tc>
                <w:tcPr>
                  <w:tcW w:w="1390" w:type="pct"/>
                  <w:tcBorders>
                    <w:tl2br w:val="nil"/>
                    <w:tr2bl w:val="nil"/>
                  </w:tcBorders>
                  <w:vAlign w:val="center"/>
                </w:tcPr>
                <w:p>
                  <w:pPr>
                    <w:jc w:val="center"/>
                    <w:rPr>
                      <w:szCs w:val="21"/>
                    </w:rPr>
                  </w:pPr>
                  <w:r>
                    <w:rPr>
                      <w:szCs w:val="21"/>
                    </w:rPr>
                    <w:t>化粪池处理效率（%）</w:t>
                  </w:r>
                </w:p>
              </w:tc>
              <w:tc>
                <w:tcPr>
                  <w:tcW w:w="523" w:type="pct"/>
                  <w:tcBorders>
                    <w:tl2br w:val="nil"/>
                    <w:tr2bl w:val="nil"/>
                  </w:tcBorders>
                  <w:vAlign w:val="center"/>
                </w:tcPr>
                <w:p>
                  <w:pPr>
                    <w:jc w:val="center"/>
                    <w:rPr>
                      <w:szCs w:val="21"/>
                    </w:rPr>
                  </w:pPr>
                  <w:r>
                    <w:rPr>
                      <w:szCs w:val="21"/>
                    </w:rPr>
                    <w:t>15%</w:t>
                  </w:r>
                </w:p>
              </w:tc>
              <w:tc>
                <w:tcPr>
                  <w:tcW w:w="578" w:type="pct"/>
                  <w:tcBorders>
                    <w:tl2br w:val="nil"/>
                    <w:tr2bl w:val="nil"/>
                  </w:tcBorders>
                  <w:vAlign w:val="center"/>
                </w:tcPr>
                <w:p>
                  <w:pPr>
                    <w:jc w:val="center"/>
                    <w:rPr>
                      <w:szCs w:val="21"/>
                    </w:rPr>
                  </w:pPr>
                  <w:r>
                    <w:rPr>
                      <w:szCs w:val="21"/>
                    </w:rPr>
                    <w:t>9%</w:t>
                  </w:r>
                </w:p>
              </w:tc>
              <w:tc>
                <w:tcPr>
                  <w:tcW w:w="459" w:type="pct"/>
                  <w:tcBorders>
                    <w:tl2br w:val="nil"/>
                    <w:tr2bl w:val="nil"/>
                  </w:tcBorders>
                  <w:vAlign w:val="center"/>
                </w:tcPr>
                <w:p>
                  <w:pPr>
                    <w:jc w:val="center"/>
                    <w:rPr>
                      <w:szCs w:val="21"/>
                    </w:rPr>
                  </w:pPr>
                  <w:r>
                    <w:rPr>
                      <w:szCs w:val="21"/>
                    </w:rPr>
                    <w:t>30%</w:t>
                  </w:r>
                </w:p>
              </w:tc>
              <w:tc>
                <w:tcPr>
                  <w:tcW w:w="459" w:type="pct"/>
                  <w:tcBorders>
                    <w:tl2br w:val="nil"/>
                    <w:tr2bl w:val="nil"/>
                  </w:tcBorders>
                  <w:vAlign w:val="center"/>
                </w:tcPr>
                <w:p>
                  <w:pPr>
                    <w:jc w:val="center"/>
                    <w:rPr>
                      <w:szCs w:val="21"/>
                    </w:rPr>
                  </w:pPr>
                  <w:r>
                    <w:rPr>
                      <w:szCs w:val="21"/>
                    </w:rPr>
                    <w:t>3%</w:t>
                  </w:r>
                </w:p>
              </w:tc>
              <w:tc>
                <w:tcPr>
                  <w:tcW w:w="540" w:type="pct"/>
                  <w:tcBorders>
                    <w:tl2br w:val="nil"/>
                    <w:tr2bl w:val="nil"/>
                  </w:tcBorders>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47" w:type="pct"/>
                  <w:vMerge w:val="continue"/>
                  <w:tcBorders>
                    <w:tl2br w:val="nil"/>
                    <w:tr2bl w:val="nil"/>
                  </w:tcBorders>
                  <w:vAlign w:val="center"/>
                </w:tcPr>
                <w:p>
                  <w:pPr>
                    <w:jc w:val="center"/>
                    <w:rPr>
                      <w:szCs w:val="21"/>
                    </w:rPr>
                  </w:pPr>
                </w:p>
              </w:tc>
              <w:tc>
                <w:tcPr>
                  <w:tcW w:w="1390" w:type="pct"/>
                  <w:tcBorders>
                    <w:tl2br w:val="nil"/>
                    <w:tr2bl w:val="nil"/>
                  </w:tcBorders>
                  <w:vAlign w:val="center"/>
                </w:tcPr>
                <w:p>
                  <w:pPr>
                    <w:jc w:val="center"/>
                    <w:rPr>
                      <w:szCs w:val="21"/>
                    </w:rPr>
                  </w:pPr>
                  <w:r>
                    <w:rPr>
                      <w:szCs w:val="21"/>
                    </w:rPr>
                    <w:t>化粪池出口浓度（mg/L）</w:t>
                  </w:r>
                </w:p>
              </w:tc>
              <w:tc>
                <w:tcPr>
                  <w:tcW w:w="523" w:type="pct"/>
                  <w:tcBorders>
                    <w:tl2br w:val="nil"/>
                    <w:tr2bl w:val="nil"/>
                  </w:tcBorders>
                  <w:vAlign w:val="center"/>
                </w:tcPr>
                <w:p>
                  <w:pPr>
                    <w:jc w:val="center"/>
                    <w:rPr>
                      <w:szCs w:val="21"/>
                    </w:rPr>
                  </w:pPr>
                  <w:r>
                    <w:rPr>
                      <w:szCs w:val="21"/>
                    </w:rPr>
                    <w:t>340</w:t>
                  </w:r>
                </w:p>
              </w:tc>
              <w:tc>
                <w:tcPr>
                  <w:tcW w:w="578" w:type="pct"/>
                  <w:tcBorders>
                    <w:tl2br w:val="nil"/>
                    <w:tr2bl w:val="nil"/>
                  </w:tcBorders>
                  <w:vAlign w:val="center"/>
                </w:tcPr>
                <w:p>
                  <w:pPr>
                    <w:jc w:val="center"/>
                    <w:rPr>
                      <w:szCs w:val="21"/>
                    </w:rPr>
                  </w:pPr>
                  <w:r>
                    <w:rPr>
                      <w:szCs w:val="21"/>
                    </w:rPr>
                    <w:t>273</w:t>
                  </w:r>
                </w:p>
              </w:tc>
              <w:tc>
                <w:tcPr>
                  <w:tcW w:w="459" w:type="pct"/>
                  <w:tcBorders>
                    <w:tl2br w:val="nil"/>
                    <w:tr2bl w:val="nil"/>
                  </w:tcBorders>
                  <w:vAlign w:val="center"/>
                </w:tcPr>
                <w:p>
                  <w:pPr>
                    <w:jc w:val="center"/>
                    <w:rPr>
                      <w:szCs w:val="21"/>
                    </w:rPr>
                  </w:pPr>
                  <w:r>
                    <w:rPr>
                      <w:szCs w:val="21"/>
                    </w:rPr>
                    <w:t>140</w:t>
                  </w:r>
                </w:p>
              </w:tc>
              <w:tc>
                <w:tcPr>
                  <w:tcW w:w="459" w:type="pct"/>
                  <w:tcBorders>
                    <w:tl2br w:val="nil"/>
                    <w:tr2bl w:val="nil"/>
                  </w:tcBorders>
                  <w:vAlign w:val="center"/>
                </w:tcPr>
                <w:p>
                  <w:pPr>
                    <w:jc w:val="center"/>
                    <w:rPr>
                      <w:szCs w:val="21"/>
                    </w:rPr>
                  </w:pPr>
                  <w:r>
                    <w:rPr>
                      <w:szCs w:val="21"/>
                    </w:rPr>
                    <w:t>24.25</w:t>
                  </w:r>
                </w:p>
              </w:tc>
              <w:tc>
                <w:tcPr>
                  <w:tcW w:w="540" w:type="pct"/>
                  <w:tcBorders>
                    <w:tl2br w:val="nil"/>
                    <w:tr2bl w:val="nil"/>
                  </w:tcBorders>
                  <w:vAlign w:val="center"/>
                </w:tcPr>
                <w:p>
                  <w:pPr>
                    <w:jc w:val="center"/>
                    <w:rPr>
                      <w:szCs w:val="21"/>
                    </w:rPr>
                  </w:pPr>
                  <w:r>
                    <w:rPr>
                      <w:szCs w:val="21"/>
                    </w:rPr>
                    <w:t>90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47" w:type="pct"/>
                  <w:vMerge w:val="continue"/>
                  <w:tcBorders>
                    <w:tl2br w:val="nil"/>
                    <w:tr2bl w:val="nil"/>
                  </w:tcBorders>
                  <w:vAlign w:val="center"/>
                </w:tcPr>
                <w:p>
                  <w:pPr>
                    <w:jc w:val="center"/>
                    <w:rPr>
                      <w:szCs w:val="21"/>
                    </w:rPr>
                  </w:pPr>
                </w:p>
              </w:tc>
              <w:tc>
                <w:tcPr>
                  <w:tcW w:w="1390" w:type="pct"/>
                  <w:tcBorders>
                    <w:tl2br w:val="nil"/>
                    <w:tr2bl w:val="nil"/>
                  </w:tcBorders>
                  <w:vAlign w:val="center"/>
                </w:tcPr>
                <w:p>
                  <w:pPr>
                    <w:jc w:val="center"/>
                    <w:rPr>
                      <w:szCs w:val="21"/>
                    </w:rPr>
                  </w:pPr>
                  <w:r>
                    <w:rPr>
                      <w:szCs w:val="21"/>
                    </w:rPr>
                    <w:t>污水处理站入口浓度（mg/L）</w:t>
                  </w:r>
                </w:p>
              </w:tc>
              <w:tc>
                <w:tcPr>
                  <w:tcW w:w="523" w:type="pct"/>
                  <w:tcBorders>
                    <w:tl2br w:val="nil"/>
                    <w:tr2bl w:val="nil"/>
                  </w:tcBorders>
                  <w:vAlign w:val="center"/>
                </w:tcPr>
                <w:p>
                  <w:pPr>
                    <w:jc w:val="center"/>
                    <w:rPr>
                      <w:szCs w:val="21"/>
                    </w:rPr>
                  </w:pPr>
                  <w:r>
                    <w:rPr>
                      <w:szCs w:val="21"/>
                    </w:rPr>
                    <w:t>340</w:t>
                  </w:r>
                </w:p>
              </w:tc>
              <w:tc>
                <w:tcPr>
                  <w:tcW w:w="578" w:type="pct"/>
                  <w:tcBorders>
                    <w:tl2br w:val="nil"/>
                    <w:tr2bl w:val="nil"/>
                  </w:tcBorders>
                  <w:vAlign w:val="center"/>
                </w:tcPr>
                <w:p>
                  <w:pPr>
                    <w:jc w:val="center"/>
                    <w:rPr>
                      <w:szCs w:val="21"/>
                    </w:rPr>
                  </w:pPr>
                  <w:r>
                    <w:rPr>
                      <w:szCs w:val="21"/>
                    </w:rPr>
                    <w:t>273</w:t>
                  </w:r>
                </w:p>
              </w:tc>
              <w:tc>
                <w:tcPr>
                  <w:tcW w:w="459" w:type="pct"/>
                  <w:tcBorders>
                    <w:tl2br w:val="nil"/>
                    <w:tr2bl w:val="nil"/>
                  </w:tcBorders>
                  <w:vAlign w:val="center"/>
                </w:tcPr>
                <w:p>
                  <w:pPr>
                    <w:jc w:val="center"/>
                    <w:rPr>
                      <w:szCs w:val="21"/>
                    </w:rPr>
                  </w:pPr>
                  <w:r>
                    <w:rPr>
                      <w:szCs w:val="21"/>
                    </w:rPr>
                    <w:t>140</w:t>
                  </w:r>
                </w:p>
              </w:tc>
              <w:tc>
                <w:tcPr>
                  <w:tcW w:w="459" w:type="pct"/>
                  <w:tcBorders>
                    <w:tl2br w:val="nil"/>
                    <w:tr2bl w:val="nil"/>
                  </w:tcBorders>
                  <w:vAlign w:val="center"/>
                </w:tcPr>
                <w:p>
                  <w:pPr>
                    <w:jc w:val="center"/>
                    <w:rPr>
                      <w:szCs w:val="21"/>
                    </w:rPr>
                  </w:pPr>
                  <w:r>
                    <w:rPr>
                      <w:szCs w:val="21"/>
                    </w:rPr>
                    <w:t>24.25</w:t>
                  </w:r>
                </w:p>
              </w:tc>
              <w:tc>
                <w:tcPr>
                  <w:tcW w:w="540" w:type="pct"/>
                  <w:tcBorders>
                    <w:tl2br w:val="nil"/>
                    <w:tr2bl w:val="nil"/>
                  </w:tcBorders>
                  <w:vAlign w:val="center"/>
                </w:tcPr>
                <w:p>
                  <w:pPr>
                    <w:jc w:val="center"/>
                    <w:rPr>
                      <w:szCs w:val="21"/>
                    </w:rPr>
                  </w:pPr>
                  <w:r>
                    <w:rPr>
                      <w:szCs w:val="21"/>
                    </w:rPr>
                    <w:t>90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47" w:type="pct"/>
                  <w:vMerge w:val="continue"/>
                  <w:tcBorders>
                    <w:tl2br w:val="nil"/>
                    <w:tr2bl w:val="nil"/>
                  </w:tcBorders>
                  <w:vAlign w:val="center"/>
                </w:tcPr>
                <w:p>
                  <w:pPr>
                    <w:jc w:val="center"/>
                    <w:rPr>
                      <w:szCs w:val="21"/>
                    </w:rPr>
                  </w:pPr>
                </w:p>
              </w:tc>
              <w:tc>
                <w:tcPr>
                  <w:tcW w:w="1390" w:type="pct"/>
                  <w:tcBorders>
                    <w:tl2br w:val="nil"/>
                    <w:tr2bl w:val="nil"/>
                  </w:tcBorders>
                  <w:vAlign w:val="center"/>
                </w:tcPr>
                <w:p>
                  <w:pPr>
                    <w:jc w:val="center"/>
                    <w:rPr>
                      <w:szCs w:val="21"/>
                    </w:rPr>
                  </w:pPr>
                  <w:r>
                    <w:rPr>
                      <w:szCs w:val="21"/>
                    </w:rPr>
                    <w:t>污水处理站处理效率（%）</w:t>
                  </w:r>
                </w:p>
              </w:tc>
              <w:tc>
                <w:tcPr>
                  <w:tcW w:w="523" w:type="pct"/>
                  <w:tcBorders>
                    <w:tl2br w:val="nil"/>
                    <w:tr2bl w:val="nil"/>
                  </w:tcBorders>
                  <w:vAlign w:val="center"/>
                </w:tcPr>
                <w:p>
                  <w:pPr>
                    <w:adjustRightInd w:val="0"/>
                    <w:snapToGrid w:val="0"/>
                    <w:jc w:val="center"/>
                    <w:rPr>
                      <w:szCs w:val="21"/>
                    </w:rPr>
                  </w:pPr>
                  <w:r>
                    <w:rPr>
                      <w:bCs/>
                      <w:szCs w:val="21"/>
                    </w:rPr>
                    <w:t>&gt;98%</w:t>
                  </w:r>
                </w:p>
              </w:tc>
              <w:tc>
                <w:tcPr>
                  <w:tcW w:w="578" w:type="pct"/>
                  <w:tcBorders>
                    <w:tl2br w:val="nil"/>
                    <w:tr2bl w:val="nil"/>
                  </w:tcBorders>
                  <w:vAlign w:val="center"/>
                </w:tcPr>
                <w:p>
                  <w:pPr>
                    <w:adjustRightInd w:val="0"/>
                    <w:snapToGrid w:val="0"/>
                    <w:jc w:val="center"/>
                    <w:rPr>
                      <w:szCs w:val="21"/>
                    </w:rPr>
                  </w:pPr>
                  <w:r>
                    <w:rPr>
                      <w:bCs/>
                      <w:szCs w:val="21"/>
                    </w:rPr>
                    <w:t>&gt;97%</w:t>
                  </w:r>
                </w:p>
              </w:tc>
              <w:tc>
                <w:tcPr>
                  <w:tcW w:w="459" w:type="pct"/>
                  <w:tcBorders>
                    <w:tl2br w:val="nil"/>
                    <w:tr2bl w:val="nil"/>
                  </w:tcBorders>
                  <w:vAlign w:val="center"/>
                </w:tcPr>
                <w:p>
                  <w:pPr>
                    <w:adjustRightInd w:val="0"/>
                    <w:snapToGrid w:val="0"/>
                    <w:jc w:val="center"/>
                    <w:rPr>
                      <w:szCs w:val="21"/>
                    </w:rPr>
                  </w:pPr>
                  <w:r>
                    <w:rPr>
                      <w:bCs/>
                      <w:szCs w:val="21"/>
                    </w:rPr>
                    <w:t>&gt;95%</w:t>
                  </w:r>
                </w:p>
              </w:tc>
              <w:tc>
                <w:tcPr>
                  <w:tcW w:w="459" w:type="pct"/>
                  <w:tcBorders>
                    <w:tl2br w:val="nil"/>
                    <w:tr2bl w:val="nil"/>
                  </w:tcBorders>
                  <w:vAlign w:val="center"/>
                </w:tcPr>
                <w:p>
                  <w:pPr>
                    <w:adjustRightInd w:val="0"/>
                    <w:snapToGrid w:val="0"/>
                    <w:jc w:val="center"/>
                    <w:rPr>
                      <w:szCs w:val="21"/>
                    </w:rPr>
                  </w:pPr>
                  <w:r>
                    <w:rPr>
                      <w:bCs/>
                      <w:szCs w:val="21"/>
                    </w:rPr>
                    <w:t>&gt;90%</w:t>
                  </w:r>
                </w:p>
              </w:tc>
              <w:tc>
                <w:tcPr>
                  <w:tcW w:w="540" w:type="pct"/>
                  <w:tcBorders>
                    <w:tl2br w:val="nil"/>
                    <w:tr2bl w:val="nil"/>
                  </w:tcBorders>
                  <w:vAlign w:val="center"/>
                </w:tcPr>
                <w:p>
                  <w:pPr>
                    <w:adjustRightInd w:val="0"/>
                    <w:snapToGrid w:val="0"/>
                    <w:jc w:val="center"/>
                    <w:rPr>
                      <w:szCs w:val="21"/>
                    </w:rPr>
                  </w:pPr>
                  <w:r>
                    <w:rPr>
                      <w:bCs/>
                      <w:szCs w:val="21"/>
                    </w:rPr>
                    <w:t>&gt;97%</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47" w:type="pct"/>
                  <w:vMerge w:val="continue"/>
                  <w:tcBorders>
                    <w:tl2br w:val="nil"/>
                    <w:tr2bl w:val="nil"/>
                  </w:tcBorders>
                  <w:vAlign w:val="center"/>
                </w:tcPr>
                <w:p>
                  <w:pPr>
                    <w:jc w:val="center"/>
                    <w:rPr>
                      <w:szCs w:val="21"/>
                    </w:rPr>
                  </w:pPr>
                </w:p>
              </w:tc>
              <w:tc>
                <w:tcPr>
                  <w:tcW w:w="1390" w:type="pct"/>
                  <w:tcBorders>
                    <w:tl2br w:val="nil"/>
                    <w:tr2bl w:val="nil"/>
                  </w:tcBorders>
                  <w:vAlign w:val="center"/>
                </w:tcPr>
                <w:p>
                  <w:pPr>
                    <w:jc w:val="center"/>
                    <w:rPr>
                      <w:szCs w:val="21"/>
                    </w:rPr>
                  </w:pPr>
                  <w:r>
                    <w:rPr>
                      <w:szCs w:val="21"/>
                    </w:rPr>
                    <w:t>污水处理站出口浓度（mg/L）</w:t>
                  </w:r>
                </w:p>
              </w:tc>
              <w:tc>
                <w:tcPr>
                  <w:tcW w:w="523" w:type="pct"/>
                  <w:tcBorders>
                    <w:tl2br w:val="nil"/>
                    <w:tr2bl w:val="nil"/>
                  </w:tcBorders>
                  <w:vAlign w:val="center"/>
                </w:tcPr>
                <w:p>
                  <w:pPr>
                    <w:widowControl/>
                    <w:jc w:val="center"/>
                    <w:textAlignment w:val="center"/>
                    <w:rPr>
                      <w:szCs w:val="21"/>
                    </w:rPr>
                  </w:pPr>
                  <w:r>
                    <w:rPr>
                      <w:kern w:val="0"/>
                      <w:szCs w:val="21"/>
                      <w:lang w:bidi="ar"/>
                    </w:rPr>
                    <w:t>6.8</w:t>
                  </w:r>
                </w:p>
              </w:tc>
              <w:tc>
                <w:tcPr>
                  <w:tcW w:w="578" w:type="pct"/>
                  <w:tcBorders>
                    <w:tl2br w:val="nil"/>
                    <w:tr2bl w:val="nil"/>
                  </w:tcBorders>
                  <w:vAlign w:val="center"/>
                </w:tcPr>
                <w:p>
                  <w:pPr>
                    <w:widowControl/>
                    <w:jc w:val="center"/>
                    <w:textAlignment w:val="center"/>
                    <w:rPr>
                      <w:szCs w:val="21"/>
                    </w:rPr>
                  </w:pPr>
                  <w:r>
                    <w:rPr>
                      <w:kern w:val="0"/>
                      <w:szCs w:val="21"/>
                      <w:lang w:bidi="ar"/>
                    </w:rPr>
                    <w:t>8.19</w:t>
                  </w:r>
                </w:p>
              </w:tc>
              <w:tc>
                <w:tcPr>
                  <w:tcW w:w="459" w:type="pct"/>
                  <w:tcBorders>
                    <w:tl2br w:val="nil"/>
                    <w:tr2bl w:val="nil"/>
                  </w:tcBorders>
                  <w:vAlign w:val="center"/>
                </w:tcPr>
                <w:p>
                  <w:pPr>
                    <w:widowControl/>
                    <w:jc w:val="center"/>
                    <w:textAlignment w:val="center"/>
                    <w:rPr>
                      <w:szCs w:val="21"/>
                    </w:rPr>
                  </w:pPr>
                  <w:r>
                    <w:rPr>
                      <w:kern w:val="0"/>
                      <w:szCs w:val="21"/>
                      <w:lang w:bidi="ar"/>
                    </w:rPr>
                    <w:t>7</w:t>
                  </w:r>
                </w:p>
              </w:tc>
              <w:tc>
                <w:tcPr>
                  <w:tcW w:w="459" w:type="pct"/>
                  <w:tcBorders>
                    <w:tl2br w:val="nil"/>
                    <w:tr2bl w:val="nil"/>
                  </w:tcBorders>
                  <w:vAlign w:val="center"/>
                </w:tcPr>
                <w:p>
                  <w:pPr>
                    <w:widowControl/>
                    <w:jc w:val="center"/>
                    <w:textAlignment w:val="center"/>
                    <w:rPr>
                      <w:szCs w:val="21"/>
                    </w:rPr>
                  </w:pPr>
                  <w:r>
                    <w:rPr>
                      <w:kern w:val="0"/>
                      <w:szCs w:val="21"/>
                      <w:lang w:bidi="ar"/>
                    </w:rPr>
                    <w:t>2.425</w:t>
                  </w:r>
                </w:p>
              </w:tc>
              <w:tc>
                <w:tcPr>
                  <w:tcW w:w="540" w:type="pct"/>
                  <w:tcBorders>
                    <w:tl2br w:val="nil"/>
                    <w:tr2bl w:val="nil"/>
                  </w:tcBorders>
                  <w:vAlign w:val="center"/>
                </w:tcPr>
                <w:p>
                  <w:pPr>
                    <w:widowControl/>
                    <w:jc w:val="center"/>
                    <w:textAlignment w:val="center"/>
                    <w:rPr>
                      <w:szCs w:val="21"/>
                    </w:rPr>
                  </w:pPr>
                  <w:r>
                    <w:rPr>
                      <w:kern w:val="0"/>
                      <w:szCs w:val="21"/>
                      <w:lang w:bidi="ar"/>
                    </w:rPr>
                    <w:t>2.7</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1047" w:type="pct"/>
                  <w:vMerge w:val="continue"/>
                  <w:tcBorders>
                    <w:tl2br w:val="nil"/>
                    <w:tr2bl w:val="nil"/>
                  </w:tcBorders>
                  <w:vAlign w:val="center"/>
                </w:tcPr>
                <w:p>
                  <w:pPr>
                    <w:jc w:val="center"/>
                    <w:rPr>
                      <w:szCs w:val="21"/>
                    </w:rPr>
                  </w:pPr>
                </w:p>
              </w:tc>
              <w:tc>
                <w:tcPr>
                  <w:tcW w:w="1390" w:type="pct"/>
                  <w:tcBorders>
                    <w:tl2br w:val="nil"/>
                    <w:tr2bl w:val="nil"/>
                  </w:tcBorders>
                  <w:vAlign w:val="center"/>
                </w:tcPr>
                <w:p>
                  <w:pPr>
                    <w:jc w:val="center"/>
                    <w:rPr>
                      <w:szCs w:val="21"/>
                    </w:rPr>
                  </w:pPr>
                  <w:r>
                    <w:rPr>
                      <w:szCs w:val="21"/>
                    </w:rPr>
                    <w:t>排放标准</w:t>
                  </w:r>
                </w:p>
              </w:tc>
              <w:tc>
                <w:tcPr>
                  <w:tcW w:w="523" w:type="pct"/>
                  <w:tcBorders>
                    <w:tl2br w:val="nil"/>
                    <w:tr2bl w:val="nil"/>
                  </w:tcBorders>
                  <w:vAlign w:val="center"/>
                </w:tcPr>
                <w:p>
                  <w:pPr>
                    <w:pStyle w:val="35"/>
                    <w:widowControl w:val="0"/>
                    <w:spacing w:before="0" w:beforeAutospacing="0" w:after="0" w:afterAutospacing="0"/>
                    <w:rPr>
                      <w:rFonts w:ascii="Times New Roman" w:hAnsi="Times New Roman"/>
                      <w:sz w:val="21"/>
                      <w:szCs w:val="21"/>
                    </w:rPr>
                  </w:pPr>
                  <w:r>
                    <w:rPr>
                      <w:rFonts w:ascii="Times New Roman" w:hAnsi="Times New Roman"/>
                      <w:kern w:val="2"/>
                      <w:sz w:val="21"/>
                      <w:szCs w:val="21"/>
                    </w:rPr>
                    <w:t>≤10</w:t>
                  </w:r>
                </w:p>
              </w:tc>
              <w:tc>
                <w:tcPr>
                  <w:tcW w:w="578" w:type="pct"/>
                  <w:tcBorders>
                    <w:tl2br w:val="nil"/>
                    <w:tr2bl w:val="nil"/>
                  </w:tcBorders>
                  <w:vAlign w:val="center"/>
                </w:tcPr>
                <w:p>
                  <w:pPr>
                    <w:jc w:val="center"/>
                    <w:rPr>
                      <w:szCs w:val="21"/>
                    </w:rPr>
                  </w:pPr>
                  <w:r>
                    <w:rPr>
                      <w:szCs w:val="21"/>
                    </w:rPr>
                    <w:t>≤500</w:t>
                  </w:r>
                </w:p>
              </w:tc>
              <w:tc>
                <w:tcPr>
                  <w:tcW w:w="459" w:type="pct"/>
                  <w:tcBorders>
                    <w:tl2br w:val="nil"/>
                    <w:tr2bl w:val="nil"/>
                  </w:tcBorders>
                  <w:vAlign w:val="center"/>
                </w:tcPr>
                <w:p>
                  <w:pPr>
                    <w:jc w:val="center"/>
                    <w:rPr>
                      <w:szCs w:val="21"/>
                    </w:rPr>
                  </w:pPr>
                  <w:r>
                    <w:rPr>
                      <w:szCs w:val="21"/>
                    </w:rPr>
                    <w:t>≤400</w:t>
                  </w:r>
                </w:p>
              </w:tc>
              <w:tc>
                <w:tcPr>
                  <w:tcW w:w="459" w:type="pct"/>
                  <w:tcBorders>
                    <w:tl2br w:val="nil"/>
                    <w:tr2bl w:val="nil"/>
                  </w:tcBorders>
                  <w:vAlign w:val="center"/>
                </w:tcPr>
                <w:p>
                  <w:pPr>
                    <w:jc w:val="center"/>
                    <w:rPr>
                      <w:szCs w:val="21"/>
                    </w:rPr>
                  </w:pPr>
                  <w:r>
                    <w:rPr>
                      <w:szCs w:val="21"/>
                    </w:rPr>
                    <w:t>≤5</w:t>
                  </w:r>
                </w:p>
              </w:tc>
              <w:tc>
                <w:tcPr>
                  <w:tcW w:w="540" w:type="pct"/>
                  <w:tcBorders>
                    <w:tl2br w:val="nil"/>
                    <w:tr2bl w:val="nil"/>
                  </w:tcBorders>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36" w:hRule="atLeast"/>
                <w:jc w:val="center"/>
              </w:trPr>
              <w:tc>
                <w:tcPr>
                  <w:tcW w:w="1047" w:type="pct"/>
                  <w:vMerge w:val="continue"/>
                  <w:tcBorders>
                    <w:tl2br w:val="nil"/>
                    <w:tr2bl w:val="nil"/>
                  </w:tcBorders>
                  <w:vAlign w:val="center"/>
                </w:tcPr>
                <w:p>
                  <w:pPr>
                    <w:jc w:val="center"/>
                    <w:rPr>
                      <w:szCs w:val="21"/>
                    </w:rPr>
                  </w:pPr>
                </w:p>
              </w:tc>
              <w:tc>
                <w:tcPr>
                  <w:tcW w:w="1390" w:type="pct"/>
                  <w:tcBorders>
                    <w:tl2br w:val="nil"/>
                    <w:tr2bl w:val="nil"/>
                  </w:tcBorders>
                  <w:vAlign w:val="center"/>
                </w:tcPr>
                <w:p>
                  <w:pPr>
                    <w:jc w:val="center"/>
                    <w:rPr>
                      <w:szCs w:val="21"/>
                    </w:rPr>
                  </w:pPr>
                  <w:r>
                    <w:rPr>
                      <w:szCs w:val="21"/>
                    </w:rPr>
                    <w:t>达标性分析</w:t>
                  </w:r>
                </w:p>
              </w:tc>
              <w:tc>
                <w:tcPr>
                  <w:tcW w:w="523" w:type="pct"/>
                  <w:tcBorders>
                    <w:tl2br w:val="nil"/>
                    <w:tr2bl w:val="nil"/>
                  </w:tcBorders>
                  <w:vAlign w:val="center"/>
                </w:tcPr>
                <w:p>
                  <w:pPr>
                    <w:jc w:val="center"/>
                    <w:rPr>
                      <w:szCs w:val="21"/>
                    </w:rPr>
                  </w:pPr>
                  <w:r>
                    <w:rPr>
                      <w:szCs w:val="21"/>
                    </w:rPr>
                    <w:t>达标</w:t>
                  </w:r>
                </w:p>
              </w:tc>
              <w:tc>
                <w:tcPr>
                  <w:tcW w:w="578" w:type="pct"/>
                  <w:tcBorders>
                    <w:tl2br w:val="nil"/>
                    <w:tr2bl w:val="nil"/>
                  </w:tcBorders>
                  <w:vAlign w:val="center"/>
                </w:tcPr>
                <w:p>
                  <w:pPr>
                    <w:jc w:val="center"/>
                    <w:rPr>
                      <w:szCs w:val="21"/>
                    </w:rPr>
                  </w:pPr>
                  <w:r>
                    <w:rPr>
                      <w:szCs w:val="21"/>
                    </w:rPr>
                    <w:t>达标</w:t>
                  </w:r>
                </w:p>
              </w:tc>
              <w:tc>
                <w:tcPr>
                  <w:tcW w:w="459" w:type="pct"/>
                  <w:tcBorders>
                    <w:tl2br w:val="nil"/>
                    <w:tr2bl w:val="nil"/>
                  </w:tcBorders>
                  <w:vAlign w:val="center"/>
                </w:tcPr>
                <w:p>
                  <w:pPr>
                    <w:jc w:val="center"/>
                    <w:rPr>
                      <w:szCs w:val="21"/>
                    </w:rPr>
                  </w:pPr>
                  <w:r>
                    <w:rPr>
                      <w:szCs w:val="21"/>
                    </w:rPr>
                    <w:t>达标</w:t>
                  </w:r>
                </w:p>
              </w:tc>
              <w:tc>
                <w:tcPr>
                  <w:tcW w:w="459" w:type="pct"/>
                  <w:tcBorders>
                    <w:tl2br w:val="nil"/>
                    <w:tr2bl w:val="nil"/>
                  </w:tcBorders>
                  <w:vAlign w:val="center"/>
                </w:tcPr>
                <w:p>
                  <w:pPr>
                    <w:jc w:val="center"/>
                    <w:rPr>
                      <w:szCs w:val="21"/>
                    </w:rPr>
                  </w:pPr>
                  <w:r>
                    <w:rPr>
                      <w:szCs w:val="21"/>
                    </w:rPr>
                    <w:t>达标</w:t>
                  </w:r>
                </w:p>
              </w:tc>
              <w:tc>
                <w:tcPr>
                  <w:tcW w:w="540" w:type="pct"/>
                  <w:tcBorders>
                    <w:tl2br w:val="nil"/>
                    <w:tr2bl w:val="nil"/>
                  </w:tcBorders>
                  <w:vAlign w:val="center"/>
                </w:tcPr>
                <w:p>
                  <w:pPr>
                    <w:jc w:val="center"/>
                    <w:rPr>
                      <w:szCs w:val="21"/>
                    </w:rPr>
                  </w:pPr>
                  <w:r>
                    <w:rPr>
                      <w:szCs w:val="21"/>
                    </w:rPr>
                    <w:t>达标</w:t>
                  </w:r>
                </w:p>
              </w:tc>
            </w:tr>
          </w:tbl>
          <w:p>
            <w:pPr>
              <w:snapToGrid w:val="0"/>
              <w:spacing w:line="360" w:lineRule="auto"/>
              <w:jc w:val="center"/>
              <w:rPr>
                <w:b/>
                <w:bCs/>
                <w:sz w:val="24"/>
              </w:rPr>
            </w:pPr>
            <w:r>
              <w:rPr>
                <w:b/>
                <w:bCs/>
                <w:sz w:val="24"/>
              </w:rPr>
              <w:t>表4-8 生活污水达标分析表</w:t>
            </w:r>
          </w:p>
          <w:tbl>
            <w:tblPr>
              <w:tblStyle w:val="27"/>
              <w:tblW w:w="4994"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1637"/>
              <w:gridCol w:w="2971"/>
              <w:gridCol w:w="1082"/>
              <w:gridCol w:w="938"/>
              <w:gridCol w:w="660"/>
              <w:gridCol w:w="816"/>
              <w:gridCol w:w="590"/>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35" w:hRule="atLeast"/>
                <w:jc w:val="center"/>
              </w:trPr>
              <w:tc>
                <w:tcPr>
                  <w:tcW w:w="941" w:type="pct"/>
                  <w:vAlign w:val="center"/>
                </w:tcPr>
                <w:p>
                  <w:pPr>
                    <w:jc w:val="center"/>
                    <w:rPr>
                      <w:b/>
                      <w:szCs w:val="21"/>
                    </w:rPr>
                  </w:pPr>
                  <w:r>
                    <w:rPr>
                      <w:b/>
                      <w:szCs w:val="21"/>
                    </w:rPr>
                    <w:t>排放源</w:t>
                  </w:r>
                </w:p>
              </w:tc>
              <w:tc>
                <w:tcPr>
                  <w:tcW w:w="1707" w:type="pct"/>
                  <w:tcBorders>
                    <w:tl2br w:val="single" w:color="auto" w:sz="4" w:space="0"/>
                  </w:tcBorders>
                  <w:vAlign w:val="center"/>
                </w:tcPr>
                <w:p>
                  <w:pPr>
                    <w:jc w:val="right"/>
                    <w:rPr>
                      <w:b/>
                      <w:szCs w:val="21"/>
                    </w:rPr>
                  </w:pPr>
                  <w:r>
                    <w:rPr>
                      <w:b/>
                      <w:szCs w:val="21"/>
                    </w:rPr>
                    <w:t>污染物名称</w:t>
                  </w:r>
                </w:p>
                <w:p>
                  <w:pPr>
                    <w:rPr>
                      <w:b/>
                      <w:szCs w:val="21"/>
                    </w:rPr>
                  </w:pPr>
                  <w:r>
                    <w:rPr>
                      <w:b/>
                      <w:szCs w:val="21"/>
                    </w:rPr>
                    <w:t>处理工艺</w:t>
                  </w:r>
                </w:p>
              </w:tc>
              <w:tc>
                <w:tcPr>
                  <w:tcW w:w="622" w:type="pct"/>
                  <w:vAlign w:val="center"/>
                </w:tcPr>
                <w:p>
                  <w:pPr>
                    <w:jc w:val="center"/>
                    <w:rPr>
                      <w:b/>
                      <w:szCs w:val="21"/>
                    </w:rPr>
                  </w:pPr>
                  <w:r>
                    <w:rPr>
                      <w:b/>
                      <w:szCs w:val="21"/>
                    </w:rPr>
                    <w:t>CODcr</w:t>
                  </w:r>
                </w:p>
              </w:tc>
              <w:tc>
                <w:tcPr>
                  <w:tcW w:w="539" w:type="pct"/>
                  <w:vAlign w:val="center"/>
                </w:tcPr>
                <w:p>
                  <w:pPr>
                    <w:jc w:val="center"/>
                    <w:rPr>
                      <w:b/>
                      <w:szCs w:val="21"/>
                    </w:rPr>
                  </w:pPr>
                  <w:r>
                    <w:rPr>
                      <w:b/>
                      <w:szCs w:val="21"/>
                    </w:rPr>
                    <w:t>BOD5</w:t>
                  </w:r>
                </w:p>
              </w:tc>
              <w:tc>
                <w:tcPr>
                  <w:tcW w:w="379" w:type="pct"/>
                  <w:vAlign w:val="center"/>
                </w:tcPr>
                <w:p>
                  <w:pPr>
                    <w:jc w:val="center"/>
                    <w:rPr>
                      <w:b/>
                      <w:szCs w:val="21"/>
                    </w:rPr>
                  </w:pPr>
                  <w:r>
                    <w:rPr>
                      <w:b/>
                      <w:szCs w:val="21"/>
                    </w:rPr>
                    <w:t>SS</w:t>
                  </w:r>
                </w:p>
              </w:tc>
              <w:tc>
                <w:tcPr>
                  <w:tcW w:w="469" w:type="pct"/>
                  <w:vAlign w:val="center"/>
                </w:tcPr>
                <w:p>
                  <w:pPr>
                    <w:jc w:val="center"/>
                    <w:rPr>
                      <w:b/>
                      <w:szCs w:val="21"/>
                    </w:rPr>
                  </w:pPr>
                  <w:r>
                    <w:rPr>
                      <w:b/>
                      <w:szCs w:val="21"/>
                    </w:rPr>
                    <w:t>氨氮</w:t>
                  </w:r>
                </w:p>
              </w:tc>
              <w:tc>
                <w:tcPr>
                  <w:tcW w:w="339" w:type="pct"/>
                  <w:vAlign w:val="center"/>
                </w:tcPr>
                <w:p>
                  <w:pPr>
                    <w:jc w:val="center"/>
                    <w:rPr>
                      <w:b/>
                      <w:szCs w:val="21"/>
                    </w:rPr>
                  </w:pPr>
                  <w:r>
                    <w:rPr>
                      <w:b/>
                      <w:szCs w:val="21"/>
                    </w:rPr>
                    <w:t>总磷</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941" w:type="pct"/>
                  <w:vMerge w:val="restart"/>
                  <w:vAlign w:val="center"/>
                </w:tcPr>
                <w:p>
                  <w:pPr>
                    <w:jc w:val="center"/>
                    <w:rPr>
                      <w:szCs w:val="21"/>
                    </w:rPr>
                  </w:pPr>
                  <w:r>
                    <w:rPr>
                      <w:szCs w:val="21"/>
                    </w:rPr>
                    <w:t>生活污水（Q=2.2</w:t>
                  </w:r>
                  <w:r>
                    <w:rPr>
                      <w:bCs/>
                      <w:szCs w:val="21"/>
                    </w:rPr>
                    <w:t>m</w:t>
                  </w:r>
                  <w:r>
                    <w:rPr>
                      <w:bCs/>
                      <w:szCs w:val="21"/>
                      <w:vertAlign w:val="superscript"/>
                    </w:rPr>
                    <w:t>3</w:t>
                  </w:r>
                  <w:r>
                    <w:rPr>
                      <w:bCs/>
                      <w:szCs w:val="21"/>
                    </w:rPr>
                    <w:t>/d，</w:t>
                  </w:r>
                  <w:r>
                    <w:rPr>
                      <w:szCs w:val="21"/>
                    </w:rPr>
                    <w:t>642.4m</w:t>
                  </w:r>
                  <w:r>
                    <w:rPr>
                      <w:szCs w:val="21"/>
                      <w:vertAlign w:val="superscript"/>
                    </w:rPr>
                    <w:t>3</w:t>
                  </w:r>
                  <w:r>
                    <w:rPr>
                      <w:szCs w:val="21"/>
                    </w:rPr>
                    <w:t>/a）</w:t>
                  </w:r>
                </w:p>
              </w:tc>
              <w:tc>
                <w:tcPr>
                  <w:tcW w:w="1707" w:type="pct"/>
                  <w:vAlign w:val="center"/>
                </w:tcPr>
                <w:p>
                  <w:pPr>
                    <w:jc w:val="center"/>
                    <w:rPr>
                      <w:szCs w:val="21"/>
                    </w:rPr>
                  </w:pPr>
                  <w:r>
                    <w:rPr>
                      <w:szCs w:val="21"/>
                    </w:rPr>
                    <w:t>化粪池入口浓度（mg/L）</w:t>
                  </w:r>
                </w:p>
              </w:tc>
              <w:tc>
                <w:tcPr>
                  <w:tcW w:w="622" w:type="pct"/>
                  <w:vAlign w:val="center"/>
                </w:tcPr>
                <w:p>
                  <w:pPr>
                    <w:jc w:val="center"/>
                    <w:rPr>
                      <w:szCs w:val="21"/>
                    </w:rPr>
                  </w:pPr>
                  <w:r>
                    <w:rPr>
                      <w:szCs w:val="21"/>
                    </w:rPr>
                    <w:t>250</w:t>
                  </w:r>
                </w:p>
              </w:tc>
              <w:tc>
                <w:tcPr>
                  <w:tcW w:w="539" w:type="pct"/>
                  <w:vAlign w:val="center"/>
                </w:tcPr>
                <w:p>
                  <w:pPr>
                    <w:jc w:val="center"/>
                    <w:rPr>
                      <w:szCs w:val="21"/>
                    </w:rPr>
                  </w:pPr>
                  <w:r>
                    <w:rPr>
                      <w:szCs w:val="21"/>
                    </w:rPr>
                    <w:t>150</w:t>
                  </w:r>
                </w:p>
              </w:tc>
              <w:tc>
                <w:tcPr>
                  <w:tcW w:w="379" w:type="pct"/>
                  <w:vAlign w:val="center"/>
                </w:tcPr>
                <w:p>
                  <w:pPr>
                    <w:jc w:val="center"/>
                    <w:rPr>
                      <w:szCs w:val="21"/>
                    </w:rPr>
                  </w:pPr>
                  <w:r>
                    <w:rPr>
                      <w:szCs w:val="21"/>
                    </w:rPr>
                    <w:t>200</w:t>
                  </w:r>
                </w:p>
              </w:tc>
              <w:tc>
                <w:tcPr>
                  <w:tcW w:w="469" w:type="pct"/>
                  <w:vAlign w:val="center"/>
                </w:tcPr>
                <w:p>
                  <w:pPr>
                    <w:jc w:val="center"/>
                    <w:rPr>
                      <w:szCs w:val="21"/>
                    </w:rPr>
                  </w:pPr>
                  <w:r>
                    <w:rPr>
                      <w:szCs w:val="21"/>
                    </w:rPr>
                    <w:t>25</w:t>
                  </w:r>
                </w:p>
              </w:tc>
              <w:tc>
                <w:tcPr>
                  <w:tcW w:w="339" w:type="pct"/>
                  <w:vAlign w:val="center"/>
                </w:tcPr>
                <w:p>
                  <w:pPr>
                    <w:jc w:val="center"/>
                    <w:rPr>
                      <w:szCs w:val="21"/>
                    </w:rPr>
                  </w:pPr>
                  <w:r>
                    <w:rPr>
                      <w:szCs w:val="21"/>
                    </w:rPr>
                    <w:t>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941" w:type="pct"/>
                  <w:vMerge w:val="continue"/>
                  <w:vAlign w:val="center"/>
                </w:tcPr>
                <w:p>
                  <w:pPr>
                    <w:jc w:val="center"/>
                    <w:rPr>
                      <w:szCs w:val="21"/>
                    </w:rPr>
                  </w:pPr>
                </w:p>
              </w:tc>
              <w:tc>
                <w:tcPr>
                  <w:tcW w:w="1707" w:type="pct"/>
                  <w:vAlign w:val="center"/>
                </w:tcPr>
                <w:p>
                  <w:pPr>
                    <w:jc w:val="center"/>
                    <w:rPr>
                      <w:szCs w:val="21"/>
                    </w:rPr>
                  </w:pPr>
                  <w:r>
                    <w:rPr>
                      <w:szCs w:val="21"/>
                    </w:rPr>
                    <w:t>化粪池处理效率</w:t>
                  </w:r>
                </w:p>
              </w:tc>
              <w:tc>
                <w:tcPr>
                  <w:tcW w:w="622" w:type="pct"/>
                  <w:vAlign w:val="center"/>
                </w:tcPr>
                <w:p>
                  <w:pPr>
                    <w:jc w:val="center"/>
                    <w:rPr>
                      <w:szCs w:val="21"/>
                    </w:rPr>
                  </w:pPr>
                  <w:r>
                    <w:rPr>
                      <w:szCs w:val="21"/>
                    </w:rPr>
                    <w:t>15%</w:t>
                  </w:r>
                </w:p>
              </w:tc>
              <w:tc>
                <w:tcPr>
                  <w:tcW w:w="539" w:type="pct"/>
                  <w:vAlign w:val="center"/>
                </w:tcPr>
                <w:p>
                  <w:pPr>
                    <w:jc w:val="center"/>
                    <w:rPr>
                      <w:szCs w:val="21"/>
                    </w:rPr>
                  </w:pPr>
                  <w:r>
                    <w:rPr>
                      <w:szCs w:val="21"/>
                    </w:rPr>
                    <w:t>9%</w:t>
                  </w:r>
                </w:p>
              </w:tc>
              <w:tc>
                <w:tcPr>
                  <w:tcW w:w="379" w:type="pct"/>
                  <w:vAlign w:val="center"/>
                </w:tcPr>
                <w:p>
                  <w:pPr>
                    <w:jc w:val="center"/>
                    <w:rPr>
                      <w:szCs w:val="21"/>
                    </w:rPr>
                  </w:pPr>
                  <w:r>
                    <w:rPr>
                      <w:szCs w:val="21"/>
                    </w:rPr>
                    <w:t>30%</w:t>
                  </w:r>
                </w:p>
              </w:tc>
              <w:tc>
                <w:tcPr>
                  <w:tcW w:w="469" w:type="pct"/>
                  <w:vAlign w:val="center"/>
                </w:tcPr>
                <w:p>
                  <w:pPr>
                    <w:jc w:val="center"/>
                    <w:rPr>
                      <w:szCs w:val="21"/>
                    </w:rPr>
                  </w:pPr>
                  <w:r>
                    <w:rPr>
                      <w:szCs w:val="21"/>
                    </w:rPr>
                    <w:t>3%</w:t>
                  </w:r>
                </w:p>
              </w:tc>
              <w:tc>
                <w:tcPr>
                  <w:tcW w:w="339" w:type="pct"/>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941" w:type="pct"/>
                  <w:vMerge w:val="continue"/>
                  <w:vAlign w:val="center"/>
                </w:tcPr>
                <w:p>
                  <w:pPr>
                    <w:jc w:val="center"/>
                    <w:rPr>
                      <w:szCs w:val="21"/>
                    </w:rPr>
                  </w:pPr>
                </w:p>
              </w:tc>
              <w:tc>
                <w:tcPr>
                  <w:tcW w:w="1707" w:type="pct"/>
                  <w:vAlign w:val="center"/>
                </w:tcPr>
                <w:p>
                  <w:pPr>
                    <w:jc w:val="center"/>
                    <w:rPr>
                      <w:szCs w:val="21"/>
                    </w:rPr>
                  </w:pPr>
                  <w:r>
                    <w:rPr>
                      <w:szCs w:val="21"/>
                    </w:rPr>
                    <w:t>化粪池出口浓度（mg/L）</w:t>
                  </w:r>
                </w:p>
              </w:tc>
              <w:tc>
                <w:tcPr>
                  <w:tcW w:w="622" w:type="pct"/>
                  <w:vAlign w:val="center"/>
                </w:tcPr>
                <w:p>
                  <w:pPr>
                    <w:jc w:val="center"/>
                    <w:rPr>
                      <w:szCs w:val="21"/>
                    </w:rPr>
                  </w:pPr>
                  <w:r>
                    <w:rPr>
                      <w:szCs w:val="21"/>
                    </w:rPr>
                    <w:t>212.5</w:t>
                  </w:r>
                </w:p>
              </w:tc>
              <w:tc>
                <w:tcPr>
                  <w:tcW w:w="539" w:type="pct"/>
                  <w:vAlign w:val="center"/>
                </w:tcPr>
                <w:p>
                  <w:pPr>
                    <w:jc w:val="center"/>
                    <w:rPr>
                      <w:szCs w:val="21"/>
                    </w:rPr>
                  </w:pPr>
                  <w:r>
                    <w:rPr>
                      <w:szCs w:val="21"/>
                    </w:rPr>
                    <w:t>136.5</w:t>
                  </w:r>
                </w:p>
              </w:tc>
              <w:tc>
                <w:tcPr>
                  <w:tcW w:w="379" w:type="pct"/>
                  <w:vAlign w:val="center"/>
                </w:tcPr>
                <w:p>
                  <w:pPr>
                    <w:jc w:val="center"/>
                    <w:rPr>
                      <w:szCs w:val="21"/>
                    </w:rPr>
                  </w:pPr>
                  <w:r>
                    <w:rPr>
                      <w:szCs w:val="21"/>
                    </w:rPr>
                    <w:t>140</w:t>
                  </w:r>
                </w:p>
              </w:tc>
              <w:tc>
                <w:tcPr>
                  <w:tcW w:w="469" w:type="pct"/>
                  <w:vAlign w:val="center"/>
                </w:tcPr>
                <w:p>
                  <w:pPr>
                    <w:jc w:val="center"/>
                    <w:rPr>
                      <w:szCs w:val="21"/>
                    </w:rPr>
                  </w:pPr>
                  <w:r>
                    <w:rPr>
                      <w:szCs w:val="21"/>
                    </w:rPr>
                    <w:t>24.25</w:t>
                  </w:r>
                </w:p>
              </w:tc>
              <w:tc>
                <w:tcPr>
                  <w:tcW w:w="339" w:type="pct"/>
                  <w:vAlign w:val="center"/>
                </w:tcPr>
                <w:p>
                  <w:pPr>
                    <w:jc w:val="center"/>
                    <w:rPr>
                      <w:szCs w:val="21"/>
                    </w:rPr>
                  </w:pPr>
                  <w:r>
                    <w:rPr>
                      <w:szCs w:val="21"/>
                    </w:rPr>
                    <w:t>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941" w:type="pct"/>
                  <w:vMerge w:val="continue"/>
                  <w:vAlign w:val="center"/>
                </w:tcPr>
                <w:p>
                  <w:pPr>
                    <w:jc w:val="center"/>
                    <w:rPr>
                      <w:szCs w:val="21"/>
                    </w:rPr>
                  </w:pPr>
                </w:p>
              </w:tc>
              <w:tc>
                <w:tcPr>
                  <w:tcW w:w="1707" w:type="pct"/>
                  <w:vAlign w:val="center"/>
                </w:tcPr>
                <w:p>
                  <w:pPr>
                    <w:jc w:val="center"/>
                    <w:rPr>
                      <w:szCs w:val="21"/>
                    </w:rPr>
                  </w:pPr>
                  <w:r>
                    <w:rPr>
                      <w:szCs w:val="21"/>
                    </w:rPr>
                    <w:t>排放标准</w:t>
                  </w:r>
                </w:p>
              </w:tc>
              <w:tc>
                <w:tcPr>
                  <w:tcW w:w="622" w:type="pct"/>
                  <w:vAlign w:val="center"/>
                </w:tcPr>
                <w:p>
                  <w:pPr>
                    <w:pStyle w:val="35"/>
                    <w:widowControl w:val="0"/>
                    <w:spacing w:before="0" w:beforeAutospacing="0" w:after="0" w:afterAutospacing="0"/>
                    <w:rPr>
                      <w:rFonts w:ascii="Times New Roman" w:hAnsi="Times New Roman"/>
                      <w:sz w:val="21"/>
                      <w:szCs w:val="21"/>
                    </w:rPr>
                  </w:pPr>
                  <w:r>
                    <w:rPr>
                      <w:rFonts w:ascii="Times New Roman" w:hAnsi="Times New Roman"/>
                      <w:kern w:val="2"/>
                      <w:sz w:val="21"/>
                      <w:szCs w:val="21"/>
                    </w:rPr>
                    <w:t>≤500</w:t>
                  </w:r>
                </w:p>
              </w:tc>
              <w:tc>
                <w:tcPr>
                  <w:tcW w:w="539" w:type="pct"/>
                  <w:vAlign w:val="center"/>
                </w:tcPr>
                <w:p>
                  <w:pPr>
                    <w:jc w:val="center"/>
                    <w:rPr>
                      <w:szCs w:val="21"/>
                    </w:rPr>
                  </w:pPr>
                  <w:r>
                    <w:rPr>
                      <w:szCs w:val="21"/>
                    </w:rPr>
                    <w:t>≤300</w:t>
                  </w:r>
                </w:p>
              </w:tc>
              <w:tc>
                <w:tcPr>
                  <w:tcW w:w="379" w:type="pct"/>
                  <w:vAlign w:val="center"/>
                </w:tcPr>
                <w:p>
                  <w:pPr>
                    <w:jc w:val="center"/>
                    <w:rPr>
                      <w:szCs w:val="21"/>
                    </w:rPr>
                  </w:pPr>
                  <w:r>
                    <w:rPr>
                      <w:szCs w:val="21"/>
                    </w:rPr>
                    <w:t>≤400</w:t>
                  </w:r>
                </w:p>
              </w:tc>
              <w:tc>
                <w:tcPr>
                  <w:tcW w:w="469" w:type="pct"/>
                  <w:vAlign w:val="center"/>
                </w:tcPr>
                <w:p>
                  <w:pPr>
                    <w:jc w:val="center"/>
                    <w:rPr>
                      <w:szCs w:val="21"/>
                    </w:rPr>
                  </w:pPr>
                  <w:r>
                    <w:rPr>
                      <w:szCs w:val="21"/>
                    </w:rPr>
                    <w:t>≤45</w:t>
                  </w:r>
                </w:p>
              </w:tc>
              <w:tc>
                <w:tcPr>
                  <w:tcW w:w="339" w:type="pct"/>
                  <w:vAlign w:val="center"/>
                </w:tcPr>
                <w:p>
                  <w:pPr>
                    <w:jc w:val="center"/>
                    <w:rPr>
                      <w:szCs w:val="21"/>
                    </w:rPr>
                  </w:pPr>
                  <w:r>
                    <w:rPr>
                      <w:szCs w:val="21"/>
                    </w:rPr>
                    <w:t>≤8</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941" w:type="pct"/>
                  <w:vMerge w:val="continue"/>
                  <w:vAlign w:val="center"/>
                </w:tcPr>
                <w:p>
                  <w:pPr>
                    <w:jc w:val="center"/>
                    <w:rPr>
                      <w:szCs w:val="21"/>
                    </w:rPr>
                  </w:pPr>
                </w:p>
              </w:tc>
              <w:tc>
                <w:tcPr>
                  <w:tcW w:w="1707" w:type="pct"/>
                  <w:vAlign w:val="center"/>
                </w:tcPr>
                <w:p>
                  <w:pPr>
                    <w:jc w:val="center"/>
                    <w:rPr>
                      <w:szCs w:val="21"/>
                    </w:rPr>
                  </w:pPr>
                  <w:r>
                    <w:rPr>
                      <w:szCs w:val="21"/>
                    </w:rPr>
                    <w:t>达标性分析</w:t>
                  </w:r>
                </w:p>
              </w:tc>
              <w:tc>
                <w:tcPr>
                  <w:tcW w:w="622" w:type="pct"/>
                  <w:vAlign w:val="center"/>
                </w:tcPr>
                <w:p>
                  <w:pPr>
                    <w:jc w:val="center"/>
                    <w:rPr>
                      <w:szCs w:val="21"/>
                    </w:rPr>
                  </w:pPr>
                  <w:r>
                    <w:rPr>
                      <w:szCs w:val="21"/>
                    </w:rPr>
                    <w:t>达标</w:t>
                  </w:r>
                </w:p>
              </w:tc>
              <w:tc>
                <w:tcPr>
                  <w:tcW w:w="539" w:type="pct"/>
                  <w:vAlign w:val="center"/>
                </w:tcPr>
                <w:p>
                  <w:pPr>
                    <w:jc w:val="center"/>
                    <w:rPr>
                      <w:szCs w:val="21"/>
                    </w:rPr>
                  </w:pPr>
                  <w:r>
                    <w:rPr>
                      <w:szCs w:val="21"/>
                    </w:rPr>
                    <w:t>达标</w:t>
                  </w:r>
                </w:p>
              </w:tc>
              <w:tc>
                <w:tcPr>
                  <w:tcW w:w="379" w:type="pct"/>
                  <w:vAlign w:val="center"/>
                </w:tcPr>
                <w:p>
                  <w:pPr>
                    <w:jc w:val="center"/>
                    <w:rPr>
                      <w:szCs w:val="21"/>
                    </w:rPr>
                  </w:pPr>
                  <w:r>
                    <w:rPr>
                      <w:szCs w:val="21"/>
                    </w:rPr>
                    <w:t>达标</w:t>
                  </w:r>
                </w:p>
              </w:tc>
              <w:tc>
                <w:tcPr>
                  <w:tcW w:w="469" w:type="pct"/>
                  <w:vAlign w:val="center"/>
                </w:tcPr>
                <w:p>
                  <w:pPr>
                    <w:jc w:val="center"/>
                    <w:rPr>
                      <w:szCs w:val="21"/>
                    </w:rPr>
                  </w:pPr>
                  <w:r>
                    <w:rPr>
                      <w:szCs w:val="21"/>
                    </w:rPr>
                    <w:t>达标</w:t>
                  </w:r>
                </w:p>
              </w:tc>
              <w:tc>
                <w:tcPr>
                  <w:tcW w:w="339" w:type="pct"/>
                  <w:vAlign w:val="center"/>
                </w:tcPr>
                <w:p>
                  <w:pPr>
                    <w:jc w:val="center"/>
                    <w:rPr>
                      <w:szCs w:val="21"/>
                    </w:rPr>
                  </w:pPr>
                  <w:r>
                    <w:rPr>
                      <w:szCs w:val="21"/>
                    </w:rPr>
                    <w:t>达标</w:t>
                  </w:r>
                </w:p>
              </w:tc>
            </w:tr>
          </w:tbl>
          <w:p>
            <w:pPr>
              <w:snapToGrid w:val="0"/>
              <w:spacing w:line="360" w:lineRule="auto"/>
              <w:ind w:firstLine="480" w:firstLineChars="200"/>
              <w:rPr>
                <w:sz w:val="24"/>
              </w:rPr>
            </w:pPr>
            <w:r>
              <w:rPr>
                <w:sz w:val="24"/>
              </w:rPr>
              <w:t>根据上表，项目生活污水经过新建化粪池处理后能够达《污水排入城镇下水道水质标准》（GB/T31962-2015）A等级标准要求，排放至污水管网，进入姚安县第二污水处理厂进行处理本项目生活废水可排入姚安县第二污水处理厂。对周边环境影响较小。</w:t>
            </w:r>
          </w:p>
          <w:p>
            <w:pPr>
              <w:snapToGrid w:val="0"/>
              <w:spacing w:line="360" w:lineRule="auto"/>
              <w:ind w:firstLine="480" w:firstLineChars="200"/>
              <w:rPr>
                <w:sz w:val="24"/>
              </w:rPr>
            </w:pPr>
            <w:r>
              <w:rPr>
                <w:sz w:val="24"/>
              </w:rPr>
              <w:t>根据上表，项目运营期生产废水处理措施可行，能满足排入污水管网的要求。对周边环境影响较小。</w:t>
            </w:r>
          </w:p>
          <w:p>
            <w:pPr>
              <w:pStyle w:val="46"/>
              <w:snapToGrid w:val="0"/>
              <w:spacing w:line="360" w:lineRule="auto"/>
              <w:ind w:left="900" w:firstLine="0" w:firstLineChars="0"/>
              <w:rPr>
                <w:sz w:val="24"/>
              </w:rPr>
            </w:pPr>
            <w:r>
              <w:rPr>
                <w:rFonts w:hint="eastAsia" w:ascii="宋体" w:hAnsi="宋体" w:cs="宋体"/>
                <w:sz w:val="24"/>
              </w:rPr>
              <w:t>⑤</w:t>
            </w:r>
            <w:r>
              <w:rPr>
                <w:sz w:val="24"/>
              </w:rPr>
              <w:t>初期雨水</w:t>
            </w:r>
          </w:p>
          <w:p>
            <w:pPr>
              <w:snapToGrid w:val="0"/>
              <w:spacing w:line="360" w:lineRule="auto"/>
              <w:ind w:firstLine="480" w:firstLineChars="200"/>
              <w:rPr>
                <w:sz w:val="24"/>
              </w:rPr>
            </w:pPr>
            <w:r>
              <w:rPr>
                <w:sz w:val="24"/>
              </w:rPr>
              <w:t>初期雨水通过初期雨水池收集处理后回用于种植基地浇灌、配肥等，措施可行。</w:t>
            </w:r>
          </w:p>
          <w:p>
            <w:pPr>
              <w:pStyle w:val="23"/>
              <w:widowControl w:val="0"/>
              <w:spacing w:before="0" w:beforeAutospacing="0" w:after="0" w:afterAutospacing="0" w:line="360" w:lineRule="auto"/>
              <w:ind w:firstLine="960" w:firstLineChars="400"/>
              <w:jc w:val="both"/>
              <w:rPr>
                <w:rFonts w:ascii="Times New Roman" w:hAnsi="Times New Roman"/>
                <w:szCs w:val="32"/>
                <w:lang w:bidi="ar"/>
              </w:rPr>
            </w:pPr>
            <w:r>
              <w:rPr>
                <w:rFonts w:hint="eastAsia" w:cs="宋体"/>
                <w:kern w:val="2"/>
                <w:szCs w:val="32"/>
                <w:lang w:bidi="ar"/>
              </w:rPr>
              <w:t>⑥</w:t>
            </w:r>
            <w:r>
              <w:rPr>
                <w:rFonts w:ascii="Times New Roman" w:hAnsi="Times New Roman"/>
                <w:kern w:val="2"/>
                <w:szCs w:val="32"/>
                <w:lang w:bidi="ar"/>
              </w:rPr>
              <w:t>纯水制备产生浓水</w:t>
            </w:r>
          </w:p>
          <w:p>
            <w:pPr>
              <w:spacing w:line="360" w:lineRule="auto"/>
              <w:ind w:firstLine="480" w:firstLineChars="200"/>
              <w:rPr>
                <w:sz w:val="24"/>
              </w:rPr>
            </w:pPr>
            <w:r>
              <w:rPr>
                <w:sz w:val="24"/>
                <w:lang w:bidi="ar"/>
              </w:rPr>
              <w:t>浓水通过收集沉淀后回用于种植灌溉，浓水主要含有少量污染物，项目浓水中的污染物能够达到《城市污水再生利用-农田灌溉用水水质》（GB/T20922-2007）要求。</w:t>
            </w:r>
          </w:p>
          <w:p>
            <w:pPr>
              <w:spacing w:line="360" w:lineRule="auto"/>
              <w:ind w:firstLine="482" w:firstLineChars="200"/>
              <w:rPr>
                <w:b/>
                <w:bCs/>
                <w:sz w:val="24"/>
              </w:rPr>
            </w:pPr>
            <w:r>
              <w:rPr>
                <w:b/>
                <w:bCs/>
                <w:sz w:val="24"/>
              </w:rPr>
              <w:t>（4）地表水环境影响评价小结</w:t>
            </w:r>
          </w:p>
          <w:p>
            <w:pPr>
              <w:snapToGrid w:val="0"/>
              <w:spacing w:line="360" w:lineRule="auto"/>
              <w:ind w:firstLine="480" w:firstLineChars="200"/>
              <w:rPr>
                <w:sz w:val="24"/>
              </w:rPr>
            </w:pPr>
            <w:r>
              <w:rPr>
                <w:sz w:val="24"/>
              </w:rPr>
              <w:t>综上，项目营运期无生产废水产生，在未接通污水管网时生活污水经过污水处理站处理后进行回用灌溉，接通污水管网后生活污水经新建化粪池处理后排放至姚安县第二污水处理站进行处理，对周边环境影响较小。设计初期雨水沉淀池，收集初期雨水，将其回用到生产过程中，不存在初期雨水污染问题。因此项目运营期对地表水环境影响较小。</w:t>
            </w:r>
          </w:p>
          <w:p>
            <w:pPr>
              <w:autoSpaceDE w:val="0"/>
              <w:autoSpaceDN w:val="0"/>
              <w:spacing w:line="360" w:lineRule="auto"/>
              <w:ind w:firstLine="482" w:firstLineChars="200"/>
              <w:jc w:val="left"/>
              <w:rPr>
                <w:b/>
                <w:bCs/>
                <w:sz w:val="24"/>
              </w:rPr>
            </w:pPr>
            <w:r>
              <w:rPr>
                <w:b/>
                <w:bCs/>
                <w:sz w:val="24"/>
              </w:rPr>
              <w:t>3、声环境影响分析</w:t>
            </w:r>
          </w:p>
          <w:p>
            <w:pPr>
              <w:pStyle w:val="37"/>
              <w:adjustRightInd/>
              <w:ind w:firstLine="482"/>
              <w:rPr>
                <w:rFonts w:hAnsi="Times New Roman"/>
                <w:b/>
                <w:bCs/>
              </w:rPr>
            </w:pPr>
            <w:r>
              <w:rPr>
                <w:rFonts w:hAnsi="Times New Roman"/>
                <w:b/>
                <w:bCs/>
              </w:rPr>
              <w:t>（1）噪声源强</w:t>
            </w:r>
          </w:p>
          <w:p>
            <w:pPr>
              <w:widowControl/>
              <w:spacing w:line="360" w:lineRule="auto"/>
              <w:ind w:firstLine="480" w:firstLineChars="200"/>
              <w:jc w:val="left"/>
              <w:rPr>
                <w:sz w:val="24"/>
              </w:rPr>
            </w:pPr>
            <w:r>
              <w:rPr>
                <w:sz w:val="24"/>
              </w:rPr>
              <w:t>项目运营期的噪声源主要为电机、锅炉、水泵等设备运转时产生的噪声，噪声源强约为85-90dB（A）。</w:t>
            </w:r>
            <w:r>
              <w:rPr>
                <w:rFonts w:hint="eastAsia"/>
                <w:sz w:val="24"/>
                <w:lang w:eastAsia="zh-CN"/>
              </w:rPr>
              <w:t>根据</w:t>
            </w:r>
            <w:r>
              <w:rPr>
                <w:sz w:val="24"/>
              </w:rPr>
              <w:t>《环境影响评价技术导则 声环境》（HJ2.4-2021）项目主要产生噪声的设备及源强见下表。</w:t>
            </w:r>
          </w:p>
          <w:p>
            <w:pPr>
              <w:spacing w:line="360" w:lineRule="auto"/>
              <w:ind w:firstLine="482" w:firstLineChars="200"/>
              <w:jc w:val="center"/>
              <w:rPr>
                <w:b/>
                <w:bCs/>
                <w:sz w:val="24"/>
              </w:rPr>
            </w:pPr>
            <w:r>
              <w:rPr>
                <w:b/>
                <w:bCs/>
                <w:sz w:val="24"/>
              </w:rPr>
              <w:t>表4-9  项目营运期噪声源强  单位：dB(A)</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2621"/>
              <w:gridCol w:w="867"/>
              <w:gridCol w:w="2619"/>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24" w:type="pct"/>
                  <w:vAlign w:val="center"/>
                </w:tcPr>
                <w:p>
                  <w:pPr>
                    <w:jc w:val="center"/>
                    <w:rPr>
                      <w:b/>
                      <w:szCs w:val="21"/>
                    </w:rPr>
                  </w:pPr>
                  <w:r>
                    <w:rPr>
                      <w:b/>
                      <w:szCs w:val="21"/>
                    </w:rPr>
                    <w:t>序号</w:t>
                  </w:r>
                </w:p>
              </w:tc>
              <w:tc>
                <w:tcPr>
                  <w:tcW w:w="1505" w:type="pct"/>
                  <w:vAlign w:val="center"/>
                </w:tcPr>
                <w:p>
                  <w:pPr>
                    <w:jc w:val="center"/>
                    <w:rPr>
                      <w:b/>
                      <w:szCs w:val="21"/>
                    </w:rPr>
                  </w:pPr>
                  <w:r>
                    <w:rPr>
                      <w:b/>
                      <w:szCs w:val="21"/>
                    </w:rPr>
                    <w:t>噪声源</w:t>
                  </w:r>
                </w:p>
              </w:tc>
              <w:tc>
                <w:tcPr>
                  <w:tcW w:w="498" w:type="pct"/>
                  <w:vAlign w:val="center"/>
                </w:tcPr>
                <w:p>
                  <w:pPr>
                    <w:jc w:val="center"/>
                    <w:rPr>
                      <w:b/>
                      <w:szCs w:val="21"/>
                    </w:rPr>
                  </w:pPr>
                  <w:r>
                    <w:rPr>
                      <w:b/>
                      <w:szCs w:val="21"/>
                    </w:rPr>
                    <w:t>数量</w:t>
                  </w:r>
                </w:p>
              </w:tc>
              <w:tc>
                <w:tcPr>
                  <w:tcW w:w="1504" w:type="pct"/>
                  <w:vAlign w:val="center"/>
                </w:tcPr>
                <w:p>
                  <w:pPr>
                    <w:jc w:val="center"/>
                    <w:rPr>
                      <w:b/>
                      <w:szCs w:val="21"/>
                    </w:rPr>
                  </w:pPr>
                  <w:r>
                    <w:rPr>
                      <w:b/>
                      <w:szCs w:val="21"/>
                    </w:rPr>
                    <w:t>声源强度dB（A）</w:t>
                  </w:r>
                </w:p>
              </w:tc>
              <w:tc>
                <w:tcPr>
                  <w:tcW w:w="966" w:type="pct"/>
                  <w:vAlign w:val="center"/>
                </w:tcPr>
                <w:p>
                  <w:pPr>
                    <w:jc w:val="center"/>
                    <w:rPr>
                      <w:b/>
                      <w:szCs w:val="21"/>
                    </w:rPr>
                  </w:pPr>
                  <w:r>
                    <w:rPr>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524" w:type="pct"/>
                  <w:vAlign w:val="center"/>
                </w:tcPr>
                <w:p>
                  <w:pPr>
                    <w:jc w:val="center"/>
                    <w:rPr>
                      <w:szCs w:val="21"/>
                    </w:rPr>
                  </w:pPr>
                  <w:r>
                    <w:rPr>
                      <w:szCs w:val="21"/>
                    </w:rPr>
                    <w:t>1</w:t>
                  </w:r>
                </w:p>
              </w:tc>
              <w:tc>
                <w:tcPr>
                  <w:tcW w:w="1505" w:type="pct"/>
                  <w:vAlign w:val="center"/>
                </w:tcPr>
                <w:p>
                  <w:pPr>
                    <w:jc w:val="center"/>
                    <w:rPr>
                      <w:szCs w:val="21"/>
                    </w:rPr>
                  </w:pPr>
                  <w:r>
                    <w:rPr>
                      <w:szCs w:val="21"/>
                    </w:rPr>
                    <w:t xml:space="preserve">生物质清洁能源热水 </w:t>
                  </w:r>
                </w:p>
                <w:p>
                  <w:pPr>
                    <w:jc w:val="center"/>
                    <w:rPr>
                      <w:szCs w:val="21"/>
                    </w:rPr>
                  </w:pPr>
                  <w:r>
                    <w:rPr>
                      <w:szCs w:val="21"/>
                    </w:rPr>
                    <w:t>锅炉</w:t>
                  </w:r>
                </w:p>
              </w:tc>
              <w:tc>
                <w:tcPr>
                  <w:tcW w:w="498" w:type="pct"/>
                  <w:vAlign w:val="center"/>
                </w:tcPr>
                <w:p>
                  <w:pPr>
                    <w:jc w:val="center"/>
                    <w:rPr>
                      <w:szCs w:val="21"/>
                    </w:rPr>
                  </w:pPr>
                  <w:r>
                    <w:rPr>
                      <w:szCs w:val="21"/>
                    </w:rPr>
                    <w:t>2</w:t>
                  </w:r>
                </w:p>
              </w:tc>
              <w:tc>
                <w:tcPr>
                  <w:tcW w:w="1504" w:type="pct"/>
                  <w:vAlign w:val="center"/>
                </w:tcPr>
                <w:p>
                  <w:pPr>
                    <w:jc w:val="center"/>
                    <w:rPr>
                      <w:szCs w:val="21"/>
                    </w:rPr>
                  </w:pPr>
                  <w:r>
                    <w:rPr>
                      <w:szCs w:val="21"/>
                    </w:rPr>
                    <w:t>85</w:t>
                  </w:r>
                </w:p>
              </w:tc>
              <w:tc>
                <w:tcPr>
                  <w:tcW w:w="966" w:type="pct"/>
                  <w:vAlign w:val="center"/>
                </w:tcPr>
                <w:p>
                  <w:pPr>
                    <w:jc w:val="center"/>
                    <w:rPr>
                      <w:szCs w:val="21"/>
                    </w:rPr>
                  </w:pPr>
                  <w:r>
                    <w:rPr>
                      <w:szCs w:val="21"/>
                    </w:rPr>
                    <w:t>室内，点源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24" w:type="pct"/>
                  <w:vAlign w:val="center"/>
                </w:tcPr>
                <w:p>
                  <w:pPr>
                    <w:jc w:val="center"/>
                    <w:rPr>
                      <w:szCs w:val="21"/>
                    </w:rPr>
                  </w:pPr>
                  <w:r>
                    <w:rPr>
                      <w:szCs w:val="21"/>
                    </w:rPr>
                    <w:t>2</w:t>
                  </w:r>
                </w:p>
              </w:tc>
              <w:tc>
                <w:tcPr>
                  <w:tcW w:w="1505" w:type="pct"/>
                </w:tcPr>
                <w:p>
                  <w:pPr>
                    <w:jc w:val="center"/>
                    <w:rPr>
                      <w:szCs w:val="21"/>
                    </w:rPr>
                  </w:pPr>
                  <w:r>
                    <w:rPr>
                      <w:szCs w:val="21"/>
                    </w:rPr>
                    <w:t>补水泵 （原水）</w:t>
                  </w:r>
                </w:p>
              </w:tc>
              <w:tc>
                <w:tcPr>
                  <w:tcW w:w="498" w:type="pct"/>
                  <w:vAlign w:val="center"/>
                </w:tcPr>
                <w:p>
                  <w:pPr>
                    <w:jc w:val="center"/>
                    <w:rPr>
                      <w:szCs w:val="21"/>
                    </w:rPr>
                  </w:pPr>
                  <w:r>
                    <w:rPr>
                      <w:szCs w:val="21"/>
                    </w:rPr>
                    <w:t>2</w:t>
                  </w:r>
                </w:p>
              </w:tc>
              <w:tc>
                <w:tcPr>
                  <w:tcW w:w="1504" w:type="pct"/>
                  <w:vAlign w:val="center"/>
                </w:tcPr>
                <w:p>
                  <w:pPr>
                    <w:jc w:val="center"/>
                    <w:rPr>
                      <w:szCs w:val="21"/>
                    </w:rPr>
                  </w:pPr>
                  <w:r>
                    <w:rPr>
                      <w:szCs w:val="21"/>
                    </w:rPr>
                    <w:t>85</w:t>
                  </w:r>
                </w:p>
              </w:tc>
              <w:tc>
                <w:tcPr>
                  <w:tcW w:w="966" w:type="pct"/>
                  <w:vAlign w:val="center"/>
                </w:tcPr>
                <w:p>
                  <w:pPr>
                    <w:jc w:val="center"/>
                    <w:rPr>
                      <w:szCs w:val="21"/>
                    </w:rPr>
                  </w:pPr>
                  <w:r>
                    <w:rPr>
                      <w:szCs w:val="21"/>
                    </w:rPr>
                    <w:t>室内，点源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24" w:type="pct"/>
                  <w:vAlign w:val="center"/>
                </w:tcPr>
                <w:p>
                  <w:pPr>
                    <w:jc w:val="center"/>
                    <w:rPr>
                      <w:szCs w:val="21"/>
                    </w:rPr>
                  </w:pPr>
                  <w:r>
                    <w:rPr>
                      <w:szCs w:val="21"/>
                    </w:rPr>
                    <w:t>3</w:t>
                  </w:r>
                </w:p>
              </w:tc>
              <w:tc>
                <w:tcPr>
                  <w:tcW w:w="1505" w:type="pct"/>
                </w:tcPr>
                <w:p>
                  <w:pPr>
                    <w:jc w:val="center"/>
                    <w:rPr>
                      <w:szCs w:val="21"/>
                    </w:rPr>
                  </w:pPr>
                  <w:r>
                    <w:rPr>
                      <w:szCs w:val="21"/>
                    </w:rPr>
                    <w:t>灌溉电机（清水）</w:t>
                  </w:r>
                </w:p>
              </w:tc>
              <w:tc>
                <w:tcPr>
                  <w:tcW w:w="498" w:type="pct"/>
                  <w:vAlign w:val="center"/>
                </w:tcPr>
                <w:p>
                  <w:pPr>
                    <w:jc w:val="center"/>
                    <w:rPr>
                      <w:szCs w:val="21"/>
                    </w:rPr>
                  </w:pPr>
                  <w:r>
                    <w:rPr>
                      <w:szCs w:val="21"/>
                    </w:rPr>
                    <w:t>1</w:t>
                  </w:r>
                </w:p>
              </w:tc>
              <w:tc>
                <w:tcPr>
                  <w:tcW w:w="1504" w:type="pct"/>
                  <w:vAlign w:val="center"/>
                </w:tcPr>
                <w:p>
                  <w:pPr>
                    <w:jc w:val="center"/>
                    <w:rPr>
                      <w:szCs w:val="21"/>
                    </w:rPr>
                  </w:pPr>
                  <w:r>
                    <w:rPr>
                      <w:szCs w:val="21"/>
                    </w:rPr>
                    <w:t>85</w:t>
                  </w:r>
                </w:p>
              </w:tc>
              <w:tc>
                <w:tcPr>
                  <w:tcW w:w="966" w:type="pct"/>
                  <w:vAlign w:val="center"/>
                </w:tcPr>
                <w:p>
                  <w:pPr>
                    <w:jc w:val="center"/>
                    <w:rPr>
                      <w:szCs w:val="21"/>
                    </w:rPr>
                  </w:pPr>
                  <w:r>
                    <w:rPr>
                      <w:szCs w:val="21"/>
                    </w:rPr>
                    <w:t>室内，点源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24" w:type="pct"/>
                  <w:vAlign w:val="center"/>
                </w:tcPr>
                <w:p>
                  <w:pPr>
                    <w:jc w:val="center"/>
                    <w:rPr>
                      <w:szCs w:val="21"/>
                    </w:rPr>
                  </w:pPr>
                  <w:r>
                    <w:rPr>
                      <w:szCs w:val="21"/>
                    </w:rPr>
                    <w:t>4</w:t>
                  </w:r>
                </w:p>
              </w:tc>
              <w:tc>
                <w:tcPr>
                  <w:tcW w:w="1505" w:type="pct"/>
                </w:tcPr>
                <w:p>
                  <w:pPr>
                    <w:jc w:val="center"/>
                    <w:rPr>
                      <w:szCs w:val="21"/>
                    </w:rPr>
                  </w:pPr>
                  <w:r>
                    <w:rPr>
                      <w:szCs w:val="21"/>
                    </w:rPr>
                    <w:t>迷雾电机（清水）</w:t>
                  </w:r>
                </w:p>
              </w:tc>
              <w:tc>
                <w:tcPr>
                  <w:tcW w:w="498" w:type="pct"/>
                  <w:vAlign w:val="center"/>
                </w:tcPr>
                <w:p>
                  <w:pPr>
                    <w:jc w:val="center"/>
                    <w:rPr>
                      <w:szCs w:val="21"/>
                    </w:rPr>
                  </w:pPr>
                  <w:r>
                    <w:rPr>
                      <w:szCs w:val="21"/>
                    </w:rPr>
                    <w:t>1</w:t>
                  </w:r>
                </w:p>
              </w:tc>
              <w:tc>
                <w:tcPr>
                  <w:tcW w:w="1504" w:type="pct"/>
                  <w:vAlign w:val="center"/>
                </w:tcPr>
                <w:p>
                  <w:pPr>
                    <w:jc w:val="center"/>
                    <w:rPr>
                      <w:szCs w:val="21"/>
                    </w:rPr>
                  </w:pPr>
                  <w:r>
                    <w:rPr>
                      <w:szCs w:val="21"/>
                    </w:rPr>
                    <w:t>85</w:t>
                  </w:r>
                </w:p>
              </w:tc>
              <w:tc>
                <w:tcPr>
                  <w:tcW w:w="966" w:type="pct"/>
                  <w:vAlign w:val="center"/>
                </w:tcPr>
                <w:p>
                  <w:pPr>
                    <w:jc w:val="center"/>
                    <w:rPr>
                      <w:szCs w:val="21"/>
                    </w:rPr>
                  </w:pPr>
                  <w:r>
                    <w:rPr>
                      <w:szCs w:val="21"/>
                    </w:rPr>
                    <w:t>室内，点源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24" w:type="pct"/>
                  <w:vAlign w:val="center"/>
                </w:tcPr>
                <w:p>
                  <w:pPr>
                    <w:jc w:val="center"/>
                    <w:rPr>
                      <w:szCs w:val="21"/>
                    </w:rPr>
                  </w:pPr>
                  <w:r>
                    <w:rPr>
                      <w:szCs w:val="21"/>
                    </w:rPr>
                    <w:t>5</w:t>
                  </w:r>
                </w:p>
              </w:tc>
              <w:tc>
                <w:tcPr>
                  <w:tcW w:w="1505" w:type="pct"/>
                </w:tcPr>
                <w:p>
                  <w:pPr>
                    <w:jc w:val="center"/>
                    <w:rPr>
                      <w:szCs w:val="21"/>
                    </w:rPr>
                  </w:pPr>
                  <w:r>
                    <w:rPr>
                      <w:szCs w:val="21"/>
                    </w:rPr>
                    <w:t>不锈钢施肥电机（肥水）</w:t>
                  </w:r>
                </w:p>
              </w:tc>
              <w:tc>
                <w:tcPr>
                  <w:tcW w:w="498" w:type="pct"/>
                  <w:vAlign w:val="center"/>
                </w:tcPr>
                <w:p>
                  <w:pPr>
                    <w:jc w:val="center"/>
                    <w:rPr>
                      <w:szCs w:val="21"/>
                    </w:rPr>
                  </w:pPr>
                  <w:r>
                    <w:rPr>
                      <w:szCs w:val="21"/>
                    </w:rPr>
                    <w:t>1</w:t>
                  </w:r>
                </w:p>
              </w:tc>
              <w:tc>
                <w:tcPr>
                  <w:tcW w:w="1504" w:type="pct"/>
                  <w:vAlign w:val="center"/>
                </w:tcPr>
                <w:p>
                  <w:pPr>
                    <w:jc w:val="center"/>
                    <w:rPr>
                      <w:szCs w:val="21"/>
                    </w:rPr>
                  </w:pPr>
                  <w:r>
                    <w:rPr>
                      <w:szCs w:val="21"/>
                    </w:rPr>
                    <w:t>85</w:t>
                  </w:r>
                </w:p>
              </w:tc>
              <w:tc>
                <w:tcPr>
                  <w:tcW w:w="966" w:type="pct"/>
                  <w:vAlign w:val="center"/>
                </w:tcPr>
                <w:p>
                  <w:pPr>
                    <w:jc w:val="center"/>
                    <w:rPr>
                      <w:szCs w:val="21"/>
                    </w:rPr>
                  </w:pPr>
                  <w:r>
                    <w:rPr>
                      <w:szCs w:val="21"/>
                    </w:rPr>
                    <w:t>室内，点源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24" w:type="pct"/>
                  <w:vAlign w:val="center"/>
                </w:tcPr>
                <w:p>
                  <w:pPr>
                    <w:jc w:val="center"/>
                    <w:rPr>
                      <w:szCs w:val="21"/>
                    </w:rPr>
                  </w:pPr>
                  <w:r>
                    <w:rPr>
                      <w:szCs w:val="21"/>
                    </w:rPr>
                    <w:t>6</w:t>
                  </w:r>
                </w:p>
              </w:tc>
              <w:tc>
                <w:tcPr>
                  <w:tcW w:w="1505" w:type="pct"/>
                  <w:vAlign w:val="center"/>
                </w:tcPr>
                <w:p>
                  <w:pPr>
                    <w:jc w:val="center"/>
                    <w:rPr>
                      <w:szCs w:val="21"/>
                    </w:rPr>
                  </w:pPr>
                  <w:r>
                    <w:rPr>
                      <w:szCs w:val="21"/>
                    </w:rPr>
                    <w:t>配肥电机</w:t>
                  </w:r>
                </w:p>
              </w:tc>
              <w:tc>
                <w:tcPr>
                  <w:tcW w:w="498" w:type="pct"/>
                  <w:vAlign w:val="center"/>
                </w:tcPr>
                <w:p>
                  <w:pPr>
                    <w:jc w:val="center"/>
                    <w:rPr>
                      <w:szCs w:val="21"/>
                    </w:rPr>
                  </w:pPr>
                  <w:r>
                    <w:rPr>
                      <w:szCs w:val="21"/>
                    </w:rPr>
                    <w:t>1</w:t>
                  </w:r>
                </w:p>
              </w:tc>
              <w:tc>
                <w:tcPr>
                  <w:tcW w:w="1504" w:type="pct"/>
                  <w:vAlign w:val="center"/>
                </w:tcPr>
                <w:p>
                  <w:pPr>
                    <w:jc w:val="center"/>
                    <w:rPr>
                      <w:szCs w:val="21"/>
                    </w:rPr>
                  </w:pPr>
                  <w:r>
                    <w:rPr>
                      <w:szCs w:val="21"/>
                    </w:rPr>
                    <w:t>80</w:t>
                  </w:r>
                </w:p>
              </w:tc>
              <w:tc>
                <w:tcPr>
                  <w:tcW w:w="966" w:type="pct"/>
                  <w:vAlign w:val="center"/>
                </w:tcPr>
                <w:p>
                  <w:pPr>
                    <w:jc w:val="center"/>
                    <w:rPr>
                      <w:szCs w:val="21"/>
                    </w:rPr>
                  </w:pPr>
                  <w:r>
                    <w:rPr>
                      <w:szCs w:val="21"/>
                    </w:rPr>
                    <w:t>室内，点源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24" w:type="pct"/>
                  <w:vAlign w:val="center"/>
                </w:tcPr>
                <w:p>
                  <w:pPr>
                    <w:jc w:val="center"/>
                    <w:rPr>
                      <w:szCs w:val="21"/>
                    </w:rPr>
                  </w:pPr>
                  <w:r>
                    <w:rPr>
                      <w:szCs w:val="21"/>
                    </w:rPr>
                    <w:t>7</w:t>
                  </w:r>
                </w:p>
              </w:tc>
              <w:tc>
                <w:tcPr>
                  <w:tcW w:w="1505" w:type="pct"/>
                  <w:vAlign w:val="center"/>
                </w:tcPr>
                <w:p>
                  <w:pPr>
                    <w:jc w:val="center"/>
                    <w:rPr>
                      <w:szCs w:val="21"/>
                    </w:rPr>
                  </w:pPr>
                  <w:r>
                    <w:rPr>
                      <w:szCs w:val="21"/>
                    </w:rPr>
                    <w:t>过滤电机</w:t>
                  </w:r>
                </w:p>
              </w:tc>
              <w:tc>
                <w:tcPr>
                  <w:tcW w:w="498" w:type="pct"/>
                  <w:vAlign w:val="center"/>
                </w:tcPr>
                <w:p>
                  <w:pPr>
                    <w:jc w:val="center"/>
                    <w:rPr>
                      <w:szCs w:val="21"/>
                    </w:rPr>
                  </w:pPr>
                  <w:r>
                    <w:rPr>
                      <w:szCs w:val="21"/>
                    </w:rPr>
                    <w:t>1</w:t>
                  </w:r>
                </w:p>
              </w:tc>
              <w:tc>
                <w:tcPr>
                  <w:tcW w:w="1504" w:type="pct"/>
                  <w:vAlign w:val="center"/>
                </w:tcPr>
                <w:p>
                  <w:pPr>
                    <w:jc w:val="center"/>
                    <w:rPr>
                      <w:szCs w:val="21"/>
                    </w:rPr>
                  </w:pPr>
                  <w:r>
                    <w:rPr>
                      <w:szCs w:val="21"/>
                    </w:rPr>
                    <w:t>85</w:t>
                  </w:r>
                </w:p>
              </w:tc>
              <w:tc>
                <w:tcPr>
                  <w:tcW w:w="966" w:type="pct"/>
                  <w:vAlign w:val="center"/>
                </w:tcPr>
                <w:p>
                  <w:pPr>
                    <w:jc w:val="center"/>
                    <w:rPr>
                      <w:szCs w:val="21"/>
                    </w:rPr>
                  </w:pPr>
                  <w:r>
                    <w:rPr>
                      <w:szCs w:val="21"/>
                    </w:rPr>
                    <w:t>室内，点源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24" w:type="pct"/>
                  <w:vAlign w:val="center"/>
                </w:tcPr>
                <w:p>
                  <w:pPr>
                    <w:jc w:val="center"/>
                    <w:rPr>
                      <w:szCs w:val="21"/>
                    </w:rPr>
                  </w:pPr>
                  <w:r>
                    <w:rPr>
                      <w:szCs w:val="21"/>
                    </w:rPr>
                    <w:t>8</w:t>
                  </w:r>
                </w:p>
              </w:tc>
              <w:tc>
                <w:tcPr>
                  <w:tcW w:w="1505" w:type="pct"/>
                  <w:vAlign w:val="center"/>
                </w:tcPr>
                <w:p>
                  <w:pPr>
                    <w:jc w:val="center"/>
                    <w:rPr>
                      <w:szCs w:val="21"/>
                    </w:rPr>
                  </w:pPr>
                  <w:r>
                    <w:rPr>
                      <w:szCs w:val="21"/>
                    </w:rPr>
                    <w:t>变频控制箱</w:t>
                  </w:r>
                </w:p>
              </w:tc>
              <w:tc>
                <w:tcPr>
                  <w:tcW w:w="498" w:type="pct"/>
                  <w:vAlign w:val="center"/>
                </w:tcPr>
                <w:p>
                  <w:pPr>
                    <w:jc w:val="center"/>
                    <w:rPr>
                      <w:szCs w:val="21"/>
                    </w:rPr>
                  </w:pPr>
                  <w:r>
                    <w:rPr>
                      <w:szCs w:val="21"/>
                    </w:rPr>
                    <w:t>3</w:t>
                  </w:r>
                </w:p>
              </w:tc>
              <w:tc>
                <w:tcPr>
                  <w:tcW w:w="1504" w:type="pct"/>
                  <w:vAlign w:val="center"/>
                </w:tcPr>
                <w:p>
                  <w:pPr>
                    <w:jc w:val="center"/>
                    <w:rPr>
                      <w:szCs w:val="21"/>
                    </w:rPr>
                  </w:pPr>
                  <w:r>
                    <w:rPr>
                      <w:szCs w:val="21"/>
                    </w:rPr>
                    <w:t>80</w:t>
                  </w:r>
                </w:p>
              </w:tc>
              <w:tc>
                <w:tcPr>
                  <w:tcW w:w="966" w:type="pct"/>
                  <w:vAlign w:val="center"/>
                </w:tcPr>
                <w:p>
                  <w:pPr>
                    <w:jc w:val="center"/>
                    <w:rPr>
                      <w:szCs w:val="21"/>
                    </w:rPr>
                  </w:pPr>
                  <w:r>
                    <w:rPr>
                      <w:szCs w:val="21"/>
                    </w:rPr>
                    <w:t>室内，点源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24" w:type="pct"/>
                  <w:vAlign w:val="center"/>
                </w:tcPr>
                <w:p>
                  <w:pPr>
                    <w:jc w:val="center"/>
                    <w:rPr>
                      <w:szCs w:val="21"/>
                    </w:rPr>
                  </w:pPr>
                  <w:r>
                    <w:rPr>
                      <w:szCs w:val="21"/>
                    </w:rPr>
                    <w:t>9</w:t>
                  </w:r>
                </w:p>
              </w:tc>
              <w:tc>
                <w:tcPr>
                  <w:tcW w:w="1505" w:type="pct"/>
                  <w:vAlign w:val="center"/>
                </w:tcPr>
                <w:p>
                  <w:pPr>
                    <w:jc w:val="center"/>
                    <w:rPr>
                      <w:szCs w:val="21"/>
                    </w:rPr>
                  </w:pPr>
                  <w:r>
                    <w:rPr>
                      <w:szCs w:val="21"/>
                    </w:rPr>
                    <w:t>调酸机</w:t>
                  </w:r>
                </w:p>
              </w:tc>
              <w:tc>
                <w:tcPr>
                  <w:tcW w:w="498" w:type="pct"/>
                  <w:vAlign w:val="center"/>
                </w:tcPr>
                <w:p>
                  <w:pPr>
                    <w:jc w:val="center"/>
                    <w:rPr>
                      <w:szCs w:val="21"/>
                    </w:rPr>
                  </w:pPr>
                  <w:r>
                    <w:rPr>
                      <w:szCs w:val="21"/>
                    </w:rPr>
                    <w:t>1</w:t>
                  </w:r>
                </w:p>
              </w:tc>
              <w:tc>
                <w:tcPr>
                  <w:tcW w:w="1504" w:type="pct"/>
                  <w:vAlign w:val="center"/>
                </w:tcPr>
                <w:p>
                  <w:pPr>
                    <w:jc w:val="center"/>
                    <w:rPr>
                      <w:szCs w:val="21"/>
                    </w:rPr>
                  </w:pPr>
                  <w:r>
                    <w:rPr>
                      <w:szCs w:val="21"/>
                    </w:rPr>
                    <w:t>80</w:t>
                  </w:r>
                </w:p>
              </w:tc>
              <w:tc>
                <w:tcPr>
                  <w:tcW w:w="966" w:type="pct"/>
                  <w:vAlign w:val="center"/>
                </w:tcPr>
                <w:p>
                  <w:pPr>
                    <w:jc w:val="center"/>
                    <w:rPr>
                      <w:b/>
                      <w:bCs/>
                      <w:szCs w:val="21"/>
                    </w:rPr>
                  </w:pPr>
                  <w:r>
                    <w:rPr>
                      <w:szCs w:val="21"/>
                    </w:rPr>
                    <w:t>室内，点源</w:t>
                  </w:r>
                </w:p>
              </w:tc>
            </w:tr>
          </w:tbl>
          <w:p>
            <w:pPr>
              <w:pStyle w:val="37"/>
              <w:adjustRightInd/>
              <w:ind w:left="420" w:leftChars="200" w:firstLine="0" w:firstLineChars="0"/>
              <w:jc w:val="both"/>
              <w:rPr>
                <w:rFonts w:hAnsi="Times New Roman"/>
                <w:b/>
                <w:bCs/>
              </w:rPr>
            </w:pPr>
            <w:r>
              <w:rPr>
                <w:rFonts w:hAnsi="Times New Roman"/>
                <w:b/>
                <w:bCs/>
              </w:rPr>
              <w:t>（2）源强核算</w:t>
            </w:r>
          </w:p>
          <w:p>
            <w:pPr>
              <w:snapToGrid w:val="0"/>
              <w:spacing w:line="360" w:lineRule="auto"/>
              <w:ind w:firstLine="480" w:firstLineChars="200"/>
              <w:rPr>
                <w:sz w:val="24"/>
              </w:rPr>
            </w:pPr>
            <w:r>
              <w:rPr>
                <w:sz w:val="24"/>
              </w:rPr>
              <w:t>项目主要为设备运行时产生噪声，噪声源强约80-85dB(A)。根据工程分析，设备安置在车间内，厂房的隔声和距离衰减等降噪措施，主要噪声源及其控制措施见下表。</w:t>
            </w:r>
          </w:p>
          <w:p>
            <w:pPr>
              <w:spacing w:line="360" w:lineRule="auto"/>
              <w:ind w:firstLine="482" w:firstLineChars="200"/>
              <w:jc w:val="center"/>
              <w:rPr>
                <w:b/>
                <w:bCs/>
                <w:sz w:val="24"/>
              </w:rPr>
            </w:pPr>
            <w:r>
              <w:rPr>
                <w:b/>
                <w:bCs/>
                <w:sz w:val="24"/>
              </w:rPr>
              <w:t>表4-10 项目设备噪声一览表  单位：dB(A)</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781"/>
              <w:gridCol w:w="820"/>
              <w:gridCol w:w="945"/>
              <w:gridCol w:w="2071"/>
              <w:gridCol w:w="815"/>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95" w:type="pct"/>
                  <w:vAlign w:val="center"/>
                </w:tcPr>
                <w:p>
                  <w:pPr>
                    <w:jc w:val="center"/>
                    <w:rPr>
                      <w:b/>
                      <w:szCs w:val="21"/>
                    </w:rPr>
                  </w:pPr>
                  <w:r>
                    <w:rPr>
                      <w:b/>
                      <w:szCs w:val="21"/>
                    </w:rPr>
                    <w:t>序号</w:t>
                  </w:r>
                </w:p>
              </w:tc>
              <w:tc>
                <w:tcPr>
                  <w:tcW w:w="1023" w:type="pct"/>
                  <w:vAlign w:val="center"/>
                </w:tcPr>
                <w:p>
                  <w:pPr>
                    <w:jc w:val="center"/>
                    <w:rPr>
                      <w:b/>
                      <w:szCs w:val="21"/>
                    </w:rPr>
                  </w:pPr>
                  <w:r>
                    <w:rPr>
                      <w:b/>
                      <w:szCs w:val="21"/>
                    </w:rPr>
                    <w:t>噪声源</w:t>
                  </w:r>
                </w:p>
              </w:tc>
              <w:tc>
                <w:tcPr>
                  <w:tcW w:w="471" w:type="pct"/>
                  <w:vAlign w:val="center"/>
                </w:tcPr>
                <w:p>
                  <w:pPr>
                    <w:jc w:val="center"/>
                    <w:rPr>
                      <w:b/>
                      <w:szCs w:val="21"/>
                    </w:rPr>
                  </w:pPr>
                  <w:r>
                    <w:rPr>
                      <w:b/>
                      <w:szCs w:val="21"/>
                    </w:rPr>
                    <w:t>数量</w:t>
                  </w:r>
                </w:p>
              </w:tc>
              <w:tc>
                <w:tcPr>
                  <w:tcW w:w="543" w:type="pct"/>
                  <w:vAlign w:val="center"/>
                </w:tcPr>
                <w:p>
                  <w:pPr>
                    <w:jc w:val="center"/>
                    <w:rPr>
                      <w:b/>
                      <w:szCs w:val="21"/>
                    </w:rPr>
                  </w:pPr>
                  <w:r>
                    <w:rPr>
                      <w:b/>
                      <w:szCs w:val="21"/>
                    </w:rPr>
                    <w:t>噪声级</w:t>
                  </w:r>
                </w:p>
              </w:tc>
              <w:tc>
                <w:tcPr>
                  <w:tcW w:w="1190" w:type="pct"/>
                  <w:vAlign w:val="center"/>
                </w:tcPr>
                <w:p>
                  <w:pPr>
                    <w:jc w:val="center"/>
                    <w:rPr>
                      <w:b/>
                      <w:szCs w:val="21"/>
                    </w:rPr>
                  </w:pPr>
                  <w:r>
                    <w:rPr>
                      <w:b/>
                      <w:szCs w:val="21"/>
                    </w:rPr>
                    <w:t>降噪措施</w:t>
                  </w:r>
                </w:p>
              </w:tc>
              <w:tc>
                <w:tcPr>
                  <w:tcW w:w="468" w:type="pct"/>
                  <w:vAlign w:val="center"/>
                </w:tcPr>
                <w:p>
                  <w:pPr>
                    <w:jc w:val="center"/>
                    <w:rPr>
                      <w:b/>
                      <w:szCs w:val="21"/>
                    </w:rPr>
                  </w:pPr>
                  <w:r>
                    <w:rPr>
                      <w:b/>
                      <w:szCs w:val="21"/>
                    </w:rPr>
                    <w:t>降噪值</w:t>
                  </w:r>
                </w:p>
              </w:tc>
              <w:tc>
                <w:tcPr>
                  <w:tcW w:w="809" w:type="pct"/>
                  <w:vAlign w:val="center"/>
                </w:tcPr>
                <w:p>
                  <w:pPr>
                    <w:jc w:val="center"/>
                    <w:rPr>
                      <w:b/>
                      <w:szCs w:val="21"/>
                    </w:rPr>
                  </w:pPr>
                  <w:r>
                    <w:rPr>
                      <w:b/>
                      <w:szCs w:val="21"/>
                    </w:rPr>
                    <w:t>采取措施后的噪声值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95" w:type="pct"/>
                  <w:vAlign w:val="center"/>
                </w:tcPr>
                <w:p>
                  <w:pPr>
                    <w:jc w:val="center"/>
                    <w:rPr>
                      <w:szCs w:val="21"/>
                    </w:rPr>
                  </w:pPr>
                  <w:r>
                    <w:rPr>
                      <w:szCs w:val="21"/>
                    </w:rPr>
                    <w:t>1</w:t>
                  </w:r>
                </w:p>
              </w:tc>
              <w:tc>
                <w:tcPr>
                  <w:tcW w:w="1023" w:type="pct"/>
                  <w:vAlign w:val="center"/>
                </w:tcPr>
                <w:p>
                  <w:pPr>
                    <w:jc w:val="center"/>
                    <w:rPr>
                      <w:szCs w:val="21"/>
                    </w:rPr>
                  </w:pPr>
                  <w:r>
                    <w:rPr>
                      <w:szCs w:val="21"/>
                    </w:rPr>
                    <w:t>生物质清洁能源热水锅炉</w:t>
                  </w:r>
                </w:p>
              </w:tc>
              <w:tc>
                <w:tcPr>
                  <w:tcW w:w="471" w:type="pct"/>
                  <w:vAlign w:val="center"/>
                </w:tcPr>
                <w:p>
                  <w:pPr>
                    <w:jc w:val="center"/>
                    <w:rPr>
                      <w:szCs w:val="21"/>
                    </w:rPr>
                  </w:pPr>
                  <w:r>
                    <w:rPr>
                      <w:szCs w:val="21"/>
                    </w:rPr>
                    <w:t>2</w:t>
                  </w:r>
                </w:p>
              </w:tc>
              <w:tc>
                <w:tcPr>
                  <w:tcW w:w="543" w:type="pct"/>
                  <w:vAlign w:val="center"/>
                </w:tcPr>
                <w:p>
                  <w:pPr>
                    <w:jc w:val="center"/>
                    <w:rPr>
                      <w:szCs w:val="21"/>
                    </w:rPr>
                  </w:pPr>
                  <w:r>
                    <w:rPr>
                      <w:szCs w:val="21"/>
                    </w:rPr>
                    <w:t>85</w:t>
                  </w:r>
                </w:p>
              </w:tc>
              <w:tc>
                <w:tcPr>
                  <w:tcW w:w="1190" w:type="pct"/>
                  <w:vAlign w:val="center"/>
                </w:tcPr>
                <w:p>
                  <w:pPr>
                    <w:jc w:val="center"/>
                    <w:rPr>
                      <w:szCs w:val="21"/>
                    </w:rPr>
                  </w:pPr>
                  <w:r>
                    <w:rPr>
                      <w:szCs w:val="21"/>
                    </w:rPr>
                    <w:t>建筑隔声</w:t>
                  </w:r>
                </w:p>
              </w:tc>
              <w:tc>
                <w:tcPr>
                  <w:tcW w:w="468" w:type="pct"/>
                  <w:vAlign w:val="center"/>
                </w:tcPr>
                <w:p>
                  <w:pPr>
                    <w:jc w:val="center"/>
                    <w:rPr>
                      <w:szCs w:val="21"/>
                    </w:rPr>
                  </w:pPr>
                  <w:r>
                    <w:rPr>
                      <w:szCs w:val="21"/>
                    </w:rPr>
                    <w:t>15</w:t>
                  </w:r>
                </w:p>
              </w:tc>
              <w:tc>
                <w:tcPr>
                  <w:tcW w:w="809" w:type="pct"/>
                  <w:vAlign w:val="center"/>
                </w:tcPr>
                <w:p>
                  <w:pPr>
                    <w:jc w:val="center"/>
                    <w:rPr>
                      <w:szCs w:val="21"/>
                    </w:rPr>
                  </w:pPr>
                  <w:r>
                    <w:rPr>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95" w:type="pct"/>
                  <w:vAlign w:val="center"/>
                </w:tcPr>
                <w:p>
                  <w:pPr>
                    <w:jc w:val="center"/>
                    <w:rPr>
                      <w:szCs w:val="21"/>
                    </w:rPr>
                  </w:pPr>
                  <w:r>
                    <w:rPr>
                      <w:szCs w:val="21"/>
                    </w:rPr>
                    <w:t>2</w:t>
                  </w:r>
                </w:p>
              </w:tc>
              <w:tc>
                <w:tcPr>
                  <w:tcW w:w="1023" w:type="pct"/>
                  <w:vAlign w:val="center"/>
                </w:tcPr>
                <w:p>
                  <w:pPr>
                    <w:jc w:val="center"/>
                    <w:rPr>
                      <w:szCs w:val="21"/>
                    </w:rPr>
                  </w:pPr>
                  <w:r>
                    <w:rPr>
                      <w:szCs w:val="21"/>
                    </w:rPr>
                    <w:t>补水泵 （原水）</w:t>
                  </w:r>
                </w:p>
              </w:tc>
              <w:tc>
                <w:tcPr>
                  <w:tcW w:w="471" w:type="pct"/>
                  <w:vAlign w:val="center"/>
                </w:tcPr>
                <w:p>
                  <w:pPr>
                    <w:jc w:val="center"/>
                    <w:rPr>
                      <w:szCs w:val="21"/>
                    </w:rPr>
                  </w:pPr>
                  <w:r>
                    <w:rPr>
                      <w:szCs w:val="21"/>
                    </w:rPr>
                    <w:t>2</w:t>
                  </w:r>
                </w:p>
              </w:tc>
              <w:tc>
                <w:tcPr>
                  <w:tcW w:w="543" w:type="pct"/>
                  <w:vAlign w:val="center"/>
                </w:tcPr>
                <w:p>
                  <w:pPr>
                    <w:jc w:val="center"/>
                    <w:rPr>
                      <w:szCs w:val="21"/>
                    </w:rPr>
                  </w:pPr>
                  <w:r>
                    <w:rPr>
                      <w:szCs w:val="21"/>
                    </w:rPr>
                    <w:t>85</w:t>
                  </w:r>
                </w:p>
              </w:tc>
              <w:tc>
                <w:tcPr>
                  <w:tcW w:w="1190" w:type="pct"/>
                  <w:vAlign w:val="center"/>
                </w:tcPr>
                <w:p>
                  <w:pPr>
                    <w:jc w:val="center"/>
                    <w:rPr>
                      <w:szCs w:val="21"/>
                    </w:rPr>
                  </w:pPr>
                  <w:r>
                    <w:rPr>
                      <w:szCs w:val="21"/>
                    </w:rPr>
                    <w:t>放置于水泵房，减振、柔性连接</w:t>
                  </w:r>
                </w:p>
              </w:tc>
              <w:tc>
                <w:tcPr>
                  <w:tcW w:w="468" w:type="pct"/>
                  <w:vAlign w:val="center"/>
                </w:tcPr>
                <w:p>
                  <w:pPr>
                    <w:jc w:val="center"/>
                    <w:rPr>
                      <w:szCs w:val="21"/>
                    </w:rPr>
                  </w:pPr>
                  <w:r>
                    <w:rPr>
                      <w:szCs w:val="21"/>
                    </w:rPr>
                    <w:t>15</w:t>
                  </w:r>
                </w:p>
              </w:tc>
              <w:tc>
                <w:tcPr>
                  <w:tcW w:w="809" w:type="pct"/>
                  <w:vAlign w:val="center"/>
                </w:tcPr>
                <w:p>
                  <w:pPr>
                    <w:jc w:val="center"/>
                    <w:rPr>
                      <w:szCs w:val="21"/>
                    </w:rPr>
                  </w:pPr>
                  <w:r>
                    <w:rPr>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95" w:type="pct"/>
                  <w:vAlign w:val="center"/>
                </w:tcPr>
                <w:p>
                  <w:pPr>
                    <w:jc w:val="center"/>
                    <w:rPr>
                      <w:szCs w:val="21"/>
                    </w:rPr>
                  </w:pPr>
                  <w:r>
                    <w:rPr>
                      <w:szCs w:val="21"/>
                    </w:rPr>
                    <w:t>3</w:t>
                  </w:r>
                </w:p>
              </w:tc>
              <w:tc>
                <w:tcPr>
                  <w:tcW w:w="1023" w:type="pct"/>
                  <w:vAlign w:val="center"/>
                </w:tcPr>
                <w:p>
                  <w:pPr>
                    <w:jc w:val="center"/>
                    <w:rPr>
                      <w:szCs w:val="21"/>
                    </w:rPr>
                  </w:pPr>
                  <w:r>
                    <w:rPr>
                      <w:szCs w:val="21"/>
                    </w:rPr>
                    <w:t>灌溉电机（清水）</w:t>
                  </w:r>
                </w:p>
              </w:tc>
              <w:tc>
                <w:tcPr>
                  <w:tcW w:w="471" w:type="pct"/>
                  <w:vAlign w:val="center"/>
                </w:tcPr>
                <w:p>
                  <w:pPr>
                    <w:jc w:val="center"/>
                    <w:rPr>
                      <w:szCs w:val="21"/>
                    </w:rPr>
                  </w:pPr>
                  <w:r>
                    <w:rPr>
                      <w:szCs w:val="21"/>
                    </w:rPr>
                    <w:t>1</w:t>
                  </w:r>
                </w:p>
              </w:tc>
              <w:tc>
                <w:tcPr>
                  <w:tcW w:w="543" w:type="pct"/>
                  <w:vAlign w:val="center"/>
                </w:tcPr>
                <w:p>
                  <w:pPr>
                    <w:jc w:val="center"/>
                    <w:rPr>
                      <w:szCs w:val="21"/>
                    </w:rPr>
                  </w:pPr>
                  <w:r>
                    <w:rPr>
                      <w:szCs w:val="21"/>
                    </w:rPr>
                    <w:t>85</w:t>
                  </w:r>
                </w:p>
              </w:tc>
              <w:tc>
                <w:tcPr>
                  <w:tcW w:w="1190" w:type="pct"/>
                  <w:vAlign w:val="center"/>
                </w:tcPr>
                <w:p>
                  <w:pPr>
                    <w:jc w:val="center"/>
                    <w:rPr>
                      <w:szCs w:val="21"/>
                    </w:rPr>
                  </w:pPr>
                  <w:r>
                    <w:rPr>
                      <w:szCs w:val="21"/>
                    </w:rPr>
                    <w:t>基础减振、建筑隔声</w:t>
                  </w:r>
                </w:p>
              </w:tc>
              <w:tc>
                <w:tcPr>
                  <w:tcW w:w="468" w:type="pct"/>
                  <w:vAlign w:val="center"/>
                </w:tcPr>
                <w:p>
                  <w:pPr>
                    <w:jc w:val="center"/>
                    <w:rPr>
                      <w:szCs w:val="21"/>
                    </w:rPr>
                  </w:pPr>
                  <w:r>
                    <w:rPr>
                      <w:szCs w:val="21"/>
                    </w:rPr>
                    <w:t>25</w:t>
                  </w:r>
                </w:p>
              </w:tc>
              <w:tc>
                <w:tcPr>
                  <w:tcW w:w="809" w:type="pct"/>
                  <w:vAlign w:val="center"/>
                </w:tcPr>
                <w:p>
                  <w:pPr>
                    <w:jc w:val="center"/>
                    <w:rPr>
                      <w:szCs w:val="21"/>
                    </w:rPr>
                  </w:pPr>
                  <w:r>
                    <w:rPr>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95" w:type="pct"/>
                  <w:vAlign w:val="center"/>
                </w:tcPr>
                <w:p>
                  <w:pPr>
                    <w:jc w:val="center"/>
                    <w:rPr>
                      <w:szCs w:val="21"/>
                    </w:rPr>
                  </w:pPr>
                  <w:r>
                    <w:rPr>
                      <w:szCs w:val="21"/>
                    </w:rPr>
                    <w:t>4</w:t>
                  </w:r>
                </w:p>
              </w:tc>
              <w:tc>
                <w:tcPr>
                  <w:tcW w:w="1023" w:type="pct"/>
                  <w:vAlign w:val="center"/>
                </w:tcPr>
                <w:p>
                  <w:pPr>
                    <w:jc w:val="center"/>
                    <w:rPr>
                      <w:szCs w:val="21"/>
                    </w:rPr>
                  </w:pPr>
                  <w:r>
                    <w:rPr>
                      <w:szCs w:val="21"/>
                    </w:rPr>
                    <w:t>迷雾电机（清水）</w:t>
                  </w:r>
                </w:p>
              </w:tc>
              <w:tc>
                <w:tcPr>
                  <w:tcW w:w="471" w:type="pct"/>
                  <w:vAlign w:val="center"/>
                </w:tcPr>
                <w:p>
                  <w:pPr>
                    <w:jc w:val="center"/>
                    <w:rPr>
                      <w:szCs w:val="21"/>
                    </w:rPr>
                  </w:pPr>
                  <w:r>
                    <w:rPr>
                      <w:szCs w:val="21"/>
                    </w:rPr>
                    <w:t>1</w:t>
                  </w:r>
                </w:p>
              </w:tc>
              <w:tc>
                <w:tcPr>
                  <w:tcW w:w="543" w:type="pct"/>
                  <w:vAlign w:val="center"/>
                </w:tcPr>
                <w:p>
                  <w:pPr>
                    <w:jc w:val="center"/>
                    <w:rPr>
                      <w:szCs w:val="21"/>
                    </w:rPr>
                  </w:pPr>
                  <w:r>
                    <w:rPr>
                      <w:szCs w:val="21"/>
                    </w:rPr>
                    <w:t>85</w:t>
                  </w:r>
                </w:p>
              </w:tc>
              <w:tc>
                <w:tcPr>
                  <w:tcW w:w="1190" w:type="pct"/>
                  <w:vAlign w:val="center"/>
                </w:tcPr>
                <w:p>
                  <w:pPr>
                    <w:jc w:val="center"/>
                    <w:rPr>
                      <w:szCs w:val="21"/>
                    </w:rPr>
                  </w:pPr>
                  <w:r>
                    <w:rPr>
                      <w:szCs w:val="21"/>
                    </w:rPr>
                    <w:t>放置于水泵房，减振、柔性连接</w:t>
                  </w:r>
                </w:p>
              </w:tc>
              <w:tc>
                <w:tcPr>
                  <w:tcW w:w="468" w:type="pct"/>
                  <w:vAlign w:val="center"/>
                </w:tcPr>
                <w:p>
                  <w:pPr>
                    <w:jc w:val="center"/>
                    <w:rPr>
                      <w:szCs w:val="21"/>
                    </w:rPr>
                  </w:pPr>
                  <w:r>
                    <w:rPr>
                      <w:szCs w:val="21"/>
                    </w:rPr>
                    <w:t>25</w:t>
                  </w:r>
                </w:p>
              </w:tc>
              <w:tc>
                <w:tcPr>
                  <w:tcW w:w="809" w:type="pct"/>
                  <w:vAlign w:val="center"/>
                </w:tcPr>
                <w:p>
                  <w:pPr>
                    <w:jc w:val="center"/>
                    <w:rPr>
                      <w:szCs w:val="21"/>
                    </w:rPr>
                  </w:pPr>
                  <w:r>
                    <w:rPr>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95" w:type="pct"/>
                  <w:vAlign w:val="center"/>
                </w:tcPr>
                <w:p>
                  <w:pPr>
                    <w:jc w:val="center"/>
                    <w:rPr>
                      <w:szCs w:val="21"/>
                    </w:rPr>
                  </w:pPr>
                  <w:r>
                    <w:rPr>
                      <w:szCs w:val="21"/>
                    </w:rPr>
                    <w:t>5</w:t>
                  </w:r>
                </w:p>
              </w:tc>
              <w:tc>
                <w:tcPr>
                  <w:tcW w:w="1023" w:type="pct"/>
                  <w:vAlign w:val="center"/>
                </w:tcPr>
                <w:p>
                  <w:pPr>
                    <w:jc w:val="center"/>
                    <w:rPr>
                      <w:szCs w:val="21"/>
                    </w:rPr>
                  </w:pPr>
                  <w:r>
                    <w:rPr>
                      <w:szCs w:val="21"/>
                    </w:rPr>
                    <w:t>不锈钢施肥电机（肥水）</w:t>
                  </w:r>
                </w:p>
              </w:tc>
              <w:tc>
                <w:tcPr>
                  <w:tcW w:w="471" w:type="pct"/>
                  <w:vAlign w:val="center"/>
                </w:tcPr>
                <w:p>
                  <w:pPr>
                    <w:jc w:val="center"/>
                    <w:rPr>
                      <w:szCs w:val="21"/>
                    </w:rPr>
                  </w:pPr>
                  <w:r>
                    <w:rPr>
                      <w:szCs w:val="21"/>
                    </w:rPr>
                    <w:t>1</w:t>
                  </w:r>
                </w:p>
              </w:tc>
              <w:tc>
                <w:tcPr>
                  <w:tcW w:w="543" w:type="pct"/>
                  <w:vAlign w:val="center"/>
                </w:tcPr>
                <w:p>
                  <w:pPr>
                    <w:jc w:val="center"/>
                    <w:rPr>
                      <w:szCs w:val="21"/>
                    </w:rPr>
                  </w:pPr>
                  <w:r>
                    <w:rPr>
                      <w:szCs w:val="21"/>
                    </w:rPr>
                    <w:t>85</w:t>
                  </w:r>
                </w:p>
              </w:tc>
              <w:tc>
                <w:tcPr>
                  <w:tcW w:w="1190" w:type="pct"/>
                  <w:vAlign w:val="center"/>
                </w:tcPr>
                <w:p>
                  <w:pPr>
                    <w:jc w:val="center"/>
                    <w:rPr>
                      <w:szCs w:val="21"/>
                    </w:rPr>
                  </w:pPr>
                  <w:r>
                    <w:rPr>
                      <w:szCs w:val="21"/>
                    </w:rPr>
                    <w:t>放置于水泵房，减振、柔性连接</w:t>
                  </w:r>
                </w:p>
              </w:tc>
              <w:tc>
                <w:tcPr>
                  <w:tcW w:w="468" w:type="pct"/>
                  <w:vAlign w:val="center"/>
                </w:tcPr>
                <w:p>
                  <w:pPr>
                    <w:jc w:val="center"/>
                    <w:rPr>
                      <w:szCs w:val="21"/>
                    </w:rPr>
                  </w:pPr>
                  <w:r>
                    <w:rPr>
                      <w:szCs w:val="21"/>
                    </w:rPr>
                    <w:t>25</w:t>
                  </w:r>
                </w:p>
              </w:tc>
              <w:tc>
                <w:tcPr>
                  <w:tcW w:w="809" w:type="pct"/>
                  <w:vAlign w:val="center"/>
                </w:tcPr>
                <w:p>
                  <w:pPr>
                    <w:jc w:val="center"/>
                    <w:rPr>
                      <w:szCs w:val="21"/>
                    </w:rPr>
                  </w:pPr>
                  <w:r>
                    <w:rPr>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95" w:type="pct"/>
                  <w:vAlign w:val="center"/>
                </w:tcPr>
                <w:p>
                  <w:pPr>
                    <w:jc w:val="center"/>
                    <w:rPr>
                      <w:szCs w:val="21"/>
                    </w:rPr>
                  </w:pPr>
                  <w:r>
                    <w:rPr>
                      <w:szCs w:val="21"/>
                    </w:rPr>
                    <w:t>6</w:t>
                  </w:r>
                </w:p>
              </w:tc>
              <w:tc>
                <w:tcPr>
                  <w:tcW w:w="1023" w:type="pct"/>
                  <w:vAlign w:val="center"/>
                </w:tcPr>
                <w:p>
                  <w:pPr>
                    <w:jc w:val="center"/>
                    <w:rPr>
                      <w:szCs w:val="21"/>
                    </w:rPr>
                  </w:pPr>
                  <w:r>
                    <w:rPr>
                      <w:szCs w:val="21"/>
                    </w:rPr>
                    <w:t>配肥电机</w:t>
                  </w:r>
                </w:p>
              </w:tc>
              <w:tc>
                <w:tcPr>
                  <w:tcW w:w="471" w:type="pct"/>
                  <w:vAlign w:val="center"/>
                </w:tcPr>
                <w:p>
                  <w:pPr>
                    <w:jc w:val="center"/>
                    <w:rPr>
                      <w:szCs w:val="21"/>
                    </w:rPr>
                  </w:pPr>
                  <w:r>
                    <w:rPr>
                      <w:szCs w:val="21"/>
                    </w:rPr>
                    <w:t>1</w:t>
                  </w:r>
                </w:p>
              </w:tc>
              <w:tc>
                <w:tcPr>
                  <w:tcW w:w="543" w:type="pct"/>
                  <w:vAlign w:val="center"/>
                </w:tcPr>
                <w:p>
                  <w:pPr>
                    <w:jc w:val="center"/>
                    <w:rPr>
                      <w:szCs w:val="21"/>
                    </w:rPr>
                  </w:pPr>
                  <w:r>
                    <w:rPr>
                      <w:szCs w:val="21"/>
                    </w:rPr>
                    <w:t>80</w:t>
                  </w:r>
                </w:p>
              </w:tc>
              <w:tc>
                <w:tcPr>
                  <w:tcW w:w="1190" w:type="pct"/>
                  <w:vAlign w:val="center"/>
                </w:tcPr>
                <w:p>
                  <w:pPr>
                    <w:jc w:val="center"/>
                    <w:rPr>
                      <w:szCs w:val="21"/>
                    </w:rPr>
                  </w:pPr>
                  <w:r>
                    <w:rPr>
                      <w:szCs w:val="21"/>
                    </w:rPr>
                    <w:t>基础减振、建筑隔声</w:t>
                  </w:r>
                </w:p>
              </w:tc>
              <w:tc>
                <w:tcPr>
                  <w:tcW w:w="468" w:type="pct"/>
                  <w:vAlign w:val="center"/>
                </w:tcPr>
                <w:p>
                  <w:pPr>
                    <w:jc w:val="center"/>
                    <w:rPr>
                      <w:szCs w:val="21"/>
                    </w:rPr>
                  </w:pPr>
                  <w:r>
                    <w:rPr>
                      <w:szCs w:val="21"/>
                    </w:rPr>
                    <w:t>15</w:t>
                  </w:r>
                </w:p>
              </w:tc>
              <w:tc>
                <w:tcPr>
                  <w:tcW w:w="809" w:type="pct"/>
                  <w:vAlign w:val="center"/>
                </w:tcPr>
                <w:p>
                  <w:pPr>
                    <w:jc w:val="center"/>
                    <w:rPr>
                      <w:szCs w:val="21"/>
                    </w:rPr>
                  </w:pPr>
                  <w:r>
                    <w:rPr>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95" w:type="pct"/>
                  <w:vAlign w:val="center"/>
                </w:tcPr>
                <w:p>
                  <w:pPr>
                    <w:jc w:val="center"/>
                    <w:rPr>
                      <w:szCs w:val="21"/>
                    </w:rPr>
                  </w:pPr>
                  <w:r>
                    <w:rPr>
                      <w:szCs w:val="21"/>
                    </w:rPr>
                    <w:t>7</w:t>
                  </w:r>
                </w:p>
              </w:tc>
              <w:tc>
                <w:tcPr>
                  <w:tcW w:w="1023" w:type="pct"/>
                  <w:vAlign w:val="center"/>
                </w:tcPr>
                <w:p>
                  <w:pPr>
                    <w:jc w:val="center"/>
                    <w:rPr>
                      <w:szCs w:val="21"/>
                    </w:rPr>
                  </w:pPr>
                  <w:r>
                    <w:rPr>
                      <w:szCs w:val="21"/>
                    </w:rPr>
                    <w:t>过滤电机</w:t>
                  </w:r>
                </w:p>
              </w:tc>
              <w:tc>
                <w:tcPr>
                  <w:tcW w:w="471" w:type="pct"/>
                  <w:vAlign w:val="center"/>
                </w:tcPr>
                <w:p>
                  <w:pPr>
                    <w:jc w:val="center"/>
                    <w:rPr>
                      <w:szCs w:val="21"/>
                    </w:rPr>
                  </w:pPr>
                  <w:r>
                    <w:rPr>
                      <w:szCs w:val="21"/>
                    </w:rPr>
                    <w:t>1</w:t>
                  </w:r>
                </w:p>
              </w:tc>
              <w:tc>
                <w:tcPr>
                  <w:tcW w:w="543" w:type="pct"/>
                  <w:vAlign w:val="center"/>
                </w:tcPr>
                <w:p>
                  <w:pPr>
                    <w:jc w:val="center"/>
                    <w:rPr>
                      <w:szCs w:val="21"/>
                    </w:rPr>
                  </w:pPr>
                  <w:r>
                    <w:rPr>
                      <w:szCs w:val="21"/>
                    </w:rPr>
                    <w:t>85</w:t>
                  </w:r>
                </w:p>
              </w:tc>
              <w:tc>
                <w:tcPr>
                  <w:tcW w:w="1190" w:type="pct"/>
                  <w:vAlign w:val="center"/>
                </w:tcPr>
                <w:p>
                  <w:pPr>
                    <w:jc w:val="center"/>
                    <w:rPr>
                      <w:szCs w:val="21"/>
                    </w:rPr>
                  </w:pPr>
                  <w:r>
                    <w:rPr>
                      <w:szCs w:val="21"/>
                    </w:rPr>
                    <w:t>基础减振、建筑隔声</w:t>
                  </w:r>
                </w:p>
              </w:tc>
              <w:tc>
                <w:tcPr>
                  <w:tcW w:w="468" w:type="pct"/>
                  <w:vAlign w:val="center"/>
                </w:tcPr>
                <w:p>
                  <w:pPr>
                    <w:jc w:val="center"/>
                    <w:rPr>
                      <w:szCs w:val="21"/>
                    </w:rPr>
                  </w:pPr>
                  <w:r>
                    <w:rPr>
                      <w:szCs w:val="21"/>
                    </w:rPr>
                    <w:t>15</w:t>
                  </w:r>
                </w:p>
              </w:tc>
              <w:tc>
                <w:tcPr>
                  <w:tcW w:w="809" w:type="pct"/>
                  <w:vAlign w:val="center"/>
                </w:tcPr>
                <w:p>
                  <w:pPr>
                    <w:jc w:val="center"/>
                    <w:rPr>
                      <w:szCs w:val="21"/>
                    </w:rPr>
                  </w:pPr>
                  <w:r>
                    <w:rPr>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95" w:type="pct"/>
                  <w:vAlign w:val="center"/>
                </w:tcPr>
                <w:p>
                  <w:pPr>
                    <w:jc w:val="center"/>
                    <w:rPr>
                      <w:szCs w:val="21"/>
                    </w:rPr>
                  </w:pPr>
                  <w:r>
                    <w:rPr>
                      <w:szCs w:val="21"/>
                    </w:rPr>
                    <w:t>8</w:t>
                  </w:r>
                </w:p>
              </w:tc>
              <w:tc>
                <w:tcPr>
                  <w:tcW w:w="1023" w:type="pct"/>
                  <w:vAlign w:val="center"/>
                </w:tcPr>
                <w:p>
                  <w:pPr>
                    <w:jc w:val="center"/>
                    <w:rPr>
                      <w:szCs w:val="21"/>
                    </w:rPr>
                  </w:pPr>
                  <w:r>
                    <w:rPr>
                      <w:szCs w:val="21"/>
                    </w:rPr>
                    <w:t>变频控制箱</w:t>
                  </w:r>
                </w:p>
              </w:tc>
              <w:tc>
                <w:tcPr>
                  <w:tcW w:w="471" w:type="pct"/>
                  <w:vAlign w:val="center"/>
                </w:tcPr>
                <w:p>
                  <w:pPr>
                    <w:jc w:val="center"/>
                    <w:rPr>
                      <w:szCs w:val="21"/>
                    </w:rPr>
                  </w:pPr>
                  <w:r>
                    <w:rPr>
                      <w:szCs w:val="21"/>
                    </w:rPr>
                    <w:t>3</w:t>
                  </w:r>
                </w:p>
              </w:tc>
              <w:tc>
                <w:tcPr>
                  <w:tcW w:w="543" w:type="pct"/>
                  <w:vAlign w:val="center"/>
                </w:tcPr>
                <w:p>
                  <w:pPr>
                    <w:jc w:val="center"/>
                    <w:rPr>
                      <w:szCs w:val="21"/>
                    </w:rPr>
                  </w:pPr>
                  <w:r>
                    <w:rPr>
                      <w:szCs w:val="21"/>
                    </w:rPr>
                    <w:t>80</w:t>
                  </w:r>
                </w:p>
              </w:tc>
              <w:tc>
                <w:tcPr>
                  <w:tcW w:w="1190" w:type="pct"/>
                  <w:vAlign w:val="center"/>
                </w:tcPr>
                <w:p>
                  <w:pPr>
                    <w:jc w:val="center"/>
                    <w:rPr>
                      <w:szCs w:val="21"/>
                    </w:rPr>
                  </w:pPr>
                  <w:r>
                    <w:rPr>
                      <w:szCs w:val="21"/>
                    </w:rPr>
                    <w:t>基础减振、建筑隔声</w:t>
                  </w:r>
                </w:p>
              </w:tc>
              <w:tc>
                <w:tcPr>
                  <w:tcW w:w="468" w:type="pct"/>
                  <w:vAlign w:val="center"/>
                </w:tcPr>
                <w:p>
                  <w:pPr>
                    <w:jc w:val="center"/>
                    <w:rPr>
                      <w:szCs w:val="21"/>
                    </w:rPr>
                  </w:pPr>
                  <w:r>
                    <w:rPr>
                      <w:szCs w:val="21"/>
                    </w:rPr>
                    <w:t>15</w:t>
                  </w:r>
                </w:p>
              </w:tc>
              <w:tc>
                <w:tcPr>
                  <w:tcW w:w="809" w:type="pct"/>
                  <w:vAlign w:val="center"/>
                </w:tcPr>
                <w:p>
                  <w:pPr>
                    <w:jc w:val="center"/>
                    <w:rPr>
                      <w:szCs w:val="21"/>
                    </w:rPr>
                  </w:pPr>
                  <w:r>
                    <w:rPr>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95" w:type="pct"/>
                  <w:vAlign w:val="center"/>
                </w:tcPr>
                <w:p>
                  <w:pPr>
                    <w:jc w:val="center"/>
                    <w:rPr>
                      <w:szCs w:val="21"/>
                    </w:rPr>
                  </w:pPr>
                  <w:r>
                    <w:rPr>
                      <w:szCs w:val="21"/>
                    </w:rPr>
                    <w:t>9</w:t>
                  </w:r>
                </w:p>
              </w:tc>
              <w:tc>
                <w:tcPr>
                  <w:tcW w:w="1023" w:type="pct"/>
                  <w:vAlign w:val="center"/>
                </w:tcPr>
                <w:p>
                  <w:pPr>
                    <w:jc w:val="center"/>
                    <w:rPr>
                      <w:szCs w:val="21"/>
                    </w:rPr>
                  </w:pPr>
                  <w:r>
                    <w:rPr>
                      <w:szCs w:val="21"/>
                    </w:rPr>
                    <w:t>调酸机</w:t>
                  </w:r>
                </w:p>
              </w:tc>
              <w:tc>
                <w:tcPr>
                  <w:tcW w:w="471" w:type="pct"/>
                  <w:vAlign w:val="center"/>
                </w:tcPr>
                <w:p>
                  <w:pPr>
                    <w:jc w:val="center"/>
                    <w:rPr>
                      <w:szCs w:val="21"/>
                    </w:rPr>
                  </w:pPr>
                  <w:r>
                    <w:rPr>
                      <w:szCs w:val="21"/>
                    </w:rPr>
                    <w:t>1</w:t>
                  </w:r>
                </w:p>
              </w:tc>
              <w:tc>
                <w:tcPr>
                  <w:tcW w:w="543" w:type="pct"/>
                  <w:vAlign w:val="center"/>
                </w:tcPr>
                <w:p>
                  <w:pPr>
                    <w:jc w:val="center"/>
                    <w:rPr>
                      <w:szCs w:val="21"/>
                    </w:rPr>
                  </w:pPr>
                  <w:r>
                    <w:rPr>
                      <w:szCs w:val="21"/>
                    </w:rPr>
                    <w:t>80</w:t>
                  </w:r>
                </w:p>
              </w:tc>
              <w:tc>
                <w:tcPr>
                  <w:tcW w:w="1190" w:type="pct"/>
                  <w:vAlign w:val="center"/>
                </w:tcPr>
                <w:p>
                  <w:pPr>
                    <w:jc w:val="center"/>
                    <w:rPr>
                      <w:szCs w:val="21"/>
                    </w:rPr>
                  </w:pPr>
                  <w:r>
                    <w:rPr>
                      <w:szCs w:val="21"/>
                    </w:rPr>
                    <w:t>基础减振、建筑隔声</w:t>
                  </w:r>
                </w:p>
              </w:tc>
              <w:tc>
                <w:tcPr>
                  <w:tcW w:w="468" w:type="pct"/>
                  <w:vAlign w:val="center"/>
                </w:tcPr>
                <w:p>
                  <w:pPr>
                    <w:jc w:val="center"/>
                    <w:rPr>
                      <w:szCs w:val="21"/>
                    </w:rPr>
                  </w:pPr>
                  <w:r>
                    <w:rPr>
                      <w:szCs w:val="21"/>
                    </w:rPr>
                    <w:t>15</w:t>
                  </w:r>
                </w:p>
              </w:tc>
              <w:tc>
                <w:tcPr>
                  <w:tcW w:w="809" w:type="pct"/>
                  <w:vAlign w:val="center"/>
                </w:tcPr>
                <w:p>
                  <w:pPr>
                    <w:jc w:val="center"/>
                    <w:rPr>
                      <w:szCs w:val="21"/>
                    </w:rPr>
                  </w:pPr>
                  <w:r>
                    <w:rPr>
                      <w:szCs w:val="21"/>
                    </w:rPr>
                    <w:t>65</w:t>
                  </w:r>
                </w:p>
              </w:tc>
            </w:tr>
          </w:tbl>
          <w:p>
            <w:pPr>
              <w:pStyle w:val="4"/>
              <w:spacing w:before="0" w:line="360" w:lineRule="auto"/>
              <w:ind w:firstLine="482"/>
              <w:rPr>
                <w:b/>
                <w:bCs/>
                <w:sz w:val="24"/>
              </w:rPr>
            </w:pPr>
            <w:r>
              <w:rPr>
                <w:b/>
                <w:bCs/>
                <w:sz w:val="24"/>
              </w:rPr>
              <w:t>（3）预测内容</w:t>
            </w:r>
          </w:p>
          <w:p>
            <w:pPr>
              <w:autoSpaceDE w:val="0"/>
              <w:autoSpaceDN w:val="0"/>
              <w:spacing w:line="360" w:lineRule="auto"/>
              <w:ind w:firstLine="482"/>
              <w:jc w:val="left"/>
              <w:rPr>
                <w:sz w:val="24"/>
              </w:rPr>
            </w:pPr>
            <w:r>
              <w:rPr>
                <w:sz w:val="24"/>
              </w:rPr>
              <w:t>A.预测模式</w:t>
            </w:r>
          </w:p>
          <w:p>
            <w:pPr>
              <w:spacing w:line="360" w:lineRule="auto"/>
              <w:ind w:firstLine="480" w:firstLineChars="200"/>
              <w:rPr>
                <w:sz w:val="24"/>
              </w:rPr>
            </w:pPr>
            <w:r>
              <w:rPr>
                <w:sz w:val="24"/>
              </w:rPr>
              <w:t>本次评价采用《环境影响评价技术导则 声环境》（HJ2.4-2021）中推荐模式预测项目运行期间产生的噪声值，预测采用公式如下：</w:t>
            </w:r>
          </w:p>
          <w:p>
            <w:pPr>
              <w:widowControl/>
              <w:spacing w:line="360" w:lineRule="auto"/>
              <w:jc w:val="center"/>
              <w:rPr>
                <w:sz w:val="24"/>
              </w:rPr>
            </w:pPr>
            <w:r>
              <w:rPr>
                <w:sz w:val="24"/>
              </w:rPr>
              <w:t>Lp(r)＝Lp(r0)+DC－（Adiv＋Aatm＋Agr＋Abar＋Amisc)</w:t>
            </w:r>
          </w:p>
          <w:p>
            <w:pPr>
              <w:pStyle w:val="7"/>
              <w:spacing w:before="0" w:after="0" w:line="360" w:lineRule="auto"/>
              <w:ind w:firstLine="480" w:firstLineChars="200"/>
              <w:rPr>
                <w:sz w:val="24"/>
                <w:szCs w:val="24"/>
              </w:rPr>
            </w:pPr>
            <w:r>
              <w:rPr>
                <w:sz w:val="24"/>
                <w:szCs w:val="24"/>
              </w:rPr>
              <w:t xml:space="preserve">式中：L——受声点的声压级，dB（A）； </w:t>
            </w:r>
          </w:p>
          <w:p>
            <w:pPr>
              <w:pStyle w:val="7"/>
              <w:spacing w:before="0" w:after="0" w:line="360" w:lineRule="auto"/>
              <w:ind w:firstLine="1200" w:firstLineChars="500"/>
              <w:rPr>
                <w:sz w:val="24"/>
                <w:szCs w:val="24"/>
              </w:rPr>
            </w:pPr>
            <w:r>
              <w:rPr>
                <w:sz w:val="24"/>
                <w:szCs w:val="24"/>
              </w:rPr>
              <w:t>L0——声源源强，dB（A）；</w:t>
            </w:r>
          </w:p>
          <w:p>
            <w:pPr>
              <w:widowControl/>
              <w:spacing w:line="360" w:lineRule="auto"/>
              <w:ind w:firstLine="1200" w:firstLineChars="500"/>
              <w:jc w:val="left"/>
              <w:rPr>
                <w:sz w:val="24"/>
              </w:rPr>
            </w:pPr>
            <w:r>
              <w:rPr>
                <w:sz w:val="24"/>
              </w:rPr>
              <w:t xml:space="preserve">DC ——指向性校正，它描述点声源的等效连续声压级与产生声功率级Lw的全向点声源在规定方向的声级的偏差程度，dB； </w:t>
            </w:r>
          </w:p>
          <w:p>
            <w:pPr>
              <w:pStyle w:val="7"/>
              <w:spacing w:before="0" w:after="0" w:line="360" w:lineRule="auto"/>
              <w:ind w:firstLine="1200" w:firstLineChars="500"/>
              <w:rPr>
                <w:sz w:val="24"/>
                <w:szCs w:val="24"/>
              </w:rPr>
            </w:pPr>
            <w:r>
              <w:rPr>
                <w:sz w:val="24"/>
                <w:szCs w:val="24"/>
              </w:rPr>
              <w:t>r0——声源及受声点之间的距离，m；</w:t>
            </w:r>
          </w:p>
          <w:p>
            <w:pPr>
              <w:pStyle w:val="7"/>
              <w:spacing w:before="0" w:after="0" w:line="360" w:lineRule="auto"/>
              <w:ind w:firstLine="1200" w:firstLineChars="500"/>
              <w:rPr>
                <w:sz w:val="24"/>
                <w:szCs w:val="24"/>
              </w:rPr>
            </w:pPr>
            <w:r>
              <w:rPr>
                <w:sz w:val="24"/>
                <w:szCs w:val="24"/>
              </w:rPr>
              <w:t>Adiv、Aatm、Agr、Abar、Amisc——各种衰减量，分别为几何衰减、空气吸收、地面效应、屏障屏蔽、其他多方面效应引起的衰减量，dB（A）。</w:t>
            </w:r>
          </w:p>
          <w:p>
            <w:pPr>
              <w:pStyle w:val="7"/>
              <w:spacing w:before="0" w:after="0" w:line="360" w:lineRule="auto"/>
              <w:ind w:firstLine="480" w:firstLineChars="200"/>
              <w:rPr>
                <w:sz w:val="24"/>
                <w:szCs w:val="24"/>
              </w:rPr>
            </w:pPr>
            <w:r>
              <w:rPr>
                <w:sz w:val="24"/>
                <w:szCs w:val="24"/>
              </w:rPr>
              <w:t>声压级合成模式：</w:t>
            </w:r>
          </w:p>
          <w:p>
            <w:pPr>
              <w:widowControl/>
              <w:spacing w:line="360" w:lineRule="auto"/>
              <w:jc w:val="center"/>
              <w:rPr>
                <w:sz w:val="24"/>
              </w:rPr>
            </w:pPr>
            <w:r>
              <w:rPr>
                <w:sz w:val="24"/>
              </w:rPr>
              <w:drawing>
                <wp:inline distT="0" distB="0" distL="114300" distR="114300">
                  <wp:extent cx="2026285" cy="480695"/>
                  <wp:effectExtent l="0" t="0" r="12065"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2026285" cy="480695"/>
                          </a:xfrm>
                          <a:prstGeom prst="rect">
                            <a:avLst/>
                          </a:prstGeom>
                          <a:noFill/>
                          <a:ln>
                            <a:noFill/>
                          </a:ln>
                        </pic:spPr>
                      </pic:pic>
                    </a:graphicData>
                  </a:graphic>
                </wp:inline>
              </w:drawing>
            </w:r>
          </w:p>
          <w:p>
            <w:pPr>
              <w:pStyle w:val="7"/>
              <w:spacing w:before="0" w:after="0" w:line="360" w:lineRule="auto"/>
              <w:ind w:firstLine="1200" w:firstLineChars="500"/>
              <w:rPr>
                <w:sz w:val="24"/>
                <w:szCs w:val="24"/>
              </w:rPr>
            </w:pPr>
            <w:r>
              <w:rPr>
                <w:sz w:val="24"/>
                <w:szCs w:val="24"/>
              </w:rPr>
              <w:t xml:space="preserve">式中：LA(r) ——距声源 r 处的 A 声级，dB(A)； </w:t>
            </w:r>
          </w:p>
          <w:p>
            <w:pPr>
              <w:pStyle w:val="7"/>
              <w:spacing w:before="0" w:after="0" w:line="360" w:lineRule="auto"/>
              <w:ind w:firstLine="1920" w:firstLineChars="800"/>
              <w:rPr>
                <w:sz w:val="24"/>
                <w:szCs w:val="24"/>
              </w:rPr>
            </w:pPr>
            <w:r>
              <w:rPr>
                <w:sz w:val="24"/>
                <w:szCs w:val="24"/>
              </w:rPr>
              <w:t xml:space="preserve">Lpi(r) ——预测点（r）处，第 i 倍频带声压级，dB； </w:t>
            </w:r>
          </w:p>
          <w:p>
            <w:pPr>
              <w:pStyle w:val="7"/>
              <w:spacing w:before="0" w:after="0" w:line="360" w:lineRule="auto"/>
              <w:ind w:firstLine="1920" w:firstLineChars="800"/>
              <w:rPr>
                <w:sz w:val="24"/>
                <w:szCs w:val="24"/>
              </w:rPr>
            </w:pPr>
            <w:r>
              <w:rPr>
                <w:sz w:val="24"/>
                <w:szCs w:val="24"/>
              </w:rPr>
              <w:t>ΔLi ——第 i 倍频带的 A 计权网络修正值，dB；</w:t>
            </w:r>
          </w:p>
          <w:p>
            <w:pPr>
              <w:pStyle w:val="7"/>
              <w:spacing w:before="0" w:after="0" w:line="360" w:lineRule="auto"/>
              <w:ind w:firstLine="1200" w:firstLineChars="500"/>
              <w:rPr>
                <w:sz w:val="24"/>
                <w:szCs w:val="24"/>
              </w:rPr>
            </w:pPr>
            <w:r>
              <w:rPr>
                <w:sz w:val="24"/>
                <w:szCs w:val="24"/>
              </w:rPr>
              <w:t xml:space="preserve">       N——声源个数。</w:t>
            </w:r>
          </w:p>
          <w:p>
            <w:pPr>
              <w:autoSpaceDE w:val="0"/>
              <w:autoSpaceDN w:val="0"/>
              <w:spacing w:line="360" w:lineRule="auto"/>
              <w:ind w:firstLine="482"/>
              <w:jc w:val="left"/>
              <w:rPr>
                <w:sz w:val="24"/>
              </w:rPr>
            </w:pPr>
            <w:r>
              <w:rPr>
                <w:sz w:val="24"/>
              </w:rPr>
              <w:t>B.预测点布设</w:t>
            </w:r>
          </w:p>
          <w:p>
            <w:pPr>
              <w:spacing w:line="360" w:lineRule="auto"/>
              <w:ind w:firstLine="480" w:firstLineChars="200"/>
              <w:rPr>
                <w:b/>
                <w:bCs/>
                <w:sz w:val="24"/>
              </w:rPr>
            </w:pPr>
            <w:r>
              <w:rPr>
                <w:sz w:val="24"/>
              </w:rPr>
              <w:t>本项目噪声预测点设置为受噪声影响最大的厂界点.</w:t>
            </w:r>
          </w:p>
          <w:p>
            <w:pPr>
              <w:spacing w:line="360" w:lineRule="auto"/>
              <w:ind w:firstLine="482" w:firstLineChars="200"/>
              <w:jc w:val="center"/>
              <w:rPr>
                <w:b/>
                <w:bCs/>
                <w:sz w:val="24"/>
              </w:rPr>
            </w:pPr>
          </w:p>
          <w:p>
            <w:pPr>
              <w:spacing w:line="360" w:lineRule="auto"/>
              <w:ind w:firstLine="482" w:firstLineChars="200"/>
              <w:jc w:val="center"/>
              <w:rPr>
                <w:b/>
                <w:bCs/>
                <w:sz w:val="24"/>
              </w:rPr>
            </w:pPr>
            <w:r>
              <w:rPr>
                <w:b/>
                <w:bCs/>
                <w:sz w:val="24"/>
              </w:rPr>
              <w:t>表4-11 厂房各噪声源与预测点距离  单位：m</w:t>
            </w:r>
          </w:p>
          <w:tbl>
            <w:tblPr>
              <w:tblStyle w:val="27"/>
              <w:tblW w:w="8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8"/>
              <w:gridCol w:w="1377"/>
              <w:gridCol w:w="1564"/>
              <w:gridCol w:w="1339"/>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618" w:type="dxa"/>
                  <w:vMerge w:val="restart"/>
                  <w:tcBorders>
                    <w:tl2br w:val="single" w:color="auto" w:sz="4" w:space="0"/>
                  </w:tcBorders>
                  <w:noWrap/>
                  <w:vAlign w:val="center"/>
                </w:tcPr>
                <w:p>
                  <w:pPr>
                    <w:ind w:right="-113" w:rightChars="-54" w:firstLine="1054" w:firstLineChars="500"/>
                    <w:rPr>
                      <w:b/>
                      <w:szCs w:val="21"/>
                    </w:rPr>
                  </w:pPr>
                  <w:r>
                    <w:rPr>
                      <w:b/>
                      <w:szCs w:val="21"/>
                    </w:rPr>
                    <w:t>预测点及距离</w:t>
                  </w:r>
                </w:p>
                <w:p>
                  <w:pPr>
                    <w:ind w:left="-115" w:leftChars="-55" w:right="-113" w:rightChars="-54" w:firstLine="316" w:firstLineChars="150"/>
                    <w:rPr>
                      <w:b/>
                      <w:szCs w:val="21"/>
                    </w:rPr>
                  </w:pPr>
                  <w:r>
                    <w:rPr>
                      <w:b/>
                      <w:szCs w:val="21"/>
                    </w:rPr>
                    <w:t>源强点</w:t>
                  </w:r>
                </w:p>
              </w:tc>
              <w:tc>
                <w:tcPr>
                  <w:tcW w:w="5754" w:type="dxa"/>
                  <w:gridSpan w:val="4"/>
                  <w:noWrap/>
                  <w:vAlign w:val="center"/>
                </w:tcPr>
                <w:p>
                  <w:pPr>
                    <w:jc w:val="center"/>
                    <w:rPr>
                      <w:b/>
                      <w:szCs w:val="21"/>
                    </w:rPr>
                  </w:pPr>
                  <w:r>
                    <w:rPr>
                      <w:b/>
                      <w:szCs w:val="21"/>
                    </w:rPr>
                    <w:t>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618" w:type="dxa"/>
                  <w:vMerge w:val="continue"/>
                  <w:tcBorders>
                    <w:tl2br w:val="single" w:color="auto" w:sz="4" w:space="0"/>
                  </w:tcBorders>
                  <w:noWrap/>
                  <w:vAlign w:val="center"/>
                </w:tcPr>
                <w:p>
                  <w:pPr>
                    <w:ind w:left="-115" w:leftChars="-55" w:right="-113" w:rightChars="-54"/>
                    <w:jc w:val="center"/>
                    <w:rPr>
                      <w:b/>
                      <w:szCs w:val="21"/>
                    </w:rPr>
                  </w:pPr>
                </w:p>
              </w:tc>
              <w:tc>
                <w:tcPr>
                  <w:tcW w:w="1377" w:type="dxa"/>
                  <w:noWrap/>
                  <w:vAlign w:val="center"/>
                </w:tcPr>
                <w:p>
                  <w:pPr>
                    <w:ind w:left="-178" w:leftChars="-85" w:right="-109" w:rightChars="-52"/>
                    <w:jc w:val="center"/>
                    <w:rPr>
                      <w:b/>
                      <w:szCs w:val="21"/>
                    </w:rPr>
                  </w:pPr>
                  <w:r>
                    <w:rPr>
                      <w:b/>
                      <w:szCs w:val="21"/>
                    </w:rPr>
                    <w:t>厂界北</w:t>
                  </w:r>
                </w:p>
              </w:tc>
              <w:tc>
                <w:tcPr>
                  <w:tcW w:w="1564" w:type="dxa"/>
                  <w:noWrap/>
                  <w:vAlign w:val="center"/>
                </w:tcPr>
                <w:p>
                  <w:pPr>
                    <w:ind w:left="-178" w:leftChars="-85" w:right="-109" w:rightChars="-52"/>
                    <w:jc w:val="center"/>
                    <w:rPr>
                      <w:b/>
                      <w:szCs w:val="21"/>
                    </w:rPr>
                  </w:pPr>
                  <w:r>
                    <w:rPr>
                      <w:b/>
                      <w:szCs w:val="21"/>
                    </w:rPr>
                    <w:t>厂界东</w:t>
                  </w:r>
                </w:p>
              </w:tc>
              <w:tc>
                <w:tcPr>
                  <w:tcW w:w="1339" w:type="dxa"/>
                  <w:noWrap/>
                  <w:vAlign w:val="center"/>
                </w:tcPr>
                <w:p>
                  <w:pPr>
                    <w:ind w:left="-178" w:leftChars="-85" w:right="-109" w:rightChars="-52"/>
                    <w:jc w:val="center"/>
                    <w:rPr>
                      <w:b/>
                      <w:szCs w:val="21"/>
                    </w:rPr>
                  </w:pPr>
                  <w:r>
                    <w:rPr>
                      <w:b/>
                      <w:szCs w:val="21"/>
                    </w:rPr>
                    <w:t>厂界南</w:t>
                  </w:r>
                </w:p>
              </w:tc>
              <w:tc>
                <w:tcPr>
                  <w:tcW w:w="1474" w:type="dxa"/>
                  <w:noWrap/>
                  <w:vAlign w:val="center"/>
                </w:tcPr>
                <w:p>
                  <w:pPr>
                    <w:ind w:left="-178" w:leftChars="-85" w:right="-109" w:rightChars="-52"/>
                    <w:jc w:val="center"/>
                    <w:rPr>
                      <w:b/>
                      <w:szCs w:val="21"/>
                    </w:rPr>
                  </w:pPr>
                  <w:r>
                    <w:rPr>
                      <w:b/>
                      <w:szCs w:val="21"/>
                    </w:rPr>
                    <w:t>厂界西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2618" w:type="dxa"/>
                  <w:noWrap/>
                  <w:vAlign w:val="center"/>
                </w:tcPr>
                <w:p>
                  <w:pPr>
                    <w:pStyle w:val="12"/>
                    <w:jc w:val="center"/>
                    <w:rPr>
                      <w:rFonts w:ascii="Times New Roman" w:hAnsi="Times New Roman"/>
                      <w:szCs w:val="21"/>
                    </w:rPr>
                  </w:pPr>
                  <w:r>
                    <w:rPr>
                      <w:rFonts w:ascii="Times New Roman" w:hAnsi="Times New Roman"/>
                      <w:szCs w:val="21"/>
                    </w:rPr>
                    <w:t>生物质清洁能源热水锅炉</w:t>
                  </w:r>
                </w:p>
              </w:tc>
              <w:tc>
                <w:tcPr>
                  <w:tcW w:w="1377" w:type="dxa"/>
                  <w:noWrap/>
                  <w:vAlign w:val="center"/>
                </w:tcPr>
                <w:p>
                  <w:pPr>
                    <w:ind w:left="-178" w:leftChars="-85" w:right="-109" w:rightChars="-52"/>
                    <w:jc w:val="center"/>
                    <w:rPr>
                      <w:rFonts w:eastAsiaTheme="minorEastAsia"/>
                      <w:szCs w:val="21"/>
                    </w:rPr>
                  </w:pPr>
                  <w:r>
                    <w:rPr>
                      <w:szCs w:val="21"/>
                    </w:rPr>
                    <w:t>320</w:t>
                  </w:r>
                </w:p>
              </w:tc>
              <w:tc>
                <w:tcPr>
                  <w:tcW w:w="1564" w:type="dxa"/>
                  <w:noWrap/>
                  <w:vAlign w:val="center"/>
                </w:tcPr>
                <w:p>
                  <w:pPr>
                    <w:widowControl/>
                    <w:jc w:val="center"/>
                    <w:textAlignment w:val="center"/>
                    <w:rPr>
                      <w:rFonts w:eastAsiaTheme="minorEastAsia"/>
                      <w:szCs w:val="21"/>
                    </w:rPr>
                  </w:pPr>
                  <w:r>
                    <w:rPr>
                      <w:szCs w:val="21"/>
                    </w:rPr>
                    <w:t>10</w:t>
                  </w:r>
                </w:p>
              </w:tc>
              <w:tc>
                <w:tcPr>
                  <w:tcW w:w="1339" w:type="dxa"/>
                  <w:noWrap/>
                  <w:vAlign w:val="center"/>
                </w:tcPr>
                <w:p>
                  <w:pPr>
                    <w:widowControl/>
                    <w:jc w:val="center"/>
                    <w:textAlignment w:val="center"/>
                    <w:rPr>
                      <w:rFonts w:eastAsiaTheme="minorEastAsia"/>
                      <w:szCs w:val="21"/>
                    </w:rPr>
                  </w:pPr>
                  <w:r>
                    <w:rPr>
                      <w:szCs w:val="21"/>
                    </w:rPr>
                    <w:t>143</w:t>
                  </w:r>
                </w:p>
              </w:tc>
              <w:tc>
                <w:tcPr>
                  <w:tcW w:w="1474" w:type="dxa"/>
                  <w:noWrap/>
                  <w:vAlign w:val="center"/>
                </w:tcPr>
                <w:p>
                  <w:pPr>
                    <w:ind w:left="-178" w:leftChars="-85" w:right="-109" w:rightChars="-52"/>
                    <w:jc w:val="center"/>
                    <w:rPr>
                      <w:rFonts w:eastAsiaTheme="minorEastAsia"/>
                      <w:szCs w:val="21"/>
                    </w:rPr>
                  </w:pPr>
                  <w:r>
                    <w:rPr>
                      <w:szCs w:val="21"/>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2618" w:type="dxa"/>
                  <w:noWrap/>
                  <w:vAlign w:val="center"/>
                </w:tcPr>
                <w:p>
                  <w:pPr>
                    <w:pStyle w:val="12"/>
                    <w:jc w:val="center"/>
                    <w:rPr>
                      <w:rFonts w:ascii="Times New Roman" w:hAnsi="Times New Roman"/>
                      <w:szCs w:val="21"/>
                    </w:rPr>
                  </w:pPr>
                  <w:r>
                    <w:rPr>
                      <w:rFonts w:ascii="Times New Roman" w:hAnsi="Times New Roman"/>
                      <w:szCs w:val="21"/>
                    </w:rPr>
                    <w:t>补水泵 （原水）</w:t>
                  </w:r>
                </w:p>
              </w:tc>
              <w:tc>
                <w:tcPr>
                  <w:tcW w:w="1377" w:type="dxa"/>
                  <w:noWrap/>
                  <w:vAlign w:val="center"/>
                </w:tcPr>
                <w:p>
                  <w:pPr>
                    <w:ind w:left="-178" w:leftChars="-85" w:right="-109" w:rightChars="-52"/>
                    <w:jc w:val="center"/>
                    <w:rPr>
                      <w:szCs w:val="21"/>
                    </w:rPr>
                  </w:pPr>
                  <w:r>
                    <w:rPr>
                      <w:szCs w:val="21"/>
                    </w:rPr>
                    <w:t>282</w:t>
                  </w:r>
                </w:p>
              </w:tc>
              <w:tc>
                <w:tcPr>
                  <w:tcW w:w="1564" w:type="dxa"/>
                  <w:noWrap/>
                  <w:vAlign w:val="center"/>
                </w:tcPr>
                <w:p>
                  <w:pPr>
                    <w:widowControl/>
                    <w:jc w:val="center"/>
                    <w:textAlignment w:val="center"/>
                    <w:rPr>
                      <w:szCs w:val="21"/>
                    </w:rPr>
                  </w:pPr>
                  <w:r>
                    <w:rPr>
                      <w:szCs w:val="21"/>
                    </w:rPr>
                    <w:t>2</w:t>
                  </w:r>
                </w:p>
              </w:tc>
              <w:tc>
                <w:tcPr>
                  <w:tcW w:w="1339" w:type="dxa"/>
                  <w:noWrap/>
                  <w:vAlign w:val="center"/>
                </w:tcPr>
                <w:p>
                  <w:pPr>
                    <w:widowControl/>
                    <w:jc w:val="center"/>
                    <w:textAlignment w:val="center"/>
                    <w:rPr>
                      <w:szCs w:val="21"/>
                    </w:rPr>
                  </w:pPr>
                  <w:r>
                    <w:rPr>
                      <w:szCs w:val="21"/>
                    </w:rPr>
                    <w:t>205</w:t>
                  </w:r>
                </w:p>
              </w:tc>
              <w:tc>
                <w:tcPr>
                  <w:tcW w:w="1474" w:type="dxa"/>
                  <w:noWrap/>
                  <w:vAlign w:val="center"/>
                </w:tcPr>
                <w:p>
                  <w:pPr>
                    <w:ind w:left="-178" w:leftChars="-85" w:right="-109" w:rightChars="-52"/>
                    <w:jc w:val="center"/>
                    <w:rPr>
                      <w:szCs w:val="21"/>
                    </w:rPr>
                  </w:pPr>
                  <w:r>
                    <w:rPr>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618" w:type="dxa"/>
                  <w:noWrap/>
                  <w:vAlign w:val="center"/>
                </w:tcPr>
                <w:p>
                  <w:pPr>
                    <w:pStyle w:val="12"/>
                    <w:jc w:val="center"/>
                    <w:rPr>
                      <w:rFonts w:ascii="Times New Roman" w:hAnsi="Times New Roman"/>
                      <w:szCs w:val="21"/>
                    </w:rPr>
                  </w:pPr>
                  <w:r>
                    <w:rPr>
                      <w:rFonts w:ascii="Times New Roman" w:hAnsi="Times New Roman"/>
                      <w:szCs w:val="21"/>
                    </w:rPr>
                    <w:t>灌溉电机（清水）</w:t>
                  </w:r>
                </w:p>
              </w:tc>
              <w:tc>
                <w:tcPr>
                  <w:tcW w:w="1377" w:type="dxa"/>
                  <w:noWrap/>
                  <w:vAlign w:val="center"/>
                </w:tcPr>
                <w:p>
                  <w:pPr>
                    <w:ind w:left="-178" w:leftChars="-85" w:right="-109" w:rightChars="-52"/>
                    <w:jc w:val="center"/>
                    <w:rPr>
                      <w:rFonts w:eastAsiaTheme="minorEastAsia"/>
                      <w:szCs w:val="21"/>
                    </w:rPr>
                  </w:pPr>
                  <w:r>
                    <w:rPr>
                      <w:szCs w:val="21"/>
                    </w:rPr>
                    <w:t>240</w:t>
                  </w:r>
                </w:p>
              </w:tc>
              <w:tc>
                <w:tcPr>
                  <w:tcW w:w="1564" w:type="dxa"/>
                  <w:noWrap/>
                  <w:vAlign w:val="center"/>
                </w:tcPr>
                <w:p>
                  <w:pPr>
                    <w:widowControl/>
                    <w:jc w:val="center"/>
                    <w:textAlignment w:val="center"/>
                    <w:rPr>
                      <w:rFonts w:eastAsiaTheme="minorEastAsia"/>
                      <w:szCs w:val="21"/>
                    </w:rPr>
                  </w:pPr>
                  <w:r>
                    <w:rPr>
                      <w:szCs w:val="21"/>
                    </w:rPr>
                    <w:t>15</w:t>
                  </w:r>
                </w:p>
              </w:tc>
              <w:tc>
                <w:tcPr>
                  <w:tcW w:w="1339" w:type="dxa"/>
                  <w:noWrap/>
                  <w:vAlign w:val="center"/>
                </w:tcPr>
                <w:p>
                  <w:pPr>
                    <w:widowControl/>
                    <w:jc w:val="center"/>
                    <w:textAlignment w:val="center"/>
                    <w:rPr>
                      <w:rFonts w:eastAsiaTheme="minorEastAsia"/>
                      <w:szCs w:val="21"/>
                    </w:rPr>
                  </w:pPr>
                  <w:r>
                    <w:rPr>
                      <w:szCs w:val="21"/>
                    </w:rPr>
                    <w:t>224</w:t>
                  </w:r>
                </w:p>
              </w:tc>
              <w:tc>
                <w:tcPr>
                  <w:tcW w:w="1474" w:type="dxa"/>
                  <w:noWrap/>
                  <w:vAlign w:val="center"/>
                </w:tcPr>
                <w:p>
                  <w:pPr>
                    <w:ind w:left="-178" w:leftChars="-85" w:right="-109" w:rightChars="-52"/>
                    <w:jc w:val="center"/>
                    <w:rPr>
                      <w:rFonts w:eastAsiaTheme="minorEastAsia"/>
                      <w:szCs w:val="21"/>
                    </w:rPr>
                  </w:pPr>
                  <w:r>
                    <w:rPr>
                      <w:szCs w:val="21"/>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618" w:type="dxa"/>
                  <w:noWrap/>
                  <w:vAlign w:val="center"/>
                </w:tcPr>
                <w:p>
                  <w:pPr>
                    <w:pStyle w:val="12"/>
                    <w:jc w:val="center"/>
                    <w:rPr>
                      <w:rFonts w:ascii="Times New Roman" w:hAnsi="Times New Roman"/>
                      <w:szCs w:val="21"/>
                    </w:rPr>
                  </w:pPr>
                  <w:r>
                    <w:rPr>
                      <w:rFonts w:ascii="Times New Roman" w:hAnsi="Times New Roman"/>
                      <w:szCs w:val="21"/>
                    </w:rPr>
                    <w:t>迷雾电机（清水）</w:t>
                  </w:r>
                </w:p>
              </w:tc>
              <w:tc>
                <w:tcPr>
                  <w:tcW w:w="1377" w:type="dxa"/>
                  <w:noWrap/>
                  <w:vAlign w:val="center"/>
                </w:tcPr>
                <w:p>
                  <w:pPr>
                    <w:ind w:left="-178" w:leftChars="-85" w:right="-109" w:rightChars="-52"/>
                    <w:jc w:val="center"/>
                    <w:rPr>
                      <w:rFonts w:eastAsiaTheme="minorEastAsia"/>
                      <w:szCs w:val="21"/>
                    </w:rPr>
                  </w:pPr>
                  <w:r>
                    <w:rPr>
                      <w:szCs w:val="21"/>
                    </w:rPr>
                    <w:t>412</w:t>
                  </w:r>
                </w:p>
              </w:tc>
              <w:tc>
                <w:tcPr>
                  <w:tcW w:w="1564" w:type="dxa"/>
                  <w:noWrap/>
                  <w:vAlign w:val="center"/>
                </w:tcPr>
                <w:p>
                  <w:pPr>
                    <w:widowControl/>
                    <w:jc w:val="center"/>
                    <w:textAlignment w:val="center"/>
                    <w:rPr>
                      <w:rFonts w:eastAsiaTheme="minorEastAsia"/>
                      <w:szCs w:val="21"/>
                    </w:rPr>
                  </w:pPr>
                  <w:r>
                    <w:rPr>
                      <w:szCs w:val="21"/>
                    </w:rPr>
                    <w:t>162</w:t>
                  </w:r>
                </w:p>
              </w:tc>
              <w:tc>
                <w:tcPr>
                  <w:tcW w:w="1339" w:type="dxa"/>
                  <w:noWrap/>
                  <w:vAlign w:val="center"/>
                </w:tcPr>
                <w:p>
                  <w:pPr>
                    <w:widowControl/>
                    <w:jc w:val="center"/>
                    <w:textAlignment w:val="center"/>
                    <w:rPr>
                      <w:rFonts w:eastAsiaTheme="minorEastAsia"/>
                      <w:szCs w:val="21"/>
                    </w:rPr>
                  </w:pPr>
                  <w:r>
                    <w:rPr>
                      <w:szCs w:val="21"/>
                    </w:rPr>
                    <w:t>50</w:t>
                  </w:r>
                </w:p>
              </w:tc>
              <w:tc>
                <w:tcPr>
                  <w:tcW w:w="1474" w:type="dxa"/>
                  <w:noWrap/>
                  <w:vAlign w:val="center"/>
                </w:tcPr>
                <w:p>
                  <w:pPr>
                    <w:ind w:left="-178" w:leftChars="-85" w:right="-109" w:rightChars="-52"/>
                    <w:jc w:val="center"/>
                    <w:rPr>
                      <w:rFonts w:eastAsiaTheme="minorEastAsia"/>
                      <w:szCs w:val="21"/>
                    </w:rPr>
                  </w:pPr>
                  <w:r>
                    <w:rPr>
                      <w:szCs w:val="21"/>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618" w:type="dxa"/>
                  <w:noWrap/>
                  <w:vAlign w:val="center"/>
                </w:tcPr>
                <w:p>
                  <w:pPr>
                    <w:pStyle w:val="12"/>
                    <w:jc w:val="center"/>
                    <w:rPr>
                      <w:rFonts w:ascii="Times New Roman" w:hAnsi="Times New Roman"/>
                      <w:szCs w:val="21"/>
                    </w:rPr>
                  </w:pPr>
                  <w:r>
                    <w:rPr>
                      <w:rFonts w:ascii="Times New Roman" w:hAnsi="Times New Roman"/>
                      <w:szCs w:val="21"/>
                    </w:rPr>
                    <w:t>不锈钢施肥电机（肥水）</w:t>
                  </w:r>
                </w:p>
              </w:tc>
              <w:tc>
                <w:tcPr>
                  <w:tcW w:w="1377" w:type="dxa"/>
                  <w:noWrap/>
                  <w:vAlign w:val="center"/>
                </w:tcPr>
                <w:p>
                  <w:pPr>
                    <w:ind w:left="-178" w:leftChars="-85" w:right="-109" w:rightChars="-52"/>
                    <w:jc w:val="center"/>
                    <w:rPr>
                      <w:szCs w:val="21"/>
                    </w:rPr>
                  </w:pPr>
                  <w:r>
                    <w:rPr>
                      <w:szCs w:val="21"/>
                    </w:rPr>
                    <w:t>240</w:t>
                  </w:r>
                </w:p>
              </w:tc>
              <w:tc>
                <w:tcPr>
                  <w:tcW w:w="1564" w:type="dxa"/>
                  <w:noWrap/>
                  <w:vAlign w:val="center"/>
                </w:tcPr>
                <w:p>
                  <w:pPr>
                    <w:widowControl/>
                    <w:jc w:val="center"/>
                    <w:textAlignment w:val="center"/>
                    <w:rPr>
                      <w:szCs w:val="21"/>
                    </w:rPr>
                  </w:pPr>
                  <w:r>
                    <w:rPr>
                      <w:szCs w:val="21"/>
                    </w:rPr>
                    <w:t>15</w:t>
                  </w:r>
                </w:p>
              </w:tc>
              <w:tc>
                <w:tcPr>
                  <w:tcW w:w="1339" w:type="dxa"/>
                  <w:noWrap/>
                  <w:vAlign w:val="center"/>
                </w:tcPr>
                <w:p>
                  <w:pPr>
                    <w:widowControl/>
                    <w:jc w:val="center"/>
                    <w:textAlignment w:val="center"/>
                    <w:rPr>
                      <w:szCs w:val="21"/>
                    </w:rPr>
                  </w:pPr>
                  <w:r>
                    <w:rPr>
                      <w:szCs w:val="21"/>
                    </w:rPr>
                    <w:t>224</w:t>
                  </w:r>
                </w:p>
              </w:tc>
              <w:tc>
                <w:tcPr>
                  <w:tcW w:w="1474" w:type="dxa"/>
                  <w:noWrap/>
                  <w:vAlign w:val="center"/>
                </w:tcPr>
                <w:p>
                  <w:pPr>
                    <w:ind w:left="-178" w:leftChars="-85" w:right="-109" w:rightChars="-52"/>
                    <w:jc w:val="center"/>
                    <w:rPr>
                      <w:szCs w:val="21"/>
                    </w:rPr>
                  </w:pPr>
                  <w:r>
                    <w:rPr>
                      <w:szCs w:val="21"/>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618" w:type="dxa"/>
                  <w:noWrap/>
                  <w:vAlign w:val="center"/>
                </w:tcPr>
                <w:p>
                  <w:pPr>
                    <w:pStyle w:val="12"/>
                    <w:jc w:val="center"/>
                    <w:rPr>
                      <w:rFonts w:ascii="Times New Roman" w:hAnsi="Times New Roman"/>
                      <w:szCs w:val="21"/>
                    </w:rPr>
                  </w:pPr>
                  <w:r>
                    <w:rPr>
                      <w:rFonts w:ascii="Times New Roman" w:hAnsi="Times New Roman"/>
                      <w:szCs w:val="21"/>
                    </w:rPr>
                    <w:t>配肥电机</w:t>
                  </w:r>
                </w:p>
              </w:tc>
              <w:tc>
                <w:tcPr>
                  <w:tcW w:w="1377" w:type="dxa"/>
                  <w:noWrap/>
                  <w:vAlign w:val="center"/>
                </w:tcPr>
                <w:p>
                  <w:pPr>
                    <w:ind w:left="-178" w:leftChars="-85" w:right="-109" w:rightChars="-52"/>
                    <w:jc w:val="center"/>
                    <w:rPr>
                      <w:szCs w:val="21"/>
                    </w:rPr>
                  </w:pPr>
                  <w:r>
                    <w:rPr>
                      <w:szCs w:val="21"/>
                    </w:rPr>
                    <w:t>282</w:t>
                  </w:r>
                </w:p>
              </w:tc>
              <w:tc>
                <w:tcPr>
                  <w:tcW w:w="1564" w:type="dxa"/>
                  <w:noWrap/>
                  <w:vAlign w:val="center"/>
                </w:tcPr>
                <w:p>
                  <w:pPr>
                    <w:widowControl/>
                    <w:jc w:val="center"/>
                    <w:textAlignment w:val="center"/>
                    <w:rPr>
                      <w:kern w:val="0"/>
                      <w:szCs w:val="21"/>
                    </w:rPr>
                  </w:pPr>
                  <w:r>
                    <w:rPr>
                      <w:szCs w:val="21"/>
                    </w:rPr>
                    <w:t>2</w:t>
                  </w:r>
                </w:p>
              </w:tc>
              <w:tc>
                <w:tcPr>
                  <w:tcW w:w="1339" w:type="dxa"/>
                  <w:noWrap/>
                  <w:vAlign w:val="center"/>
                </w:tcPr>
                <w:p>
                  <w:pPr>
                    <w:widowControl/>
                    <w:jc w:val="center"/>
                    <w:textAlignment w:val="center"/>
                    <w:rPr>
                      <w:kern w:val="0"/>
                      <w:szCs w:val="21"/>
                    </w:rPr>
                  </w:pPr>
                  <w:r>
                    <w:rPr>
                      <w:szCs w:val="21"/>
                    </w:rPr>
                    <w:t>205</w:t>
                  </w:r>
                </w:p>
              </w:tc>
              <w:tc>
                <w:tcPr>
                  <w:tcW w:w="1474" w:type="dxa"/>
                  <w:noWrap/>
                  <w:vAlign w:val="center"/>
                </w:tcPr>
                <w:p>
                  <w:pPr>
                    <w:ind w:left="-178" w:leftChars="-85" w:right="-109" w:rightChars="-52"/>
                    <w:jc w:val="center"/>
                    <w:rPr>
                      <w:szCs w:val="21"/>
                    </w:rPr>
                  </w:pPr>
                  <w:r>
                    <w:rPr>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618" w:type="dxa"/>
                  <w:noWrap/>
                  <w:vAlign w:val="center"/>
                </w:tcPr>
                <w:p>
                  <w:pPr>
                    <w:pStyle w:val="12"/>
                    <w:jc w:val="center"/>
                    <w:rPr>
                      <w:rFonts w:ascii="Times New Roman" w:hAnsi="Times New Roman"/>
                      <w:szCs w:val="21"/>
                    </w:rPr>
                  </w:pPr>
                  <w:r>
                    <w:rPr>
                      <w:rFonts w:ascii="Times New Roman" w:hAnsi="Times New Roman"/>
                      <w:szCs w:val="21"/>
                    </w:rPr>
                    <w:t>过滤电机</w:t>
                  </w:r>
                </w:p>
              </w:tc>
              <w:tc>
                <w:tcPr>
                  <w:tcW w:w="1377" w:type="dxa"/>
                  <w:noWrap/>
                  <w:vAlign w:val="center"/>
                </w:tcPr>
                <w:p>
                  <w:pPr>
                    <w:ind w:left="-178" w:leftChars="-85" w:right="-109" w:rightChars="-52"/>
                    <w:jc w:val="center"/>
                    <w:rPr>
                      <w:szCs w:val="21"/>
                    </w:rPr>
                  </w:pPr>
                  <w:r>
                    <w:rPr>
                      <w:szCs w:val="21"/>
                    </w:rPr>
                    <w:t>240</w:t>
                  </w:r>
                </w:p>
              </w:tc>
              <w:tc>
                <w:tcPr>
                  <w:tcW w:w="1564" w:type="dxa"/>
                  <w:noWrap/>
                  <w:vAlign w:val="center"/>
                </w:tcPr>
                <w:p>
                  <w:pPr>
                    <w:widowControl/>
                    <w:jc w:val="center"/>
                    <w:textAlignment w:val="center"/>
                    <w:rPr>
                      <w:kern w:val="0"/>
                      <w:szCs w:val="21"/>
                    </w:rPr>
                  </w:pPr>
                  <w:r>
                    <w:rPr>
                      <w:szCs w:val="21"/>
                    </w:rPr>
                    <w:t>15</w:t>
                  </w:r>
                </w:p>
              </w:tc>
              <w:tc>
                <w:tcPr>
                  <w:tcW w:w="1339" w:type="dxa"/>
                  <w:noWrap/>
                  <w:vAlign w:val="center"/>
                </w:tcPr>
                <w:p>
                  <w:pPr>
                    <w:widowControl/>
                    <w:jc w:val="center"/>
                    <w:textAlignment w:val="center"/>
                    <w:rPr>
                      <w:kern w:val="0"/>
                      <w:szCs w:val="21"/>
                    </w:rPr>
                  </w:pPr>
                  <w:r>
                    <w:rPr>
                      <w:szCs w:val="21"/>
                    </w:rPr>
                    <w:t>224</w:t>
                  </w:r>
                </w:p>
              </w:tc>
              <w:tc>
                <w:tcPr>
                  <w:tcW w:w="1474" w:type="dxa"/>
                  <w:noWrap/>
                  <w:vAlign w:val="center"/>
                </w:tcPr>
                <w:p>
                  <w:pPr>
                    <w:ind w:left="-178" w:leftChars="-85" w:right="-109" w:rightChars="-52"/>
                    <w:jc w:val="center"/>
                    <w:rPr>
                      <w:szCs w:val="21"/>
                    </w:rPr>
                  </w:pPr>
                  <w:r>
                    <w:rPr>
                      <w:szCs w:val="21"/>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618" w:type="dxa"/>
                  <w:noWrap/>
                  <w:vAlign w:val="center"/>
                </w:tcPr>
                <w:p>
                  <w:pPr>
                    <w:pStyle w:val="12"/>
                    <w:jc w:val="center"/>
                    <w:rPr>
                      <w:rFonts w:ascii="Times New Roman" w:hAnsi="Times New Roman"/>
                      <w:szCs w:val="21"/>
                    </w:rPr>
                  </w:pPr>
                  <w:r>
                    <w:rPr>
                      <w:rFonts w:ascii="Times New Roman" w:hAnsi="Times New Roman"/>
                      <w:szCs w:val="21"/>
                    </w:rPr>
                    <w:t>变频控制箱</w:t>
                  </w:r>
                </w:p>
              </w:tc>
              <w:tc>
                <w:tcPr>
                  <w:tcW w:w="1377" w:type="dxa"/>
                  <w:noWrap/>
                  <w:vAlign w:val="center"/>
                </w:tcPr>
                <w:p>
                  <w:pPr>
                    <w:ind w:left="-178" w:leftChars="-85" w:right="-109" w:rightChars="-52"/>
                    <w:jc w:val="center"/>
                    <w:rPr>
                      <w:szCs w:val="21"/>
                    </w:rPr>
                  </w:pPr>
                  <w:r>
                    <w:rPr>
                      <w:szCs w:val="21"/>
                    </w:rPr>
                    <w:t>282</w:t>
                  </w:r>
                </w:p>
              </w:tc>
              <w:tc>
                <w:tcPr>
                  <w:tcW w:w="1564" w:type="dxa"/>
                  <w:noWrap/>
                  <w:vAlign w:val="center"/>
                </w:tcPr>
                <w:p>
                  <w:pPr>
                    <w:widowControl/>
                    <w:jc w:val="center"/>
                    <w:textAlignment w:val="center"/>
                    <w:rPr>
                      <w:kern w:val="0"/>
                      <w:szCs w:val="21"/>
                    </w:rPr>
                  </w:pPr>
                  <w:r>
                    <w:rPr>
                      <w:szCs w:val="21"/>
                    </w:rPr>
                    <w:t>3</w:t>
                  </w:r>
                </w:p>
              </w:tc>
              <w:tc>
                <w:tcPr>
                  <w:tcW w:w="1339" w:type="dxa"/>
                  <w:noWrap/>
                  <w:vAlign w:val="center"/>
                </w:tcPr>
                <w:p>
                  <w:pPr>
                    <w:widowControl/>
                    <w:jc w:val="center"/>
                    <w:textAlignment w:val="center"/>
                    <w:rPr>
                      <w:kern w:val="0"/>
                      <w:szCs w:val="21"/>
                    </w:rPr>
                  </w:pPr>
                  <w:r>
                    <w:rPr>
                      <w:szCs w:val="21"/>
                    </w:rPr>
                    <w:t>205</w:t>
                  </w:r>
                </w:p>
              </w:tc>
              <w:tc>
                <w:tcPr>
                  <w:tcW w:w="1474" w:type="dxa"/>
                  <w:noWrap/>
                  <w:vAlign w:val="center"/>
                </w:tcPr>
                <w:p>
                  <w:pPr>
                    <w:ind w:left="-178" w:leftChars="-85" w:right="-109" w:rightChars="-52"/>
                    <w:jc w:val="center"/>
                    <w:rPr>
                      <w:szCs w:val="21"/>
                    </w:rPr>
                  </w:pPr>
                  <w:r>
                    <w:rPr>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618" w:type="dxa"/>
                  <w:noWrap/>
                  <w:vAlign w:val="center"/>
                </w:tcPr>
                <w:p>
                  <w:pPr>
                    <w:pStyle w:val="12"/>
                    <w:jc w:val="center"/>
                    <w:rPr>
                      <w:rFonts w:ascii="Times New Roman" w:hAnsi="Times New Roman"/>
                      <w:szCs w:val="21"/>
                    </w:rPr>
                  </w:pPr>
                  <w:r>
                    <w:rPr>
                      <w:rFonts w:ascii="Times New Roman" w:hAnsi="Times New Roman"/>
                      <w:szCs w:val="21"/>
                    </w:rPr>
                    <w:t>调酸机</w:t>
                  </w:r>
                </w:p>
              </w:tc>
              <w:tc>
                <w:tcPr>
                  <w:tcW w:w="1377" w:type="dxa"/>
                  <w:noWrap/>
                  <w:vAlign w:val="center"/>
                </w:tcPr>
                <w:p>
                  <w:pPr>
                    <w:ind w:left="-178" w:leftChars="-85" w:right="-109" w:rightChars="-52"/>
                    <w:jc w:val="center"/>
                    <w:rPr>
                      <w:szCs w:val="21"/>
                    </w:rPr>
                  </w:pPr>
                  <w:r>
                    <w:rPr>
                      <w:szCs w:val="21"/>
                    </w:rPr>
                    <w:t>224</w:t>
                  </w:r>
                </w:p>
              </w:tc>
              <w:tc>
                <w:tcPr>
                  <w:tcW w:w="1564" w:type="dxa"/>
                  <w:noWrap/>
                  <w:vAlign w:val="center"/>
                </w:tcPr>
                <w:p>
                  <w:pPr>
                    <w:widowControl/>
                    <w:jc w:val="center"/>
                    <w:textAlignment w:val="center"/>
                    <w:rPr>
                      <w:szCs w:val="21"/>
                    </w:rPr>
                  </w:pPr>
                  <w:r>
                    <w:rPr>
                      <w:szCs w:val="21"/>
                    </w:rPr>
                    <w:t>19</w:t>
                  </w:r>
                </w:p>
              </w:tc>
              <w:tc>
                <w:tcPr>
                  <w:tcW w:w="1339" w:type="dxa"/>
                  <w:noWrap/>
                  <w:vAlign w:val="center"/>
                </w:tcPr>
                <w:p>
                  <w:pPr>
                    <w:widowControl/>
                    <w:jc w:val="center"/>
                    <w:textAlignment w:val="center"/>
                    <w:rPr>
                      <w:szCs w:val="21"/>
                    </w:rPr>
                  </w:pPr>
                  <w:r>
                    <w:rPr>
                      <w:szCs w:val="21"/>
                    </w:rPr>
                    <w:t>153</w:t>
                  </w:r>
                </w:p>
              </w:tc>
              <w:tc>
                <w:tcPr>
                  <w:tcW w:w="1474" w:type="dxa"/>
                  <w:noWrap/>
                  <w:vAlign w:val="center"/>
                </w:tcPr>
                <w:p>
                  <w:pPr>
                    <w:ind w:left="-178" w:leftChars="-85" w:right="-109" w:rightChars="-52"/>
                    <w:jc w:val="center"/>
                    <w:rPr>
                      <w:szCs w:val="21"/>
                    </w:rPr>
                  </w:pPr>
                  <w:r>
                    <w:rPr>
                      <w:szCs w:val="21"/>
                    </w:rPr>
                    <w:t>306</w:t>
                  </w:r>
                </w:p>
              </w:tc>
            </w:tr>
          </w:tbl>
          <w:p>
            <w:pPr>
              <w:spacing w:before="78" w:beforeLines="25" w:line="360" w:lineRule="auto"/>
              <w:ind w:firstLine="480" w:firstLineChars="200"/>
              <w:rPr>
                <w:sz w:val="24"/>
              </w:rPr>
            </w:pPr>
            <w:r>
              <w:rPr>
                <w:sz w:val="24"/>
              </w:rPr>
              <w:t>C.预测结果</w:t>
            </w:r>
          </w:p>
          <w:p>
            <w:pPr>
              <w:spacing w:line="360" w:lineRule="auto"/>
              <w:ind w:firstLine="480" w:firstLineChars="200"/>
              <w:rPr>
                <w:sz w:val="24"/>
              </w:rPr>
            </w:pPr>
            <w:r>
              <w:rPr>
                <w:sz w:val="24"/>
              </w:rPr>
              <w:t xml:space="preserve">各噪声源经距离衰减及降噪后的贡献值及达标情况见下表。 </w:t>
            </w:r>
          </w:p>
          <w:p>
            <w:pPr>
              <w:spacing w:line="360" w:lineRule="auto"/>
              <w:jc w:val="center"/>
              <w:rPr>
                <w:b/>
                <w:bCs/>
                <w:sz w:val="24"/>
              </w:rPr>
            </w:pPr>
            <w:r>
              <w:rPr>
                <w:b/>
                <w:bCs/>
                <w:sz w:val="24"/>
              </w:rPr>
              <w:t>表4-12 各噪声源经距离衰减及降噪后的贡献值及达标情况 单位：dB（A）</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1"/>
              <w:gridCol w:w="1283"/>
              <w:gridCol w:w="1630"/>
              <w:gridCol w:w="1395"/>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49" w:type="pct"/>
                  <w:vMerge w:val="restart"/>
                  <w:vAlign w:val="center"/>
                </w:tcPr>
                <w:p>
                  <w:pPr>
                    <w:ind w:left="-115" w:leftChars="-55" w:right="-113" w:rightChars="-54"/>
                    <w:jc w:val="center"/>
                    <w:rPr>
                      <w:b/>
                      <w:szCs w:val="21"/>
                    </w:rPr>
                  </w:pPr>
                  <w:r>
                    <w:rPr>
                      <w:b/>
                      <w:szCs w:val="21"/>
                    </w:rPr>
                    <mc:AlternateContent>
                      <mc:Choice Requires="wps">
                        <w:drawing>
                          <wp:anchor distT="0" distB="0" distL="114300" distR="114300" simplePos="0" relativeHeight="251666432" behindDoc="0" locked="0" layoutInCell="1" allowOverlap="1">
                            <wp:simplePos x="0" y="0"/>
                            <wp:positionH relativeFrom="column">
                              <wp:posOffset>601345</wp:posOffset>
                            </wp:positionH>
                            <wp:positionV relativeFrom="paragraph">
                              <wp:posOffset>12065</wp:posOffset>
                            </wp:positionV>
                            <wp:extent cx="1097280" cy="549910"/>
                            <wp:effectExtent l="0" t="0" r="26670" b="21590"/>
                            <wp:wrapNone/>
                            <wp:docPr id="18" name="直接箭头连接符 18"/>
                            <wp:cNvGraphicFramePr/>
                            <a:graphic xmlns:a="http://schemas.openxmlformats.org/drawingml/2006/main">
                              <a:graphicData uri="http://schemas.microsoft.com/office/word/2010/wordprocessingShape">
                                <wps:wsp>
                                  <wps:cNvCnPr/>
                                  <wps:spPr>
                                    <a:xfrm>
                                      <a:off x="0" y="0"/>
                                      <a:ext cx="1097280" cy="5499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7.35pt;margin-top:0.95pt;height:43.3pt;width:86.4pt;z-index:251666432;mso-width-relative:page;mso-height-relative:page;" filled="f" stroked="t" coordsize="21600,21600" o:gfxdata="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vzTYNUAAAAHAQAADwAAAAAAAAABACAAAAAiAAAAZHJzL2Rv&#10;d25yZXYueG1sUEsBAhQAFAAAAAgAh07iQM5o85UEAgAA8wMAAA4AAAAAAAAAAQAgAAAAJAEAAGRy&#10;cy9lMm9Eb2MueG1sUEsFBgAAAAAGAAYAWQEAAJoFAAAAAA==&#10;">
                            <v:fill on="f" focussize="0,0"/>
                            <v:stroke color="#000000" joinstyle="round"/>
                            <v:imagedata o:title=""/>
                            <o:lock v:ext="edit" aspectratio="f"/>
                          </v:shape>
                        </w:pict>
                      </mc:Fallback>
                    </mc:AlternateContent>
                  </w:r>
                  <w:r>
                    <w:rPr>
                      <w:b/>
                      <w:szCs w:val="21"/>
                    </w:rPr>
                    <w:t xml:space="preserve">         预测点</w:t>
                  </w:r>
                </w:p>
                <w:p>
                  <w:pPr>
                    <w:ind w:left="-115" w:leftChars="-55" w:right="-113" w:rightChars="-54"/>
                    <w:rPr>
                      <w:b/>
                      <w:szCs w:val="21"/>
                    </w:rPr>
                  </w:pPr>
                  <w:r>
                    <w:rPr>
                      <w:b/>
                      <w:szCs w:val="21"/>
                    </w:rPr>
                    <mc:AlternateContent>
                      <mc:Choice Requires="wps">
                        <w:drawing>
                          <wp:anchor distT="0" distB="0" distL="114300" distR="114300" simplePos="0" relativeHeight="251665408" behindDoc="0" locked="0" layoutInCell="1" allowOverlap="1">
                            <wp:simplePos x="0" y="0"/>
                            <wp:positionH relativeFrom="column">
                              <wp:posOffset>-27305</wp:posOffset>
                            </wp:positionH>
                            <wp:positionV relativeFrom="paragraph">
                              <wp:posOffset>109220</wp:posOffset>
                            </wp:positionV>
                            <wp:extent cx="1724025" cy="250190"/>
                            <wp:effectExtent l="0" t="0" r="28575" b="35560"/>
                            <wp:wrapNone/>
                            <wp:docPr id="19" name="直接箭头连接符 19"/>
                            <wp:cNvGraphicFramePr/>
                            <a:graphic xmlns:a="http://schemas.openxmlformats.org/drawingml/2006/main">
                              <a:graphicData uri="http://schemas.microsoft.com/office/word/2010/wordprocessingShape">
                                <wps:wsp>
                                  <wps:cNvCnPr/>
                                  <wps:spPr>
                                    <a:xfrm>
                                      <a:off x="0" y="0"/>
                                      <a:ext cx="1724025" cy="2501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15pt;margin-top:8.6pt;height:19.7pt;width:135.75pt;z-index:251665408;mso-width-relative:page;mso-height-relative:page;" filled="f" stroked="t" coordsize="21600,21600" o:gfxdata="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BvNNdcAAAAIAQAADwAAAAAAAAABACAAAAAiAAAAZHJzL2Rv&#10;d25yZXYueG1sUEsBAhQAFAAAAAgAh07iQFLrBPkCAgAA8wMAAA4AAAAAAAAAAQAgAAAAJgEAAGRy&#10;cy9lMm9Eb2MueG1sUEsFBgAAAAAGAAYAWQEAAJoFAAAAAA==&#10;">
                            <v:fill on="f" focussize="0,0"/>
                            <v:stroke color="#000000" joinstyle="round"/>
                            <v:imagedata o:title=""/>
                            <o:lock v:ext="edit" aspectratio="f"/>
                          </v:shape>
                        </w:pict>
                      </mc:Fallback>
                    </mc:AlternateContent>
                  </w:r>
                  <w:r>
                    <w:rPr>
                      <w:b/>
                      <w:szCs w:val="21"/>
                    </w:rPr>
                    <w:t xml:space="preserve">        贡献值</w:t>
                  </w:r>
                </w:p>
                <w:p>
                  <w:pPr>
                    <w:ind w:left="-115" w:leftChars="-55" w:right="-113" w:rightChars="-54" w:firstLine="316" w:firstLineChars="150"/>
                    <w:rPr>
                      <w:b/>
                      <w:szCs w:val="21"/>
                    </w:rPr>
                  </w:pPr>
                  <w:r>
                    <w:rPr>
                      <w:b/>
                      <w:szCs w:val="21"/>
                    </w:rPr>
                    <w:t>达标分析</w:t>
                  </w:r>
                </w:p>
              </w:tc>
              <w:tc>
                <w:tcPr>
                  <w:tcW w:w="3350" w:type="pct"/>
                  <w:gridSpan w:val="4"/>
                  <w:vAlign w:val="center"/>
                </w:tcPr>
                <w:p>
                  <w:pPr>
                    <w:jc w:val="center"/>
                    <w:rPr>
                      <w:b/>
                      <w:szCs w:val="21"/>
                    </w:rPr>
                  </w:pPr>
                  <w:r>
                    <w:rPr>
                      <w:b/>
                      <w:szCs w:val="21"/>
                    </w:rPr>
                    <w:t>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649" w:type="pct"/>
                  <w:vMerge w:val="continue"/>
                  <w:vAlign w:val="center"/>
                </w:tcPr>
                <w:p>
                  <w:pPr>
                    <w:ind w:left="-115" w:leftChars="-55" w:right="-113" w:rightChars="-54"/>
                    <w:jc w:val="center"/>
                    <w:rPr>
                      <w:b/>
                      <w:szCs w:val="21"/>
                    </w:rPr>
                  </w:pPr>
                </w:p>
              </w:tc>
              <w:tc>
                <w:tcPr>
                  <w:tcW w:w="737" w:type="pct"/>
                  <w:vAlign w:val="center"/>
                </w:tcPr>
                <w:p>
                  <w:pPr>
                    <w:ind w:left="-178" w:leftChars="-85" w:right="-109" w:rightChars="-52"/>
                    <w:jc w:val="center"/>
                    <w:rPr>
                      <w:b/>
                      <w:szCs w:val="21"/>
                    </w:rPr>
                  </w:pPr>
                  <w:r>
                    <w:rPr>
                      <w:b/>
                      <w:szCs w:val="21"/>
                    </w:rPr>
                    <w:t>厂界南</w:t>
                  </w:r>
                </w:p>
              </w:tc>
              <w:tc>
                <w:tcPr>
                  <w:tcW w:w="935" w:type="pct"/>
                  <w:vAlign w:val="center"/>
                </w:tcPr>
                <w:p>
                  <w:pPr>
                    <w:ind w:left="-178" w:leftChars="-85" w:right="-109" w:rightChars="-52"/>
                    <w:jc w:val="center"/>
                    <w:rPr>
                      <w:b/>
                      <w:szCs w:val="21"/>
                    </w:rPr>
                  </w:pPr>
                  <w:r>
                    <w:rPr>
                      <w:b/>
                      <w:szCs w:val="21"/>
                    </w:rPr>
                    <w:t>厂界西</w:t>
                  </w:r>
                </w:p>
              </w:tc>
              <w:tc>
                <w:tcPr>
                  <w:tcW w:w="801" w:type="pct"/>
                  <w:vAlign w:val="center"/>
                </w:tcPr>
                <w:p>
                  <w:pPr>
                    <w:ind w:left="-178" w:leftChars="-85" w:right="-109" w:rightChars="-52"/>
                    <w:jc w:val="center"/>
                    <w:rPr>
                      <w:b/>
                      <w:szCs w:val="21"/>
                    </w:rPr>
                  </w:pPr>
                  <w:r>
                    <w:rPr>
                      <w:b/>
                      <w:szCs w:val="21"/>
                    </w:rPr>
                    <w:t>厂界北</w:t>
                  </w:r>
                </w:p>
              </w:tc>
              <w:tc>
                <w:tcPr>
                  <w:tcW w:w="876" w:type="pct"/>
                  <w:vAlign w:val="center"/>
                </w:tcPr>
                <w:p>
                  <w:pPr>
                    <w:ind w:left="-178" w:leftChars="-85" w:right="-109" w:rightChars="-52"/>
                    <w:jc w:val="center"/>
                    <w:rPr>
                      <w:b/>
                      <w:szCs w:val="21"/>
                    </w:rPr>
                  </w:pPr>
                  <w:r>
                    <w:rPr>
                      <w:b/>
                      <w:szCs w:val="21"/>
                    </w:rPr>
                    <w:t>厂界东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49" w:type="pct"/>
                  <w:vAlign w:val="center"/>
                </w:tcPr>
                <w:p>
                  <w:pPr>
                    <w:jc w:val="center"/>
                    <w:rPr>
                      <w:szCs w:val="21"/>
                    </w:rPr>
                  </w:pPr>
                  <w:r>
                    <w:rPr>
                      <w:szCs w:val="21"/>
                    </w:rPr>
                    <w:t>昼间贡献值</w:t>
                  </w:r>
                </w:p>
              </w:tc>
              <w:tc>
                <w:tcPr>
                  <w:tcW w:w="737" w:type="pct"/>
                  <w:vAlign w:val="center"/>
                </w:tcPr>
                <w:p>
                  <w:pPr>
                    <w:ind w:left="-178" w:leftChars="-85" w:right="-109" w:rightChars="-52"/>
                    <w:jc w:val="center"/>
                    <w:rPr>
                      <w:szCs w:val="21"/>
                    </w:rPr>
                  </w:pPr>
                  <w:r>
                    <w:rPr>
                      <w:szCs w:val="21"/>
                    </w:rPr>
                    <w:t>29.41</w:t>
                  </w:r>
                </w:p>
              </w:tc>
              <w:tc>
                <w:tcPr>
                  <w:tcW w:w="935" w:type="pct"/>
                  <w:vAlign w:val="center"/>
                </w:tcPr>
                <w:p>
                  <w:pPr>
                    <w:ind w:left="-178" w:leftChars="-85" w:right="-109" w:rightChars="-52"/>
                    <w:jc w:val="center"/>
                    <w:rPr>
                      <w:szCs w:val="21"/>
                    </w:rPr>
                  </w:pPr>
                  <w:r>
                    <w:rPr>
                      <w:szCs w:val="21"/>
                    </w:rPr>
                    <w:t>39.12</w:t>
                  </w:r>
                </w:p>
              </w:tc>
              <w:tc>
                <w:tcPr>
                  <w:tcW w:w="801" w:type="pct"/>
                  <w:vAlign w:val="center"/>
                </w:tcPr>
                <w:p>
                  <w:pPr>
                    <w:ind w:left="-178" w:leftChars="-85" w:right="-109" w:rightChars="-52"/>
                    <w:jc w:val="center"/>
                    <w:rPr>
                      <w:szCs w:val="21"/>
                    </w:rPr>
                  </w:pPr>
                  <w:r>
                    <w:rPr>
                      <w:szCs w:val="21"/>
                    </w:rPr>
                    <w:t>34.15</w:t>
                  </w:r>
                </w:p>
              </w:tc>
              <w:tc>
                <w:tcPr>
                  <w:tcW w:w="876" w:type="pct"/>
                  <w:vAlign w:val="center"/>
                </w:tcPr>
                <w:p>
                  <w:pPr>
                    <w:ind w:left="-178" w:leftChars="-85" w:right="-109" w:rightChars="-52"/>
                    <w:jc w:val="center"/>
                    <w:rPr>
                      <w:szCs w:val="21"/>
                    </w:rPr>
                  </w:pPr>
                  <w:r>
                    <w:rPr>
                      <w:szCs w:val="21"/>
                    </w:rPr>
                    <w:t>20.84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49" w:type="pct"/>
                  <w:vAlign w:val="center"/>
                </w:tcPr>
                <w:p>
                  <w:pPr>
                    <w:jc w:val="center"/>
                    <w:rPr>
                      <w:szCs w:val="21"/>
                    </w:rPr>
                  </w:pPr>
                  <w:r>
                    <w:rPr>
                      <w:szCs w:val="21"/>
                    </w:rPr>
                    <w:t>标准值</w:t>
                  </w:r>
                </w:p>
              </w:tc>
              <w:tc>
                <w:tcPr>
                  <w:tcW w:w="1673" w:type="pct"/>
                  <w:gridSpan w:val="2"/>
                  <w:vAlign w:val="center"/>
                </w:tcPr>
                <w:p>
                  <w:pPr>
                    <w:ind w:left="-178" w:leftChars="-85" w:right="-109" w:rightChars="-52"/>
                    <w:jc w:val="center"/>
                    <w:rPr>
                      <w:szCs w:val="21"/>
                    </w:rPr>
                  </w:pPr>
                  <w:r>
                    <w:rPr>
                      <w:szCs w:val="21"/>
                    </w:rPr>
                    <w:t>昼间dB（A）≤60</w:t>
                  </w:r>
                </w:p>
              </w:tc>
              <w:tc>
                <w:tcPr>
                  <w:tcW w:w="1677" w:type="pct"/>
                  <w:gridSpan w:val="2"/>
                  <w:vAlign w:val="center"/>
                </w:tcPr>
                <w:p>
                  <w:pPr>
                    <w:ind w:left="-178" w:leftChars="-85" w:right="-109" w:rightChars="-52"/>
                    <w:jc w:val="center"/>
                    <w:rPr>
                      <w:szCs w:val="21"/>
                    </w:rPr>
                  </w:pPr>
                  <w:r>
                    <w:rPr>
                      <w:szCs w:val="21"/>
                    </w:rPr>
                    <w:t>昼间dB（A）≤60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49" w:type="pct"/>
                  <w:vAlign w:val="center"/>
                </w:tcPr>
                <w:p>
                  <w:pPr>
                    <w:jc w:val="center"/>
                    <w:rPr>
                      <w:szCs w:val="21"/>
                    </w:rPr>
                  </w:pPr>
                  <w:r>
                    <w:rPr>
                      <w:szCs w:val="21"/>
                    </w:rPr>
                    <w:t>达标分析</w:t>
                  </w:r>
                </w:p>
              </w:tc>
              <w:tc>
                <w:tcPr>
                  <w:tcW w:w="737" w:type="pct"/>
                  <w:vAlign w:val="center"/>
                </w:tcPr>
                <w:p>
                  <w:pPr>
                    <w:ind w:left="-178" w:leftChars="-85" w:right="-109" w:rightChars="-52"/>
                    <w:jc w:val="center"/>
                    <w:rPr>
                      <w:szCs w:val="21"/>
                    </w:rPr>
                  </w:pPr>
                  <w:r>
                    <w:rPr>
                      <w:szCs w:val="21"/>
                    </w:rPr>
                    <w:t>达标</w:t>
                  </w:r>
                </w:p>
              </w:tc>
              <w:tc>
                <w:tcPr>
                  <w:tcW w:w="935" w:type="pct"/>
                  <w:vAlign w:val="center"/>
                </w:tcPr>
                <w:p>
                  <w:pPr>
                    <w:ind w:left="-178" w:leftChars="-85" w:right="-109" w:rightChars="-52"/>
                    <w:jc w:val="center"/>
                    <w:rPr>
                      <w:szCs w:val="21"/>
                    </w:rPr>
                  </w:pPr>
                  <w:r>
                    <w:rPr>
                      <w:szCs w:val="21"/>
                    </w:rPr>
                    <w:t>达标</w:t>
                  </w:r>
                </w:p>
              </w:tc>
              <w:tc>
                <w:tcPr>
                  <w:tcW w:w="801" w:type="pct"/>
                  <w:vAlign w:val="center"/>
                </w:tcPr>
                <w:p>
                  <w:pPr>
                    <w:ind w:left="-178" w:leftChars="-85" w:right="-109" w:rightChars="-52"/>
                    <w:jc w:val="center"/>
                    <w:rPr>
                      <w:szCs w:val="21"/>
                    </w:rPr>
                  </w:pPr>
                  <w:r>
                    <w:rPr>
                      <w:szCs w:val="21"/>
                    </w:rPr>
                    <w:t>达标</w:t>
                  </w:r>
                </w:p>
              </w:tc>
              <w:tc>
                <w:tcPr>
                  <w:tcW w:w="876" w:type="pct"/>
                  <w:vAlign w:val="center"/>
                </w:tcPr>
                <w:p>
                  <w:pPr>
                    <w:ind w:left="-178" w:leftChars="-85" w:right="-109" w:rightChars="-52"/>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49" w:type="pct"/>
                  <w:vAlign w:val="center"/>
                </w:tcPr>
                <w:p>
                  <w:pPr>
                    <w:jc w:val="center"/>
                    <w:rPr>
                      <w:szCs w:val="21"/>
                    </w:rPr>
                  </w:pPr>
                  <w:r>
                    <w:rPr>
                      <w:szCs w:val="21"/>
                    </w:rPr>
                    <w:t>夜间贡献值</w:t>
                  </w:r>
                </w:p>
              </w:tc>
              <w:tc>
                <w:tcPr>
                  <w:tcW w:w="1107" w:type="dxa"/>
                  <w:vAlign w:val="center"/>
                </w:tcPr>
                <w:p>
                  <w:pPr>
                    <w:ind w:left="-178" w:leftChars="-85" w:right="-109" w:rightChars="-52"/>
                    <w:jc w:val="center"/>
                    <w:rPr>
                      <w:szCs w:val="21"/>
                    </w:rPr>
                  </w:pPr>
                  <w:r>
                    <w:rPr>
                      <w:szCs w:val="21"/>
                    </w:rPr>
                    <w:t>29.41</w:t>
                  </w:r>
                </w:p>
              </w:tc>
              <w:tc>
                <w:tcPr>
                  <w:tcW w:w="1406" w:type="dxa"/>
                  <w:vAlign w:val="center"/>
                </w:tcPr>
                <w:p>
                  <w:pPr>
                    <w:ind w:left="-178" w:leftChars="-85" w:right="-109" w:rightChars="-52"/>
                    <w:jc w:val="center"/>
                    <w:rPr>
                      <w:szCs w:val="21"/>
                    </w:rPr>
                  </w:pPr>
                  <w:r>
                    <w:rPr>
                      <w:szCs w:val="21"/>
                    </w:rPr>
                    <w:t>39.12</w:t>
                  </w:r>
                </w:p>
              </w:tc>
              <w:tc>
                <w:tcPr>
                  <w:tcW w:w="1203" w:type="dxa"/>
                  <w:vAlign w:val="center"/>
                </w:tcPr>
                <w:p>
                  <w:pPr>
                    <w:ind w:left="-178" w:leftChars="-85" w:right="-109" w:rightChars="-52"/>
                    <w:jc w:val="center"/>
                    <w:rPr>
                      <w:szCs w:val="21"/>
                    </w:rPr>
                  </w:pPr>
                  <w:r>
                    <w:rPr>
                      <w:szCs w:val="21"/>
                    </w:rPr>
                    <w:t>34.15</w:t>
                  </w:r>
                </w:p>
              </w:tc>
              <w:tc>
                <w:tcPr>
                  <w:tcW w:w="1317" w:type="dxa"/>
                  <w:vAlign w:val="center"/>
                </w:tcPr>
                <w:p>
                  <w:pPr>
                    <w:ind w:left="-178" w:leftChars="-85" w:right="-109" w:rightChars="-52"/>
                    <w:jc w:val="center"/>
                    <w:rPr>
                      <w:szCs w:val="21"/>
                    </w:rPr>
                  </w:pPr>
                  <w:r>
                    <w:rPr>
                      <w:szCs w:val="21"/>
                    </w:rPr>
                    <w:t>20.84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49" w:type="pct"/>
                  <w:vAlign w:val="center"/>
                </w:tcPr>
                <w:p>
                  <w:pPr>
                    <w:jc w:val="center"/>
                    <w:rPr>
                      <w:szCs w:val="21"/>
                    </w:rPr>
                  </w:pPr>
                  <w:r>
                    <w:rPr>
                      <w:szCs w:val="21"/>
                    </w:rPr>
                    <w:t>标准值</w:t>
                  </w:r>
                </w:p>
              </w:tc>
              <w:tc>
                <w:tcPr>
                  <w:tcW w:w="1673" w:type="pct"/>
                  <w:gridSpan w:val="2"/>
                  <w:vAlign w:val="center"/>
                </w:tcPr>
                <w:p>
                  <w:pPr>
                    <w:ind w:left="-178" w:leftChars="-85" w:right="-109" w:rightChars="-52"/>
                    <w:jc w:val="center"/>
                    <w:rPr>
                      <w:szCs w:val="21"/>
                    </w:rPr>
                  </w:pPr>
                  <w:r>
                    <w:rPr>
                      <w:szCs w:val="21"/>
                    </w:rPr>
                    <w:t>夜间dB（A）≤50</w:t>
                  </w:r>
                </w:p>
              </w:tc>
              <w:tc>
                <w:tcPr>
                  <w:tcW w:w="1677" w:type="pct"/>
                  <w:gridSpan w:val="2"/>
                  <w:vAlign w:val="center"/>
                </w:tcPr>
                <w:p>
                  <w:pPr>
                    <w:ind w:left="-178" w:leftChars="-85" w:right="-109" w:rightChars="-52"/>
                    <w:jc w:val="center"/>
                    <w:rPr>
                      <w:szCs w:val="21"/>
                    </w:rPr>
                  </w:pPr>
                  <w:r>
                    <w:rPr>
                      <w:szCs w:val="21"/>
                    </w:rPr>
                    <w:t>夜间dB（A）≤50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649" w:type="pct"/>
                  <w:vAlign w:val="center"/>
                </w:tcPr>
                <w:p>
                  <w:pPr>
                    <w:jc w:val="center"/>
                    <w:rPr>
                      <w:szCs w:val="21"/>
                    </w:rPr>
                  </w:pPr>
                  <w:r>
                    <w:rPr>
                      <w:szCs w:val="21"/>
                    </w:rPr>
                    <w:t>达标分析</w:t>
                  </w:r>
                </w:p>
              </w:tc>
              <w:tc>
                <w:tcPr>
                  <w:tcW w:w="737" w:type="pct"/>
                  <w:vAlign w:val="center"/>
                </w:tcPr>
                <w:p>
                  <w:pPr>
                    <w:ind w:left="-178" w:leftChars="-85" w:right="-109" w:rightChars="-52"/>
                    <w:jc w:val="center"/>
                    <w:rPr>
                      <w:szCs w:val="21"/>
                    </w:rPr>
                  </w:pPr>
                  <w:r>
                    <w:rPr>
                      <w:szCs w:val="21"/>
                    </w:rPr>
                    <w:t>达标</w:t>
                  </w:r>
                </w:p>
              </w:tc>
              <w:tc>
                <w:tcPr>
                  <w:tcW w:w="935" w:type="pct"/>
                  <w:vAlign w:val="center"/>
                </w:tcPr>
                <w:p>
                  <w:pPr>
                    <w:ind w:left="-178" w:leftChars="-85" w:right="-109" w:rightChars="-52"/>
                    <w:jc w:val="center"/>
                    <w:rPr>
                      <w:szCs w:val="21"/>
                    </w:rPr>
                  </w:pPr>
                  <w:r>
                    <w:rPr>
                      <w:szCs w:val="21"/>
                    </w:rPr>
                    <w:t>达标</w:t>
                  </w:r>
                </w:p>
              </w:tc>
              <w:tc>
                <w:tcPr>
                  <w:tcW w:w="801" w:type="pct"/>
                  <w:vAlign w:val="center"/>
                </w:tcPr>
                <w:p>
                  <w:pPr>
                    <w:ind w:left="-178" w:leftChars="-85" w:right="-109" w:rightChars="-52"/>
                    <w:jc w:val="center"/>
                    <w:rPr>
                      <w:szCs w:val="21"/>
                    </w:rPr>
                  </w:pPr>
                  <w:r>
                    <w:rPr>
                      <w:szCs w:val="21"/>
                    </w:rPr>
                    <w:t>达标</w:t>
                  </w:r>
                </w:p>
              </w:tc>
              <w:tc>
                <w:tcPr>
                  <w:tcW w:w="876" w:type="pct"/>
                  <w:vAlign w:val="center"/>
                </w:tcPr>
                <w:p>
                  <w:pPr>
                    <w:ind w:left="-178" w:leftChars="-85" w:right="-109" w:rightChars="-52"/>
                    <w:jc w:val="center"/>
                    <w:rPr>
                      <w:szCs w:val="21"/>
                    </w:rPr>
                  </w:pPr>
                  <w:r>
                    <w:rPr>
                      <w:szCs w:val="21"/>
                    </w:rPr>
                    <w:t>达标</w:t>
                  </w:r>
                </w:p>
              </w:tc>
            </w:tr>
          </w:tbl>
          <w:p>
            <w:pPr>
              <w:pStyle w:val="37"/>
              <w:adjustRightInd/>
              <w:jc w:val="both"/>
              <w:rPr>
                <w:rFonts w:hAnsi="Times New Roman"/>
              </w:rPr>
            </w:pPr>
            <w:r>
              <w:rPr>
                <w:rFonts w:hAnsi="Times New Roman"/>
              </w:rPr>
              <w:t>根据现状监测资料和上表，项目四周厂界噪声能达到《工业企业厂界环境噪声排放标准》（GB12348-2008）2类的标准限值要求。</w:t>
            </w:r>
          </w:p>
          <w:p>
            <w:pPr>
              <w:pStyle w:val="37"/>
              <w:adjustRightInd/>
              <w:jc w:val="both"/>
              <w:rPr>
                <w:rFonts w:hAnsi="Times New Roman"/>
              </w:rPr>
            </w:pPr>
            <w:r>
              <w:rPr>
                <w:rFonts w:hAnsi="Times New Roman"/>
              </w:rPr>
              <w:t>综上所述，项目运营期四周厂界噪声能达到《工业企业厂界环境噪声排放标准》（GB12348-2008）2类的标准限值要求，项目50m内没有声环境敏感目标，项目运营期间所产生的噪声对周边环境的影响较小。</w:t>
            </w:r>
          </w:p>
          <w:p>
            <w:pPr>
              <w:spacing w:before="156" w:beforeLines="50" w:line="360" w:lineRule="auto"/>
              <w:ind w:firstLine="482" w:firstLineChars="200"/>
              <w:rPr>
                <w:b/>
                <w:bCs/>
                <w:sz w:val="24"/>
              </w:rPr>
            </w:pPr>
            <w:r>
              <w:rPr>
                <w:b/>
                <w:bCs/>
                <w:sz w:val="24"/>
              </w:rPr>
              <w:t>（4）降噪措施</w:t>
            </w:r>
          </w:p>
          <w:p>
            <w:pPr>
              <w:spacing w:line="360" w:lineRule="auto"/>
              <w:ind w:firstLine="480" w:firstLineChars="200"/>
              <w:rPr>
                <w:sz w:val="24"/>
              </w:rPr>
            </w:pPr>
            <w:r>
              <w:rPr>
                <w:rFonts w:hint="eastAsia" w:ascii="宋体" w:hAnsi="宋体" w:cs="宋体"/>
                <w:sz w:val="24"/>
              </w:rPr>
              <w:t>①</w:t>
            </w:r>
            <w:r>
              <w:rPr>
                <w:sz w:val="24"/>
              </w:rPr>
              <w:t>对噪声产生设备加装基础减振配件，降低设备振动产生的噪声；设备均设置于厂房内，降低设备运行产生的噪声。</w:t>
            </w:r>
          </w:p>
          <w:p>
            <w:pPr>
              <w:spacing w:line="360" w:lineRule="auto"/>
              <w:ind w:firstLine="480" w:firstLineChars="200"/>
              <w:rPr>
                <w:sz w:val="24"/>
              </w:rPr>
            </w:pPr>
            <w:r>
              <w:rPr>
                <w:rFonts w:hint="eastAsia" w:ascii="宋体" w:hAnsi="宋体" w:cs="宋体"/>
                <w:sz w:val="24"/>
              </w:rPr>
              <w:t>②</w:t>
            </w:r>
            <w:r>
              <w:rPr>
                <w:sz w:val="24"/>
              </w:rPr>
              <w:t>强化车间管理制度，合理安排生产时间。</w:t>
            </w:r>
          </w:p>
          <w:p>
            <w:pPr>
              <w:spacing w:line="360" w:lineRule="auto"/>
              <w:ind w:firstLine="480" w:firstLineChars="200"/>
              <w:rPr>
                <w:sz w:val="24"/>
              </w:rPr>
            </w:pPr>
            <w:r>
              <w:rPr>
                <w:rFonts w:hint="eastAsia" w:ascii="宋体" w:hAnsi="宋体" w:cs="宋体"/>
                <w:sz w:val="24"/>
              </w:rPr>
              <w:t>③</w:t>
            </w:r>
            <w:r>
              <w:rPr>
                <w:sz w:val="24"/>
              </w:rPr>
              <w:t>建立设备定期维护、保养的管理制度，避免设备运转非正常噪声。</w:t>
            </w:r>
          </w:p>
          <w:p>
            <w:pPr>
              <w:spacing w:line="360" w:lineRule="auto"/>
              <w:ind w:firstLine="480" w:firstLineChars="200"/>
              <w:rPr>
                <w:sz w:val="24"/>
              </w:rPr>
            </w:pPr>
            <w:r>
              <w:rPr>
                <w:sz w:val="24"/>
              </w:rPr>
              <w:t>此外，进出厂区车辆噪声约为65dB（A）左右，其为移动噪声源，影响具有瞬时性。为了减小进出车辆噪声的影响，项目应采取以下措施：</w:t>
            </w:r>
          </w:p>
          <w:p>
            <w:pPr>
              <w:spacing w:line="360" w:lineRule="auto"/>
              <w:ind w:firstLine="480" w:firstLineChars="200"/>
              <w:rPr>
                <w:sz w:val="24"/>
              </w:rPr>
            </w:pPr>
            <w:r>
              <w:rPr>
                <w:rFonts w:hint="eastAsia" w:ascii="宋体" w:hAnsi="宋体" w:cs="宋体"/>
                <w:sz w:val="24"/>
              </w:rPr>
              <w:t>④</w:t>
            </w:r>
            <w:r>
              <w:rPr>
                <w:sz w:val="24"/>
              </w:rPr>
              <w:t>进出车站车辆必须减速行驶。</w:t>
            </w:r>
          </w:p>
          <w:p>
            <w:pPr>
              <w:spacing w:line="360" w:lineRule="auto"/>
              <w:ind w:firstLine="480" w:firstLineChars="200"/>
              <w:rPr>
                <w:sz w:val="24"/>
              </w:rPr>
            </w:pPr>
            <w:r>
              <w:rPr>
                <w:rFonts w:hint="eastAsia" w:ascii="宋体" w:hAnsi="宋体" w:cs="宋体"/>
                <w:sz w:val="24"/>
              </w:rPr>
              <w:t>⑤</w:t>
            </w:r>
            <w:r>
              <w:rPr>
                <w:sz w:val="24"/>
              </w:rPr>
              <w:t>车辆进出厂区严禁鸣喇叭。</w:t>
            </w:r>
          </w:p>
          <w:p>
            <w:pPr>
              <w:autoSpaceDE w:val="0"/>
              <w:autoSpaceDN w:val="0"/>
              <w:spacing w:line="360" w:lineRule="auto"/>
              <w:ind w:firstLine="482" w:firstLineChars="200"/>
              <w:jc w:val="left"/>
              <w:rPr>
                <w:b/>
                <w:bCs/>
                <w:sz w:val="24"/>
              </w:rPr>
            </w:pPr>
            <w:r>
              <w:rPr>
                <w:b/>
                <w:bCs/>
                <w:sz w:val="24"/>
              </w:rPr>
              <w:t>4、固体废物环境影响分析</w:t>
            </w:r>
          </w:p>
          <w:p>
            <w:pPr>
              <w:widowControl/>
              <w:spacing w:line="360" w:lineRule="auto"/>
              <w:ind w:firstLine="480" w:firstLineChars="200"/>
              <w:jc w:val="left"/>
              <w:rPr>
                <w:sz w:val="24"/>
              </w:rPr>
            </w:pPr>
            <w:r>
              <w:rPr>
                <w:sz w:val="24"/>
              </w:rPr>
              <w:t xml:space="preserve">运营期产生的固体废物包括种植固废、生产固废、生活垃圾、废渗透膜、废渗透膜及危险废物。 </w:t>
            </w:r>
          </w:p>
          <w:p>
            <w:pPr>
              <w:widowControl/>
              <w:spacing w:line="360" w:lineRule="auto"/>
              <w:ind w:firstLine="480" w:firstLineChars="200"/>
              <w:jc w:val="left"/>
              <w:rPr>
                <w:sz w:val="24"/>
              </w:rPr>
            </w:pPr>
            <w:r>
              <w:rPr>
                <w:sz w:val="24"/>
              </w:rPr>
              <w:t>（1）一般固废</w:t>
            </w:r>
          </w:p>
          <w:p>
            <w:pPr>
              <w:widowControl/>
              <w:numPr>
                <w:ilvl w:val="0"/>
                <w:numId w:val="14"/>
              </w:numPr>
              <w:spacing w:line="360" w:lineRule="auto"/>
              <w:jc w:val="left"/>
              <w:rPr>
                <w:sz w:val="24"/>
              </w:rPr>
            </w:pPr>
            <w:r>
              <w:rPr>
                <w:sz w:val="24"/>
              </w:rPr>
              <w:t>枯萎玫瑰花（S1）和不合格玫瑰花（S2）</w:t>
            </w:r>
          </w:p>
          <w:p>
            <w:pPr>
              <w:widowControl/>
              <w:spacing w:line="360" w:lineRule="auto"/>
              <w:ind w:firstLine="480" w:firstLineChars="200"/>
              <w:jc w:val="left"/>
              <w:rPr>
                <w:sz w:val="24"/>
              </w:rPr>
            </w:pPr>
            <w:r>
              <w:rPr>
                <w:sz w:val="24"/>
              </w:rPr>
              <w:t>玫瑰育苗长成后，准备栽植，先进行育苗挑选。根据业主介绍，不合格玫瑰花及枯萎玫瑰花产生量为 0.03t/亩·a。本项目种植面积约为82亩，一年6茬。即枯萎玫瑰花（S1）和不合格玫瑰花（S2）产生量为14.76t/a。收集后，</w:t>
            </w:r>
            <w:r>
              <w:rPr>
                <w:sz w:val="24"/>
                <w:lang w:bidi="ar"/>
              </w:rPr>
              <w:t>外售农户处理或处理后还田（不发酵）</w:t>
            </w:r>
            <w:r>
              <w:rPr>
                <w:sz w:val="24"/>
              </w:rPr>
              <w:t>，对周边环境影响较小。</w:t>
            </w:r>
          </w:p>
          <w:p>
            <w:pPr>
              <w:widowControl/>
              <w:numPr>
                <w:ilvl w:val="0"/>
                <w:numId w:val="14"/>
              </w:numPr>
              <w:spacing w:line="360" w:lineRule="auto"/>
              <w:jc w:val="left"/>
              <w:rPr>
                <w:sz w:val="24"/>
              </w:rPr>
            </w:pPr>
            <w:r>
              <w:rPr>
                <w:sz w:val="24"/>
              </w:rPr>
              <w:t>废包材（S3）</w:t>
            </w:r>
          </w:p>
          <w:p>
            <w:pPr>
              <w:spacing w:line="360" w:lineRule="auto"/>
              <w:ind w:firstLine="480" w:firstLineChars="200"/>
              <w:rPr>
                <w:sz w:val="24"/>
              </w:rPr>
            </w:pPr>
            <w:r>
              <w:rPr>
                <w:sz w:val="24"/>
              </w:rPr>
              <w:t>项目包花过程中会产生废包材，产生量约6t/a，废包材收集后委托环卫部门处理，对周围环境影响较小。</w:t>
            </w:r>
          </w:p>
          <w:p>
            <w:pPr>
              <w:numPr>
                <w:ilvl w:val="0"/>
                <w:numId w:val="14"/>
              </w:numPr>
              <w:spacing w:line="360" w:lineRule="auto"/>
              <w:rPr>
                <w:sz w:val="24"/>
              </w:rPr>
            </w:pPr>
            <w:r>
              <w:rPr>
                <w:sz w:val="24"/>
              </w:rPr>
              <w:t>生活垃圾</w:t>
            </w:r>
          </w:p>
          <w:p>
            <w:pPr>
              <w:pStyle w:val="37"/>
              <w:adjustRightInd/>
              <w:jc w:val="both"/>
              <w:rPr>
                <w:rFonts w:hAnsi="Times New Roman"/>
                <w:szCs w:val="21"/>
              </w:rPr>
            </w:pPr>
            <w:r>
              <w:rPr>
                <w:rFonts w:hAnsi="Times New Roman"/>
                <w:szCs w:val="21"/>
              </w:rPr>
              <w:t>员工</w:t>
            </w:r>
            <w:r>
              <w:rPr>
                <w:rFonts w:hAnsi="Times New Roman"/>
              </w:rPr>
              <w:t>生活垃圾平均每人每天产生量约为0.5 kg，则生活垃圾的产生量为14kg/d（ 5.11t/a），</w:t>
            </w:r>
            <w:r>
              <w:rPr>
                <w:rFonts w:hAnsi="Times New Roman"/>
                <w:szCs w:val="21"/>
              </w:rPr>
              <w:t>生活垃圾经垃圾桶收集后投放指定地点，由环卫部门统一清运、处置，对周边环境影响较小。</w:t>
            </w:r>
          </w:p>
          <w:p>
            <w:pPr>
              <w:pStyle w:val="37"/>
              <w:numPr>
                <w:ilvl w:val="0"/>
                <w:numId w:val="14"/>
              </w:numPr>
              <w:adjustRightInd/>
              <w:ind w:firstLineChars="0"/>
              <w:jc w:val="both"/>
              <w:rPr>
                <w:rFonts w:hAnsi="Times New Roman"/>
              </w:rPr>
            </w:pPr>
            <w:r>
              <w:rPr>
                <w:rFonts w:hAnsi="Times New Roman"/>
              </w:rPr>
              <w:t>生物质锅炉灰渣</w:t>
            </w:r>
          </w:p>
          <w:p>
            <w:pPr>
              <w:widowControl/>
              <w:spacing w:line="360" w:lineRule="auto"/>
              <w:ind w:firstLine="480" w:firstLineChars="200"/>
              <w:jc w:val="left"/>
              <w:rPr>
                <w:sz w:val="24"/>
              </w:rPr>
            </w:pPr>
            <w:r>
              <w:rPr>
                <w:sz w:val="24"/>
              </w:rPr>
              <w:t>项目采用生物质锅炉提供蒸汽进行蒸馏，并设有除尘设备，项目生物质颗粒灰分约为 1.4%，锅炉一年使用天数为152天，每天20t,则本项目锅炉灰渣及除尘器废渣为 42.5t/a（280kg/d），产生量较小，每天收集清运，用作周边农户还田使用。</w:t>
            </w:r>
          </w:p>
          <w:p>
            <w:pPr>
              <w:numPr>
                <w:ilvl w:val="0"/>
                <w:numId w:val="14"/>
              </w:numPr>
              <w:spacing w:line="360" w:lineRule="auto"/>
              <w:rPr>
                <w:sz w:val="24"/>
              </w:rPr>
            </w:pPr>
            <w:r>
              <w:rPr>
                <w:sz w:val="24"/>
              </w:rPr>
              <w:t>农药、化肥包装</w:t>
            </w:r>
          </w:p>
          <w:p>
            <w:pPr>
              <w:spacing w:line="360" w:lineRule="auto"/>
              <w:ind w:firstLine="480" w:firstLineChars="200"/>
              <w:rPr>
                <w:sz w:val="24"/>
              </w:rPr>
            </w:pPr>
            <w:r>
              <w:rPr>
                <w:sz w:val="24"/>
              </w:rPr>
              <w:t xml:space="preserve"> 项目基地在玫瑰种植阶段，使用农药和化肥时会产生废弃的包装物，化肥包装物的量为总用量的3%计，因此，产生的化肥废弃包装物为0.34t/a；农药包装物的量为总用量的1%计，本项目农药包装物为0.059t/a。</w:t>
            </w:r>
            <w:r>
              <w:rPr>
                <w:sz w:val="24"/>
                <w:lang w:bidi="ar"/>
              </w:rPr>
              <w:t>根据《国家危险废物名录》（2021）中“附录”中“危险废物豁免管理清单”，属于豁免类。故全过程可不按危险废物管理</w:t>
            </w:r>
            <w:r>
              <w:rPr>
                <w:sz w:val="24"/>
              </w:rPr>
              <w:t>，</w:t>
            </w:r>
            <w:r>
              <w:rPr>
                <w:rFonts w:hint="eastAsia"/>
                <w:sz w:val="24"/>
              </w:rPr>
              <w:t>按照一般固体废物处置</w:t>
            </w:r>
            <w:r>
              <w:rPr>
                <w:sz w:val="24"/>
              </w:rPr>
              <w:t>。</w:t>
            </w:r>
          </w:p>
          <w:p>
            <w:pPr>
              <w:numPr>
                <w:ilvl w:val="0"/>
                <w:numId w:val="14"/>
              </w:numPr>
              <w:spacing w:line="360" w:lineRule="auto"/>
              <w:rPr>
                <w:sz w:val="24"/>
              </w:rPr>
            </w:pPr>
            <w:r>
              <w:rPr>
                <w:sz w:val="24"/>
              </w:rPr>
              <w:t>废含油手套</w:t>
            </w:r>
          </w:p>
          <w:p>
            <w:pPr>
              <w:spacing w:line="360" w:lineRule="auto"/>
              <w:ind w:firstLine="480" w:firstLineChars="200"/>
              <w:rPr>
                <w:sz w:val="24"/>
              </w:rPr>
            </w:pPr>
            <w:r>
              <w:rPr>
                <w:sz w:val="24"/>
              </w:rPr>
              <w:t>项目生产过程中员工佩戴使用抹布手套，废含油抹布手套的产生量约为0.005 t/a， 根据《国家危险废物名录》（2021）中“附录”中“危险废物豁免管理清单”，属于豁免类。故全过程可不按危险废物管理，，</w:t>
            </w:r>
            <w:r>
              <w:rPr>
                <w:rFonts w:hint="eastAsia"/>
                <w:sz w:val="24"/>
              </w:rPr>
              <w:t>按照一般固体废物处置</w:t>
            </w:r>
            <w:r>
              <w:rPr>
                <w:sz w:val="24"/>
              </w:rPr>
              <w:t>。</w:t>
            </w:r>
          </w:p>
          <w:p>
            <w:pPr>
              <w:numPr>
                <w:ilvl w:val="0"/>
                <w:numId w:val="14"/>
              </w:numPr>
              <w:spacing w:line="360" w:lineRule="auto"/>
              <w:rPr>
                <w:sz w:val="24"/>
              </w:rPr>
            </w:pPr>
            <w:r>
              <w:rPr>
                <w:sz w:val="24"/>
              </w:rPr>
              <w:t>废渗透膜</w:t>
            </w:r>
          </w:p>
          <w:p>
            <w:pPr>
              <w:spacing w:line="360" w:lineRule="auto"/>
              <w:ind w:firstLine="480" w:firstLineChars="200"/>
              <w:rPr>
                <w:sz w:val="24"/>
              </w:rPr>
            </w:pPr>
            <w:r>
              <w:rPr>
                <w:sz w:val="24"/>
              </w:rPr>
              <w:t>本项目运营过程中软化水制造会产生</w:t>
            </w:r>
            <w:r>
              <w:rPr>
                <w:rFonts w:hint="eastAsia"/>
                <w:sz w:val="24"/>
              </w:rPr>
              <w:t>废渗透膜，为一般固废，通过收集后回收处理</w:t>
            </w:r>
            <w:r>
              <w:rPr>
                <w:sz w:val="24"/>
              </w:rPr>
              <w:t>，对周边环境影响不大。</w:t>
            </w:r>
          </w:p>
          <w:p>
            <w:pPr>
              <w:spacing w:line="360" w:lineRule="auto"/>
              <w:ind w:firstLine="480" w:firstLineChars="200"/>
              <w:rPr>
                <w:sz w:val="24"/>
              </w:rPr>
            </w:pPr>
            <w:r>
              <w:rPr>
                <w:sz w:val="24"/>
              </w:rPr>
              <w:t>（2）危险废物</w:t>
            </w:r>
          </w:p>
          <w:p>
            <w:pPr>
              <w:numPr>
                <w:ilvl w:val="0"/>
                <w:numId w:val="15"/>
              </w:numPr>
              <w:spacing w:line="360" w:lineRule="auto"/>
              <w:rPr>
                <w:sz w:val="24"/>
              </w:rPr>
            </w:pPr>
            <w:r>
              <w:rPr>
                <w:sz w:val="24"/>
              </w:rPr>
              <w:t>废机油</w:t>
            </w:r>
          </w:p>
          <w:p>
            <w:pPr>
              <w:spacing w:line="360" w:lineRule="auto"/>
              <w:ind w:firstLine="480" w:firstLineChars="200"/>
              <w:rPr>
                <w:sz w:val="24"/>
              </w:rPr>
            </w:pPr>
            <w:r>
              <w:rPr>
                <w:sz w:val="24"/>
              </w:rPr>
              <w:t>本项目设备运行过程使用的废机油，产生量约0.5t/a，根据《国家危险废物名录》（2021），为危险固废，废物类别HW08，废物代码900-217-08，收集后暂存在危险废物贮存库，委托相关资质单位回收处理，对周边环境影响不大。</w:t>
            </w:r>
          </w:p>
          <w:p>
            <w:pPr>
              <w:pStyle w:val="13"/>
              <w:numPr>
                <w:ilvl w:val="0"/>
                <w:numId w:val="15"/>
              </w:numPr>
              <w:spacing w:line="360" w:lineRule="auto"/>
              <w:rPr>
                <w:rFonts w:ascii="Times New Roman"/>
                <w:color w:val="auto"/>
                <w:kern w:val="2"/>
              </w:rPr>
            </w:pPr>
            <w:r>
              <w:rPr>
                <w:rFonts w:ascii="Times New Roman"/>
                <w:color w:val="auto"/>
              </w:rPr>
              <w:t>硝酸、硫酸铵</w:t>
            </w:r>
            <w:r>
              <w:rPr>
                <w:rFonts w:ascii="Times New Roman"/>
                <w:color w:val="auto"/>
                <w:kern w:val="2"/>
              </w:rPr>
              <w:t>包装物</w:t>
            </w:r>
          </w:p>
          <w:p>
            <w:pPr>
              <w:spacing w:line="360" w:lineRule="auto"/>
              <w:ind w:firstLine="480" w:firstLineChars="200"/>
              <w:rPr>
                <w:sz w:val="24"/>
              </w:rPr>
            </w:pPr>
            <w:r>
              <w:rPr>
                <w:sz w:val="24"/>
              </w:rPr>
              <w:t>本项目运营过程中有使用硝酸、硫酸铵等为危险物质，根据《国家危险废物名录》（2021），以上物质使用后空瓶属于HW49其他废物，废物代码900-042-49，产生量约为0.3t/a，收集后,做好储存措施后暂存在危险废物贮存库，委托具有危废处置资质的单位回收处理，对周边环境影响不大。</w:t>
            </w:r>
          </w:p>
          <w:p>
            <w:pPr>
              <w:spacing w:line="360" w:lineRule="auto"/>
              <w:ind w:firstLine="480" w:firstLineChars="200"/>
              <w:rPr>
                <w:sz w:val="24"/>
              </w:rPr>
            </w:pPr>
            <w:r>
              <w:rPr>
                <w:sz w:val="24"/>
              </w:rPr>
              <w:t>环评要求建设危险废物贮存库（占地面积为28.2m</w:t>
            </w:r>
            <w:r>
              <w:rPr>
                <w:sz w:val="24"/>
                <w:vertAlign w:val="superscript"/>
              </w:rPr>
              <w:t>2</w:t>
            </w:r>
            <w:r>
              <w:rPr>
                <w:sz w:val="24"/>
              </w:rPr>
              <w:t>），使用高密度的聚丙烯桶对废润滑油等进行收集，并将收集容器贴上标签，设置警告牌，将其统一暂存于危险废物贮存库内，定期委托有资质的单位处理。危险废物贮存库的建设须满足《危险废物贮存污染控制标准》（GB18597-2023）中的相关要求，地面与墙角脚要用坚固、防渗的材料建造，建筑材料必须与危险废物相容。必须有泄漏液体收集装置、气体导出口及气体净化装置。设施内要有安全照明设施和观察窗口。用以存放装载液体、半固态危险废物容器的地方，必须有耐腐蚀的硬化地面，且表面无裂隙。应设计堵截泄漏的墙脚，地面与墙脚所围建的容积不低于堵截最大容器的最大储量或总储量的1/5。不相容的危险废物必须分开存放，并设有隔离间隔断。基础必须防渗，防渗层为至少1m厚黏土层（渗透系数≤10</w:t>
            </w:r>
            <w:r>
              <w:rPr>
                <w:sz w:val="24"/>
                <w:vertAlign w:val="superscript"/>
              </w:rPr>
              <w:t>-7</w:t>
            </w:r>
            <w:r>
              <w:rPr>
                <w:sz w:val="24"/>
              </w:rPr>
              <w:t>cm/s），或2mm厚高密度聚乙烯，或至少2mm厚的其它人工材料，渗透系数≤10</w:t>
            </w:r>
            <w:r>
              <w:rPr>
                <w:sz w:val="24"/>
                <w:vertAlign w:val="superscript"/>
              </w:rPr>
              <w:t>-10</w:t>
            </w:r>
            <w:r>
              <w:rPr>
                <w:sz w:val="24"/>
              </w:rPr>
              <w:t>cm/s。</w:t>
            </w:r>
          </w:p>
          <w:p>
            <w:pPr>
              <w:spacing w:line="360" w:lineRule="auto"/>
              <w:ind w:firstLine="480" w:firstLineChars="200"/>
              <w:rPr>
                <w:sz w:val="24"/>
              </w:rPr>
            </w:pPr>
            <w:r>
              <w:rPr>
                <w:sz w:val="24"/>
              </w:rPr>
              <w:t>危险废物在送往有资质的危险废物处理单位进行无害化处理前应按《危险废物转移管理办法》相关要求。</w:t>
            </w:r>
          </w:p>
          <w:p>
            <w:pPr>
              <w:spacing w:line="360" w:lineRule="auto"/>
              <w:ind w:firstLine="480" w:firstLineChars="200"/>
              <w:rPr>
                <w:sz w:val="24"/>
              </w:rPr>
            </w:pPr>
            <w:r>
              <w:rPr>
                <w:sz w:val="24"/>
              </w:rPr>
              <w:t>危险废物产生单位在转移危险废物前，须按照国家有关规定报批危险废物转移计划；经批准后，产生单位应当向移出地环境保护行政主管部门申请领取联单。</w:t>
            </w:r>
          </w:p>
          <w:p>
            <w:pPr>
              <w:spacing w:line="360" w:lineRule="auto"/>
              <w:ind w:firstLine="480" w:firstLineChars="200"/>
              <w:rPr>
                <w:sz w:val="24"/>
              </w:rPr>
            </w:pPr>
            <w:r>
              <w:rPr>
                <w:sz w:val="24"/>
              </w:rPr>
              <w:t>产生单位应当在危险废物转移前三日内报告移出地环境保护行政主管部门，并同时将预期到达时间报告接受地环境保护行政主管部门。</w:t>
            </w:r>
          </w:p>
          <w:p>
            <w:pPr>
              <w:spacing w:line="360" w:lineRule="auto"/>
              <w:ind w:firstLine="480" w:firstLineChars="200"/>
              <w:rPr>
                <w:sz w:val="24"/>
              </w:rPr>
            </w:pPr>
            <w:r>
              <w:rPr>
                <w:sz w:val="24"/>
              </w:rPr>
              <w:t>危险废物产生单位应当如实填写联单中产生单位栏目，并加盖公章，经交付危险废物运输单位核实验收签字后，将联单第一联副联自留存档，将联单第二联交移出地环境保护行政主管部门，联单第一联正联及其余各联交付运输单位随危险废物转移运行。</w:t>
            </w:r>
          </w:p>
          <w:p>
            <w:pPr>
              <w:spacing w:line="360" w:lineRule="auto"/>
            </w:pPr>
            <w:r>
              <w:rPr>
                <w:sz w:val="24"/>
              </w:rPr>
              <w:t>固废的统计及处置情况见下表所示。</w:t>
            </w:r>
          </w:p>
          <w:p>
            <w:pPr>
              <w:spacing w:line="360" w:lineRule="auto"/>
              <w:ind w:firstLine="482" w:firstLineChars="200"/>
              <w:jc w:val="center"/>
              <w:rPr>
                <w:b/>
                <w:bCs/>
                <w:sz w:val="24"/>
              </w:rPr>
            </w:pPr>
            <w:r>
              <w:rPr>
                <w:b/>
                <w:bCs/>
                <w:sz w:val="24"/>
              </w:rPr>
              <w:t>表4-13 项目固废产生情况及处置措施</w:t>
            </w:r>
          </w:p>
          <w:tbl>
            <w:tblPr>
              <w:tblStyle w:val="27"/>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1318"/>
              <w:gridCol w:w="1350"/>
              <w:gridCol w:w="1281"/>
              <w:gridCol w:w="1199"/>
              <w:gridCol w:w="891"/>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14" w:type="pct"/>
                  <w:vAlign w:val="center"/>
                </w:tcPr>
                <w:p>
                  <w:pPr>
                    <w:jc w:val="center"/>
                    <w:rPr>
                      <w:b/>
                      <w:szCs w:val="21"/>
                    </w:rPr>
                  </w:pPr>
                  <w:r>
                    <w:rPr>
                      <w:b/>
                      <w:szCs w:val="21"/>
                    </w:rPr>
                    <w:t>序号</w:t>
                  </w:r>
                </w:p>
              </w:tc>
              <w:tc>
                <w:tcPr>
                  <w:tcW w:w="770" w:type="pct"/>
                  <w:vAlign w:val="center"/>
                </w:tcPr>
                <w:p>
                  <w:pPr>
                    <w:jc w:val="center"/>
                    <w:rPr>
                      <w:b/>
                      <w:szCs w:val="21"/>
                    </w:rPr>
                  </w:pPr>
                  <w:r>
                    <w:rPr>
                      <w:b/>
                      <w:szCs w:val="21"/>
                    </w:rPr>
                    <w:t>废物名称</w:t>
                  </w:r>
                </w:p>
              </w:tc>
              <w:tc>
                <w:tcPr>
                  <w:tcW w:w="788" w:type="pct"/>
                  <w:vAlign w:val="center"/>
                </w:tcPr>
                <w:p>
                  <w:pPr>
                    <w:jc w:val="center"/>
                    <w:rPr>
                      <w:b/>
                      <w:szCs w:val="21"/>
                    </w:rPr>
                  </w:pPr>
                  <w:r>
                    <w:rPr>
                      <w:b/>
                      <w:szCs w:val="21"/>
                    </w:rPr>
                    <w:t>产生位置</w:t>
                  </w:r>
                </w:p>
              </w:tc>
              <w:tc>
                <w:tcPr>
                  <w:tcW w:w="748" w:type="pct"/>
                  <w:vAlign w:val="center"/>
                </w:tcPr>
                <w:p>
                  <w:pPr>
                    <w:jc w:val="center"/>
                    <w:rPr>
                      <w:b/>
                      <w:szCs w:val="21"/>
                    </w:rPr>
                  </w:pPr>
                  <w:r>
                    <w:rPr>
                      <w:b/>
                      <w:szCs w:val="21"/>
                    </w:rPr>
                    <w:t>固废属性</w:t>
                  </w:r>
                </w:p>
              </w:tc>
              <w:tc>
                <w:tcPr>
                  <w:tcW w:w="700" w:type="pct"/>
                  <w:vAlign w:val="center"/>
                </w:tcPr>
                <w:p>
                  <w:pPr>
                    <w:jc w:val="center"/>
                    <w:rPr>
                      <w:b/>
                      <w:szCs w:val="21"/>
                    </w:rPr>
                  </w:pPr>
                  <w:r>
                    <w:rPr>
                      <w:b/>
                      <w:szCs w:val="21"/>
                    </w:rPr>
                    <w:t>危废代码</w:t>
                  </w:r>
                </w:p>
              </w:tc>
              <w:tc>
                <w:tcPr>
                  <w:tcW w:w="520" w:type="pct"/>
                  <w:vAlign w:val="center"/>
                </w:tcPr>
                <w:p>
                  <w:pPr>
                    <w:jc w:val="center"/>
                    <w:rPr>
                      <w:b/>
                      <w:szCs w:val="21"/>
                    </w:rPr>
                  </w:pPr>
                  <w:r>
                    <w:rPr>
                      <w:b/>
                      <w:szCs w:val="21"/>
                    </w:rPr>
                    <w:t>产生量t/a</w:t>
                  </w:r>
                </w:p>
              </w:tc>
              <w:tc>
                <w:tcPr>
                  <w:tcW w:w="1161" w:type="pct"/>
                  <w:vAlign w:val="center"/>
                </w:tcPr>
                <w:p>
                  <w:pPr>
                    <w:jc w:val="center"/>
                    <w:rPr>
                      <w:b/>
                      <w:szCs w:val="21"/>
                    </w:rPr>
                  </w:pPr>
                  <w:r>
                    <w:rPr>
                      <w:b/>
                      <w:szCs w:val="21"/>
                    </w:rPr>
                    <w:t>处置去向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14" w:type="pct"/>
                  <w:vAlign w:val="center"/>
                </w:tcPr>
                <w:p>
                  <w:pPr>
                    <w:jc w:val="center"/>
                    <w:rPr>
                      <w:szCs w:val="21"/>
                    </w:rPr>
                  </w:pPr>
                  <w:r>
                    <w:rPr>
                      <w:szCs w:val="21"/>
                    </w:rPr>
                    <w:t>1</w:t>
                  </w:r>
                </w:p>
              </w:tc>
              <w:tc>
                <w:tcPr>
                  <w:tcW w:w="770" w:type="pct"/>
                  <w:vAlign w:val="center"/>
                </w:tcPr>
                <w:p>
                  <w:pPr>
                    <w:jc w:val="center"/>
                    <w:rPr>
                      <w:szCs w:val="21"/>
                    </w:rPr>
                  </w:pPr>
                  <w:r>
                    <w:rPr>
                      <w:szCs w:val="21"/>
                    </w:rPr>
                    <w:t>废包材</w:t>
                  </w:r>
                </w:p>
              </w:tc>
              <w:tc>
                <w:tcPr>
                  <w:tcW w:w="788" w:type="pct"/>
                  <w:vAlign w:val="center"/>
                </w:tcPr>
                <w:p>
                  <w:pPr>
                    <w:jc w:val="center"/>
                    <w:rPr>
                      <w:szCs w:val="21"/>
                    </w:rPr>
                  </w:pPr>
                  <w:r>
                    <w:rPr>
                      <w:szCs w:val="21"/>
                    </w:rPr>
                    <w:t>生产</w:t>
                  </w:r>
                </w:p>
              </w:tc>
              <w:tc>
                <w:tcPr>
                  <w:tcW w:w="748" w:type="pct"/>
                  <w:vAlign w:val="center"/>
                </w:tcPr>
                <w:p>
                  <w:pPr>
                    <w:jc w:val="center"/>
                    <w:rPr>
                      <w:szCs w:val="21"/>
                    </w:rPr>
                  </w:pPr>
                  <w:r>
                    <w:rPr>
                      <w:szCs w:val="21"/>
                    </w:rPr>
                    <w:t>一般固废</w:t>
                  </w:r>
                </w:p>
              </w:tc>
              <w:tc>
                <w:tcPr>
                  <w:tcW w:w="700" w:type="pct"/>
                  <w:vAlign w:val="center"/>
                </w:tcPr>
                <w:p>
                  <w:pPr>
                    <w:jc w:val="center"/>
                    <w:rPr>
                      <w:szCs w:val="21"/>
                    </w:rPr>
                  </w:pPr>
                  <w:r>
                    <w:rPr>
                      <w:szCs w:val="21"/>
                    </w:rPr>
                    <w:t>/</w:t>
                  </w:r>
                </w:p>
              </w:tc>
              <w:tc>
                <w:tcPr>
                  <w:tcW w:w="520" w:type="pct"/>
                  <w:vAlign w:val="center"/>
                </w:tcPr>
                <w:p>
                  <w:pPr>
                    <w:jc w:val="center"/>
                    <w:rPr>
                      <w:szCs w:val="21"/>
                    </w:rPr>
                  </w:pPr>
                  <w:r>
                    <w:rPr>
                      <w:szCs w:val="21"/>
                    </w:rPr>
                    <w:t>6</w:t>
                  </w:r>
                </w:p>
              </w:tc>
              <w:tc>
                <w:tcPr>
                  <w:tcW w:w="1161" w:type="pct"/>
                  <w:vAlign w:val="center"/>
                </w:tcPr>
                <w:p>
                  <w:pPr>
                    <w:jc w:val="center"/>
                    <w:rPr>
                      <w:szCs w:val="21"/>
                    </w:rPr>
                  </w:pPr>
                  <w:r>
                    <w:rPr>
                      <w:szCs w:val="21"/>
                    </w:rPr>
                    <w:t>外售处理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14" w:type="pct"/>
                  <w:vAlign w:val="center"/>
                </w:tcPr>
                <w:p>
                  <w:pPr>
                    <w:jc w:val="center"/>
                    <w:rPr>
                      <w:szCs w:val="21"/>
                    </w:rPr>
                  </w:pPr>
                  <w:r>
                    <w:rPr>
                      <w:szCs w:val="21"/>
                    </w:rPr>
                    <w:t>2</w:t>
                  </w:r>
                </w:p>
              </w:tc>
              <w:tc>
                <w:tcPr>
                  <w:tcW w:w="770" w:type="pct"/>
                  <w:vAlign w:val="center"/>
                </w:tcPr>
                <w:p>
                  <w:pPr>
                    <w:jc w:val="center"/>
                    <w:rPr>
                      <w:szCs w:val="21"/>
                    </w:rPr>
                  </w:pPr>
                  <w:r>
                    <w:rPr>
                      <w:szCs w:val="21"/>
                    </w:rPr>
                    <w:t>生活垃圾</w:t>
                  </w:r>
                </w:p>
              </w:tc>
              <w:tc>
                <w:tcPr>
                  <w:tcW w:w="788" w:type="pct"/>
                  <w:vAlign w:val="center"/>
                </w:tcPr>
                <w:p>
                  <w:pPr>
                    <w:jc w:val="center"/>
                    <w:rPr>
                      <w:szCs w:val="21"/>
                    </w:rPr>
                  </w:pPr>
                  <w:r>
                    <w:rPr>
                      <w:szCs w:val="21"/>
                    </w:rPr>
                    <w:t>生活区</w:t>
                  </w:r>
                </w:p>
              </w:tc>
              <w:tc>
                <w:tcPr>
                  <w:tcW w:w="748" w:type="pct"/>
                  <w:vAlign w:val="center"/>
                </w:tcPr>
                <w:p>
                  <w:pPr>
                    <w:jc w:val="center"/>
                    <w:rPr>
                      <w:szCs w:val="21"/>
                    </w:rPr>
                  </w:pPr>
                  <w:r>
                    <w:rPr>
                      <w:szCs w:val="21"/>
                    </w:rPr>
                    <w:t>一般固废</w:t>
                  </w:r>
                </w:p>
              </w:tc>
              <w:tc>
                <w:tcPr>
                  <w:tcW w:w="700" w:type="pct"/>
                  <w:vAlign w:val="center"/>
                </w:tcPr>
                <w:p>
                  <w:pPr>
                    <w:jc w:val="center"/>
                    <w:rPr>
                      <w:szCs w:val="21"/>
                    </w:rPr>
                  </w:pPr>
                  <w:r>
                    <w:rPr>
                      <w:szCs w:val="21"/>
                    </w:rPr>
                    <w:t>/</w:t>
                  </w:r>
                </w:p>
              </w:tc>
              <w:tc>
                <w:tcPr>
                  <w:tcW w:w="520" w:type="pct"/>
                  <w:vAlign w:val="center"/>
                </w:tcPr>
                <w:p>
                  <w:pPr>
                    <w:jc w:val="center"/>
                    <w:rPr>
                      <w:szCs w:val="21"/>
                    </w:rPr>
                  </w:pPr>
                  <w:r>
                    <w:rPr>
                      <w:szCs w:val="21"/>
                    </w:rPr>
                    <w:t>34.31</w:t>
                  </w:r>
                </w:p>
              </w:tc>
              <w:tc>
                <w:tcPr>
                  <w:tcW w:w="1161" w:type="pct"/>
                  <w:vAlign w:val="center"/>
                </w:tcPr>
                <w:p>
                  <w:pPr>
                    <w:jc w:val="center"/>
                    <w:rPr>
                      <w:szCs w:val="21"/>
                    </w:rPr>
                  </w:pPr>
                  <w:r>
                    <w:rPr>
                      <w:szCs w:val="21"/>
                    </w:rPr>
                    <w:t>由环卫部门清运处置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14" w:type="pct"/>
                  <w:vAlign w:val="center"/>
                </w:tcPr>
                <w:p>
                  <w:pPr>
                    <w:jc w:val="center"/>
                    <w:rPr>
                      <w:szCs w:val="21"/>
                    </w:rPr>
                  </w:pPr>
                  <w:r>
                    <w:rPr>
                      <w:szCs w:val="21"/>
                    </w:rPr>
                    <w:t>3</w:t>
                  </w:r>
                </w:p>
              </w:tc>
              <w:tc>
                <w:tcPr>
                  <w:tcW w:w="770" w:type="pct"/>
                  <w:vAlign w:val="center"/>
                </w:tcPr>
                <w:p>
                  <w:pPr>
                    <w:jc w:val="center"/>
                    <w:rPr>
                      <w:szCs w:val="21"/>
                    </w:rPr>
                  </w:pPr>
                  <w:r>
                    <w:rPr>
                      <w:szCs w:val="21"/>
                    </w:rPr>
                    <w:t>不合格玫瑰花和枯萎玫瑰花枝</w:t>
                  </w:r>
                </w:p>
              </w:tc>
              <w:tc>
                <w:tcPr>
                  <w:tcW w:w="788" w:type="pct"/>
                  <w:vAlign w:val="center"/>
                </w:tcPr>
                <w:p>
                  <w:pPr>
                    <w:jc w:val="center"/>
                    <w:rPr>
                      <w:szCs w:val="21"/>
                    </w:rPr>
                  </w:pPr>
                  <w:r>
                    <w:rPr>
                      <w:szCs w:val="21"/>
                    </w:rPr>
                    <w:t>生产</w:t>
                  </w:r>
                </w:p>
              </w:tc>
              <w:tc>
                <w:tcPr>
                  <w:tcW w:w="748" w:type="pct"/>
                  <w:vAlign w:val="center"/>
                </w:tcPr>
                <w:p>
                  <w:pPr>
                    <w:jc w:val="center"/>
                    <w:rPr>
                      <w:szCs w:val="21"/>
                    </w:rPr>
                  </w:pPr>
                  <w:r>
                    <w:rPr>
                      <w:szCs w:val="21"/>
                    </w:rPr>
                    <w:t>一般固废</w:t>
                  </w:r>
                </w:p>
              </w:tc>
              <w:tc>
                <w:tcPr>
                  <w:tcW w:w="700" w:type="pct"/>
                  <w:vAlign w:val="center"/>
                </w:tcPr>
                <w:p>
                  <w:pPr>
                    <w:jc w:val="center"/>
                    <w:rPr>
                      <w:szCs w:val="21"/>
                    </w:rPr>
                  </w:pPr>
                  <w:r>
                    <w:rPr>
                      <w:szCs w:val="21"/>
                    </w:rPr>
                    <w:t>/</w:t>
                  </w:r>
                </w:p>
              </w:tc>
              <w:tc>
                <w:tcPr>
                  <w:tcW w:w="520" w:type="pct"/>
                  <w:vAlign w:val="center"/>
                </w:tcPr>
                <w:p>
                  <w:pPr>
                    <w:jc w:val="center"/>
                    <w:rPr>
                      <w:szCs w:val="21"/>
                    </w:rPr>
                  </w:pPr>
                  <w:r>
                    <w:rPr>
                      <w:szCs w:val="21"/>
                    </w:rPr>
                    <w:t>14.76</w:t>
                  </w:r>
                </w:p>
              </w:tc>
              <w:tc>
                <w:tcPr>
                  <w:tcW w:w="1161" w:type="pct"/>
                  <w:vAlign w:val="center"/>
                </w:tcPr>
                <w:p>
                  <w:pPr>
                    <w:jc w:val="center"/>
                    <w:rPr>
                      <w:szCs w:val="21"/>
                    </w:rPr>
                  </w:pPr>
                  <w:r>
                    <w:rPr>
                      <w:szCs w:val="21"/>
                    </w:rPr>
                    <w:t>外售农户处理或处理后还田（不发酵）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14" w:type="pct"/>
                  <w:vAlign w:val="center"/>
                </w:tcPr>
                <w:p>
                  <w:pPr>
                    <w:jc w:val="center"/>
                    <w:rPr>
                      <w:szCs w:val="21"/>
                    </w:rPr>
                  </w:pPr>
                  <w:r>
                    <w:rPr>
                      <w:szCs w:val="21"/>
                    </w:rPr>
                    <w:t>4</w:t>
                  </w:r>
                </w:p>
              </w:tc>
              <w:tc>
                <w:tcPr>
                  <w:tcW w:w="770" w:type="pct"/>
                  <w:vAlign w:val="center"/>
                </w:tcPr>
                <w:p>
                  <w:pPr>
                    <w:jc w:val="center"/>
                    <w:rPr>
                      <w:szCs w:val="21"/>
                    </w:rPr>
                  </w:pPr>
                  <w:r>
                    <w:rPr>
                      <w:szCs w:val="21"/>
                    </w:rPr>
                    <w:t>生物质锅炉灰渣</w:t>
                  </w:r>
                </w:p>
              </w:tc>
              <w:tc>
                <w:tcPr>
                  <w:tcW w:w="788" w:type="pct"/>
                  <w:vAlign w:val="center"/>
                </w:tcPr>
                <w:p>
                  <w:pPr>
                    <w:jc w:val="center"/>
                    <w:rPr>
                      <w:szCs w:val="21"/>
                    </w:rPr>
                  </w:pPr>
                  <w:r>
                    <w:rPr>
                      <w:szCs w:val="21"/>
                    </w:rPr>
                    <w:t>生物质锅炉</w:t>
                  </w:r>
                </w:p>
              </w:tc>
              <w:tc>
                <w:tcPr>
                  <w:tcW w:w="748" w:type="pct"/>
                  <w:vAlign w:val="center"/>
                </w:tcPr>
                <w:p>
                  <w:pPr>
                    <w:jc w:val="center"/>
                    <w:rPr>
                      <w:szCs w:val="21"/>
                    </w:rPr>
                  </w:pPr>
                  <w:r>
                    <w:rPr>
                      <w:szCs w:val="21"/>
                    </w:rPr>
                    <w:t>一般固废</w:t>
                  </w:r>
                </w:p>
              </w:tc>
              <w:tc>
                <w:tcPr>
                  <w:tcW w:w="700" w:type="pct"/>
                  <w:vAlign w:val="center"/>
                </w:tcPr>
                <w:p>
                  <w:pPr>
                    <w:jc w:val="center"/>
                    <w:rPr>
                      <w:szCs w:val="21"/>
                    </w:rPr>
                  </w:pPr>
                  <w:r>
                    <w:rPr>
                      <w:szCs w:val="21"/>
                    </w:rPr>
                    <w:t>/</w:t>
                  </w:r>
                </w:p>
              </w:tc>
              <w:tc>
                <w:tcPr>
                  <w:tcW w:w="520" w:type="pct"/>
                  <w:vAlign w:val="center"/>
                </w:tcPr>
                <w:p>
                  <w:pPr>
                    <w:jc w:val="center"/>
                    <w:rPr>
                      <w:szCs w:val="21"/>
                    </w:rPr>
                  </w:pPr>
                  <w:r>
                    <w:rPr>
                      <w:szCs w:val="21"/>
                    </w:rPr>
                    <w:t>42.5</w:t>
                  </w:r>
                </w:p>
              </w:tc>
              <w:tc>
                <w:tcPr>
                  <w:tcW w:w="1161" w:type="pct"/>
                  <w:vAlign w:val="center"/>
                </w:tcPr>
                <w:p>
                  <w:pPr>
                    <w:jc w:val="center"/>
                    <w:rPr>
                      <w:szCs w:val="21"/>
                    </w:rPr>
                  </w:pPr>
                  <w:r>
                    <w:rPr>
                      <w:szCs w:val="21"/>
                    </w:rPr>
                    <w:t>用作周边农户还田使用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14" w:type="pct"/>
                  <w:vAlign w:val="center"/>
                </w:tcPr>
                <w:p>
                  <w:pPr>
                    <w:jc w:val="center"/>
                    <w:rPr>
                      <w:szCs w:val="21"/>
                    </w:rPr>
                  </w:pPr>
                  <w:r>
                    <w:rPr>
                      <w:szCs w:val="21"/>
                    </w:rPr>
                    <w:t>5</w:t>
                  </w:r>
                </w:p>
              </w:tc>
              <w:tc>
                <w:tcPr>
                  <w:tcW w:w="770" w:type="pct"/>
                  <w:vAlign w:val="center"/>
                </w:tcPr>
                <w:p>
                  <w:pPr>
                    <w:jc w:val="center"/>
                    <w:rPr>
                      <w:szCs w:val="21"/>
                    </w:rPr>
                  </w:pPr>
                  <w:r>
                    <w:rPr>
                      <w:szCs w:val="21"/>
                    </w:rPr>
                    <w:t>废渗透膜</w:t>
                  </w:r>
                </w:p>
              </w:tc>
              <w:tc>
                <w:tcPr>
                  <w:tcW w:w="788" w:type="pct"/>
                  <w:vAlign w:val="center"/>
                </w:tcPr>
                <w:p>
                  <w:pPr>
                    <w:jc w:val="center"/>
                    <w:rPr>
                      <w:szCs w:val="21"/>
                    </w:rPr>
                  </w:pPr>
                  <w:r>
                    <w:rPr>
                      <w:szCs w:val="21"/>
                    </w:rPr>
                    <w:t>软化水制造</w:t>
                  </w:r>
                </w:p>
              </w:tc>
              <w:tc>
                <w:tcPr>
                  <w:tcW w:w="748" w:type="pct"/>
                  <w:vAlign w:val="center"/>
                </w:tcPr>
                <w:p>
                  <w:pPr>
                    <w:jc w:val="center"/>
                    <w:rPr>
                      <w:szCs w:val="21"/>
                    </w:rPr>
                  </w:pPr>
                  <w:r>
                    <w:rPr>
                      <w:rFonts w:hint="eastAsia"/>
                      <w:szCs w:val="21"/>
                    </w:rPr>
                    <w:t>一般固废</w:t>
                  </w:r>
                </w:p>
              </w:tc>
              <w:tc>
                <w:tcPr>
                  <w:tcW w:w="700" w:type="pct"/>
                  <w:vAlign w:val="center"/>
                </w:tcPr>
                <w:p>
                  <w:pPr>
                    <w:jc w:val="center"/>
                    <w:rPr>
                      <w:szCs w:val="21"/>
                    </w:rPr>
                  </w:pPr>
                  <w:r>
                    <w:rPr>
                      <w:rFonts w:hint="eastAsia"/>
                      <w:szCs w:val="21"/>
                    </w:rPr>
                    <w:t>/</w:t>
                  </w:r>
                </w:p>
              </w:tc>
              <w:tc>
                <w:tcPr>
                  <w:tcW w:w="520" w:type="pct"/>
                  <w:vAlign w:val="center"/>
                </w:tcPr>
                <w:p>
                  <w:pPr>
                    <w:jc w:val="center"/>
                    <w:rPr>
                      <w:szCs w:val="21"/>
                    </w:rPr>
                  </w:pPr>
                  <w:r>
                    <w:rPr>
                      <w:szCs w:val="21"/>
                    </w:rPr>
                    <w:t>0.4</w:t>
                  </w:r>
                </w:p>
              </w:tc>
              <w:tc>
                <w:tcPr>
                  <w:tcW w:w="1161" w:type="pct"/>
                  <w:vAlign w:val="center"/>
                </w:tcPr>
                <w:p>
                  <w:pPr>
                    <w:jc w:val="center"/>
                    <w:rPr>
                      <w:szCs w:val="21"/>
                    </w:rPr>
                  </w:pPr>
                  <w:r>
                    <w:rPr>
                      <w:rFonts w:hint="eastAsia"/>
                      <w:szCs w:val="21"/>
                    </w:rPr>
                    <w:t>委托相关单位回收处理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14" w:type="pct"/>
                  <w:vAlign w:val="center"/>
                </w:tcPr>
                <w:p>
                  <w:pPr>
                    <w:jc w:val="center"/>
                    <w:rPr>
                      <w:szCs w:val="21"/>
                    </w:rPr>
                  </w:pPr>
                  <w:r>
                    <w:rPr>
                      <w:szCs w:val="21"/>
                    </w:rPr>
                    <w:t>6</w:t>
                  </w:r>
                </w:p>
              </w:tc>
              <w:tc>
                <w:tcPr>
                  <w:tcW w:w="770" w:type="pct"/>
                  <w:vAlign w:val="center"/>
                </w:tcPr>
                <w:p>
                  <w:pPr>
                    <w:jc w:val="center"/>
                    <w:rPr>
                      <w:szCs w:val="21"/>
                    </w:rPr>
                  </w:pPr>
                  <w:r>
                    <w:rPr>
                      <w:szCs w:val="21"/>
                    </w:rPr>
                    <w:t>农药、化肥包装物</w:t>
                  </w:r>
                </w:p>
              </w:tc>
              <w:tc>
                <w:tcPr>
                  <w:tcW w:w="788" w:type="pct"/>
                  <w:vAlign w:val="center"/>
                </w:tcPr>
                <w:p>
                  <w:pPr>
                    <w:jc w:val="center"/>
                    <w:rPr>
                      <w:szCs w:val="21"/>
                    </w:rPr>
                  </w:pPr>
                  <w:r>
                    <w:rPr>
                      <w:szCs w:val="21"/>
                    </w:rPr>
                    <w:t>生产</w:t>
                  </w:r>
                </w:p>
              </w:tc>
              <w:tc>
                <w:tcPr>
                  <w:tcW w:w="748" w:type="pct"/>
                  <w:vAlign w:val="center"/>
                </w:tcPr>
                <w:p>
                  <w:pPr>
                    <w:jc w:val="center"/>
                    <w:rPr>
                      <w:szCs w:val="21"/>
                    </w:rPr>
                  </w:pPr>
                  <w:r>
                    <w:rPr>
                      <w:szCs w:val="21"/>
                    </w:rPr>
                    <w:t>一般固废</w:t>
                  </w:r>
                </w:p>
              </w:tc>
              <w:tc>
                <w:tcPr>
                  <w:tcW w:w="700" w:type="pct"/>
                  <w:vAlign w:val="center"/>
                </w:tcPr>
                <w:p>
                  <w:pPr>
                    <w:jc w:val="center"/>
                    <w:rPr>
                      <w:szCs w:val="21"/>
                    </w:rPr>
                  </w:pPr>
                </w:p>
              </w:tc>
              <w:tc>
                <w:tcPr>
                  <w:tcW w:w="520" w:type="pct"/>
                  <w:vAlign w:val="center"/>
                </w:tcPr>
                <w:p>
                  <w:pPr>
                    <w:jc w:val="center"/>
                    <w:rPr>
                      <w:szCs w:val="21"/>
                    </w:rPr>
                  </w:pPr>
                  <w:r>
                    <w:rPr>
                      <w:szCs w:val="21"/>
                    </w:rPr>
                    <w:t>0.399</w:t>
                  </w:r>
                </w:p>
              </w:tc>
              <w:tc>
                <w:tcPr>
                  <w:tcW w:w="1161" w:type="pct"/>
                  <w:vAlign w:val="center"/>
                </w:tcPr>
                <w:p>
                  <w:pPr>
                    <w:jc w:val="center"/>
                    <w:rPr>
                      <w:szCs w:val="21"/>
                    </w:rPr>
                  </w:pPr>
                  <w:r>
                    <w:rPr>
                      <w:szCs w:val="21"/>
                    </w:rPr>
                    <w:t>属于豁免类</w:t>
                  </w:r>
                  <w:r>
                    <w:rPr>
                      <w:rFonts w:hint="eastAsia"/>
                      <w:szCs w:val="21"/>
                    </w:rPr>
                    <w:t>，按照一般固体废物处置。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14" w:type="pct"/>
                  <w:vAlign w:val="center"/>
                </w:tcPr>
                <w:p>
                  <w:pPr>
                    <w:jc w:val="center"/>
                    <w:rPr>
                      <w:szCs w:val="21"/>
                    </w:rPr>
                  </w:pPr>
                  <w:r>
                    <w:rPr>
                      <w:szCs w:val="21"/>
                    </w:rPr>
                    <w:t>7</w:t>
                  </w:r>
                </w:p>
              </w:tc>
              <w:tc>
                <w:tcPr>
                  <w:tcW w:w="770" w:type="pct"/>
                  <w:vAlign w:val="center"/>
                </w:tcPr>
                <w:p>
                  <w:pPr>
                    <w:pStyle w:val="13"/>
                    <w:jc w:val="center"/>
                    <w:rPr>
                      <w:rFonts w:ascii="Times New Roman"/>
                      <w:color w:val="auto"/>
                      <w:sz w:val="21"/>
                      <w:szCs w:val="21"/>
                    </w:rPr>
                  </w:pPr>
                  <w:r>
                    <w:rPr>
                      <w:rFonts w:ascii="Times New Roman"/>
                      <w:color w:val="auto"/>
                      <w:kern w:val="2"/>
                      <w:sz w:val="21"/>
                      <w:szCs w:val="21"/>
                    </w:rPr>
                    <w:t>废机油</w:t>
                  </w:r>
                </w:p>
              </w:tc>
              <w:tc>
                <w:tcPr>
                  <w:tcW w:w="788" w:type="pct"/>
                  <w:vAlign w:val="center"/>
                </w:tcPr>
                <w:p>
                  <w:pPr>
                    <w:jc w:val="center"/>
                    <w:rPr>
                      <w:szCs w:val="21"/>
                    </w:rPr>
                  </w:pPr>
                  <w:r>
                    <w:rPr>
                      <w:szCs w:val="21"/>
                    </w:rPr>
                    <w:t>生产</w:t>
                  </w:r>
                </w:p>
              </w:tc>
              <w:tc>
                <w:tcPr>
                  <w:tcW w:w="748" w:type="pct"/>
                  <w:vAlign w:val="center"/>
                </w:tcPr>
                <w:p>
                  <w:pPr>
                    <w:jc w:val="center"/>
                    <w:rPr>
                      <w:szCs w:val="21"/>
                    </w:rPr>
                  </w:pPr>
                  <w:r>
                    <w:rPr>
                      <w:szCs w:val="21"/>
                    </w:rPr>
                    <w:t>危险废物</w:t>
                  </w:r>
                </w:p>
              </w:tc>
              <w:tc>
                <w:tcPr>
                  <w:tcW w:w="700" w:type="pct"/>
                  <w:vAlign w:val="center"/>
                </w:tcPr>
                <w:p>
                  <w:pPr>
                    <w:jc w:val="center"/>
                    <w:rPr>
                      <w:szCs w:val="21"/>
                    </w:rPr>
                  </w:pPr>
                  <w:r>
                    <w:rPr>
                      <w:szCs w:val="21"/>
                    </w:rPr>
                    <w:t>900-217-08</w:t>
                  </w:r>
                </w:p>
              </w:tc>
              <w:tc>
                <w:tcPr>
                  <w:tcW w:w="520" w:type="pct"/>
                  <w:vAlign w:val="center"/>
                </w:tcPr>
                <w:p>
                  <w:pPr>
                    <w:jc w:val="center"/>
                    <w:rPr>
                      <w:szCs w:val="21"/>
                    </w:rPr>
                  </w:pPr>
                  <w:r>
                    <w:rPr>
                      <w:szCs w:val="21"/>
                    </w:rPr>
                    <w:t>0.5</w:t>
                  </w:r>
                </w:p>
              </w:tc>
              <w:tc>
                <w:tcPr>
                  <w:tcW w:w="1161" w:type="pct"/>
                </w:tcPr>
                <w:p>
                  <w:pPr>
                    <w:rPr>
                      <w:szCs w:val="21"/>
                    </w:rPr>
                  </w:pPr>
                  <w:r>
                    <w:rPr>
                      <w:szCs w:val="21"/>
                    </w:rPr>
                    <w:t>暂存于危废间内，委托具有危废处置资质的单位回收处理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14" w:type="pct"/>
                  <w:vAlign w:val="center"/>
                </w:tcPr>
                <w:p>
                  <w:pPr>
                    <w:jc w:val="center"/>
                    <w:rPr>
                      <w:szCs w:val="21"/>
                    </w:rPr>
                  </w:pPr>
                  <w:r>
                    <w:rPr>
                      <w:szCs w:val="21"/>
                    </w:rPr>
                    <w:t>8</w:t>
                  </w:r>
                </w:p>
              </w:tc>
              <w:tc>
                <w:tcPr>
                  <w:tcW w:w="770" w:type="pct"/>
                  <w:vAlign w:val="center"/>
                </w:tcPr>
                <w:p>
                  <w:pPr>
                    <w:pStyle w:val="12"/>
                    <w:jc w:val="center"/>
                    <w:rPr>
                      <w:rFonts w:ascii="Times New Roman" w:hAnsi="Times New Roman"/>
                      <w:szCs w:val="21"/>
                    </w:rPr>
                  </w:pPr>
                  <w:r>
                    <w:rPr>
                      <w:rFonts w:ascii="Times New Roman" w:hAnsi="Times New Roman"/>
                      <w:szCs w:val="21"/>
                    </w:rPr>
                    <w:t>磷酸、硝酸包装物</w:t>
                  </w:r>
                </w:p>
              </w:tc>
              <w:tc>
                <w:tcPr>
                  <w:tcW w:w="788" w:type="pct"/>
                  <w:vAlign w:val="center"/>
                </w:tcPr>
                <w:p>
                  <w:pPr>
                    <w:jc w:val="center"/>
                    <w:rPr>
                      <w:szCs w:val="21"/>
                    </w:rPr>
                  </w:pPr>
                  <w:r>
                    <w:rPr>
                      <w:szCs w:val="21"/>
                    </w:rPr>
                    <w:t>生产</w:t>
                  </w:r>
                </w:p>
              </w:tc>
              <w:tc>
                <w:tcPr>
                  <w:tcW w:w="748" w:type="pct"/>
                  <w:vAlign w:val="center"/>
                </w:tcPr>
                <w:p>
                  <w:pPr>
                    <w:jc w:val="center"/>
                    <w:rPr>
                      <w:szCs w:val="21"/>
                    </w:rPr>
                  </w:pPr>
                  <w:r>
                    <w:rPr>
                      <w:szCs w:val="21"/>
                    </w:rPr>
                    <w:t>危险废物</w:t>
                  </w:r>
                </w:p>
              </w:tc>
              <w:tc>
                <w:tcPr>
                  <w:tcW w:w="700" w:type="pct"/>
                  <w:vAlign w:val="center"/>
                </w:tcPr>
                <w:p>
                  <w:pPr>
                    <w:jc w:val="center"/>
                    <w:rPr>
                      <w:szCs w:val="21"/>
                    </w:rPr>
                  </w:pPr>
                  <w:r>
                    <w:rPr>
                      <w:szCs w:val="21"/>
                    </w:rPr>
                    <w:t>900-042-49</w:t>
                  </w:r>
                </w:p>
              </w:tc>
              <w:tc>
                <w:tcPr>
                  <w:tcW w:w="520" w:type="pct"/>
                  <w:vAlign w:val="center"/>
                </w:tcPr>
                <w:p>
                  <w:pPr>
                    <w:jc w:val="center"/>
                    <w:rPr>
                      <w:szCs w:val="21"/>
                    </w:rPr>
                  </w:pPr>
                  <w:r>
                    <w:rPr>
                      <w:szCs w:val="21"/>
                    </w:rPr>
                    <w:t>0.3</w:t>
                  </w:r>
                </w:p>
              </w:tc>
              <w:tc>
                <w:tcPr>
                  <w:tcW w:w="1161" w:type="pct"/>
                </w:tcPr>
                <w:p>
                  <w:pPr>
                    <w:rPr>
                      <w:szCs w:val="21"/>
                    </w:rPr>
                  </w:pPr>
                  <w:r>
                    <w:rPr>
                      <w:szCs w:val="21"/>
                    </w:rPr>
                    <w:t>暂存于危废间内，委托具有危废处置资质的单位回收处理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14" w:type="pct"/>
                  <w:vAlign w:val="center"/>
                </w:tcPr>
                <w:p>
                  <w:pPr>
                    <w:jc w:val="center"/>
                    <w:rPr>
                      <w:szCs w:val="21"/>
                    </w:rPr>
                  </w:pPr>
                  <w:r>
                    <w:rPr>
                      <w:szCs w:val="21"/>
                    </w:rPr>
                    <w:t>9</w:t>
                  </w:r>
                </w:p>
              </w:tc>
              <w:tc>
                <w:tcPr>
                  <w:tcW w:w="770" w:type="pct"/>
                  <w:vAlign w:val="center"/>
                </w:tcPr>
                <w:p>
                  <w:pPr>
                    <w:pStyle w:val="12"/>
                    <w:jc w:val="center"/>
                    <w:rPr>
                      <w:rFonts w:ascii="Times New Roman" w:hAnsi="Times New Roman"/>
                      <w:szCs w:val="21"/>
                    </w:rPr>
                  </w:pPr>
                  <w:r>
                    <w:rPr>
                      <w:rFonts w:ascii="Times New Roman" w:hAnsi="Times New Roman"/>
                      <w:szCs w:val="21"/>
                    </w:rPr>
                    <w:t>废含油手套</w:t>
                  </w:r>
                </w:p>
              </w:tc>
              <w:tc>
                <w:tcPr>
                  <w:tcW w:w="788" w:type="pct"/>
                  <w:vAlign w:val="center"/>
                </w:tcPr>
                <w:p>
                  <w:pPr>
                    <w:jc w:val="center"/>
                    <w:rPr>
                      <w:szCs w:val="21"/>
                    </w:rPr>
                  </w:pPr>
                  <w:r>
                    <w:rPr>
                      <w:szCs w:val="21"/>
                    </w:rPr>
                    <w:t>生产</w:t>
                  </w:r>
                </w:p>
              </w:tc>
              <w:tc>
                <w:tcPr>
                  <w:tcW w:w="748" w:type="pct"/>
                  <w:vAlign w:val="center"/>
                </w:tcPr>
                <w:p>
                  <w:pPr>
                    <w:jc w:val="center"/>
                    <w:rPr>
                      <w:szCs w:val="21"/>
                    </w:rPr>
                  </w:pPr>
                  <w:r>
                    <w:rPr>
                      <w:szCs w:val="21"/>
                    </w:rPr>
                    <w:t>一般固废</w:t>
                  </w:r>
                </w:p>
              </w:tc>
              <w:tc>
                <w:tcPr>
                  <w:tcW w:w="700" w:type="pct"/>
                  <w:vAlign w:val="center"/>
                </w:tcPr>
                <w:p>
                  <w:pPr>
                    <w:jc w:val="center"/>
                    <w:rPr>
                      <w:szCs w:val="21"/>
                    </w:rPr>
                  </w:pPr>
                  <w:r>
                    <w:rPr>
                      <w:szCs w:val="21"/>
                    </w:rPr>
                    <w:t>/</w:t>
                  </w:r>
                </w:p>
              </w:tc>
              <w:tc>
                <w:tcPr>
                  <w:tcW w:w="520" w:type="pct"/>
                  <w:vAlign w:val="center"/>
                </w:tcPr>
                <w:p>
                  <w:pPr>
                    <w:jc w:val="center"/>
                    <w:rPr>
                      <w:szCs w:val="21"/>
                    </w:rPr>
                  </w:pPr>
                  <w:r>
                    <w:rPr>
                      <w:szCs w:val="21"/>
                    </w:rPr>
                    <w:t>0.005</w:t>
                  </w:r>
                </w:p>
              </w:tc>
              <w:tc>
                <w:tcPr>
                  <w:tcW w:w="1161" w:type="pct"/>
                </w:tcPr>
                <w:p>
                  <w:pPr>
                    <w:rPr>
                      <w:szCs w:val="21"/>
                    </w:rPr>
                  </w:pPr>
                  <w:r>
                    <w:rPr>
                      <w:szCs w:val="21"/>
                    </w:rPr>
                    <w:t>属于豁免类</w:t>
                  </w:r>
                  <w:r>
                    <w:rPr>
                      <w:rFonts w:hint="eastAsia"/>
                      <w:szCs w:val="21"/>
                    </w:rPr>
                    <w:t>，按照一般固体废物处置。</w:t>
                  </w:r>
                </w:p>
              </w:tc>
            </w:tr>
          </w:tbl>
          <w:p>
            <w:pPr>
              <w:spacing w:line="360" w:lineRule="auto"/>
              <w:ind w:firstLine="480" w:firstLineChars="200"/>
              <w:rPr>
                <w:sz w:val="24"/>
              </w:rPr>
            </w:pPr>
            <w:r>
              <w:rPr>
                <w:sz w:val="24"/>
              </w:rPr>
              <w:t>综上，项目各项固废均得到有效处置，处置率达100%。</w:t>
            </w:r>
          </w:p>
          <w:p>
            <w:pPr>
              <w:spacing w:line="360" w:lineRule="auto"/>
              <w:ind w:firstLine="482" w:firstLineChars="200"/>
              <w:rPr>
                <w:sz w:val="24"/>
              </w:rPr>
            </w:pPr>
            <w:r>
              <w:rPr>
                <w:b/>
                <w:bCs/>
                <w:sz w:val="24"/>
              </w:rPr>
              <w:t>5、生态环境影响分析</w:t>
            </w:r>
          </w:p>
          <w:p>
            <w:pPr>
              <w:snapToGrid w:val="0"/>
              <w:spacing w:line="360" w:lineRule="auto"/>
              <w:ind w:firstLine="480" w:firstLineChars="200"/>
              <w:rPr>
                <w:sz w:val="24"/>
              </w:rPr>
            </w:pPr>
            <w:r>
              <w:rPr>
                <w:sz w:val="24"/>
                <w:lang w:val="zh-CN"/>
              </w:rPr>
              <w:t>项目位于</w:t>
            </w:r>
            <w:r>
              <w:rPr>
                <w:sz w:val="24"/>
              </w:rPr>
              <w:t>云南省楚雄州姚安县光禄镇福光村委会</w:t>
            </w:r>
            <w:r>
              <w:rPr>
                <w:sz w:val="24"/>
                <w:lang w:val="zh-CN"/>
              </w:rPr>
              <w:t>，</w:t>
            </w:r>
            <w:r>
              <w:rPr>
                <w:sz w:val="24"/>
              </w:rPr>
              <w:t>不新增用地，项目区域内无保护类动、植物分布，不会对当地群落结构、生态平衡造成不利影响，对周边生态环境影响较小。</w:t>
            </w:r>
          </w:p>
          <w:p>
            <w:pPr>
              <w:pStyle w:val="12"/>
              <w:spacing w:line="360" w:lineRule="auto"/>
              <w:ind w:firstLine="482" w:firstLineChars="200"/>
              <w:rPr>
                <w:rFonts w:ascii="Times New Roman" w:hAnsi="Times New Roman"/>
                <w:b/>
                <w:bCs/>
                <w:sz w:val="24"/>
              </w:rPr>
            </w:pPr>
            <w:r>
              <w:rPr>
                <w:rFonts w:ascii="Times New Roman" w:hAnsi="Times New Roman"/>
                <w:b/>
                <w:bCs/>
                <w:sz w:val="24"/>
              </w:rPr>
              <w:t>6、地下水、土壤环境影响分析</w:t>
            </w:r>
          </w:p>
          <w:p>
            <w:pPr>
              <w:snapToGrid w:val="0"/>
              <w:spacing w:line="360" w:lineRule="auto"/>
              <w:ind w:firstLine="480" w:firstLineChars="200"/>
              <w:rPr>
                <w:sz w:val="24"/>
              </w:rPr>
            </w:pPr>
            <w:r>
              <w:rPr>
                <w:sz w:val="24"/>
              </w:rPr>
              <w:t>本项目土壤、地下水环境影响评价项目类别为Ⅳ类，本项目不开展地下水环境影响评价。但本项目风险物质硝酸、废机油等有泄漏风险，本项目风险物质储存间要求为重点防渗区，按照危险化学品暂存间建设标准进行建设，</w:t>
            </w:r>
            <w:r>
              <w:rPr>
                <w:rFonts w:hint="eastAsia" w:ascii="宋体" w:hAnsi="宋体" w:cs="宋体"/>
                <w:sz w:val="24"/>
                <w:shd w:val="clear" w:color="auto" w:fill="FFFFFF"/>
                <w:lang w:bidi="ar"/>
              </w:rPr>
              <w:t>表面防渗材料应与所接触的物料或污染物相容，可采用抗渗混凝土、高密度聚乙烯膜、钠基膨润土防水毯或其他防渗性能等效的材料。防渗层为至少</w:t>
            </w:r>
            <w:r>
              <w:rPr>
                <w:rFonts w:eastAsia="Arial"/>
                <w:sz w:val="24"/>
                <w:shd w:val="clear" w:color="auto" w:fill="FFFFFF"/>
                <w:lang w:bidi="ar"/>
              </w:rPr>
              <w:t>1m</w:t>
            </w:r>
            <w:r>
              <w:rPr>
                <w:rFonts w:hint="eastAsia" w:ascii="宋体" w:hAnsi="宋体" w:cs="宋体"/>
                <w:sz w:val="24"/>
                <w:shd w:val="clear" w:color="auto" w:fill="FFFFFF"/>
                <w:lang w:bidi="ar"/>
              </w:rPr>
              <w:t>厚黏土层</w:t>
            </w:r>
            <w:r>
              <w:rPr>
                <w:sz w:val="24"/>
                <w:shd w:val="clear" w:color="auto" w:fill="FFFFFF"/>
                <w:lang w:bidi="ar"/>
              </w:rPr>
              <w:t>（</w:t>
            </w:r>
            <w:r>
              <w:rPr>
                <w:rFonts w:hint="eastAsia" w:ascii="宋体" w:hAnsi="宋体" w:cs="宋体"/>
                <w:sz w:val="24"/>
                <w:shd w:val="clear" w:color="auto" w:fill="FFFFFF"/>
                <w:lang w:bidi="ar"/>
              </w:rPr>
              <w:t>渗透系数不大于</w:t>
            </w:r>
            <w:r>
              <w:rPr>
                <w:rFonts w:eastAsia="Arial"/>
                <w:sz w:val="24"/>
                <w:shd w:val="clear" w:color="auto" w:fill="FFFFFF"/>
                <w:lang w:bidi="ar"/>
              </w:rPr>
              <w:t xml:space="preserve">10 </w:t>
            </w:r>
            <w:r>
              <w:rPr>
                <w:rFonts w:eastAsia="Arial"/>
                <w:sz w:val="24"/>
                <w:shd w:val="clear" w:color="auto" w:fill="FFFFFF"/>
                <w:vertAlign w:val="superscript"/>
                <w:lang w:bidi="ar"/>
              </w:rPr>
              <w:t>-7</w:t>
            </w:r>
            <w:r>
              <w:rPr>
                <w:rFonts w:eastAsia="Arial"/>
                <w:sz w:val="24"/>
                <w:shd w:val="clear" w:color="auto" w:fill="FFFFFF"/>
                <w:lang w:bidi="ar"/>
              </w:rPr>
              <w:t xml:space="preserve"> cm/s</w:t>
            </w:r>
            <w:r>
              <w:rPr>
                <w:sz w:val="24"/>
                <w:shd w:val="clear" w:color="auto" w:fill="FFFFFF"/>
                <w:lang w:bidi="ar"/>
              </w:rPr>
              <w:t>）</w:t>
            </w:r>
            <w:r>
              <w:rPr>
                <w:rFonts w:hint="eastAsia" w:ascii="宋体" w:hAnsi="宋体" w:cs="宋体"/>
                <w:sz w:val="24"/>
                <w:shd w:val="clear" w:color="auto" w:fill="FFFFFF"/>
                <w:lang w:bidi="ar"/>
              </w:rPr>
              <w:t>，或至少</w:t>
            </w:r>
            <w:r>
              <w:rPr>
                <w:rFonts w:eastAsia="Arial"/>
                <w:sz w:val="24"/>
                <w:shd w:val="clear" w:color="auto" w:fill="FFFFFF"/>
                <w:lang w:bidi="ar"/>
              </w:rPr>
              <w:t xml:space="preserve">2 mm </w:t>
            </w:r>
            <w:r>
              <w:rPr>
                <w:rFonts w:hint="eastAsia" w:ascii="宋体" w:hAnsi="宋体" w:cs="宋体"/>
                <w:sz w:val="24"/>
                <w:shd w:val="clear" w:color="auto" w:fill="FFFFFF"/>
                <w:lang w:bidi="ar"/>
              </w:rPr>
              <w:t>厚高密度聚乙烯膜等人工防渗材料</w:t>
            </w:r>
            <w:r>
              <w:rPr>
                <w:sz w:val="24"/>
                <w:shd w:val="clear" w:color="auto" w:fill="FFFFFF"/>
                <w:lang w:bidi="ar"/>
              </w:rPr>
              <w:t>（</w:t>
            </w:r>
            <w:r>
              <w:rPr>
                <w:rFonts w:hint="eastAsia" w:ascii="宋体" w:hAnsi="宋体" w:cs="宋体"/>
                <w:sz w:val="24"/>
                <w:shd w:val="clear" w:color="auto" w:fill="FFFFFF"/>
                <w:lang w:bidi="ar"/>
              </w:rPr>
              <w:t>渗透系数不大于</w:t>
            </w:r>
            <w:r>
              <w:rPr>
                <w:rFonts w:eastAsia="Arial"/>
                <w:sz w:val="24"/>
                <w:shd w:val="clear" w:color="auto" w:fill="FFFFFF"/>
                <w:lang w:bidi="ar"/>
              </w:rPr>
              <w:t>10</w:t>
            </w:r>
            <w:r>
              <w:rPr>
                <w:rFonts w:eastAsia="Arial"/>
                <w:sz w:val="24"/>
                <w:shd w:val="clear" w:color="auto" w:fill="FFFFFF"/>
                <w:vertAlign w:val="superscript"/>
                <w:lang w:bidi="ar"/>
              </w:rPr>
              <w:t xml:space="preserve"> -10</w:t>
            </w:r>
            <w:r>
              <w:rPr>
                <w:rFonts w:eastAsia="Arial"/>
                <w:sz w:val="24"/>
                <w:shd w:val="clear" w:color="auto" w:fill="FFFFFF"/>
                <w:lang w:bidi="ar"/>
              </w:rPr>
              <w:t xml:space="preserve"> cm/s</w:t>
            </w:r>
            <w:r>
              <w:rPr>
                <w:sz w:val="24"/>
                <w:shd w:val="clear" w:color="auto" w:fill="FFFFFF"/>
                <w:lang w:bidi="ar"/>
              </w:rPr>
              <w:t>）</w:t>
            </w:r>
            <w:r>
              <w:rPr>
                <w:rFonts w:hint="eastAsia" w:ascii="宋体" w:hAnsi="宋体" w:cs="宋体"/>
                <w:sz w:val="24"/>
                <w:shd w:val="clear" w:color="auto" w:fill="FFFFFF"/>
                <w:lang w:bidi="ar"/>
              </w:rPr>
              <w:t>，或其他防渗性能等效的材料。</w:t>
            </w:r>
            <w:r>
              <w:rPr>
                <w:sz w:val="24"/>
                <w:lang w:bidi="ar"/>
              </w:rPr>
              <w:t>并做好相关标识及应急预案，对地下水、土壤环境影响较小。</w:t>
            </w:r>
          </w:p>
          <w:p>
            <w:pPr>
              <w:spacing w:line="360" w:lineRule="auto"/>
              <w:rPr>
                <w:b/>
                <w:bCs/>
                <w:sz w:val="24"/>
              </w:rPr>
            </w:pPr>
            <w:r>
              <w:rPr>
                <w:b/>
                <w:bCs/>
                <w:sz w:val="24"/>
              </w:rPr>
              <w:t>三、环境风险分析</w:t>
            </w:r>
          </w:p>
          <w:p>
            <w:pPr>
              <w:spacing w:line="360" w:lineRule="auto"/>
              <w:ind w:firstLine="482" w:firstLineChars="200"/>
              <w:rPr>
                <w:b/>
                <w:bCs/>
                <w:sz w:val="24"/>
              </w:rPr>
            </w:pPr>
            <w:r>
              <w:rPr>
                <w:b/>
                <w:bCs/>
                <w:sz w:val="24"/>
              </w:rPr>
              <w:t>1、风险调查</w:t>
            </w:r>
          </w:p>
          <w:p>
            <w:pPr>
              <w:spacing w:line="360" w:lineRule="auto"/>
              <w:ind w:firstLine="480" w:firstLineChars="200"/>
              <w:rPr>
                <w:sz w:val="24"/>
              </w:rPr>
            </w:pPr>
            <w:r>
              <w:rPr>
                <w:sz w:val="24"/>
              </w:rPr>
              <w:t>（1）危险物质</w:t>
            </w:r>
          </w:p>
          <w:p>
            <w:pPr>
              <w:spacing w:line="360" w:lineRule="auto"/>
              <w:ind w:firstLine="480" w:firstLineChars="200"/>
              <w:rPr>
                <w:sz w:val="24"/>
              </w:rPr>
            </w:pPr>
            <w:r>
              <w:rPr>
                <w:sz w:val="24"/>
              </w:rPr>
              <w:t>本项目为花卉种植和生物质锅炉项目建设，根据本项目的主要原材料及辅助材料、产品以及生产过程排放的“三废”污染物等，本项目运营期可能涉及危险物质储存的情况见下表。</w:t>
            </w:r>
          </w:p>
          <w:p>
            <w:pPr>
              <w:spacing w:before="156" w:beforeLines="50" w:line="360" w:lineRule="auto"/>
              <w:jc w:val="center"/>
              <w:rPr>
                <w:b/>
                <w:bCs/>
                <w:sz w:val="24"/>
              </w:rPr>
            </w:pPr>
          </w:p>
          <w:p>
            <w:pPr>
              <w:spacing w:before="156" w:beforeLines="50" w:line="360" w:lineRule="auto"/>
              <w:jc w:val="center"/>
              <w:rPr>
                <w:rFonts w:hint="eastAsia"/>
                <w:b/>
                <w:bCs/>
                <w:sz w:val="24"/>
              </w:rPr>
            </w:pPr>
          </w:p>
          <w:p>
            <w:pPr>
              <w:spacing w:before="156" w:beforeLines="50" w:line="360" w:lineRule="auto"/>
              <w:jc w:val="center"/>
              <w:rPr>
                <w:b/>
                <w:bCs/>
                <w:sz w:val="24"/>
              </w:rPr>
            </w:pPr>
            <w:r>
              <w:rPr>
                <w:b/>
                <w:bCs/>
                <w:sz w:val="24"/>
              </w:rPr>
              <w:t>表4-14  可能涉及危险物质储存情况一览表</w:t>
            </w:r>
          </w:p>
          <w:tbl>
            <w:tblPr>
              <w:tblStyle w:val="27"/>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9"/>
              <w:gridCol w:w="2836"/>
              <w:gridCol w:w="1481"/>
              <w:gridCol w:w="1600"/>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jc w:val="center"/>
              </w:trPr>
              <w:tc>
                <w:tcPr>
                  <w:tcW w:w="700" w:type="pct"/>
                  <w:vAlign w:val="center"/>
                </w:tcPr>
                <w:p>
                  <w:pPr>
                    <w:jc w:val="center"/>
                    <w:rPr>
                      <w:b/>
                      <w:szCs w:val="21"/>
                    </w:rPr>
                  </w:pPr>
                  <w:r>
                    <w:rPr>
                      <w:b/>
                      <w:szCs w:val="21"/>
                    </w:rPr>
                    <w:t>名称</w:t>
                  </w:r>
                </w:p>
              </w:tc>
              <w:tc>
                <w:tcPr>
                  <w:tcW w:w="1629" w:type="pct"/>
                  <w:vAlign w:val="center"/>
                </w:tcPr>
                <w:p>
                  <w:pPr>
                    <w:jc w:val="center"/>
                    <w:rPr>
                      <w:b/>
                      <w:szCs w:val="21"/>
                    </w:rPr>
                  </w:pPr>
                  <w:r>
                    <w:rPr>
                      <w:b/>
                      <w:szCs w:val="21"/>
                    </w:rPr>
                    <w:t>危险性</w:t>
                  </w:r>
                </w:p>
              </w:tc>
              <w:tc>
                <w:tcPr>
                  <w:tcW w:w="851" w:type="pct"/>
                  <w:vAlign w:val="center"/>
                </w:tcPr>
                <w:p>
                  <w:pPr>
                    <w:jc w:val="center"/>
                    <w:rPr>
                      <w:b/>
                      <w:szCs w:val="21"/>
                    </w:rPr>
                  </w:pPr>
                  <w:r>
                    <w:rPr>
                      <w:b/>
                      <w:szCs w:val="21"/>
                    </w:rPr>
                    <w:t>毒性</w:t>
                  </w:r>
                </w:p>
              </w:tc>
              <w:tc>
                <w:tcPr>
                  <w:tcW w:w="919" w:type="pct"/>
                  <w:vAlign w:val="center"/>
                </w:tcPr>
                <w:p>
                  <w:pPr>
                    <w:jc w:val="center"/>
                    <w:rPr>
                      <w:b/>
                      <w:szCs w:val="21"/>
                    </w:rPr>
                  </w:pPr>
                  <w:r>
                    <w:rPr>
                      <w:b/>
                      <w:szCs w:val="21"/>
                    </w:rPr>
                    <w:t>判定结果</w:t>
                  </w:r>
                </w:p>
              </w:tc>
              <w:tc>
                <w:tcPr>
                  <w:tcW w:w="901" w:type="pct"/>
                  <w:vAlign w:val="center"/>
                </w:tcPr>
                <w:p>
                  <w:pPr>
                    <w:jc w:val="center"/>
                    <w:rPr>
                      <w:b/>
                      <w:szCs w:val="21"/>
                    </w:rPr>
                  </w:pPr>
                  <w:r>
                    <w:rPr>
                      <w:b/>
                      <w:szCs w:val="21"/>
                    </w:rPr>
                    <w:t>最大储量（t）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pct"/>
                  <w:vAlign w:val="center"/>
                </w:tcPr>
                <w:p>
                  <w:pPr>
                    <w:jc w:val="center"/>
                    <w:rPr>
                      <w:rFonts w:eastAsiaTheme="minorEastAsia"/>
                      <w:szCs w:val="21"/>
                    </w:rPr>
                  </w:pPr>
                  <w:r>
                    <w:rPr>
                      <w:szCs w:val="21"/>
                    </w:rPr>
                    <w:t>硝酸</w:t>
                  </w:r>
                </w:p>
              </w:tc>
              <w:tc>
                <w:tcPr>
                  <w:tcW w:w="1629" w:type="pct"/>
                  <w:vAlign w:val="center"/>
                </w:tcPr>
                <w:p>
                  <w:pPr>
                    <w:jc w:val="center"/>
                    <w:rPr>
                      <w:rFonts w:eastAsiaTheme="minorEastAsia"/>
                      <w:szCs w:val="21"/>
                    </w:rPr>
                  </w:pPr>
                  <w:r>
                    <w:rPr>
                      <w:szCs w:val="21"/>
                    </w:rPr>
                    <w:t>强酸，有腐蚀性</w:t>
                  </w:r>
                </w:p>
              </w:tc>
              <w:tc>
                <w:tcPr>
                  <w:tcW w:w="851" w:type="pct"/>
                  <w:vAlign w:val="center"/>
                </w:tcPr>
                <w:p>
                  <w:pPr>
                    <w:jc w:val="center"/>
                    <w:rPr>
                      <w:szCs w:val="21"/>
                    </w:rPr>
                  </w:pPr>
                  <w:r>
                    <w:rPr>
                      <w:szCs w:val="21"/>
                    </w:rPr>
                    <w:t>/</w:t>
                  </w:r>
                </w:p>
              </w:tc>
              <w:tc>
                <w:tcPr>
                  <w:tcW w:w="919" w:type="pct"/>
                  <w:vAlign w:val="center"/>
                </w:tcPr>
                <w:p>
                  <w:pPr>
                    <w:jc w:val="center"/>
                    <w:rPr>
                      <w:szCs w:val="21"/>
                    </w:rPr>
                  </w:pPr>
                  <w:r>
                    <w:rPr>
                      <w:szCs w:val="21"/>
                    </w:rPr>
                    <w:t>是</w:t>
                  </w:r>
                </w:p>
              </w:tc>
              <w:tc>
                <w:tcPr>
                  <w:tcW w:w="901" w:type="pct"/>
                  <w:vAlign w:val="center"/>
                </w:tcPr>
                <w:p>
                  <w:pPr>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pct"/>
                  <w:vAlign w:val="center"/>
                </w:tcPr>
                <w:p>
                  <w:pPr>
                    <w:jc w:val="center"/>
                    <w:rPr>
                      <w:szCs w:val="21"/>
                    </w:rPr>
                  </w:pPr>
                  <w:r>
                    <w:rPr>
                      <w:szCs w:val="21"/>
                    </w:rPr>
                    <w:t>硫酸铵</w:t>
                  </w:r>
                </w:p>
              </w:tc>
              <w:tc>
                <w:tcPr>
                  <w:tcW w:w="1629" w:type="pct"/>
                  <w:vAlign w:val="center"/>
                </w:tcPr>
                <w:p>
                  <w:pPr>
                    <w:jc w:val="center"/>
                    <w:rPr>
                      <w:rFonts w:eastAsiaTheme="minorEastAsia"/>
                      <w:szCs w:val="21"/>
                    </w:rPr>
                  </w:pPr>
                  <w:r>
                    <w:rPr>
                      <w:szCs w:val="21"/>
                    </w:rPr>
                    <w:t>腐蚀性</w:t>
                  </w:r>
                </w:p>
              </w:tc>
              <w:tc>
                <w:tcPr>
                  <w:tcW w:w="851" w:type="pct"/>
                  <w:vAlign w:val="center"/>
                </w:tcPr>
                <w:p>
                  <w:pPr>
                    <w:jc w:val="center"/>
                    <w:rPr>
                      <w:rFonts w:eastAsiaTheme="minorEastAsia"/>
                      <w:szCs w:val="21"/>
                    </w:rPr>
                  </w:pPr>
                  <w:r>
                    <w:rPr>
                      <w:szCs w:val="21"/>
                    </w:rPr>
                    <w:t>/</w:t>
                  </w:r>
                </w:p>
              </w:tc>
              <w:tc>
                <w:tcPr>
                  <w:tcW w:w="919" w:type="pct"/>
                  <w:vAlign w:val="center"/>
                </w:tcPr>
                <w:p>
                  <w:pPr>
                    <w:jc w:val="center"/>
                    <w:rPr>
                      <w:rFonts w:eastAsiaTheme="minorEastAsia"/>
                      <w:szCs w:val="21"/>
                    </w:rPr>
                  </w:pPr>
                  <w:r>
                    <w:rPr>
                      <w:szCs w:val="21"/>
                    </w:rPr>
                    <w:t>是</w:t>
                  </w:r>
                </w:p>
              </w:tc>
              <w:tc>
                <w:tcPr>
                  <w:tcW w:w="901" w:type="pct"/>
                  <w:vAlign w:val="center"/>
                </w:tcPr>
                <w:p>
                  <w:pPr>
                    <w:jc w:val="center"/>
                    <w:rPr>
                      <w:rFonts w:eastAsiaTheme="minorEastAsia"/>
                      <w:szCs w:val="21"/>
                    </w:rPr>
                  </w:pPr>
                  <w:r>
                    <w:rPr>
                      <w:rFonts w:eastAsiaTheme="minorEastAsia"/>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jc w:val="center"/>
              </w:trPr>
              <w:tc>
                <w:tcPr>
                  <w:tcW w:w="700" w:type="pct"/>
                  <w:vAlign w:val="center"/>
                </w:tcPr>
                <w:p>
                  <w:pPr>
                    <w:jc w:val="center"/>
                    <w:rPr>
                      <w:szCs w:val="21"/>
                    </w:rPr>
                  </w:pPr>
                  <w:r>
                    <w:rPr>
                      <w:szCs w:val="21"/>
                    </w:rPr>
                    <w:t>机油</w:t>
                  </w:r>
                </w:p>
              </w:tc>
              <w:tc>
                <w:tcPr>
                  <w:tcW w:w="1629" w:type="pct"/>
                  <w:vAlign w:val="center"/>
                </w:tcPr>
                <w:p>
                  <w:pPr>
                    <w:jc w:val="center"/>
                    <w:rPr>
                      <w:szCs w:val="21"/>
                    </w:rPr>
                  </w:pPr>
                  <w:r>
                    <w:t>可燃</w:t>
                  </w:r>
                </w:p>
              </w:tc>
              <w:tc>
                <w:tcPr>
                  <w:tcW w:w="851" w:type="pct"/>
                  <w:vAlign w:val="center"/>
                </w:tcPr>
                <w:p>
                  <w:pPr>
                    <w:jc w:val="center"/>
                    <w:rPr>
                      <w:szCs w:val="21"/>
                    </w:rPr>
                  </w:pPr>
                  <w:r>
                    <w:t>是</w:t>
                  </w:r>
                </w:p>
              </w:tc>
              <w:tc>
                <w:tcPr>
                  <w:tcW w:w="919" w:type="pct"/>
                  <w:vAlign w:val="center"/>
                </w:tcPr>
                <w:p>
                  <w:pPr>
                    <w:jc w:val="center"/>
                    <w:rPr>
                      <w:szCs w:val="21"/>
                    </w:rPr>
                  </w:pPr>
                  <w:r>
                    <w:t>是</w:t>
                  </w:r>
                </w:p>
              </w:tc>
              <w:tc>
                <w:tcPr>
                  <w:tcW w:w="901" w:type="pct"/>
                  <w:vAlign w:val="center"/>
                </w:tcPr>
                <w:p>
                  <w:pPr>
                    <w:jc w:val="center"/>
                    <w:rPr>
                      <w:rFonts w:eastAsiaTheme="minorEastAsia"/>
                      <w:szCs w:val="21"/>
                    </w:rPr>
                  </w:pPr>
                  <w:r>
                    <w:rPr>
                      <w:rFonts w:eastAsiaTheme="minorEastAsia"/>
                      <w:szCs w:val="21"/>
                    </w:rPr>
                    <w:t>1.2</w:t>
                  </w:r>
                </w:p>
              </w:tc>
            </w:tr>
          </w:tbl>
          <w:p>
            <w:pPr>
              <w:spacing w:line="360" w:lineRule="auto"/>
              <w:ind w:firstLine="240" w:firstLineChars="100"/>
              <w:rPr>
                <w:sz w:val="24"/>
              </w:rPr>
            </w:pPr>
            <w:r>
              <w:rPr>
                <w:sz w:val="24"/>
              </w:rPr>
              <w:t>理化性质见下表。</w:t>
            </w:r>
          </w:p>
          <w:p>
            <w:pPr>
              <w:spacing w:before="156" w:beforeLines="50" w:line="360" w:lineRule="auto"/>
              <w:jc w:val="center"/>
              <w:rPr>
                <w:sz w:val="24"/>
              </w:rPr>
            </w:pPr>
            <w:r>
              <w:rPr>
                <w:b/>
                <w:bCs/>
                <w:sz w:val="24"/>
              </w:rPr>
              <w:t>表4-15  硝酸理化性质表</w:t>
            </w:r>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1660"/>
              <w:gridCol w:w="1850"/>
              <w:gridCol w:w="1777"/>
              <w:gridCol w:w="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blHeader/>
                <w:jc w:val="center"/>
              </w:trPr>
              <w:tc>
                <w:tcPr>
                  <w:tcW w:w="688" w:type="pct"/>
                  <w:vMerge w:val="restart"/>
                  <w:vAlign w:val="center"/>
                </w:tcPr>
                <w:p>
                  <w:pPr>
                    <w:jc w:val="center"/>
                    <w:rPr>
                      <w:szCs w:val="21"/>
                    </w:rPr>
                  </w:pPr>
                  <w:r>
                    <w:rPr>
                      <w:szCs w:val="21"/>
                    </w:rPr>
                    <w:t>标识</w:t>
                  </w:r>
                </w:p>
              </w:tc>
              <w:tc>
                <w:tcPr>
                  <w:tcW w:w="954" w:type="pct"/>
                  <w:vAlign w:val="center"/>
                </w:tcPr>
                <w:p>
                  <w:pPr>
                    <w:jc w:val="center"/>
                    <w:rPr>
                      <w:szCs w:val="21"/>
                    </w:rPr>
                  </w:pPr>
                  <w:r>
                    <w:rPr>
                      <w:szCs w:val="21"/>
                    </w:rPr>
                    <w:t>中文名</w:t>
                  </w:r>
                </w:p>
              </w:tc>
              <w:tc>
                <w:tcPr>
                  <w:tcW w:w="1063" w:type="pct"/>
                  <w:vAlign w:val="center"/>
                </w:tcPr>
                <w:p>
                  <w:pPr>
                    <w:jc w:val="center"/>
                    <w:rPr>
                      <w:szCs w:val="21"/>
                    </w:rPr>
                  </w:pPr>
                  <w:r>
                    <w:rPr>
                      <w:szCs w:val="21"/>
                    </w:rPr>
                    <w:t>硝酸</w:t>
                  </w:r>
                </w:p>
              </w:tc>
              <w:tc>
                <w:tcPr>
                  <w:tcW w:w="1021" w:type="pct"/>
                  <w:vAlign w:val="center"/>
                </w:tcPr>
                <w:p>
                  <w:pPr>
                    <w:jc w:val="center"/>
                    <w:rPr>
                      <w:szCs w:val="21"/>
                    </w:rPr>
                  </w:pPr>
                  <w:r>
                    <w:rPr>
                      <w:szCs w:val="21"/>
                    </w:rPr>
                    <w:t>英文名</w:t>
                  </w:r>
                </w:p>
              </w:tc>
              <w:tc>
                <w:tcPr>
                  <w:tcW w:w="1271" w:type="pct"/>
                  <w:vAlign w:val="center"/>
                </w:tcPr>
                <w:p>
                  <w:pPr>
                    <w:jc w:val="center"/>
                    <w:rPr>
                      <w:szCs w:val="21"/>
                    </w:rPr>
                  </w:pPr>
                  <w:r>
                    <w:rPr>
                      <w:szCs w:val="21"/>
                    </w:rPr>
                    <w:t>Nitric acid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88" w:type="pct"/>
                  <w:vMerge w:val="continue"/>
                  <w:vAlign w:val="center"/>
                </w:tcPr>
                <w:p>
                  <w:pPr>
                    <w:jc w:val="center"/>
                    <w:rPr>
                      <w:szCs w:val="21"/>
                    </w:rPr>
                  </w:pPr>
                </w:p>
              </w:tc>
              <w:tc>
                <w:tcPr>
                  <w:tcW w:w="954" w:type="pct"/>
                  <w:vAlign w:val="center"/>
                </w:tcPr>
                <w:p>
                  <w:pPr>
                    <w:jc w:val="center"/>
                    <w:rPr>
                      <w:szCs w:val="21"/>
                    </w:rPr>
                  </w:pPr>
                  <w:r>
                    <w:rPr>
                      <w:szCs w:val="21"/>
                    </w:rPr>
                    <w:t>分子式</w:t>
                  </w:r>
                </w:p>
              </w:tc>
              <w:tc>
                <w:tcPr>
                  <w:tcW w:w="1063" w:type="pct"/>
                  <w:vAlign w:val="center"/>
                </w:tcPr>
                <w:p>
                  <w:pPr>
                    <w:jc w:val="center"/>
                    <w:rPr>
                      <w:szCs w:val="21"/>
                    </w:rPr>
                  </w:pPr>
                  <w:r>
                    <w:rPr>
                      <w:szCs w:val="21"/>
                    </w:rPr>
                    <w:t>HNO</w:t>
                  </w:r>
                  <w:r>
                    <w:rPr>
                      <w:szCs w:val="21"/>
                      <w:vertAlign w:val="subscript"/>
                    </w:rPr>
                    <w:t>3</w:t>
                  </w:r>
                </w:p>
              </w:tc>
              <w:tc>
                <w:tcPr>
                  <w:tcW w:w="1021" w:type="pct"/>
                  <w:vAlign w:val="center"/>
                </w:tcPr>
                <w:p>
                  <w:pPr>
                    <w:jc w:val="center"/>
                    <w:rPr>
                      <w:szCs w:val="21"/>
                    </w:rPr>
                  </w:pPr>
                  <w:r>
                    <w:rPr>
                      <w:szCs w:val="21"/>
                    </w:rPr>
                    <w:t>危规号</w:t>
                  </w:r>
                </w:p>
              </w:tc>
              <w:tc>
                <w:tcPr>
                  <w:tcW w:w="1271" w:type="pct"/>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88" w:type="pct"/>
                  <w:vMerge w:val="continue"/>
                  <w:vAlign w:val="center"/>
                </w:tcPr>
                <w:p>
                  <w:pPr>
                    <w:jc w:val="center"/>
                    <w:rPr>
                      <w:szCs w:val="21"/>
                    </w:rPr>
                  </w:pPr>
                </w:p>
              </w:tc>
              <w:tc>
                <w:tcPr>
                  <w:tcW w:w="954" w:type="pct"/>
                  <w:vAlign w:val="center"/>
                </w:tcPr>
                <w:p>
                  <w:pPr>
                    <w:jc w:val="center"/>
                    <w:rPr>
                      <w:szCs w:val="21"/>
                    </w:rPr>
                  </w:pPr>
                  <w:r>
                    <w:rPr>
                      <w:szCs w:val="21"/>
                    </w:rPr>
                    <w:t>分子量</w:t>
                  </w:r>
                </w:p>
              </w:tc>
              <w:tc>
                <w:tcPr>
                  <w:tcW w:w="1063" w:type="pct"/>
                  <w:vAlign w:val="center"/>
                </w:tcPr>
                <w:p>
                  <w:pPr>
                    <w:jc w:val="center"/>
                    <w:rPr>
                      <w:szCs w:val="21"/>
                    </w:rPr>
                  </w:pPr>
                  <w:r>
                    <w:rPr>
                      <w:szCs w:val="21"/>
                    </w:rPr>
                    <w:t>63.01</w:t>
                  </w:r>
                </w:p>
              </w:tc>
              <w:tc>
                <w:tcPr>
                  <w:tcW w:w="1021" w:type="pct"/>
                  <w:vAlign w:val="center"/>
                </w:tcPr>
                <w:p>
                  <w:pPr>
                    <w:jc w:val="center"/>
                    <w:rPr>
                      <w:szCs w:val="21"/>
                    </w:rPr>
                  </w:pPr>
                  <w:r>
                    <w:rPr>
                      <w:szCs w:val="21"/>
                    </w:rPr>
                    <w:t>危险性类别</w:t>
                  </w:r>
                </w:p>
              </w:tc>
              <w:tc>
                <w:tcPr>
                  <w:tcW w:w="1271" w:type="pct"/>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88" w:type="pct"/>
                  <w:vMerge w:val="restart"/>
                  <w:vAlign w:val="center"/>
                </w:tcPr>
                <w:p>
                  <w:pPr>
                    <w:jc w:val="center"/>
                    <w:rPr>
                      <w:szCs w:val="21"/>
                    </w:rPr>
                  </w:pPr>
                  <w:r>
                    <w:rPr>
                      <w:szCs w:val="21"/>
                    </w:rPr>
                    <w:t>理化特性</w:t>
                  </w:r>
                </w:p>
              </w:tc>
              <w:tc>
                <w:tcPr>
                  <w:tcW w:w="954" w:type="pct"/>
                  <w:vAlign w:val="center"/>
                </w:tcPr>
                <w:p>
                  <w:pPr>
                    <w:jc w:val="center"/>
                    <w:rPr>
                      <w:szCs w:val="21"/>
                    </w:rPr>
                  </w:pPr>
                  <w:r>
                    <w:rPr>
                      <w:szCs w:val="21"/>
                    </w:rPr>
                    <w:t>熔点（℃）</w:t>
                  </w:r>
                </w:p>
              </w:tc>
              <w:tc>
                <w:tcPr>
                  <w:tcW w:w="1063" w:type="pct"/>
                  <w:vAlign w:val="center"/>
                </w:tcPr>
                <w:p>
                  <w:pPr>
                    <w:jc w:val="center"/>
                    <w:rPr>
                      <w:szCs w:val="21"/>
                    </w:rPr>
                  </w:pPr>
                  <w:r>
                    <w:rPr>
                      <w:szCs w:val="21"/>
                    </w:rPr>
                    <w:t>-42</w:t>
                  </w:r>
                </w:p>
              </w:tc>
              <w:tc>
                <w:tcPr>
                  <w:tcW w:w="1021" w:type="pct"/>
                  <w:vAlign w:val="center"/>
                </w:tcPr>
                <w:p>
                  <w:pPr>
                    <w:jc w:val="center"/>
                    <w:rPr>
                      <w:szCs w:val="21"/>
                    </w:rPr>
                  </w:pPr>
                  <w:r>
                    <w:rPr>
                      <w:szCs w:val="21"/>
                    </w:rPr>
                    <w:t>沸点（℃）</w:t>
                  </w:r>
                </w:p>
              </w:tc>
              <w:tc>
                <w:tcPr>
                  <w:tcW w:w="1271" w:type="pct"/>
                  <w:vAlign w:val="center"/>
                </w:tcPr>
                <w:p>
                  <w:pPr>
                    <w:jc w:val="center"/>
                    <w:rPr>
                      <w:szCs w:val="21"/>
                    </w:rPr>
                  </w:pPr>
                  <w:r>
                    <w:rPr>
                      <w:szCs w:val="21"/>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688" w:type="pct"/>
                  <w:vMerge w:val="continue"/>
                  <w:vAlign w:val="center"/>
                </w:tcPr>
                <w:p>
                  <w:pPr>
                    <w:jc w:val="center"/>
                    <w:rPr>
                      <w:szCs w:val="21"/>
                    </w:rPr>
                  </w:pPr>
                </w:p>
              </w:tc>
              <w:tc>
                <w:tcPr>
                  <w:tcW w:w="954" w:type="pct"/>
                  <w:vAlign w:val="center"/>
                </w:tcPr>
                <w:p>
                  <w:pPr>
                    <w:jc w:val="center"/>
                    <w:rPr>
                      <w:szCs w:val="21"/>
                    </w:rPr>
                  </w:pPr>
                  <w:r>
                    <w:rPr>
                      <w:szCs w:val="21"/>
                    </w:rPr>
                    <w:t>燃烧热（kJ/mol）</w:t>
                  </w:r>
                </w:p>
              </w:tc>
              <w:tc>
                <w:tcPr>
                  <w:tcW w:w="1063" w:type="pct"/>
                  <w:vAlign w:val="center"/>
                </w:tcPr>
                <w:p>
                  <w:pPr>
                    <w:jc w:val="center"/>
                    <w:rPr>
                      <w:szCs w:val="21"/>
                    </w:rPr>
                  </w:pPr>
                  <w:r>
                    <w:rPr>
                      <w:szCs w:val="21"/>
                    </w:rPr>
                    <w:t>/</w:t>
                  </w:r>
                </w:p>
              </w:tc>
              <w:tc>
                <w:tcPr>
                  <w:tcW w:w="1021" w:type="pct"/>
                  <w:vAlign w:val="center"/>
                </w:tcPr>
                <w:p>
                  <w:pPr>
                    <w:jc w:val="center"/>
                    <w:rPr>
                      <w:szCs w:val="21"/>
                    </w:rPr>
                  </w:pPr>
                  <w:r>
                    <w:rPr>
                      <w:szCs w:val="21"/>
                    </w:rPr>
                    <w:t>饱和蒸汽压（kPa）</w:t>
                  </w:r>
                </w:p>
              </w:tc>
              <w:tc>
                <w:tcPr>
                  <w:tcW w:w="1271" w:type="pct"/>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88" w:type="pct"/>
                  <w:vMerge w:val="continue"/>
                  <w:vAlign w:val="center"/>
                </w:tcPr>
                <w:p>
                  <w:pPr>
                    <w:jc w:val="center"/>
                    <w:rPr>
                      <w:szCs w:val="21"/>
                    </w:rPr>
                  </w:pPr>
                </w:p>
              </w:tc>
              <w:tc>
                <w:tcPr>
                  <w:tcW w:w="954" w:type="pct"/>
                  <w:vAlign w:val="center"/>
                </w:tcPr>
                <w:p>
                  <w:pPr>
                    <w:jc w:val="center"/>
                    <w:rPr>
                      <w:szCs w:val="21"/>
                    </w:rPr>
                  </w:pPr>
                  <w:r>
                    <w:rPr>
                      <w:szCs w:val="21"/>
                    </w:rPr>
                    <w:t>相对密度</w:t>
                  </w:r>
                </w:p>
              </w:tc>
              <w:tc>
                <w:tcPr>
                  <w:tcW w:w="3356" w:type="pct"/>
                  <w:gridSpan w:val="3"/>
                  <w:vAlign w:val="center"/>
                </w:tcPr>
                <w:p>
                  <w:pPr>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88" w:type="pct"/>
                  <w:vMerge w:val="continue"/>
                  <w:vAlign w:val="center"/>
                </w:tcPr>
                <w:p>
                  <w:pPr>
                    <w:jc w:val="center"/>
                    <w:rPr>
                      <w:szCs w:val="21"/>
                    </w:rPr>
                  </w:pPr>
                </w:p>
              </w:tc>
              <w:tc>
                <w:tcPr>
                  <w:tcW w:w="954" w:type="pct"/>
                  <w:vAlign w:val="center"/>
                </w:tcPr>
                <w:p>
                  <w:pPr>
                    <w:jc w:val="center"/>
                    <w:rPr>
                      <w:szCs w:val="21"/>
                    </w:rPr>
                  </w:pPr>
                  <w:r>
                    <w:rPr>
                      <w:szCs w:val="21"/>
                    </w:rPr>
                    <w:t>外观性状</w:t>
                  </w:r>
                </w:p>
              </w:tc>
              <w:tc>
                <w:tcPr>
                  <w:tcW w:w="3356" w:type="pct"/>
                  <w:gridSpan w:val="3"/>
                  <w:vAlign w:val="center"/>
                </w:tcPr>
                <w:p>
                  <w:pPr>
                    <w:jc w:val="center"/>
                    <w:rPr>
                      <w:szCs w:val="21"/>
                    </w:rPr>
                  </w:pPr>
                  <w:r>
                    <w:rPr>
                      <w:szCs w:val="21"/>
                    </w:rPr>
                    <w:t>无色液体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88" w:type="pct"/>
                  <w:vMerge w:val="continue"/>
                  <w:vAlign w:val="center"/>
                </w:tcPr>
                <w:p>
                  <w:pPr>
                    <w:jc w:val="center"/>
                    <w:rPr>
                      <w:szCs w:val="21"/>
                    </w:rPr>
                  </w:pPr>
                </w:p>
              </w:tc>
              <w:tc>
                <w:tcPr>
                  <w:tcW w:w="954" w:type="pct"/>
                  <w:vAlign w:val="center"/>
                </w:tcPr>
                <w:p>
                  <w:pPr>
                    <w:jc w:val="center"/>
                    <w:rPr>
                      <w:szCs w:val="21"/>
                    </w:rPr>
                  </w:pPr>
                  <w:r>
                    <w:rPr>
                      <w:szCs w:val="21"/>
                    </w:rPr>
                    <w:t>溶解性</w:t>
                  </w:r>
                </w:p>
              </w:tc>
              <w:tc>
                <w:tcPr>
                  <w:tcW w:w="3356" w:type="pct"/>
                  <w:gridSpan w:val="3"/>
                  <w:vAlign w:val="center"/>
                </w:tcPr>
                <w:p>
                  <w:pPr>
                    <w:jc w:val="center"/>
                    <w:rPr>
                      <w:szCs w:val="21"/>
                    </w:rPr>
                  </w:pPr>
                  <w:r>
                    <w:rPr>
                      <w:szCs w:val="21"/>
                    </w:rPr>
                    <w:t>易溶于水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88" w:type="pct"/>
                  <w:vMerge w:val="continue"/>
                  <w:vAlign w:val="center"/>
                </w:tcPr>
                <w:p>
                  <w:pPr>
                    <w:jc w:val="center"/>
                    <w:rPr>
                      <w:szCs w:val="21"/>
                    </w:rPr>
                  </w:pPr>
                </w:p>
              </w:tc>
              <w:tc>
                <w:tcPr>
                  <w:tcW w:w="954" w:type="pct"/>
                  <w:vAlign w:val="center"/>
                </w:tcPr>
                <w:p>
                  <w:pPr>
                    <w:jc w:val="center"/>
                    <w:rPr>
                      <w:szCs w:val="21"/>
                    </w:rPr>
                  </w:pPr>
                  <w:r>
                    <w:rPr>
                      <w:szCs w:val="21"/>
                    </w:rPr>
                    <w:t>稳定性</w:t>
                  </w:r>
                </w:p>
              </w:tc>
              <w:tc>
                <w:tcPr>
                  <w:tcW w:w="1063" w:type="pct"/>
                  <w:vAlign w:val="center"/>
                </w:tcPr>
                <w:p>
                  <w:pPr>
                    <w:jc w:val="center"/>
                    <w:rPr>
                      <w:szCs w:val="21"/>
                    </w:rPr>
                  </w:pPr>
                  <w:r>
                    <w:rPr>
                      <w:szCs w:val="21"/>
                    </w:rPr>
                    <w:t>不稳定</w:t>
                  </w:r>
                </w:p>
              </w:tc>
              <w:tc>
                <w:tcPr>
                  <w:tcW w:w="1021" w:type="pct"/>
                  <w:vAlign w:val="center"/>
                </w:tcPr>
                <w:p>
                  <w:pPr>
                    <w:jc w:val="center"/>
                    <w:rPr>
                      <w:szCs w:val="21"/>
                    </w:rPr>
                  </w:pPr>
                  <w:r>
                    <w:rPr>
                      <w:szCs w:val="21"/>
                    </w:rPr>
                    <w:t>避免接触的条件</w:t>
                  </w:r>
                </w:p>
              </w:tc>
              <w:tc>
                <w:tcPr>
                  <w:tcW w:w="1271" w:type="pct"/>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88" w:type="pct"/>
                  <w:vMerge w:val="continue"/>
                  <w:vAlign w:val="center"/>
                </w:tcPr>
                <w:p>
                  <w:pPr>
                    <w:jc w:val="center"/>
                    <w:rPr>
                      <w:szCs w:val="21"/>
                    </w:rPr>
                  </w:pPr>
                </w:p>
              </w:tc>
              <w:tc>
                <w:tcPr>
                  <w:tcW w:w="954" w:type="pct"/>
                  <w:vAlign w:val="center"/>
                </w:tcPr>
                <w:p>
                  <w:pPr>
                    <w:jc w:val="center"/>
                    <w:rPr>
                      <w:szCs w:val="21"/>
                    </w:rPr>
                  </w:pPr>
                  <w:r>
                    <w:rPr>
                      <w:szCs w:val="21"/>
                    </w:rPr>
                    <w:t>禁配物</w:t>
                  </w:r>
                </w:p>
              </w:tc>
              <w:tc>
                <w:tcPr>
                  <w:tcW w:w="1063" w:type="pct"/>
                  <w:vAlign w:val="center"/>
                </w:tcPr>
                <w:p>
                  <w:pPr>
                    <w:jc w:val="center"/>
                    <w:rPr>
                      <w:szCs w:val="21"/>
                    </w:rPr>
                  </w:pPr>
                  <w:r>
                    <w:rPr>
                      <w:szCs w:val="21"/>
                    </w:rPr>
                    <w:t>/</w:t>
                  </w:r>
                </w:p>
              </w:tc>
              <w:tc>
                <w:tcPr>
                  <w:tcW w:w="1021" w:type="pct"/>
                  <w:vAlign w:val="center"/>
                </w:tcPr>
                <w:p>
                  <w:pPr>
                    <w:jc w:val="center"/>
                    <w:rPr>
                      <w:szCs w:val="21"/>
                    </w:rPr>
                  </w:pPr>
                  <w:r>
                    <w:rPr>
                      <w:szCs w:val="21"/>
                    </w:rPr>
                    <w:t>燃烧产物</w:t>
                  </w:r>
                </w:p>
              </w:tc>
              <w:tc>
                <w:tcPr>
                  <w:tcW w:w="1271" w:type="pct"/>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88" w:type="pct"/>
                  <w:vMerge w:val="restart"/>
                  <w:vAlign w:val="center"/>
                </w:tcPr>
                <w:p>
                  <w:pPr>
                    <w:jc w:val="center"/>
                    <w:rPr>
                      <w:szCs w:val="21"/>
                    </w:rPr>
                  </w:pPr>
                  <w:r>
                    <w:rPr>
                      <w:szCs w:val="21"/>
                    </w:rPr>
                    <w:t>燃爆特性</w:t>
                  </w:r>
                </w:p>
              </w:tc>
              <w:tc>
                <w:tcPr>
                  <w:tcW w:w="954" w:type="pct"/>
                  <w:vAlign w:val="center"/>
                </w:tcPr>
                <w:p>
                  <w:pPr>
                    <w:jc w:val="center"/>
                    <w:rPr>
                      <w:szCs w:val="21"/>
                    </w:rPr>
                  </w:pPr>
                  <w:r>
                    <w:rPr>
                      <w:szCs w:val="21"/>
                    </w:rPr>
                    <w:t>燃烧性</w:t>
                  </w:r>
                </w:p>
              </w:tc>
              <w:tc>
                <w:tcPr>
                  <w:tcW w:w="1063" w:type="pct"/>
                  <w:vAlign w:val="center"/>
                </w:tcPr>
                <w:p>
                  <w:pPr>
                    <w:jc w:val="center"/>
                    <w:rPr>
                      <w:szCs w:val="21"/>
                    </w:rPr>
                  </w:pPr>
                  <w:r>
                    <w:rPr>
                      <w:szCs w:val="21"/>
                    </w:rPr>
                    <w:t>/</w:t>
                  </w:r>
                </w:p>
              </w:tc>
              <w:tc>
                <w:tcPr>
                  <w:tcW w:w="1021" w:type="pct"/>
                  <w:vAlign w:val="center"/>
                </w:tcPr>
                <w:p>
                  <w:pPr>
                    <w:jc w:val="center"/>
                    <w:rPr>
                      <w:szCs w:val="21"/>
                    </w:rPr>
                  </w:pPr>
                  <w:r>
                    <w:rPr>
                      <w:szCs w:val="21"/>
                    </w:rPr>
                    <w:t>建规火险分级</w:t>
                  </w:r>
                </w:p>
              </w:tc>
              <w:tc>
                <w:tcPr>
                  <w:tcW w:w="1271" w:type="pct"/>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88" w:type="pct"/>
                  <w:vMerge w:val="continue"/>
                  <w:vAlign w:val="center"/>
                </w:tcPr>
                <w:p>
                  <w:pPr>
                    <w:jc w:val="center"/>
                    <w:rPr>
                      <w:szCs w:val="21"/>
                    </w:rPr>
                  </w:pPr>
                </w:p>
              </w:tc>
              <w:tc>
                <w:tcPr>
                  <w:tcW w:w="954" w:type="pct"/>
                  <w:vAlign w:val="center"/>
                </w:tcPr>
                <w:p>
                  <w:pPr>
                    <w:jc w:val="center"/>
                    <w:rPr>
                      <w:szCs w:val="21"/>
                    </w:rPr>
                  </w:pPr>
                  <w:r>
                    <w:rPr>
                      <w:szCs w:val="21"/>
                    </w:rPr>
                    <w:t>闪点（℃）</w:t>
                  </w:r>
                </w:p>
              </w:tc>
              <w:tc>
                <w:tcPr>
                  <w:tcW w:w="1063" w:type="pct"/>
                  <w:vAlign w:val="center"/>
                </w:tcPr>
                <w:p>
                  <w:pPr>
                    <w:jc w:val="center"/>
                    <w:rPr>
                      <w:szCs w:val="21"/>
                    </w:rPr>
                  </w:pPr>
                  <w:r>
                    <w:rPr>
                      <w:szCs w:val="21"/>
                    </w:rPr>
                    <w:t>2</w:t>
                  </w:r>
                </w:p>
              </w:tc>
              <w:tc>
                <w:tcPr>
                  <w:tcW w:w="1021" w:type="pct"/>
                  <w:vAlign w:val="center"/>
                </w:tcPr>
                <w:p>
                  <w:pPr>
                    <w:jc w:val="center"/>
                    <w:rPr>
                      <w:szCs w:val="21"/>
                    </w:rPr>
                  </w:pPr>
                  <w:r>
                    <w:rPr>
                      <w:szCs w:val="21"/>
                    </w:rPr>
                    <w:t>引燃温度（℃）</w:t>
                  </w:r>
                </w:p>
              </w:tc>
              <w:tc>
                <w:tcPr>
                  <w:tcW w:w="1271" w:type="pct"/>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88" w:type="pct"/>
                  <w:vMerge w:val="continue"/>
                  <w:vAlign w:val="center"/>
                </w:tcPr>
                <w:p>
                  <w:pPr>
                    <w:jc w:val="center"/>
                    <w:rPr>
                      <w:szCs w:val="21"/>
                    </w:rPr>
                  </w:pPr>
                </w:p>
              </w:tc>
              <w:tc>
                <w:tcPr>
                  <w:tcW w:w="954" w:type="pct"/>
                  <w:vAlign w:val="center"/>
                </w:tcPr>
                <w:p>
                  <w:pPr>
                    <w:jc w:val="center"/>
                    <w:rPr>
                      <w:szCs w:val="21"/>
                    </w:rPr>
                  </w:pPr>
                  <w:r>
                    <w:rPr>
                      <w:szCs w:val="21"/>
                    </w:rPr>
                    <w:t>爆炸下限（V%）</w:t>
                  </w:r>
                </w:p>
              </w:tc>
              <w:tc>
                <w:tcPr>
                  <w:tcW w:w="1063" w:type="pct"/>
                  <w:vAlign w:val="center"/>
                </w:tcPr>
                <w:p>
                  <w:pPr>
                    <w:jc w:val="center"/>
                    <w:rPr>
                      <w:szCs w:val="21"/>
                    </w:rPr>
                  </w:pPr>
                  <w:r>
                    <w:rPr>
                      <w:szCs w:val="21"/>
                    </w:rPr>
                    <w:t>/</w:t>
                  </w:r>
                </w:p>
              </w:tc>
              <w:tc>
                <w:tcPr>
                  <w:tcW w:w="1021" w:type="pct"/>
                  <w:vAlign w:val="center"/>
                </w:tcPr>
                <w:p>
                  <w:pPr>
                    <w:jc w:val="center"/>
                    <w:rPr>
                      <w:szCs w:val="21"/>
                    </w:rPr>
                  </w:pPr>
                  <w:r>
                    <w:rPr>
                      <w:szCs w:val="21"/>
                    </w:rPr>
                    <w:t>爆炸下限（V%）</w:t>
                  </w:r>
                </w:p>
              </w:tc>
              <w:tc>
                <w:tcPr>
                  <w:tcW w:w="1271" w:type="pct"/>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88" w:type="pct"/>
                  <w:vMerge w:val="continue"/>
                  <w:vAlign w:val="center"/>
                </w:tcPr>
                <w:p>
                  <w:pPr>
                    <w:jc w:val="center"/>
                    <w:rPr>
                      <w:szCs w:val="21"/>
                    </w:rPr>
                  </w:pPr>
                </w:p>
              </w:tc>
              <w:tc>
                <w:tcPr>
                  <w:tcW w:w="954" w:type="pct"/>
                  <w:vAlign w:val="center"/>
                </w:tcPr>
                <w:p>
                  <w:pPr>
                    <w:jc w:val="center"/>
                    <w:rPr>
                      <w:szCs w:val="21"/>
                    </w:rPr>
                  </w:pPr>
                  <w:r>
                    <w:rPr>
                      <w:szCs w:val="21"/>
                    </w:rPr>
                    <w:t>危险特性</w:t>
                  </w:r>
                </w:p>
              </w:tc>
              <w:tc>
                <w:tcPr>
                  <w:tcW w:w="3356" w:type="pct"/>
                  <w:gridSpan w:val="3"/>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88" w:type="pct"/>
                  <w:vMerge w:val="continue"/>
                  <w:vAlign w:val="center"/>
                </w:tcPr>
                <w:p>
                  <w:pPr>
                    <w:jc w:val="center"/>
                    <w:rPr>
                      <w:szCs w:val="21"/>
                    </w:rPr>
                  </w:pPr>
                </w:p>
              </w:tc>
              <w:tc>
                <w:tcPr>
                  <w:tcW w:w="954" w:type="pct"/>
                  <w:vAlign w:val="center"/>
                </w:tcPr>
                <w:p>
                  <w:pPr>
                    <w:jc w:val="center"/>
                    <w:rPr>
                      <w:szCs w:val="21"/>
                    </w:rPr>
                  </w:pPr>
                  <w:r>
                    <w:rPr>
                      <w:szCs w:val="21"/>
                    </w:rPr>
                    <w:t>灭火方法</w:t>
                  </w:r>
                </w:p>
              </w:tc>
              <w:tc>
                <w:tcPr>
                  <w:tcW w:w="3356" w:type="pct"/>
                  <w:gridSpan w:val="3"/>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88" w:type="pct"/>
                  <w:vMerge w:val="restart"/>
                  <w:vAlign w:val="center"/>
                </w:tcPr>
                <w:p>
                  <w:pPr>
                    <w:jc w:val="center"/>
                    <w:rPr>
                      <w:szCs w:val="21"/>
                    </w:rPr>
                  </w:pPr>
                  <w:r>
                    <w:rPr>
                      <w:szCs w:val="21"/>
                    </w:rPr>
                    <w:t>毒性及健康危害</w:t>
                  </w:r>
                </w:p>
              </w:tc>
              <w:tc>
                <w:tcPr>
                  <w:tcW w:w="954" w:type="pct"/>
                  <w:vAlign w:val="center"/>
                </w:tcPr>
                <w:p>
                  <w:pPr>
                    <w:jc w:val="center"/>
                    <w:rPr>
                      <w:szCs w:val="21"/>
                    </w:rPr>
                  </w:pPr>
                  <w:r>
                    <w:rPr>
                      <w:szCs w:val="21"/>
                    </w:rPr>
                    <w:t>侵入途径</w:t>
                  </w:r>
                </w:p>
              </w:tc>
              <w:tc>
                <w:tcPr>
                  <w:tcW w:w="3356" w:type="pct"/>
                  <w:gridSpan w:val="3"/>
                  <w:vAlign w:val="center"/>
                </w:tcPr>
                <w:p>
                  <w:pPr>
                    <w:jc w:val="center"/>
                    <w:rPr>
                      <w:szCs w:val="21"/>
                    </w:rPr>
                  </w:pPr>
                  <w:r>
                    <w:rPr>
                      <w:szCs w:val="21"/>
                    </w:rPr>
                    <w:t>吸入、食入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88" w:type="pct"/>
                  <w:vMerge w:val="continue"/>
                  <w:vAlign w:val="center"/>
                </w:tcPr>
                <w:p>
                  <w:pPr>
                    <w:jc w:val="center"/>
                    <w:rPr>
                      <w:szCs w:val="21"/>
                    </w:rPr>
                  </w:pPr>
                </w:p>
              </w:tc>
              <w:tc>
                <w:tcPr>
                  <w:tcW w:w="954" w:type="pct"/>
                  <w:vAlign w:val="center"/>
                </w:tcPr>
                <w:p>
                  <w:pPr>
                    <w:jc w:val="center"/>
                    <w:rPr>
                      <w:szCs w:val="21"/>
                    </w:rPr>
                  </w:pPr>
                  <w:r>
                    <w:rPr>
                      <w:szCs w:val="21"/>
                    </w:rPr>
                    <w:t>急性毒性</w:t>
                  </w:r>
                </w:p>
              </w:tc>
              <w:tc>
                <w:tcPr>
                  <w:tcW w:w="3356" w:type="pct"/>
                  <w:gridSpan w:val="3"/>
                  <w:vAlign w:val="center"/>
                </w:tcPr>
                <w:p>
                  <w:pPr>
                    <w:jc w:val="center"/>
                    <w:rPr>
                      <w:szCs w:val="21"/>
                    </w:rPr>
                  </w:pPr>
                  <w:r>
                    <w:rPr>
                      <w:szCs w:val="21"/>
                    </w:rPr>
                    <w:t>与硝酸蒸汽接触有很大危险性。硝酸溶液及硝酸蒸汽对皮肤和黏膜有强刺激和腐蚀作用。</w:t>
                  </w:r>
                  <w:r>
                    <w:fldChar w:fldCharType="begin"/>
                  </w:r>
                  <w:r>
                    <w:instrText xml:space="preserve"> HYPERLINK "https://baike.sogou.com/lemma/ShowInnerLink.htm?lemmaId=7711236&amp;ss_c=ssc.citiao.link" \t "https://baike.sogou.com/_blank" </w:instrText>
                  </w:r>
                  <w:r>
                    <w:fldChar w:fldCharType="separate"/>
                  </w:r>
                  <w:r>
                    <w:rPr>
                      <w:szCs w:val="21"/>
                    </w:rPr>
                    <w:t>浓硝酸</w:t>
                  </w:r>
                  <w:r>
                    <w:rPr>
                      <w:szCs w:val="21"/>
                    </w:rPr>
                    <w:fldChar w:fldCharType="end"/>
                  </w:r>
                  <w:r>
                    <w:rPr>
                      <w:szCs w:val="21"/>
                    </w:rPr>
                    <w:t>烟雾可释放出</w:t>
                  </w:r>
                  <w:r>
                    <w:fldChar w:fldCharType="begin"/>
                  </w:r>
                  <w:r>
                    <w:instrText xml:space="preserve"> HYPERLINK "https://baike.sogou.com/lemma/ShowInnerLink.htm?lemmaId=6439226&amp;ss_c=ssc.citiao.link" \t "https://baike.sogou.com/_blank" </w:instrText>
                  </w:r>
                  <w:r>
                    <w:fldChar w:fldCharType="separate"/>
                  </w:r>
                  <w:r>
                    <w:rPr>
                      <w:szCs w:val="21"/>
                    </w:rPr>
                    <w:t>五氧化二氮</w:t>
                  </w:r>
                  <w:r>
                    <w:rPr>
                      <w:szCs w:val="21"/>
                    </w:rPr>
                    <w:fldChar w:fldCharType="end"/>
                  </w:r>
                  <w:r>
                    <w:rPr>
                      <w:szCs w:val="21"/>
                    </w:rPr>
                    <w:t>（</w:t>
                  </w:r>
                  <w:r>
                    <w:fldChar w:fldCharType="begin"/>
                  </w:r>
                  <w:r>
                    <w:instrText xml:space="preserve"> HYPERLINK "https://baike.sogou.com/lemma/ShowInnerLink.htm?lemmaId=6439226&amp;ss_c=ssc.citiao.link" \t "https://baike.sogou.com/_blank" </w:instrText>
                  </w:r>
                  <w:r>
                    <w:fldChar w:fldCharType="separate"/>
                  </w:r>
                  <w:r>
                    <w:rPr>
                      <w:szCs w:val="21"/>
                    </w:rPr>
                    <w:t>硝酐</w:t>
                  </w:r>
                  <w:r>
                    <w:rPr>
                      <w:szCs w:val="21"/>
                    </w:rPr>
                    <w:fldChar w:fldCharType="end"/>
                  </w:r>
                  <w:r>
                    <w:rPr>
                      <w:szCs w:val="21"/>
                    </w:rPr>
                    <w:t>）遇</w:t>
                  </w:r>
                  <w:bookmarkStart w:id="240" w:name="_GoBack"/>
                  <w:bookmarkEnd w:id="240"/>
                  <w:r>
                    <w:rPr>
                      <w:rFonts w:hint="eastAsia"/>
                      <w:szCs w:val="21"/>
                      <w:lang w:eastAsia="zh-CN"/>
                    </w:rPr>
                    <w:t>水蒸气</w:t>
                  </w:r>
                  <w:r>
                    <w:rPr>
                      <w:szCs w:val="21"/>
                    </w:rPr>
                    <w:t>形成酸雾，可迅速分解而形成二氧化氮，浓硝酸加热时产生硝酸蒸汽，也可分解产生二氧化氮，吸入后可引起急性氮氧化物中毒。人在低于12ppm（30mg/m³）左右时未见明显的损害。吸入可引起肺炎。大鼠吸入LC50 49 ppm/4小时。国外报道3例吸入硝酸烟雾后短时间内无呼吸道症状。4－6h后进行性呼吸困难。入院后均有发绀及口、鼻流出泡沫液体。给机械通气及100%氧气吸入。在24h内死亡。经尸检，肺组织免疫组织学分析及电镜检查表明细胞损伤可能由于二氧化氮的</w:t>
                  </w:r>
                  <w:r>
                    <w:fldChar w:fldCharType="begin"/>
                  </w:r>
                  <w:r>
                    <w:instrText xml:space="preserve"> HYPERLINK "https://baike.sogou.com/lemma/ShowInnerLink.htm?lemmaId=3282218&amp;ss_c=ssc.citiao.link" \t "https://baike.sogou.com/_blank" </w:instrText>
                  </w:r>
                  <w:r>
                    <w:fldChar w:fldCharType="separate"/>
                  </w:r>
                  <w:r>
                    <w:rPr>
                      <w:szCs w:val="21"/>
                    </w:rPr>
                    <w:t>水合作用</w:t>
                  </w:r>
                  <w:r>
                    <w:rPr>
                      <w:szCs w:val="21"/>
                    </w:rPr>
                    <w:fldChar w:fldCharType="end"/>
                  </w:r>
                  <w:r>
                    <w:rPr>
                      <w:szCs w:val="21"/>
                    </w:rPr>
                    <w:t>产生自由基所引起的，此种时间依赖的作用可能是迟发性</w:t>
                  </w:r>
                  <w:r>
                    <w:fldChar w:fldCharType="begin"/>
                  </w:r>
                  <w:r>
                    <w:instrText xml:space="preserve"> HYPERLINK "https://baike.sogou.com/lemma/ShowInnerLink.htm?lemmaId=6622147&amp;ss_c=ssc.citiao.link" \t "https://baike.sogou.com/_blank" </w:instrText>
                  </w:r>
                  <w:r>
                    <w:fldChar w:fldCharType="separate"/>
                  </w:r>
                  <w:r>
                    <w:rPr>
                      <w:szCs w:val="21"/>
                    </w:rPr>
                    <w:t>肺损伤</w:t>
                  </w:r>
                  <w:r>
                    <w:rPr>
                      <w:szCs w:val="21"/>
                    </w:rPr>
                    <w:fldChar w:fldCharType="end"/>
                  </w:r>
                  <w:r>
                    <w:rPr>
                      <w:szCs w:val="21"/>
                    </w:rPr>
                    <w:t>症状的部分原因。 吸入硝酸烟雾可引起急性中毒。口服硝酸可引起腐蚀性</w:t>
                  </w:r>
                  <w:r>
                    <w:fldChar w:fldCharType="begin"/>
                  </w:r>
                  <w:r>
                    <w:instrText xml:space="preserve"> HYPERLINK "https://baike.sogou.com/lemma/ShowInnerLink.htm?lemmaId=6027186&amp;ss_c=ssc.citiao.link" \t "https://baike.sogou.com/_blank" </w:instrText>
                  </w:r>
                  <w:r>
                    <w:fldChar w:fldCharType="separate"/>
                  </w:r>
                  <w:r>
                    <w:rPr>
                      <w:szCs w:val="21"/>
                    </w:rPr>
                    <w:t>口腔炎</w:t>
                  </w:r>
                  <w:r>
                    <w:rPr>
                      <w:szCs w:val="21"/>
                    </w:rPr>
                    <w:fldChar w:fldCharType="end"/>
                  </w:r>
                  <w:r>
                    <w:rPr>
                      <w:szCs w:val="21"/>
                    </w:rPr>
                    <w:t>和</w:t>
                  </w:r>
                  <w:r>
                    <w:fldChar w:fldCharType="begin"/>
                  </w:r>
                  <w:r>
                    <w:instrText xml:space="preserve"> HYPERLINK "https://baike.sogou.com/lemma/ShowInnerLink.htm?lemmaId=5770723&amp;ss_c=ssc.citiao.link" \t "https://baike.sogou.com/_blank" </w:instrText>
                  </w:r>
                  <w:r>
                    <w:fldChar w:fldCharType="separate"/>
                  </w:r>
                  <w:r>
                    <w:rPr>
                      <w:szCs w:val="21"/>
                    </w:rPr>
                    <w:t>胃肠炎</w:t>
                  </w:r>
                  <w:r>
                    <w:rPr>
                      <w:szCs w:val="21"/>
                    </w:rPr>
                    <w:fldChar w:fldCharType="end"/>
                  </w:r>
                  <w:r>
                    <w:rPr>
                      <w:szCs w:val="21"/>
                    </w:rPr>
                    <w:t>，可出现休克或</w:t>
                  </w:r>
                  <w:r>
                    <w:fldChar w:fldCharType="begin"/>
                  </w:r>
                  <w:r>
                    <w:instrText xml:space="preserve"> HYPERLINK "https://baike.sogou.com/lemma/ShowInnerLink.htm?lemmaId=472842&amp;ss_c=ssc.citiao.link" \t "https://baike.sogou.com/_blank" </w:instrText>
                  </w:r>
                  <w:r>
                    <w:fldChar w:fldCharType="separate"/>
                  </w:r>
                  <w:r>
                    <w:rPr>
                      <w:szCs w:val="21"/>
                    </w:rPr>
                    <w:t>肾功能衰竭</w:t>
                  </w:r>
                  <w:r>
                    <w:rPr>
                      <w:szCs w:val="21"/>
                    </w:rPr>
                    <w:fldChar w:fldCharType="end"/>
                  </w:r>
                  <w:r>
                    <w:rPr>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688" w:type="pct"/>
                  <w:vMerge w:val="continue"/>
                  <w:vAlign w:val="center"/>
                </w:tcPr>
                <w:p>
                  <w:pPr>
                    <w:jc w:val="center"/>
                    <w:rPr>
                      <w:szCs w:val="21"/>
                    </w:rPr>
                  </w:pPr>
                </w:p>
              </w:tc>
              <w:tc>
                <w:tcPr>
                  <w:tcW w:w="954" w:type="pct"/>
                  <w:vAlign w:val="center"/>
                </w:tcPr>
                <w:p>
                  <w:pPr>
                    <w:jc w:val="center"/>
                    <w:rPr>
                      <w:szCs w:val="21"/>
                    </w:rPr>
                  </w:pPr>
                  <w:r>
                    <w:rPr>
                      <w:szCs w:val="21"/>
                    </w:rPr>
                    <w:t>健康危害</w:t>
                  </w:r>
                </w:p>
              </w:tc>
              <w:tc>
                <w:tcPr>
                  <w:tcW w:w="3356" w:type="pct"/>
                  <w:gridSpan w:val="3"/>
                  <w:vAlign w:val="center"/>
                </w:tcPr>
                <w:p>
                  <w:pPr>
                    <w:jc w:val="center"/>
                    <w:rPr>
                      <w:szCs w:val="21"/>
                    </w:rPr>
                  </w:pPr>
                  <w:r>
                    <w:rPr>
                      <w:szCs w:val="21"/>
                    </w:rPr>
                    <w:t>吸入硝酸气雾产生呼吸道刺激作用，可引起</w:t>
                  </w:r>
                  <w:r>
                    <w:fldChar w:fldCharType="begin"/>
                  </w:r>
                  <w:r>
                    <w:instrText xml:space="preserve"> HYPERLINK "https://baike.sogou.com/lemma/ShowInnerLink.htm?lemmaId=7628105&amp;ss_c=ssc.citiao.link" \t "https://baike.sogou.com/_blank" </w:instrText>
                  </w:r>
                  <w:r>
                    <w:fldChar w:fldCharType="separate"/>
                  </w:r>
                  <w:r>
                    <w:rPr>
                      <w:szCs w:val="21"/>
                    </w:rPr>
                    <w:t>急性肺水肿</w:t>
                  </w:r>
                  <w:r>
                    <w:rPr>
                      <w:szCs w:val="21"/>
                    </w:rPr>
                    <w:fldChar w:fldCharType="end"/>
                  </w:r>
                  <w:r>
                    <w:rPr>
                      <w:szCs w:val="21"/>
                    </w:rPr>
                    <w:t>。口服引起腹部剧痛，严重者可有</w:t>
                  </w:r>
                  <w:r>
                    <w:fldChar w:fldCharType="begin"/>
                  </w:r>
                  <w:r>
                    <w:instrText xml:space="preserve"> HYPERLINK "https://baike.sogou.com/lemma/ShowInnerLink.htm?lemmaId=610349&amp;ss_c=ssc.citiao.link" \t "https://baike.sogou.com/_blank" </w:instrText>
                  </w:r>
                  <w:r>
                    <w:fldChar w:fldCharType="separate"/>
                  </w:r>
                  <w:r>
                    <w:rPr>
                      <w:szCs w:val="21"/>
                    </w:rPr>
                    <w:t>胃穿孔</w:t>
                  </w:r>
                  <w:r>
                    <w:rPr>
                      <w:szCs w:val="21"/>
                    </w:rPr>
                    <w:fldChar w:fldCharType="end"/>
                  </w:r>
                  <w:r>
                    <w:rPr>
                      <w:szCs w:val="21"/>
                    </w:rPr>
                    <w:t>、</w:t>
                  </w:r>
                  <w:r>
                    <w:fldChar w:fldCharType="begin"/>
                  </w:r>
                  <w:r>
                    <w:instrText xml:space="preserve"> HYPERLINK "https://baike.sogou.com/lemma/ShowInnerLink.htm?lemmaId=6541678&amp;ss_c=ssc.citiao.link" \t "https://baike.sogou.com/_blank" </w:instrText>
                  </w:r>
                  <w:r>
                    <w:fldChar w:fldCharType="separate"/>
                  </w:r>
                  <w:r>
                    <w:rPr>
                      <w:szCs w:val="21"/>
                    </w:rPr>
                    <w:t>腹膜炎</w:t>
                  </w:r>
                  <w:r>
                    <w:rPr>
                      <w:szCs w:val="21"/>
                    </w:rPr>
                    <w:fldChar w:fldCharType="end"/>
                  </w:r>
                  <w:r>
                    <w:rPr>
                      <w:szCs w:val="21"/>
                    </w:rPr>
                    <w:t>、喉痉挛、肾损害、休克以及窒息。眼和皮肤接触引起灼伤。 慢性影响 长期接触可引起牙齿</w:t>
                  </w:r>
                  <w:r>
                    <w:fldChar w:fldCharType="begin"/>
                  </w:r>
                  <w:r>
                    <w:instrText xml:space="preserve"> HYPERLINK "https://baike.sogou.com/lemma/ShowInnerLink.htm?lemmaId=75872676&amp;ss_c=ssc.citiao.link" \t "https://baike.sogou.com/_blank" </w:instrText>
                  </w:r>
                  <w:r>
                    <w:fldChar w:fldCharType="separate"/>
                  </w:r>
                  <w:r>
                    <w:rPr>
                      <w:szCs w:val="21"/>
                    </w:rPr>
                    <w:t>酸蚀症</w:t>
                  </w:r>
                  <w:r>
                    <w:rPr>
                      <w:szCs w:val="21"/>
                    </w:rPr>
                    <w:fldChar w:fldCharType="end"/>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jc w:val="center"/>
              </w:trPr>
              <w:tc>
                <w:tcPr>
                  <w:tcW w:w="688" w:type="pct"/>
                  <w:vAlign w:val="center"/>
                </w:tcPr>
                <w:p>
                  <w:pPr>
                    <w:jc w:val="center"/>
                    <w:rPr>
                      <w:szCs w:val="21"/>
                    </w:rPr>
                  </w:pPr>
                  <w:r>
                    <w:rPr>
                      <w:szCs w:val="21"/>
                    </w:rPr>
                    <w:t>泄漏处置</w:t>
                  </w:r>
                </w:p>
              </w:tc>
              <w:tc>
                <w:tcPr>
                  <w:tcW w:w="4311" w:type="pct"/>
                  <w:gridSpan w:val="4"/>
                  <w:vAlign w:val="center"/>
                </w:tcPr>
                <w:p>
                  <w:pPr>
                    <w:jc w:val="center"/>
                    <w:rPr>
                      <w:szCs w:val="21"/>
                    </w:rPr>
                  </w:pPr>
                  <w:r>
                    <w:rPr>
                      <w:szCs w:val="21"/>
                    </w:rPr>
                    <w:t>根据液体流动和蒸汽扩散的影响区域划定警戒区，无关人员从侧风、上风向撤离至安全区。建议应急处理人员戴正压自给式</w:t>
                  </w:r>
                  <w:r>
                    <w:fldChar w:fldCharType="begin"/>
                  </w:r>
                  <w:r>
                    <w:instrText xml:space="preserve"> HYPERLINK "https://baike.sogou.com/lemma/ShowInnerLink.htm?lemmaId=305648&amp;ss_c=ssc.citiao.link" \t "https://baike.sogou.com/_blank" </w:instrText>
                  </w:r>
                  <w:r>
                    <w:fldChar w:fldCharType="separate"/>
                  </w:r>
                  <w:r>
                    <w:rPr>
                      <w:szCs w:val="21"/>
                    </w:rPr>
                    <w:t>呼吸器</w:t>
                  </w:r>
                  <w:r>
                    <w:rPr>
                      <w:szCs w:val="21"/>
                    </w:rPr>
                    <w:fldChar w:fldCharType="end"/>
                  </w:r>
                  <w:r>
                    <w:rPr>
                      <w:szCs w:val="21"/>
                    </w:rPr>
                    <w:t>，穿防酸碱服。作业时使用的所有设备应接地。穿上适当的防护服前严禁接触破裂的容器和泄漏物。尽可能切断泄漏源。防止泄漏物进入水体、下水道、地下室或密闭性空间。喷雾状水抑制蒸汽或改变蒸汽云流向，避免水流接触泄漏物。勿使水进入包装容器内。小量泄漏：用干燥的砂土</w:t>
                  </w:r>
                  <w:r>
                    <w:rPr>
                      <w:rFonts w:hint="eastAsia"/>
                      <w:szCs w:val="21"/>
                      <w:lang w:eastAsia="zh-CN"/>
                    </w:rPr>
                    <w:t>或其他</w:t>
                  </w:r>
                  <w:r>
                    <w:rPr>
                      <w:szCs w:val="21"/>
                    </w:rPr>
                    <w:t>不燃材料覆盖泄漏物。大量泄漏：构筑围堤或挖坑收容。用飞尘或</w:t>
                  </w:r>
                  <w:r>
                    <w:fldChar w:fldCharType="begin"/>
                  </w:r>
                  <w:r>
                    <w:instrText xml:space="preserve"> HYPERLINK "https://baike.sogou.com/lemma/ShowInnerLink.htm?lemmaId=23779784&amp;ss_c=ssc.citiao.link" \t "https://baike.sogou.com/_blank" </w:instrText>
                  </w:r>
                  <w:r>
                    <w:fldChar w:fldCharType="separate"/>
                  </w:r>
                  <w:r>
                    <w:rPr>
                      <w:szCs w:val="21"/>
                    </w:rPr>
                    <w:t>石灰粉</w:t>
                  </w:r>
                  <w:r>
                    <w:rPr>
                      <w:szCs w:val="21"/>
                    </w:rPr>
                    <w:fldChar w:fldCharType="end"/>
                  </w:r>
                  <w:r>
                    <w:rPr>
                      <w:szCs w:val="21"/>
                    </w:rPr>
                    <w:t>吸收大量液体。用农用石灰（CaO）、碎石灰石（</w:t>
                  </w:r>
                  <w:r>
                    <w:fldChar w:fldCharType="begin"/>
                  </w:r>
                  <w:r>
                    <w:instrText xml:space="preserve"> HYPERLINK "https://baike.sogou.com/lemma/ShowInnerLink.htm?lemmaId=293024&amp;ss_c=ssc.citiao.link" \t "https://baike.sogou.com/_blank" </w:instrText>
                  </w:r>
                  <w:r>
                    <w:fldChar w:fldCharType="separate"/>
                  </w:r>
                  <w:r>
                    <w:rPr>
                      <w:szCs w:val="21"/>
                    </w:rPr>
                    <w:t>CaCO</w:t>
                  </w:r>
                  <w:r>
                    <w:rPr>
                      <w:szCs w:val="21"/>
                      <w:vertAlign w:val="subscript"/>
                    </w:rPr>
                    <w:t>3</w:t>
                  </w:r>
                  <w:r>
                    <w:rPr>
                      <w:szCs w:val="21"/>
                      <w:vertAlign w:val="subscript"/>
                    </w:rPr>
                    <w:fldChar w:fldCharType="end"/>
                  </w:r>
                  <w:r>
                    <w:rPr>
                      <w:szCs w:val="21"/>
                    </w:rPr>
                    <w:t>)或碳酸氢钠(</w:t>
                  </w:r>
                  <w:r>
                    <w:fldChar w:fldCharType="begin"/>
                  </w:r>
                  <w:r>
                    <w:instrText xml:space="preserve"> HYPERLINK "https://baike.sogou.com/lemma/ShowInnerLink.htm?lemmaId=115541&amp;ss_c=ssc.citiao.link" \t "https://baike.sogou.com/_blank" </w:instrText>
                  </w:r>
                  <w:r>
                    <w:fldChar w:fldCharType="separate"/>
                  </w:r>
                  <w:r>
                    <w:rPr>
                      <w:szCs w:val="21"/>
                    </w:rPr>
                    <w:t>NaHCO</w:t>
                  </w:r>
                  <w:r>
                    <w:rPr>
                      <w:szCs w:val="21"/>
                      <w:vertAlign w:val="subscript"/>
                    </w:rPr>
                    <w:t>3</w:t>
                  </w:r>
                  <w:r>
                    <w:rPr>
                      <w:szCs w:val="21"/>
                      <w:vertAlign w:val="subscript"/>
                    </w:rPr>
                    <w:fldChar w:fldCharType="end"/>
                  </w:r>
                  <w:r>
                    <w:rPr>
                      <w:szCs w:val="21"/>
                    </w:rPr>
                    <w:t>)中和。用抗溶性泡沫覆盖，减少蒸发。用耐腐蚀泵转移至槽车或专用收集器内。</w:t>
                  </w:r>
                </w:p>
              </w:tc>
            </w:tr>
          </w:tbl>
          <w:p>
            <w:pPr>
              <w:pStyle w:val="12"/>
              <w:jc w:val="center"/>
              <w:rPr>
                <w:rFonts w:ascii="Times New Roman" w:hAnsi="Times New Roman"/>
                <w:b/>
                <w:sz w:val="24"/>
              </w:rPr>
            </w:pPr>
            <w:r>
              <w:rPr>
                <w:rFonts w:ascii="Times New Roman" w:hAnsi="Times New Roman"/>
                <w:b/>
                <w:sz w:val="24"/>
              </w:rPr>
              <w:t>表4-16 硫酸铵理化性质表</w:t>
            </w:r>
          </w:p>
          <w:tbl>
            <w:tblPr>
              <w:tblStyle w:val="27"/>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5"/>
              <w:gridCol w:w="1632"/>
              <w:gridCol w:w="1816"/>
              <w:gridCol w:w="1748"/>
              <w:gridCol w:w="2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blHeader/>
              </w:trPr>
              <w:tc>
                <w:tcPr>
                  <w:tcW w:w="679" w:type="pct"/>
                  <w:vMerge w:val="restart"/>
                  <w:vAlign w:val="center"/>
                </w:tcPr>
                <w:p>
                  <w:pPr>
                    <w:jc w:val="center"/>
                    <w:rPr>
                      <w:szCs w:val="21"/>
                    </w:rPr>
                  </w:pPr>
                  <w:r>
                    <w:rPr>
                      <w:szCs w:val="21"/>
                    </w:rPr>
                    <w:t>标识</w:t>
                  </w:r>
                </w:p>
              </w:tc>
              <w:tc>
                <w:tcPr>
                  <w:tcW w:w="943" w:type="pct"/>
                  <w:vAlign w:val="center"/>
                </w:tcPr>
                <w:p>
                  <w:pPr>
                    <w:jc w:val="center"/>
                    <w:rPr>
                      <w:szCs w:val="21"/>
                    </w:rPr>
                  </w:pPr>
                  <w:r>
                    <w:rPr>
                      <w:szCs w:val="21"/>
                    </w:rPr>
                    <w:t>中文名</w:t>
                  </w:r>
                </w:p>
              </w:tc>
              <w:tc>
                <w:tcPr>
                  <w:tcW w:w="1049" w:type="pct"/>
                  <w:vAlign w:val="center"/>
                </w:tcPr>
                <w:p>
                  <w:pPr>
                    <w:jc w:val="center"/>
                    <w:rPr>
                      <w:szCs w:val="21"/>
                    </w:rPr>
                  </w:pPr>
                  <w:r>
                    <w:rPr>
                      <w:szCs w:val="21"/>
                    </w:rPr>
                    <w:t>硫酸铵</w:t>
                  </w:r>
                </w:p>
              </w:tc>
              <w:tc>
                <w:tcPr>
                  <w:tcW w:w="1010" w:type="pct"/>
                  <w:vAlign w:val="center"/>
                </w:tcPr>
                <w:p>
                  <w:pPr>
                    <w:jc w:val="center"/>
                    <w:rPr>
                      <w:szCs w:val="21"/>
                    </w:rPr>
                  </w:pPr>
                  <w:r>
                    <w:rPr>
                      <w:szCs w:val="21"/>
                    </w:rPr>
                    <w:t>英文名</w:t>
                  </w:r>
                </w:p>
              </w:tc>
              <w:tc>
                <w:tcPr>
                  <w:tcW w:w="1317" w:type="pct"/>
                  <w:vAlign w:val="center"/>
                </w:tcPr>
                <w:p>
                  <w:pPr>
                    <w:jc w:val="center"/>
                    <w:rPr>
                      <w:szCs w:val="21"/>
                    </w:rPr>
                  </w:pPr>
                  <w:r>
                    <w:rPr>
                      <w:szCs w:val="21"/>
                    </w:rPr>
                    <w:t>Ammonium sulfate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79" w:type="pct"/>
                  <w:vMerge w:val="continue"/>
                  <w:vAlign w:val="center"/>
                </w:tcPr>
                <w:p>
                  <w:pPr>
                    <w:ind w:firstLine="420" w:firstLineChars="200"/>
                    <w:jc w:val="center"/>
                    <w:rPr>
                      <w:szCs w:val="21"/>
                    </w:rPr>
                  </w:pPr>
                </w:p>
              </w:tc>
              <w:tc>
                <w:tcPr>
                  <w:tcW w:w="943" w:type="pct"/>
                  <w:vAlign w:val="center"/>
                </w:tcPr>
                <w:p>
                  <w:pPr>
                    <w:jc w:val="center"/>
                    <w:rPr>
                      <w:szCs w:val="21"/>
                    </w:rPr>
                  </w:pPr>
                  <w:r>
                    <w:rPr>
                      <w:szCs w:val="21"/>
                    </w:rPr>
                    <w:t>分子式</w:t>
                  </w:r>
                </w:p>
              </w:tc>
              <w:tc>
                <w:tcPr>
                  <w:tcW w:w="1049" w:type="pct"/>
                  <w:vAlign w:val="center"/>
                </w:tcPr>
                <w:p>
                  <w:pPr>
                    <w:jc w:val="center"/>
                    <w:rPr>
                      <w:szCs w:val="21"/>
                    </w:rPr>
                  </w:pPr>
                  <w:r>
                    <w:rPr>
                      <w:szCs w:val="21"/>
                    </w:rPr>
                    <w:t>(NH</w:t>
                  </w:r>
                  <w:r>
                    <w:rPr>
                      <w:szCs w:val="21"/>
                      <w:vertAlign w:val="subscript"/>
                    </w:rPr>
                    <w:t>4</w:t>
                  </w:r>
                  <w:r>
                    <w:rPr>
                      <w:szCs w:val="21"/>
                    </w:rPr>
                    <w:t>)</w:t>
                  </w:r>
                  <w:r>
                    <w:rPr>
                      <w:szCs w:val="21"/>
                      <w:vertAlign w:val="subscript"/>
                    </w:rPr>
                    <w:t>2</w:t>
                  </w:r>
                  <w:r>
                    <w:rPr>
                      <w:szCs w:val="21"/>
                    </w:rPr>
                    <w:t>SO</w:t>
                  </w:r>
                  <w:r>
                    <w:rPr>
                      <w:szCs w:val="21"/>
                      <w:vertAlign w:val="subscript"/>
                    </w:rPr>
                    <w:t>4</w:t>
                  </w:r>
                </w:p>
              </w:tc>
              <w:tc>
                <w:tcPr>
                  <w:tcW w:w="1010" w:type="pct"/>
                  <w:vAlign w:val="center"/>
                </w:tcPr>
                <w:p>
                  <w:pPr>
                    <w:jc w:val="center"/>
                    <w:rPr>
                      <w:szCs w:val="21"/>
                    </w:rPr>
                  </w:pPr>
                  <w:r>
                    <w:rPr>
                      <w:szCs w:val="21"/>
                    </w:rPr>
                    <w:t>危规号</w:t>
                  </w:r>
                </w:p>
              </w:tc>
              <w:tc>
                <w:tcPr>
                  <w:tcW w:w="1317" w:type="pct"/>
                  <w:vAlign w:val="center"/>
                </w:tcPr>
                <w:p>
                  <w:pPr>
                    <w:jc w:val="center"/>
                    <w:rPr>
                      <w:szCs w:val="21"/>
                    </w:rPr>
                  </w:pPr>
                  <w:r>
                    <w:rPr>
                      <w:szCs w:val="21"/>
                    </w:rPr>
                    <w:t>1170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79" w:type="pct"/>
                  <w:vMerge w:val="continue"/>
                  <w:vAlign w:val="center"/>
                </w:tcPr>
                <w:p>
                  <w:pPr>
                    <w:ind w:firstLine="420" w:firstLineChars="200"/>
                    <w:jc w:val="center"/>
                    <w:rPr>
                      <w:szCs w:val="21"/>
                    </w:rPr>
                  </w:pPr>
                </w:p>
              </w:tc>
              <w:tc>
                <w:tcPr>
                  <w:tcW w:w="943" w:type="pct"/>
                  <w:vAlign w:val="center"/>
                </w:tcPr>
                <w:p>
                  <w:pPr>
                    <w:jc w:val="center"/>
                    <w:rPr>
                      <w:szCs w:val="21"/>
                    </w:rPr>
                  </w:pPr>
                  <w:r>
                    <w:rPr>
                      <w:szCs w:val="21"/>
                    </w:rPr>
                    <w:t>分子量</w:t>
                  </w:r>
                </w:p>
              </w:tc>
              <w:tc>
                <w:tcPr>
                  <w:tcW w:w="1049" w:type="pct"/>
                  <w:vAlign w:val="center"/>
                </w:tcPr>
                <w:p>
                  <w:pPr>
                    <w:jc w:val="center"/>
                    <w:rPr>
                      <w:szCs w:val="21"/>
                    </w:rPr>
                  </w:pPr>
                  <w:r>
                    <w:rPr>
                      <w:szCs w:val="21"/>
                    </w:rPr>
                    <w:t>132.13</w:t>
                  </w:r>
                </w:p>
              </w:tc>
              <w:tc>
                <w:tcPr>
                  <w:tcW w:w="1010" w:type="pct"/>
                  <w:vAlign w:val="center"/>
                </w:tcPr>
                <w:p>
                  <w:pPr>
                    <w:jc w:val="center"/>
                    <w:rPr>
                      <w:szCs w:val="21"/>
                    </w:rPr>
                  </w:pPr>
                  <w:r>
                    <w:rPr>
                      <w:szCs w:val="21"/>
                    </w:rPr>
                    <w:t>危险性类别</w:t>
                  </w:r>
                </w:p>
              </w:tc>
              <w:tc>
                <w:tcPr>
                  <w:tcW w:w="1317" w:type="pct"/>
                  <w:vAlign w:val="center"/>
                </w:tcPr>
                <w:p>
                  <w:pPr>
                    <w:jc w:val="center"/>
                    <w:rPr>
                      <w:szCs w:val="21"/>
                    </w:rPr>
                  </w:pPr>
                  <w:r>
                    <w:rPr>
                      <w:szCs w:val="21"/>
                    </w:rPr>
                    <w:t>第八类 腐蚀性液体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79" w:type="pct"/>
                  <w:vMerge w:val="restart"/>
                  <w:vAlign w:val="center"/>
                </w:tcPr>
                <w:p>
                  <w:pPr>
                    <w:jc w:val="center"/>
                    <w:rPr>
                      <w:szCs w:val="21"/>
                    </w:rPr>
                  </w:pPr>
                  <w:r>
                    <w:rPr>
                      <w:szCs w:val="21"/>
                    </w:rPr>
                    <w:t>理化特性</w:t>
                  </w:r>
                </w:p>
              </w:tc>
              <w:tc>
                <w:tcPr>
                  <w:tcW w:w="943" w:type="pct"/>
                  <w:vAlign w:val="center"/>
                </w:tcPr>
                <w:p>
                  <w:pPr>
                    <w:jc w:val="center"/>
                    <w:rPr>
                      <w:szCs w:val="21"/>
                    </w:rPr>
                  </w:pPr>
                  <w:r>
                    <w:rPr>
                      <w:szCs w:val="21"/>
                    </w:rPr>
                    <w:t>熔点（℃）</w:t>
                  </w:r>
                </w:p>
              </w:tc>
              <w:tc>
                <w:tcPr>
                  <w:tcW w:w="1049" w:type="pct"/>
                  <w:vAlign w:val="center"/>
                </w:tcPr>
                <w:p>
                  <w:pPr>
                    <w:jc w:val="center"/>
                    <w:rPr>
                      <w:szCs w:val="21"/>
                    </w:rPr>
                  </w:pPr>
                  <w:r>
                    <w:rPr>
                      <w:szCs w:val="21"/>
                    </w:rPr>
                    <w:t>230-280</w:t>
                  </w:r>
                </w:p>
              </w:tc>
              <w:tc>
                <w:tcPr>
                  <w:tcW w:w="1010" w:type="pct"/>
                  <w:vAlign w:val="center"/>
                </w:tcPr>
                <w:p>
                  <w:pPr>
                    <w:jc w:val="center"/>
                    <w:rPr>
                      <w:szCs w:val="21"/>
                    </w:rPr>
                  </w:pPr>
                  <w:r>
                    <w:rPr>
                      <w:szCs w:val="21"/>
                    </w:rPr>
                    <w:t>沸点（℃）</w:t>
                  </w:r>
                </w:p>
              </w:tc>
              <w:tc>
                <w:tcPr>
                  <w:tcW w:w="1317" w:type="pct"/>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679" w:type="pct"/>
                  <w:vMerge w:val="continue"/>
                  <w:vAlign w:val="center"/>
                </w:tcPr>
                <w:p>
                  <w:pPr>
                    <w:ind w:firstLine="420" w:firstLineChars="200"/>
                    <w:jc w:val="center"/>
                    <w:rPr>
                      <w:szCs w:val="21"/>
                    </w:rPr>
                  </w:pPr>
                </w:p>
              </w:tc>
              <w:tc>
                <w:tcPr>
                  <w:tcW w:w="943" w:type="pct"/>
                  <w:vAlign w:val="center"/>
                </w:tcPr>
                <w:p>
                  <w:pPr>
                    <w:ind w:firstLine="420" w:firstLineChars="200"/>
                    <w:jc w:val="center"/>
                    <w:rPr>
                      <w:szCs w:val="21"/>
                    </w:rPr>
                  </w:pPr>
                  <w:r>
                    <w:rPr>
                      <w:szCs w:val="21"/>
                    </w:rPr>
                    <w:t>燃烧热（kJ/mol）</w:t>
                  </w:r>
                </w:p>
              </w:tc>
              <w:tc>
                <w:tcPr>
                  <w:tcW w:w="1049" w:type="pct"/>
                  <w:vAlign w:val="center"/>
                </w:tcPr>
                <w:p>
                  <w:pPr>
                    <w:jc w:val="center"/>
                    <w:rPr>
                      <w:szCs w:val="21"/>
                    </w:rPr>
                  </w:pPr>
                  <w:r>
                    <w:rPr>
                      <w:szCs w:val="21"/>
                    </w:rPr>
                    <w:t>/</w:t>
                  </w:r>
                </w:p>
              </w:tc>
              <w:tc>
                <w:tcPr>
                  <w:tcW w:w="1010" w:type="pct"/>
                  <w:vAlign w:val="center"/>
                </w:tcPr>
                <w:p>
                  <w:pPr>
                    <w:jc w:val="center"/>
                    <w:rPr>
                      <w:szCs w:val="21"/>
                    </w:rPr>
                  </w:pPr>
                  <w:r>
                    <w:rPr>
                      <w:szCs w:val="21"/>
                    </w:rPr>
                    <w:t>饱和蒸汽压（kPa）</w:t>
                  </w:r>
                </w:p>
              </w:tc>
              <w:tc>
                <w:tcPr>
                  <w:tcW w:w="1317" w:type="pct"/>
                  <w:vAlign w:val="center"/>
                </w:tcPr>
                <w:p>
                  <w:pPr>
                    <w:jc w:val="center"/>
                    <w:rPr>
                      <w:szCs w:val="21"/>
                    </w:rPr>
                  </w:pPr>
                  <w:r>
                    <w:rPr>
                      <w:szCs w:val="21"/>
                    </w:rPr>
                    <w:t>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79" w:type="pct"/>
                  <w:vMerge w:val="continue"/>
                  <w:vAlign w:val="center"/>
                </w:tcPr>
                <w:p>
                  <w:pPr>
                    <w:ind w:firstLine="420" w:firstLineChars="200"/>
                    <w:jc w:val="center"/>
                    <w:rPr>
                      <w:szCs w:val="21"/>
                    </w:rPr>
                  </w:pPr>
                </w:p>
              </w:tc>
              <w:tc>
                <w:tcPr>
                  <w:tcW w:w="943" w:type="pct"/>
                  <w:vAlign w:val="center"/>
                </w:tcPr>
                <w:p>
                  <w:pPr>
                    <w:jc w:val="center"/>
                    <w:rPr>
                      <w:szCs w:val="21"/>
                    </w:rPr>
                  </w:pPr>
                  <w:r>
                    <w:rPr>
                      <w:szCs w:val="21"/>
                    </w:rPr>
                    <w:t>相对密度</w:t>
                  </w:r>
                </w:p>
              </w:tc>
              <w:tc>
                <w:tcPr>
                  <w:tcW w:w="3377" w:type="pct"/>
                  <w:gridSpan w:val="3"/>
                  <w:vAlign w:val="center"/>
                </w:tcPr>
                <w:p>
                  <w:pPr>
                    <w:ind w:firstLine="420" w:firstLineChars="200"/>
                    <w:jc w:val="center"/>
                    <w:rPr>
                      <w:szCs w:val="21"/>
                    </w:rPr>
                  </w:pPr>
                  <w:r>
                    <w:rPr>
                      <w:szCs w:val="21"/>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679" w:type="pct"/>
                  <w:vMerge w:val="continue"/>
                  <w:vAlign w:val="center"/>
                </w:tcPr>
                <w:p>
                  <w:pPr>
                    <w:ind w:firstLine="420" w:firstLineChars="200"/>
                    <w:jc w:val="center"/>
                    <w:rPr>
                      <w:szCs w:val="21"/>
                    </w:rPr>
                  </w:pPr>
                </w:p>
              </w:tc>
              <w:tc>
                <w:tcPr>
                  <w:tcW w:w="943" w:type="pct"/>
                  <w:vAlign w:val="center"/>
                </w:tcPr>
                <w:p>
                  <w:pPr>
                    <w:jc w:val="center"/>
                    <w:rPr>
                      <w:szCs w:val="21"/>
                    </w:rPr>
                  </w:pPr>
                  <w:r>
                    <w:rPr>
                      <w:szCs w:val="21"/>
                    </w:rPr>
                    <w:t>外观性状</w:t>
                  </w:r>
                </w:p>
              </w:tc>
              <w:tc>
                <w:tcPr>
                  <w:tcW w:w="3377" w:type="pct"/>
                  <w:gridSpan w:val="3"/>
                  <w:vAlign w:val="center"/>
                </w:tcPr>
                <w:p>
                  <w:pPr>
                    <w:jc w:val="center"/>
                    <w:rPr>
                      <w:szCs w:val="21"/>
                    </w:rPr>
                  </w:pPr>
                  <w:r>
                    <w:rPr>
                      <w:szCs w:val="21"/>
                    </w:rPr>
                    <w:t>白色结晶性粉末。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79" w:type="pct"/>
                  <w:vMerge w:val="continue"/>
                  <w:vAlign w:val="center"/>
                </w:tcPr>
                <w:p>
                  <w:pPr>
                    <w:ind w:firstLine="420" w:firstLineChars="200"/>
                    <w:jc w:val="center"/>
                    <w:rPr>
                      <w:szCs w:val="21"/>
                    </w:rPr>
                  </w:pPr>
                </w:p>
              </w:tc>
              <w:tc>
                <w:tcPr>
                  <w:tcW w:w="943" w:type="pct"/>
                  <w:vAlign w:val="center"/>
                </w:tcPr>
                <w:p>
                  <w:pPr>
                    <w:jc w:val="center"/>
                    <w:rPr>
                      <w:szCs w:val="21"/>
                    </w:rPr>
                  </w:pPr>
                  <w:r>
                    <w:rPr>
                      <w:szCs w:val="21"/>
                    </w:rPr>
                    <w:t>溶解性</w:t>
                  </w:r>
                </w:p>
              </w:tc>
              <w:tc>
                <w:tcPr>
                  <w:tcW w:w="3377" w:type="pct"/>
                  <w:gridSpan w:val="3"/>
                  <w:vAlign w:val="center"/>
                </w:tcPr>
                <w:p>
                  <w:pPr>
                    <w:jc w:val="center"/>
                    <w:rPr>
                      <w:szCs w:val="21"/>
                    </w:rPr>
                  </w:pPr>
                  <w:r>
                    <w:rPr>
                      <w:szCs w:val="21"/>
                    </w:rPr>
                    <w:t>与水混溶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79" w:type="pct"/>
                  <w:vMerge w:val="continue"/>
                  <w:vAlign w:val="center"/>
                </w:tcPr>
                <w:p>
                  <w:pPr>
                    <w:ind w:firstLine="420" w:firstLineChars="200"/>
                    <w:jc w:val="center"/>
                    <w:rPr>
                      <w:szCs w:val="21"/>
                    </w:rPr>
                  </w:pPr>
                </w:p>
              </w:tc>
              <w:tc>
                <w:tcPr>
                  <w:tcW w:w="943" w:type="pct"/>
                  <w:vAlign w:val="center"/>
                </w:tcPr>
                <w:p>
                  <w:pPr>
                    <w:jc w:val="center"/>
                    <w:rPr>
                      <w:szCs w:val="21"/>
                    </w:rPr>
                  </w:pPr>
                  <w:r>
                    <w:rPr>
                      <w:szCs w:val="21"/>
                    </w:rPr>
                    <w:t>稳定性</w:t>
                  </w:r>
                </w:p>
              </w:tc>
              <w:tc>
                <w:tcPr>
                  <w:tcW w:w="1049" w:type="pct"/>
                  <w:vAlign w:val="center"/>
                </w:tcPr>
                <w:p>
                  <w:pPr>
                    <w:jc w:val="center"/>
                    <w:rPr>
                      <w:szCs w:val="21"/>
                    </w:rPr>
                  </w:pPr>
                  <w:r>
                    <w:rPr>
                      <w:szCs w:val="21"/>
                    </w:rPr>
                    <w:t>稳定</w:t>
                  </w:r>
                </w:p>
              </w:tc>
              <w:tc>
                <w:tcPr>
                  <w:tcW w:w="1010" w:type="pct"/>
                  <w:vAlign w:val="center"/>
                </w:tcPr>
                <w:p>
                  <w:pPr>
                    <w:jc w:val="center"/>
                    <w:rPr>
                      <w:szCs w:val="21"/>
                    </w:rPr>
                  </w:pPr>
                  <w:r>
                    <w:rPr>
                      <w:szCs w:val="21"/>
                    </w:rPr>
                    <w:t>避免接触的条件</w:t>
                  </w:r>
                </w:p>
              </w:tc>
              <w:tc>
                <w:tcPr>
                  <w:tcW w:w="1317" w:type="pct"/>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79" w:type="pct"/>
                  <w:vMerge w:val="continue"/>
                  <w:vAlign w:val="center"/>
                </w:tcPr>
                <w:p>
                  <w:pPr>
                    <w:ind w:firstLine="420" w:firstLineChars="200"/>
                    <w:jc w:val="center"/>
                    <w:rPr>
                      <w:szCs w:val="21"/>
                    </w:rPr>
                  </w:pPr>
                </w:p>
              </w:tc>
              <w:tc>
                <w:tcPr>
                  <w:tcW w:w="943" w:type="pct"/>
                  <w:vAlign w:val="center"/>
                </w:tcPr>
                <w:p>
                  <w:pPr>
                    <w:jc w:val="center"/>
                    <w:rPr>
                      <w:szCs w:val="21"/>
                    </w:rPr>
                  </w:pPr>
                  <w:r>
                    <w:rPr>
                      <w:szCs w:val="21"/>
                    </w:rPr>
                    <w:t>禁配物</w:t>
                  </w:r>
                </w:p>
              </w:tc>
              <w:tc>
                <w:tcPr>
                  <w:tcW w:w="1049" w:type="pct"/>
                  <w:vAlign w:val="center"/>
                </w:tcPr>
                <w:p>
                  <w:pPr>
                    <w:jc w:val="center"/>
                    <w:rPr>
                      <w:szCs w:val="21"/>
                    </w:rPr>
                  </w:pPr>
                  <w:r>
                    <w:rPr>
                      <w:szCs w:val="21"/>
                    </w:rPr>
                    <w:t>/</w:t>
                  </w:r>
                </w:p>
              </w:tc>
              <w:tc>
                <w:tcPr>
                  <w:tcW w:w="1010" w:type="pct"/>
                  <w:vAlign w:val="center"/>
                </w:tcPr>
                <w:p>
                  <w:pPr>
                    <w:jc w:val="center"/>
                    <w:rPr>
                      <w:szCs w:val="21"/>
                    </w:rPr>
                  </w:pPr>
                  <w:r>
                    <w:rPr>
                      <w:szCs w:val="21"/>
                    </w:rPr>
                    <w:t>燃烧产物</w:t>
                  </w:r>
                </w:p>
              </w:tc>
              <w:tc>
                <w:tcPr>
                  <w:tcW w:w="1317" w:type="pct"/>
                  <w:vAlign w:val="center"/>
                </w:tcPr>
                <w:p>
                  <w:pPr>
                    <w:jc w:val="center"/>
                    <w:rPr>
                      <w:szCs w:val="21"/>
                    </w:rPr>
                  </w:pPr>
                  <w:r>
                    <w:rPr>
                      <w:szCs w:val="21"/>
                    </w:rPr>
                    <w:t>氮氧化物，硫化物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79" w:type="pct"/>
                  <w:vMerge w:val="restart"/>
                  <w:vAlign w:val="center"/>
                </w:tcPr>
                <w:p>
                  <w:pPr>
                    <w:jc w:val="center"/>
                    <w:rPr>
                      <w:szCs w:val="21"/>
                    </w:rPr>
                  </w:pPr>
                  <w:r>
                    <w:rPr>
                      <w:szCs w:val="21"/>
                    </w:rPr>
                    <w:t>燃爆特性</w:t>
                  </w:r>
                </w:p>
              </w:tc>
              <w:tc>
                <w:tcPr>
                  <w:tcW w:w="943" w:type="pct"/>
                  <w:vAlign w:val="center"/>
                </w:tcPr>
                <w:p>
                  <w:pPr>
                    <w:jc w:val="center"/>
                    <w:rPr>
                      <w:szCs w:val="21"/>
                    </w:rPr>
                  </w:pPr>
                  <w:r>
                    <w:rPr>
                      <w:szCs w:val="21"/>
                    </w:rPr>
                    <w:t>燃烧性</w:t>
                  </w:r>
                </w:p>
              </w:tc>
              <w:tc>
                <w:tcPr>
                  <w:tcW w:w="1049" w:type="pct"/>
                  <w:vAlign w:val="center"/>
                </w:tcPr>
                <w:p>
                  <w:pPr>
                    <w:jc w:val="center"/>
                    <w:rPr>
                      <w:szCs w:val="21"/>
                    </w:rPr>
                  </w:pPr>
                  <w:r>
                    <w:rPr>
                      <w:szCs w:val="21"/>
                    </w:rPr>
                    <w:t>不燃</w:t>
                  </w:r>
                </w:p>
              </w:tc>
              <w:tc>
                <w:tcPr>
                  <w:tcW w:w="1010" w:type="pct"/>
                  <w:vAlign w:val="center"/>
                </w:tcPr>
                <w:p>
                  <w:pPr>
                    <w:jc w:val="center"/>
                    <w:rPr>
                      <w:szCs w:val="21"/>
                    </w:rPr>
                  </w:pPr>
                  <w:r>
                    <w:rPr>
                      <w:szCs w:val="21"/>
                    </w:rPr>
                    <w:t>建规火险分级</w:t>
                  </w:r>
                </w:p>
              </w:tc>
              <w:tc>
                <w:tcPr>
                  <w:tcW w:w="1317" w:type="pct"/>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79" w:type="pct"/>
                  <w:vMerge w:val="continue"/>
                  <w:vAlign w:val="center"/>
                </w:tcPr>
                <w:p>
                  <w:pPr>
                    <w:ind w:firstLine="420" w:firstLineChars="200"/>
                    <w:jc w:val="center"/>
                    <w:rPr>
                      <w:szCs w:val="21"/>
                    </w:rPr>
                  </w:pPr>
                </w:p>
              </w:tc>
              <w:tc>
                <w:tcPr>
                  <w:tcW w:w="943" w:type="pct"/>
                  <w:vAlign w:val="center"/>
                </w:tcPr>
                <w:p>
                  <w:pPr>
                    <w:jc w:val="center"/>
                    <w:rPr>
                      <w:szCs w:val="21"/>
                    </w:rPr>
                  </w:pPr>
                  <w:r>
                    <w:rPr>
                      <w:szCs w:val="21"/>
                    </w:rPr>
                    <w:t>闪点（℃）</w:t>
                  </w:r>
                </w:p>
              </w:tc>
              <w:tc>
                <w:tcPr>
                  <w:tcW w:w="1049" w:type="pct"/>
                  <w:vAlign w:val="center"/>
                </w:tcPr>
                <w:p>
                  <w:pPr>
                    <w:jc w:val="center"/>
                    <w:rPr>
                      <w:szCs w:val="21"/>
                    </w:rPr>
                  </w:pPr>
                  <w:r>
                    <w:rPr>
                      <w:szCs w:val="21"/>
                    </w:rPr>
                    <w:t>/</w:t>
                  </w:r>
                </w:p>
              </w:tc>
              <w:tc>
                <w:tcPr>
                  <w:tcW w:w="1010" w:type="pct"/>
                  <w:vAlign w:val="center"/>
                </w:tcPr>
                <w:p>
                  <w:pPr>
                    <w:jc w:val="center"/>
                    <w:rPr>
                      <w:szCs w:val="21"/>
                    </w:rPr>
                  </w:pPr>
                  <w:r>
                    <w:rPr>
                      <w:szCs w:val="21"/>
                    </w:rPr>
                    <w:t>引燃温度（℃）</w:t>
                  </w:r>
                </w:p>
              </w:tc>
              <w:tc>
                <w:tcPr>
                  <w:tcW w:w="1317" w:type="pct"/>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79" w:type="pct"/>
                  <w:vMerge w:val="continue"/>
                  <w:vAlign w:val="center"/>
                </w:tcPr>
                <w:p>
                  <w:pPr>
                    <w:ind w:firstLine="420" w:firstLineChars="200"/>
                    <w:jc w:val="center"/>
                    <w:rPr>
                      <w:szCs w:val="21"/>
                    </w:rPr>
                  </w:pPr>
                </w:p>
              </w:tc>
              <w:tc>
                <w:tcPr>
                  <w:tcW w:w="943" w:type="pct"/>
                  <w:vAlign w:val="center"/>
                </w:tcPr>
                <w:p>
                  <w:pPr>
                    <w:jc w:val="center"/>
                    <w:rPr>
                      <w:szCs w:val="21"/>
                    </w:rPr>
                  </w:pPr>
                  <w:r>
                    <w:rPr>
                      <w:szCs w:val="21"/>
                    </w:rPr>
                    <w:t>爆炸下限（V%）</w:t>
                  </w:r>
                </w:p>
              </w:tc>
              <w:tc>
                <w:tcPr>
                  <w:tcW w:w="1049" w:type="pct"/>
                  <w:vAlign w:val="center"/>
                </w:tcPr>
                <w:p>
                  <w:pPr>
                    <w:jc w:val="center"/>
                    <w:rPr>
                      <w:szCs w:val="21"/>
                    </w:rPr>
                  </w:pPr>
                  <w:r>
                    <w:rPr>
                      <w:szCs w:val="21"/>
                    </w:rPr>
                    <w:t>/</w:t>
                  </w:r>
                </w:p>
              </w:tc>
              <w:tc>
                <w:tcPr>
                  <w:tcW w:w="1010" w:type="pct"/>
                  <w:vAlign w:val="center"/>
                </w:tcPr>
                <w:p>
                  <w:pPr>
                    <w:jc w:val="center"/>
                    <w:rPr>
                      <w:szCs w:val="21"/>
                    </w:rPr>
                  </w:pPr>
                  <w:r>
                    <w:rPr>
                      <w:szCs w:val="21"/>
                    </w:rPr>
                    <w:t>爆炸下限（V%）</w:t>
                  </w:r>
                </w:p>
              </w:tc>
              <w:tc>
                <w:tcPr>
                  <w:tcW w:w="1317" w:type="pct"/>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79" w:type="pct"/>
                  <w:vMerge w:val="continue"/>
                  <w:vAlign w:val="center"/>
                </w:tcPr>
                <w:p>
                  <w:pPr>
                    <w:ind w:firstLine="420" w:firstLineChars="200"/>
                    <w:jc w:val="center"/>
                    <w:rPr>
                      <w:szCs w:val="21"/>
                    </w:rPr>
                  </w:pPr>
                </w:p>
              </w:tc>
              <w:tc>
                <w:tcPr>
                  <w:tcW w:w="943" w:type="pct"/>
                  <w:vAlign w:val="center"/>
                </w:tcPr>
                <w:p>
                  <w:pPr>
                    <w:jc w:val="center"/>
                    <w:rPr>
                      <w:szCs w:val="21"/>
                    </w:rPr>
                  </w:pPr>
                  <w:r>
                    <w:rPr>
                      <w:szCs w:val="21"/>
                    </w:rPr>
                    <w:t>危险特性</w:t>
                  </w:r>
                </w:p>
              </w:tc>
              <w:tc>
                <w:tcPr>
                  <w:tcW w:w="3377" w:type="pct"/>
                  <w:gridSpan w:val="3"/>
                  <w:vAlign w:val="center"/>
                </w:tcPr>
                <w:p>
                  <w:pPr>
                    <w:jc w:val="center"/>
                    <w:rPr>
                      <w:szCs w:val="21"/>
                    </w:rPr>
                  </w:pPr>
                  <w:r>
                    <w:rPr>
                      <w:szCs w:val="21"/>
                    </w:rPr>
                    <w:t>受热分解产生有毒的烟气。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79" w:type="pct"/>
                  <w:vMerge w:val="continue"/>
                  <w:vAlign w:val="center"/>
                </w:tcPr>
                <w:p>
                  <w:pPr>
                    <w:ind w:firstLine="420" w:firstLineChars="200"/>
                    <w:jc w:val="center"/>
                    <w:rPr>
                      <w:szCs w:val="21"/>
                    </w:rPr>
                  </w:pPr>
                </w:p>
              </w:tc>
              <w:tc>
                <w:tcPr>
                  <w:tcW w:w="943" w:type="pct"/>
                  <w:vAlign w:val="center"/>
                </w:tcPr>
                <w:p>
                  <w:pPr>
                    <w:jc w:val="center"/>
                    <w:rPr>
                      <w:szCs w:val="21"/>
                    </w:rPr>
                  </w:pPr>
                  <w:r>
                    <w:rPr>
                      <w:szCs w:val="21"/>
                    </w:rPr>
                    <w:t>灭火方法</w:t>
                  </w:r>
                </w:p>
              </w:tc>
              <w:tc>
                <w:tcPr>
                  <w:tcW w:w="3377" w:type="pct"/>
                  <w:gridSpan w:val="3"/>
                  <w:vAlign w:val="center"/>
                </w:tcPr>
                <w:p>
                  <w:pPr>
                    <w:jc w:val="center"/>
                    <w:rPr>
                      <w:szCs w:val="21"/>
                    </w:rPr>
                  </w:pPr>
                  <w:r>
                    <w:rPr>
                      <w:szCs w:val="21"/>
                    </w:rPr>
                    <w:t>消防人员必须穿全身防火防毒服，在上风向灭火。灭火时尽可能将容器从火场移至空旷处。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79" w:type="pct"/>
                  <w:vMerge w:val="restart"/>
                  <w:vAlign w:val="center"/>
                </w:tcPr>
                <w:p>
                  <w:pPr>
                    <w:jc w:val="center"/>
                    <w:rPr>
                      <w:szCs w:val="21"/>
                    </w:rPr>
                  </w:pPr>
                  <w:r>
                    <w:rPr>
                      <w:szCs w:val="21"/>
                    </w:rPr>
                    <w:t>毒性及健康危害</w:t>
                  </w:r>
                </w:p>
              </w:tc>
              <w:tc>
                <w:tcPr>
                  <w:tcW w:w="943" w:type="pct"/>
                  <w:vAlign w:val="center"/>
                </w:tcPr>
                <w:p>
                  <w:pPr>
                    <w:jc w:val="center"/>
                    <w:rPr>
                      <w:szCs w:val="21"/>
                    </w:rPr>
                  </w:pPr>
                  <w:r>
                    <w:rPr>
                      <w:szCs w:val="21"/>
                    </w:rPr>
                    <w:t>侵入途径</w:t>
                  </w:r>
                </w:p>
              </w:tc>
              <w:tc>
                <w:tcPr>
                  <w:tcW w:w="3377" w:type="pct"/>
                  <w:gridSpan w:val="3"/>
                  <w:vAlign w:val="center"/>
                </w:tcPr>
                <w:p>
                  <w:pPr>
                    <w:jc w:val="center"/>
                    <w:rPr>
                      <w:szCs w:val="21"/>
                    </w:rPr>
                  </w:pPr>
                  <w:r>
                    <w:rPr>
                      <w:szCs w:val="21"/>
                    </w:rPr>
                    <w:t>吸入、食入、经皮肤吸收。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79" w:type="pct"/>
                  <w:vMerge w:val="continue"/>
                  <w:vAlign w:val="center"/>
                </w:tcPr>
                <w:p>
                  <w:pPr>
                    <w:ind w:firstLine="420" w:firstLineChars="200"/>
                    <w:jc w:val="center"/>
                    <w:rPr>
                      <w:szCs w:val="21"/>
                    </w:rPr>
                  </w:pPr>
                </w:p>
              </w:tc>
              <w:tc>
                <w:tcPr>
                  <w:tcW w:w="943" w:type="pct"/>
                  <w:vAlign w:val="center"/>
                </w:tcPr>
                <w:p>
                  <w:pPr>
                    <w:jc w:val="center"/>
                    <w:rPr>
                      <w:szCs w:val="21"/>
                    </w:rPr>
                  </w:pPr>
                  <w:r>
                    <w:rPr>
                      <w:szCs w:val="21"/>
                    </w:rPr>
                    <w:t>急性毒性</w:t>
                  </w:r>
                </w:p>
              </w:tc>
              <w:tc>
                <w:tcPr>
                  <w:tcW w:w="3377" w:type="pct"/>
                  <w:gridSpan w:val="3"/>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79" w:type="pct"/>
                  <w:vMerge w:val="continue"/>
                  <w:vAlign w:val="center"/>
                </w:tcPr>
                <w:p>
                  <w:pPr>
                    <w:ind w:firstLine="420" w:firstLineChars="200"/>
                    <w:jc w:val="center"/>
                    <w:rPr>
                      <w:szCs w:val="21"/>
                    </w:rPr>
                  </w:pPr>
                </w:p>
              </w:tc>
              <w:tc>
                <w:tcPr>
                  <w:tcW w:w="943" w:type="pct"/>
                  <w:vAlign w:val="center"/>
                </w:tcPr>
                <w:p>
                  <w:pPr>
                    <w:jc w:val="center"/>
                    <w:rPr>
                      <w:szCs w:val="21"/>
                    </w:rPr>
                  </w:pPr>
                  <w:r>
                    <w:rPr>
                      <w:szCs w:val="21"/>
                    </w:rPr>
                    <w:t>健康危害</w:t>
                  </w:r>
                </w:p>
              </w:tc>
              <w:tc>
                <w:tcPr>
                  <w:tcW w:w="3377" w:type="pct"/>
                  <w:gridSpan w:val="3"/>
                  <w:vAlign w:val="center"/>
                </w:tcPr>
                <w:p>
                  <w:pPr>
                    <w:jc w:val="center"/>
                    <w:rPr>
                      <w:szCs w:val="21"/>
                    </w:rPr>
                  </w:pPr>
                  <w:r>
                    <w:rPr>
                      <w:szCs w:val="21"/>
                    </w:rPr>
                    <w:t>对眼睛、黏膜和皮肤有刺激作用，长期使用会使土壤出现酸化板结现象。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79" w:type="pct"/>
                  <w:vAlign w:val="center"/>
                </w:tcPr>
                <w:p>
                  <w:pPr>
                    <w:jc w:val="center"/>
                    <w:rPr>
                      <w:szCs w:val="21"/>
                    </w:rPr>
                  </w:pPr>
                  <w:r>
                    <w:rPr>
                      <w:szCs w:val="21"/>
                    </w:rPr>
                    <w:t>泄漏处置</w:t>
                  </w:r>
                </w:p>
              </w:tc>
              <w:tc>
                <w:tcPr>
                  <w:tcW w:w="4321" w:type="pct"/>
                  <w:gridSpan w:val="4"/>
                  <w:vAlign w:val="center"/>
                </w:tcPr>
                <w:p>
                  <w:pPr>
                    <w:ind w:firstLine="420" w:firstLineChars="200"/>
                    <w:jc w:val="center"/>
                    <w:rPr>
                      <w:szCs w:val="21"/>
                    </w:rPr>
                  </w:pPr>
                  <w:r>
                    <w:rPr>
                      <w:szCs w:val="21"/>
                    </w:rPr>
                    <w:t>隔离泄漏污染区，限制出入。建议应急处理人员戴防尘面具（全面罩），穿防毒服。用洁净的铲子收集于干燥、洁净、有盖的容器中，转移至安全场所。若大量泄漏，收集回收或运至废物处理场所处置。</w:t>
                  </w:r>
                </w:p>
              </w:tc>
            </w:tr>
          </w:tbl>
          <w:p>
            <w:pPr>
              <w:spacing w:before="156" w:beforeLines="50" w:line="360" w:lineRule="auto"/>
              <w:ind w:firstLine="2409" w:firstLineChars="1000"/>
              <w:rPr>
                <w:b/>
                <w:sz w:val="24"/>
              </w:rPr>
            </w:pPr>
            <w:r>
              <w:rPr>
                <w:b/>
                <w:sz w:val="24"/>
              </w:rPr>
              <w:t>表4-17  机油理化性质表</w:t>
            </w:r>
          </w:p>
          <w:tbl>
            <w:tblPr>
              <w:tblStyle w:val="27"/>
              <w:tblW w:w="49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8"/>
              <w:gridCol w:w="1636"/>
              <w:gridCol w:w="1820"/>
              <w:gridCol w:w="1749"/>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blHeader/>
                <w:jc w:val="center"/>
              </w:trPr>
              <w:tc>
                <w:tcPr>
                  <w:tcW w:w="688" w:type="pct"/>
                  <w:vMerge w:val="restart"/>
                  <w:vAlign w:val="center"/>
                </w:tcPr>
                <w:p>
                  <w:pPr>
                    <w:jc w:val="center"/>
                    <w:rPr>
                      <w:szCs w:val="21"/>
                    </w:rPr>
                  </w:pPr>
                  <w:r>
                    <w:rPr>
                      <w:szCs w:val="21"/>
                    </w:rPr>
                    <w:t>标识</w:t>
                  </w:r>
                </w:p>
              </w:tc>
              <w:tc>
                <w:tcPr>
                  <w:tcW w:w="955" w:type="pct"/>
                  <w:vAlign w:val="center"/>
                </w:tcPr>
                <w:p>
                  <w:pPr>
                    <w:jc w:val="center"/>
                    <w:rPr>
                      <w:szCs w:val="21"/>
                    </w:rPr>
                  </w:pPr>
                  <w:r>
                    <w:rPr>
                      <w:szCs w:val="21"/>
                    </w:rPr>
                    <w:t>中文名</w:t>
                  </w:r>
                </w:p>
              </w:tc>
              <w:tc>
                <w:tcPr>
                  <w:tcW w:w="1063" w:type="pct"/>
                  <w:vAlign w:val="center"/>
                </w:tcPr>
                <w:p>
                  <w:pPr>
                    <w:jc w:val="center"/>
                    <w:rPr>
                      <w:szCs w:val="21"/>
                    </w:rPr>
                  </w:pPr>
                  <w:r>
                    <w:rPr>
                      <w:szCs w:val="21"/>
                    </w:rPr>
                    <w:t>机油</w:t>
                  </w:r>
                </w:p>
              </w:tc>
              <w:tc>
                <w:tcPr>
                  <w:tcW w:w="1021" w:type="pct"/>
                  <w:vAlign w:val="center"/>
                </w:tcPr>
                <w:p>
                  <w:pPr>
                    <w:jc w:val="center"/>
                    <w:rPr>
                      <w:szCs w:val="21"/>
                    </w:rPr>
                  </w:pPr>
                  <w:r>
                    <w:rPr>
                      <w:szCs w:val="21"/>
                    </w:rPr>
                    <w:t>英文名</w:t>
                  </w:r>
                </w:p>
              </w:tc>
              <w:tc>
                <w:tcPr>
                  <w:tcW w:w="1273" w:type="pct"/>
                  <w:vAlign w:val="center"/>
                </w:tcPr>
                <w:p>
                  <w:pPr>
                    <w:jc w:val="center"/>
                    <w:rPr>
                      <w:szCs w:val="21"/>
                    </w:rPr>
                  </w:pPr>
                  <w:r>
                    <w:rPr>
                      <w:szCs w:val="21"/>
                    </w:rPr>
                    <w:t>Engineoil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688" w:type="pct"/>
                  <w:vMerge w:val="continue"/>
                  <w:vAlign w:val="center"/>
                </w:tcPr>
                <w:p>
                  <w:pPr>
                    <w:rPr>
                      <w:szCs w:val="21"/>
                    </w:rPr>
                  </w:pPr>
                </w:p>
              </w:tc>
              <w:tc>
                <w:tcPr>
                  <w:tcW w:w="955" w:type="pct"/>
                  <w:vAlign w:val="center"/>
                </w:tcPr>
                <w:p>
                  <w:pPr>
                    <w:jc w:val="center"/>
                    <w:rPr>
                      <w:szCs w:val="21"/>
                    </w:rPr>
                  </w:pPr>
                  <w:r>
                    <w:rPr>
                      <w:szCs w:val="21"/>
                    </w:rPr>
                    <w:t>分子式</w:t>
                  </w:r>
                </w:p>
              </w:tc>
              <w:tc>
                <w:tcPr>
                  <w:tcW w:w="1063" w:type="pct"/>
                  <w:vAlign w:val="center"/>
                </w:tcPr>
                <w:p>
                  <w:pPr>
                    <w:jc w:val="center"/>
                    <w:rPr>
                      <w:szCs w:val="21"/>
                    </w:rPr>
                  </w:pPr>
                  <w:r>
                    <w:rPr>
                      <w:szCs w:val="21"/>
                    </w:rPr>
                    <w:t>/</w:t>
                  </w:r>
                </w:p>
              </w:tc>
              <w:tc>
                <w:tcPr>
                  <w:tcW w:w="1021" w:type="pct"/>
                  <w:vAlign w:val="center"/>
                </w:tcPr>
                <w:p>
                  <w:pPr>
                    <w:jc w:val="center"/>
                    <w:rPr>
                      <w:szCs w:val="21"/>
                    </w:rPr>
                  </w:pPr>
                  <w:r>
                    <w:rPr>
                      <w:szCs w:val="21"/>
                    </w:rPr>
                    <w:t>危规号</w:t>
                  </w:r>
                </w:p>
              </w:tc>
              <w:tc>
                <w:tcPr>
                  <w:tcW w:w="1273" w:type="pct"/>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688" w:type="pct"/>
                  <w:vMerge w:val="continue"/>
                  <w:vAlign w:val="center"/>
                </w:tcPr>
                <w:p>
                  <w:pPr>
                    <w:rPr>
                      <w:szCs w:val="21"/>
                    </w:rPr>
                  </w:pPr>
                </w:p>
              </w:tc>
              <w:tc>
                <w:tcPr>
                  <w:tcW w:w="955" w:type="pct"/>
                  <w:vAlign w:val="center"/>
                </w:tcPr>
                <w:p>
                  <w:pPr>
                    <w:jc w:val="center"/>
                    <w:rPr>
                      <w:szCs w:val="21"/>
                    </w:rPr>
                  </w:pPr>
                  <w:r>
                    <w:rPr>
                      <w:szCs w:val="21"/>
                    </w:rPr>
                    <w:t>分子量</w:t>
                  </w:r>
                </w:p>
              </w:tc>
              <w:tc>
                <w:tcPr>
                  <w:tcW w:w="1063" w:type="pct"/>
                  <w:vAlign w:val="center"/>
                </w:tcPr>
                <w:p>
                  <w:pPr>
                    <w:jc w:val="center"/>
                    <w:rPr>
                      <w:szCs w:val="21"/>
                    </w:rPr>
                  </w:pPr>
                  <w:r>
                    <w:rPr>
                      <w:szCs w:val="21"/>
                    </w:rPr>
                    <w:t>230-500</w:t>
                  </w:r>
                </w:p>
              </w:tc>
              <w:tc>
                <w:tcPr>
                  <w:tcW w:w="1021" w:type="pct"/>
                  <w:vAlign w:val="center"/>
                </w:tcPr>
                <w:p>
                  <w:pPr>
                    <w:jc w:val="center"/>
                    <w:rPr>
                      <w:szCs w:val="21"/>
                    </w:rPr>
                  </w:pPr>
                  <w:r>
                    <w:rPr>
                      <w:szCs w:val="21"/>
                    </w:rPr>
                    <w:t>危险性类别</w:t>
                  </w:r>
                </w:p>
              </w:tc>
              <w:tc>
                <w:tcPr>
                  <w:tcW w:w="1273" w:type="pct"/>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688" w:type="pct"/>
                  <w:vMerge w:val="restart"/>
                  <w:vAlign w:val="center"/>
                </w:tcPr>
                <w:p>
                  <w:pPr>
                    <w:jc w:val="center"/>
                    <w:rPr>
                      <w:szCs w:val="21"/>
                    </w:rPr>
                  </w:pPr>
                  <w:r>
                    <w:rPr>
                      <w:szCs w:val="21"/>
                    </w:rPr>
                    <w:t>理化特性</w:t>
                  </w:r>
                </w:p>
              </w:tc>
              <w:tc>
                <w:tcPr>
                  <w:tcW w:w="955" w:type="pct"/>
                  <w:vAlign w:val="center"/>
                </w:tcPr>
                <w:p>
                  <w:pPr>
                    <w:jc w:val="center"/>
                    <w:rPr>
                      <w:szCs w:val="21"/>
                    </w:rPr>
                  </w:pPr>
                  <w:r>
                    <w:rPr>
                      <w:szCs w:val="21"/>
                    </w:rPr>
                    <w:t>熔点（℃）</w:t>
                  </w:r>
                </w:p>
              </w:tc>
              <w:tc>
                <w:tcPr>
                  <w:tcW w:w="1063" w:type="pct"/>
                  <w:vAlign w:val="center"/>
                </w:tcPr>
                <w:p>
                  <w:pPr>
                    <w:jc w:val="center"/>
                    <w:rPr>
                      <w:szCs w:val="21"/>
                    </w:rPr>
                  </w:pPr>
                  <w:r>
                    <w:rPr>
                      <w:szCs w:val="21"/>
                    </w:rPr>
                    <w:t>/</w:t>
                  </w:r>
                </w:p>
              </w:tc>
              <w:tc>
                <w:tcPr>
                  <w:tcW w:w="1021" w:type="pct"/>
                  <w:vAlign w:val="center"/>
                </w:tcPr>
                <w:p>
                  <w:pPr>
                    <w:jc w:val="center"/>
                    <w:rPr>
                      <w:szCs w:val="21"/>
                    </w:rPr>
                  </w:pPr>
                  <w:r>
                    <w:rPr>
                      <w:szCs w:val="21"/>
                    </w:rPr>
                    <w:t>沸点（℃）</w:t>
                  </w:r>
                </w:p>
              </w:tc>
              <w:tc>
                <w:tcPr>
                  <w:tcW w:w="1273" w:type="pct"/>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8" w:type="pct"/>
                  <w:vMerge w:val="continue"/>
                  <w:vAlign w:val="center"/>
                </w:tcPr>
                <w:p>
                  <w:pPr>
                    <w:rPr>
                      <w:szCs w:val="21"/>
                    </w:rPr>
                  </w:pPr>
                </w:p>
              </w:tc>
              <w:tc>
                <w:tcPr>
                  <w:tcW w:w="955" w:type="pct"/>
                  <w:vAlign w:val="center"/>
                </w:tcPr>
                <w:p>
                  <w:pPr>
                    <w:jc w:val="center"/>
                    <w:rPr>
                      <w:szCs w:val="21"/>
                    </w:rPr>
                  </w:pPr>
                  <w:r>
                    <w:rPr>
                      <w:szCs w:val="21"/>
                    </w:rPr>
                    <w:t>燃烧热（kJ/mol）</w:t>
                  </w:r>
                </w:p>
              </w:tc>
              <w:tc>
                <w:tcPr>
                  <w:tcW w:w="1063" w:type="pct"/>
                  <w:vAlign w:val="center"/>
                </w:tcPr>
                <w:p>
                  <w:pPr>
                    <w:jc w:val="center"/>
                    <w:rPr>
                      <w:szCs w:val="21"/>
                    </w:rPr>
                  </w:pPr>
                  <w:r>
                    <w:rPr>
                      <w:szCs w:val="21"/>
                    </w:rPr>
                    <w:t>/</w:t>
                  </w:r>
                </w:p>
              </w:tc>
              <w:tc>
                <w:tcPr>
                  <w:tcW w:w="1021" w:type="pct"/>
                  <w:vAlign w:val="center"/>
                </w:tcPr>
                <w:p>
                  <w:pPr>
                    <w:jc w:val="center"/>
                    <w:rPr>
                      <w:szCs w:val="21"/>
                    </w:rPr>
                  </w:pPr>
                  <w:r>
                    <w:rPr>
                      <w:szCs w:val="21"/>
                    </w:rPr>
                    <w:t>饱和蒸汽压（kPa）</w:t>
                  </w:r>
                </w:p>
              </w:tc>
              <w:tc>
                <w:tcPr>
                  <w:tcW w:w="1273" w:type="pct"/>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688" w:type="pct"/>
                  <w:vMerge w:val="continue"/>
                  <w:vAlign w:val="center"/>
                </w:tcPr>
                <w:p>
                  <w:pPr>
                    <w:rPr>
                      <w:szCs w:val="21"/>
                    </w:rPr>
                  </w:pPr>
                </w:p>
              </w:tc>
              <w:tc>
                <w:tcPr>
                  <w:tcW w:w="955" w:type="pct"/>
                  <w:vAlign w:val="center"/>
                </w:tcPr>
                <w:p>
                  <w:pPr>
                    <w:jc w:val="center"/>
                    <w:rPr>
                      <w:szCs w:val="21"/>
                    </w:rPr>
                  </w:pPr>
                  <w:r>
                    <w:rPr>
                      <w:szCs w:val="21"/>
                    </w:rPr>
                    <w:t>相对密度</w:t>
                  </w:r>
                </w:p>
              </w:tc>
              <w:tc>
                <w:tcPr>
                  <w:tcW w:w="3357" w:type="pct"/>
                  <w:gridSpan w:val="3"/>
                  <w:vAlign w:val="center"/>
                </w:tcPr>
                <w:p>
                  <w:pPr>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88" w:type="pct"/>
                  <w:vMerge w:val="continue"/>
                  <w:vAlign w:val="center"/>
                </w:tcPr>
                <w:p>
                  <w:pPr>
                    <w:rPr>
                      <w:szCs w:val="21"/>
                    </w:rPr>
                  </w:pPr>
                </w:p>
              </w:tc>
              <w:tc>
                <w:tcPr>
                  <w:tcW w:w="955" w:type="pct"/>
                  <w:vAlign w:val="center"/>
                </w:tcPr>
                <w:p>
                  <w:pPr>
                    <w:jc w:val="center"/>
                    <w:rPr>
                      <w:szCs w:val="21"/>
                    </w:rPr>
                  </w:pPr>
                  <w:r>
                    <w:rPr>
                      <w:szCs w:val="21"/>
                    </w:rPr>
                    <w:t>外观性状</w:t>
                  </w:r>
                </w:p>
              </w:tc>
              <w:tc>
                <w:tcPr>
                  <w:tcW w:w="3357" w:type="pct"/>
                  <w:gridSpan w:val="3"/>
                  <w:vAlign w:val="center"/>
                </w:tcPr>
                <w:p>
                  <w:pPr>
                    <w:jc w:val="center"/>
                    <w:rPr>
                      <w:szCs w:val="21"/>
                    </w:rPr>
                  </w:pPr>
                  <w:r>
                    <w:rPr>
                      <w:szCs w:val="21"/>
                    </w:rPr>
                    <w:t>油状液体，淡黄色至褐色，无气味或略带异味黄褐色液体或气体，有刺激性气味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688" w:type="pct"/>
                  <w:vMerge w:val="continue"/>
                  <w:vAlign w:val="center"/>
                </w:tcPr>
                <w:p>
                  <w:pPr>
                    <w:rPr>
                      <w:szCs w:val="21"/>
                    </w:rPr>
                  </w:pPr>
                </w:p>
              </w:tc>
              <w:tc>
                <w:tcPr>
                  <w:tcW w:w="955" w:type="pct"/>
                  <w:vAlign w:val="center"/>
                </w:tcPr>
                <w:p>
                  <w:pPr>
                    <w:jc w:val="center"/>
                    <w:rPr>
                      <w:szCs w:val="21"/>
                    </w:rPr>
                  </w:pPr>
                  <w:r>
                    <w:rPr>
                      <w:szCs w:val="21"/>
                    </w:rPr>
                    <w:t>溶解性</w:t>
                  </w:r>
                </w:p>
              </w:tc>
              <w:tc>
                <w:tcPr>
                  <w:tcW w:w="3357" w:type="pct"/>
                  <w:gridSpan w:val="3"/>
                  <w:vAlign w:val="center"/>
                </w:tcPr>
                <w:p>
                  <w:pPr>
                    <w:jc w:val="center"/>
                    <w:rPr>
                      <w:szCs w:val="21"/>
                    </w:rPr>
                  </w:pPr>
                  <w:r>
                    <w:rPr>
                      <w:szCs w:val="21"/>
                    </w:rPr>
                    <w:t>不溶于水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688" w:type="pct"/>
                  <w:vMerge w:val="continue"/>
                  <w:vAlign w:val="center"/>
                </w:tcPr>
                <w:p>
                  <w:pPr>
                    <w:rPr>
                      <w:szCs w:val="21"/>
                    </w:rPr>
                  </w:pPr>
                </w:p>
              </w:tc>
              <w:tc>
                <w:tcPr>
                  <w:tcW w:w="955" w:type="pct"/>
                  <w:vAlign w:val="center"/>
                </w:tcPr>
                <w:p>
                  <w:pPr>
                    <w:jc w:val="center"/>
                    <w:rPr>
                      <w:szCs w:val="21"/>
                    </w:rPr>
                  </w:pPr>
                  <w:r>
                    <w:rPr>
                      <w:szCs w:val="21"/>
                    </w:rPr>
                    <w:t>稳定性</w:t>
                  </w:r>
                </w:p>
              </w:tc>
              <w:tc>
                <w:tcPr>
                  <w:tcW w:w="1063" w:type="pct"/>
                  <w:vAlign w:val="center"/>
                </w:tcPr>
                <w:p>
                  <w:pPr>
                    <w:jc w:val="center"/>
                    <w:rPr>
                      <w:szCs w:val="21"/>
                    </w:rPr>
                  </w:pPr>
                  <w:r>
                    <w:rPr>
                      <w:szCs w:val="21"/>
                    </w:rPr>
                    <w:t>稳定</w:t>
                  </w:r>
                </w:p>
              </w:tc>
              <w:tc>
                <w:tcPr>
                  <w:tcW w:w="1021" w:type="pct"/>
                  <w:vAlign w:val="center"/>
                </w:tcPr>
                <w:p>
                  <w:pPr>
                    <w:jc w:val="center"/>
                    <w:rPr>
                      <w:szCs w:val="21"/>
                    </w:rPr>
                  </w:pPr>
                  <w:r>
                    <w:rPr>
                      <w:szCs w:val="21"/>
                    </w:rPr>
                    <w:t>避免接触的条件</w:t>
                  </w:r>
                </w:p>
              </w:tc>
              <w:tc>
                <w:tcPr>
                  <w:tcW w:w="1273" w:type="pct"/>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688" w:type="pct"/>
                  <w:vMerge w:val="continue"/>
                  <w:vAlign w:val="center"/>
                </w:tcPr>
                <w:p>
                  <w:pPr>
                    <w:rPr>
                      <w:szCs w:val="21"/>
                    </w:rPr>
                  </w:pPr>
                </w:p>
              </w:tc>
              <w:tc>
                <w:tcPr>
                  <w:tcW w:w="955" w:type="pct"/>
                  <w:vAlign w:val="center"/>
                </w:tcPr>
                <w:p>
                  <w:pPr>
                    <w:jc w:val="center"/>
                    <w:rPr>
                      <w:szCs w:val="21"/>
                    </w:rPr>
                  </w:pPr>
                  <w:r>
                    <w:rPr>
                      <w:szCs w:val="21"/>
                    </w:rPr>
                    <w:t>禁配物</w:t>
                  </w:r>
                </w:p>
              </w:tc>
              <w:tc>
                <w:tcPr>
                  <w:tcW w:w="1063" w:type="pct"/>
                  <w:vAlign w:val="center"/>
                </w:tcPr>
                <w:p>
                  <w:pPr>
                    <w:jc w:val="center"/>
                    <w:rPr>
                      <w:szCs w:val="21"/>
                    </w:rPr>
                  </w:pPr>
                  <w:r>
                    <w:rPr>
                      <w:szCs w:val="21"/>
                    </w:rPr>
                    <w:t>/</w:t>
                  </w:r>
                </w:p>
              </w:tc>
              <w:tc>
                <w:tcPr>
                  <w:tcW w:w="1021" w:type="pct"/>
                  <w:vAlign w:val="center"/>
                </w:tcPr>
                <w:p>
                  <w:pPr>
                    <w:jc w:val="center"/>
                    <w:rPr>
                      <w:szCs w:val="21"/>
                    </w:rPr>
                  </w:pPr>
                  <w:r>
                    <w:rPr>
                      <w:szCs w:val="21"/>
                    </w:rPr>
                    <w:t>燃烧产物</w:t>
                  </w:r>
                </w:p>
              </w:tc>
              <w:tc>
                <w:tcPr>
                  <w:tcW w:w="1273" w:type="pct"/>
                  <w:vAlign w:val="center"/>
                </w:tcPr>
                <w:p>
                  <w:pPr>
                    <w:jc w:val="center"/>
                    <w:rPr>
                      <w:szCs w:val="21"/>
                    </w:rPr>
                  </w:pPr>
                  <w:r>
                    <w:rPr>
                      <w:szCs w:val="21"/>
                    </w:rPr>
                    <w:t>一氧化碳、二氧化碳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688" w:type="pct"/>
                  <w:vMerge w:val="restart"/>
                  <w:vAlign w:val="center"/>
                </w:tcPr>
                <w:p>
                  <w:pPr>
                    <w:jc w:val="center"/>
                    <w:rPr>
                      <w:szCs w:val="21"/>
                    </w:rPr>
                  </w:pPr>
                  <w:r>
                    <w:rPr>
                      <w:szCs w:val="21"/>
                    </w:rPr>
                    <w:t>燃爆特性</w:t>
                  </w:r>
                </w:p>
              </w:tc>
              <w:tc>
                <w:tcPr>
                  <w:tcW w:w="955" w:type="pct"/>
                  <w:vAlign w:val="center"/>
                </w:tcPr>
                <w:p>
                  <w:pPr>
                    <w:jc w:val="center"/>
                    <w:rPr>
                      <w:szCs w:val="21"/>
                    </w:rPr>
                  </w:pPr>
                  <w:r>
                    <w:rPr>
                      <w:szCs w:val="21"/>
                    </w:rPr>
                    <w:t>燃烧性</w:t>
                  </w:r>
                </w:p>
              </w:tc>
              <w:tc>
                <w:tcPr>
                  <w:tcW w:w="1063" w:type="pct"/>
                  <w:vAlign w:val="center"/>
                </w:tcPr>
                <w:p>
                  <w:pPr>
                    <w:jc w:val="center"/>
                    <w:rPr>
                      <w:szCs w:val="21"/>
                    </w:rPr>
                  </w:pPr>
                  <w:r>
                    <w:rPr>
                      <w:szCs w:val="21"/>
                    </w:rPr>
                    <w:t>可燃</w:t>
                  </w:r>
                </w:p>
              </w:tc>
              <w:tc>
                <w:tcPr>
                  <w:tcW w:w="1021" w:type="pct"/>
                  <w:vAlign w:val="center"/>
                </w:tcPr>
                <w:p>
                  <w:pPr>
                    <w:jc w:val="center"/>
                    <w:rPr>
                      <w:szCs w:val="21"/>
                    </w:rPr>
                  </w:pPr>
                  <w:r>
                    <w:rPr>
                      <w:szCs w:val="21"/>
                    </w:rPr>
                    <w:t>建规火险分级</w:t>
                  </w:r>
                </w:p>
              </w:tc>
              <w:tc>
                <w:tcPr>
                  <w:tcW w:w="1273" w:type="pct"/>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688" w:type="pct"/>
                  <w:vMerge w:val="continue"/>
                  <w:vAlign w:val="center"/>
                </w:tcPr>
                <w:p>
                  <w:pPr>
                    <w:rPr>
                      <w:szCs w:val="21"/>
                    </w:rPr>
                  </w:pPr>
                </w:p>
              </w:tc>
              <w:tc>
                <w:tcPr>
                  <w:tcW w:w="955" w:type="pct"/>
                  <w:vAlign w:val="center"/>
                </w:tcPr>
                <w:p>
                  <w:pPr>
                    <w:jc w:val="center"/>
                    <w:rPr>
                      <w:szCs w:val="21"/>
                    </w:rPr>
                  </w:pPr>
                  <w:r>
                    <w:rPr>
                      <w:szCs w:val="21"/>
                    </w:rPr>
                    <w:t>闪点（℃）</w:t>
                  </w:r>
                </w:p>
              </w:tc>
              <w:tc>
                <w:tcPr>
                  <w:tcW w:w="1063" w:type="pct"/>
                  <w:vAlign w:val="center"/>
                </w:tcPr>
                <w:p>
                  <w:pPr>
                    <w:jc w:val="center"/>
                    <w:rPr>
                      <w:szCs w:val="21"/>
                    </w:rPr>
                  </w:pPr>
                  <w:r>
                    <w:rPr>
                      <w:szCs w:val="21"/>
                    </w:rPr>
                    <w:t>76</w:t>
                  </w:r>
                </w:p>
              </w:tc>
              <w:tc>
                <w:tcPr>
                  <w:tcW w:w="1021" w:type="pct"/>
                  <w:vAlign w:val="center"/>
                </w:tcPr>
                <w:p>
                  <w:pPr>
                    <w:jc w:val="center"/>
                    <w:rPr>
                      <w:szCs w:val="21"/>
                    </w:rPr>
                  </w:pPr>
                  <w:r>
                    <w:rPr>
                      <w:szCs w:val="21"/>
                    </w:rPr>
                    <w:t>引燃温度（℃）</w:t>
                  </w:r>
                </w:p>
              </w:tc>
              <w:tc>
                <w:tcPr>
                  <w:tcW w:w="1273" w:type="pct"/>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688" w:type="pct"/>
                  <w:vMerge w:val="continue"/>
                  <w:vAlign w:val="center"/>
                </w:tcPr>
                <w:p>
                  <w:pPr>
                    <w:rPr>
                      <w:szCs w:val="21"/>
                    </w:rPr>
                  </w:pPr>
                </w:p>
              </w:tc>
              <w:tc>
                <w:tcPr>
                  <w:tcW w:w="955" w:type="pct"/>
                  <w:vAlign w:val="center"/>
                </w:tcPr>
                <w:p>
                  <w:pPr>
                    <w:rPr>
                      <w:szCs w:val="21"/>
                    </w:rPr>
                  </w:pPr>
                  <w:r>
                    <w:rPr>
                      <w:szCs w:val="21"/>
                    </w:rPr>
                    <w:t>爆炸下限（V%）</w:t>
                  </w:r>
                </w:p>
              </w:tc>
              <w:tc>
                <w:tcPr>
                  <w:tcW w:w="1063" w:type="pct"/>
                  <w:vAlign w:val="center"/>
                </w:tcPr>
                <w:p>
                  <w:pPr>
                    <w:rPr>
                      <w:szCs w:val="21"/>
                    </w:rPr>
                  </w:pPr>
                  <w:r>
                    <w:rPr>
                      <w:szCs w:val="21"/>
                    </w:rPr>
                    <w:t>/</w:t>
                  </w:r>
                </w:p>
              </w:tc>
              <w:tc>
                <w:tcPr>
                  <w:tcW w:w="1021" w:type="pct"/>
                  <w:vAlign w:val="center"/>
                </w:tcPr>
                <w:p>
                  <w:pPr>
                    <w:rPr>
                      <w:szCs w:val="21"/>
                    </w:rPr>
                  </w:pPr>
                  <w:r>
                    <w:rPr>
                      <w:szCs w:val="21"/>
                    </w:rPr>
                    <w:t>爆炸下限（V%）</w:t>
                  </w:r>
                </w:p>
              </w:tc>
              <w:tc>
                <w:tcPr>
                  <w:tcW w:w="1273" w:type="pct"/>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688" w:type="pct"/>
                  <w:vMerge w:val="continue"/>
                  <w:vAlign w:val="center"/>
                </w:tcPr>
                <w:p>
                  <w:pPr>
                    <w:rPr>
                      <w:szCs w:val="21"/>
                    </w:rPr>
                  </w:pPr>
                </w:p>
              </w:tc>
              <w:tc>
                <w:tcPr>
                  <w:tcW w:w="955" w:type="pct"/>
                  <w:vAlign w:val="center"/>
                </w:tcPr>
                <w:p>
                  <w:pPr>
                    <w:jc w:val="center"/>
                    <w:rPr>
                      <w:szCs w:val="21"/>
                    </w:rPr>
                  </w:pPr>
                  <w:r>
                    <w:rPr>
                      <w:szCs w:val="21"/>
                    </w:rPr>
                    <w:t>危险特性</w:t>
                  </w:r>
                </w:p>
              </w:tc>
              <w:tc>
                <w:tcPr>
                  <w:tcW w:w="3357" w:type="pct"/>
                  <w:gridSpan w:val="3"/>
                  <w:vAlign w:val="center"/>
                </w:tcPr>
                <w:p>
                  <w:pPr>
                    <w:jc w:val="center"/>
                    <w:rPr>
                      <w:szCs w:val="21"/>
                    </w:rPr>
                  </w:pPr>
                  <w:r>
                    <w:rPr>
                      <w:szCs w:val="21"/>
                    </w:rPr>
                    <w:t>遇明火高热可燃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688" w:type="pct"/>
                  <w:vMerge w:val="continue"/>
                  <w:vAlign w:val="center"/>
                </w:tcPr>
                <w:p>
                  <w:pPr>
                    <w:rPr>
                      <w:szCs w:val="21"/>
                    </w:rPr>
                  </w:pPr>
                </w:p>
              </w:tc>
              <w:tc>
                <w:tcPr>
                  <w:tcW w:w="955" w:type="pct"/>
                  <w:vAlign w:val="center"/>
                </w:tcPr>
                <w:p>
                  <w:pPr>
                    <w:jc w:val="center"/>
                    <w:rPr>
                      <w:szCs w:val="21"/>
                    </w:rPr>
                  </w:pPr>
                  <w:r>
                    <w:rPr>
                      <w:szCs w:val="21"/>
                    </w:rPr>
                    <w:t>灭火方法</w:t>
                  </w:r>
                </w:p>
              </w:tc>
              <w:tc>
                <w:tcPr>
                  <w:tcW w:w="3357" w:type="pct"/>
                  <w:gridSpan w:val="3"/>
                  <w:vAlign w:val="center"/>
                </w:tcPr>
                <w:p>
                  <w:pPr>
                    <w:rPr>
                      <w:szCs w:val="21"/>
                    </w:rPr>
                  </w:pPr>
                  <w:r>
                    <w:rPr>
                      <w:szCs w:val="21"/>
                    </w:rPr>
                    <w:t>消防人员佩戴防毒面具，穿全身防火服，在上风向灭火。尽可能将容器从火场移至空旷处。喷水保持火场容器冷却，直至灭火结束。处于火场中的容器若已变色或从安全泄压装置中产生声音，必须马上撤离。灭火剂：雾状水、泡沫、干粉、二氧化碳、砂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688" w:type="pct"/>
                  <w:vMerge w:val="restart"/>
                  <w:vAlign w:val="center"/>
                </w:tcPr>
                <w:p>
                  <w:pPr>
                    <w:jc w:val="center"/>
                    <w:rPr>
                      <w:szCs w:val="21"/>
                    </w:rPr>
                  </w:pPr>
                  <w:r>
                    <w:rPr>
                      <w:szCs w:val="21"/>
                    </w:rPr>
                    <w:t>毒性及健康危害</w:t>
                  </w:r>
                </w:p>
              </w:tc>
              <w:tc>
                <w:tcPr>
                  <w:tcW w:w="955" w:type="pct"/>
                  <w:vAlign w:val="center"/>
                </w:tcPr>
                <w:p>
                  <w:pPr>
                    <w:jc w:val="center"/>
                    <w:rPr>
                      <w:szCs w:val="21"/>
                    </w:rPr>
                  </w:pPr>
                  <w:r>
                    <w:rPr>
                      <w:szCs w:val="21"/>
                    </w:rPr>
                    <w:t>侵入途径</w:t>
                  </w:r>
                </w:p>
              </w:tc>
              <w:tc>
                <w:tcPr>
                  <w:tcW w:w="3357" w:type="pct"/>
                  <w:gridSpan w:val="3"/>
                  <w:vAlign w:val="center"/>
                </w:tcPr>
                <w:p>
                  <w:pPr>
                    <w:jc w:val="center"/>
                    <w:rPr>
                      <w:szCs w:val="21"/>
                    </w:rPr>
                  </w:pPr>
                  <w:r>
                    <w:rPr>
                      <w:szCs w:val="21"/>
                    </w:rPr>
                    <w:t>吸入、食入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688" w:type="pct"/>
                  <w:vMerge w:val="continue"/>
                  <w:vAlign w:val="center"/>
                </w:tcPr>
                <w:p>
                  <w:pPr>
                    <w:rPr>
                      <w:szCs w:val="21"/>
                    </w:rPr>
                  </w:pPr>
                </w:p>
              </w:tc>
              <w:tc>
                <w:tcPr>
                  <w:tcW w:w="955" w:type="pct"/>
                  <w:vAlign w:val="center"/>
                </w:tcPr>
                <w:p>
                  <w:pPr>
                    <w:jc w:val="center"/>
                    <w:rPr>
                      <w:szCs w:val="21"/>
                    </w:rPr>
                  </w:pPr>
                  <w:r>
                    <w:rPr>
                      <w:szCs w:val="21"/>
                    </w:rPr>
                    <w:t>急性毒性</w:t>
                  </w:r>
                </w:p>
              </w:tc>
              <w:tc>
                <w:tcPr>
                  <w:tcW w:w="3357" w:type="pct"/>
                  <w:gridSpan w:val="3"/>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688" w:type="pct"/>
                  <w:vMerge w:val="continue"/>
                  <w:vAlign w:val="center"/>
                </w:tcPr>
                <w:p>
                  <w:pPr>
                    <w:rPr>
                      <w:szCs w:val="21"/>
                    </w:rPr>
                  </w:pPr>
                </w:p>
              </w:tc>
              <w:tc>
                <w:tcPr>
                  <w:tcW w:w="955" w:type="pct"/>
                  <w:vAlign w:val="center"/>
                </w:tcPr>
                <w:p>
                  <w:pPr>
                    <w:jc w:val="center"/>
                    <w:rPr>
                      <w:szCs w:val="21"/>
                    </w:rPr>
                  </w:pPr>
                  <w:r>
                    <w:rPr>
                      <w:szCs w:val="21"/>
                    </w:rPr>
                    <w:t>健康危害</w:t>
                  </w:r>
                </w:p>
              </w:tc>
              <w:tc>
                <w:tcPr>
                  <w:tcW w:w="3357" w:type="pct"/>
                  <w:gridSpan w:val="3"/>
                  <w:vAlign w:val="center"/>
                </w:tcPr>
                <w:p>
                  <w:pPr>
                    <w:rPr>
                      <w:szCs w:val="21"/>
                    </w:rPr>
                  </w:pPr>
                  <w:r>
                    <w:rPr>
                      <w:szCs w:val="21"/>
                    </w:rPr>
                    <w:t>急性吸入，可出现乏力、头晕、头痛、恶心，严重者可引起油脂性肺炎。慢接触者，暴露部位可发生油性痤疮和接触性皮炎。可引起神经衰弱综合征，呼吸道及眼部刺激症状及慢性油脂性肺炎。有资料报道，接触石油润滑油的工人，有致癌的病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88" w:type="pct"/>
                  <w:vAlign w:val="center"/>
                </w:tcPr>
                <w:p>
                  <w:pPr>
                    <w:jc w:val="center"/>
                    <w:rPr>
                      <w:szCs w:val="21"/>
                    </w:rPr>
                  </w:pPr>
                  <w:r>
                    <w:rPr>
                      <w:szCs w:val="21"/>
                    </w:rPr>
                    <w:t>泄漏处置</w:t>
                  </w:r>
                </w:p>
              </w:tc>
              <w:tc>
                <w:tcPr>
                  <w:tcW w:w="4312" w:type="pct"/>
                  <w:gridSpan w:val="4"/>
                  <w:vAlign w:val="center"/>
                </w:tcPr>
                <w:p>
                  <w:pPr>
                    <w:rPr>
                      <w:szCs w:val="21"/>
                    </w:rPr>
                  </w:pPr>
                  <w:r>
                    <w:rPr>
                      <w:szCs w:val="21"/>
                    </w:rPr>
                    <w:t>迅速撤离泄漏污染区人员至安全区，并进行隔离，严格限制出入。切断火源。建议应急处理人员戴自给正压式呼吸器，穿防毒服，尽可能切断泄漏源。防止流入下水道，排洪沟等限制性空间。</w:t>
                  </w:r>
                </w:p>
                <w:p>
                  <w:pPr>
                    <w:rPr>
                      <w:szCs w:val="21"/>
                    </w:rPr>
                  </w:pPr>
                  <w:r>
                    <w:rPr>
                      <w:szCs w:val="21"/>
                    </w:rPr>
                    <w:t>小量泄漏：用砂土或其它不燃材料吸附或吸收。</w:t>
                  </w:r>
                </w:p>
                <w:p>
                  <w:pPr>
                    <w:rPr>
                      <w:szCs w:val="21"/>
                    </w:rPr>
                  </w:pPr>
                  <w:r>
                    <w:rPr>
                      <w:szCs w:val="21"/>
                    </w:rPr>
                    <w:t>大量泄漏：构筑围堤或挖坑收容。用泵转移至槽车或专用收集器内，回收或运至废物处置场所处置。</w:t>
                  </w:r>
                </w:p>
              </w:tc>
            </w:tr>
          </w:tbl>
          <w:p>
            <w:pPr>
              <w:spacing w:line="360" w:lineRule="auto"/>
              <w:ind w:firstLine="480" w:firstLineChars="200"/>
              <w:rPr>
                <w:sz w:val="24"/>
              </w:rPr>
            </w:pPr>
            <w:r>
              <w:rPr>
                <w:sz w:val="24"/>
              </w:rPr>
              <w:t>根据上表分析，项目储存的硝酸、磷酸、硫酸铵、机油属于《建设项目环境风险评价技术导则》（HJ169-2018）附录B中的风险物质，为本次环境风险评价的主要风险因子。</w:t>
            </w:r>
          </w:p>
          <w:p>
            <w:pPr>
              <w:spacing w:line="360" w:lineRule="auto"/>
              <w:ind w:firstLine="480" w:firstLineChars="200"/>
              <w:rPr>
                <w:sz w:val="24"/>
              </w:rPr>
            </w:pPr>
            <w:r>
              <w:rPr>
                <w:sz w:val="24"/>
              </w:rPr>
              <w:t>（2）评价工作等级划分</w:t>
            </w:r>
          </w:p>
          <w:p>
            <w:pPr>
              <w:spacing w:line="360" w:lineRule="auto"/>
              <w:ind w:firstLine="480" w:firstLineChars="200"/>
              <w:rPr>
                <w:sz w:val="24"/>
              </w:rPr>
            </w:pPr>
            <w:r>
              <w:rPr>
                <w:sz w:val="24"/>
              </w:rPr>
              <w:t>根据《建设项目环境风险评价技术导则》（HJ169—2018） ，首先对本项目危险物 质数量及临界量比值（Q）进行计算。</w:t>
            </w:r>
          </w:p>
          <w:p>
            <w:pPr>
              <w:spacing w:line="360" w:lineRule="auto"/>
              <w:ind w:firstLine="480" w:firstLineChars="200"/>
              <w:rPr>
                <w:sz w:val="24"/>
              </w:rPr>
            </w:pPr>
            <w:r>
              <w:rPr>
                <w:sz w:val="24"/>
              </w:rPr>
              <w:t>根据《建设项目环境风险评价技术导则 》（HJ169-2018）附录C危险物质数量与临界量比值Q的计算方法：</w:t>
            </w:r>
          </w:p>
          <w:p>
            <w:pPr>
              <w:spacing w:line="360" w:lineRule="auto"/>
              <w:ind w:firstLine="480" w:firstLineChars="200"/>
              <w:rPr>
                <w:sz w:val="24"/>
              </w:rPr>
            </w:pPr>
            <w:r>
              <w:rPr>
                <w:sz w:val="24"/>
              </w:rPr>
              <w:t>当只涉及一种危险物质时，计算该物质的总量与临界量的比值，即为Q；</w:t>
            </w:r>
          </w:p>
          <w:p>
            <w:pPr>
              <w:spacing w:line="360" w:lineRule="auto"/>
              <w:ind w:firstLine="480" w:firstLineChars="200"/>
              <w:rPr>
                <w:sz w:val="24"/>
              </w:rPr>
            </w:pPr>
            <w:r>
              <w:rPr>
                <w:sz w:val="24"/>
              </w:rPr>
              <w:t>当存在多种危险物质时，则按下式计算物质总量与其临界量比值（Q）：</w:t>
            </w:r>
          </w:p>
          <w:p>
            <w:pPr>
              <w:spacing w:line="360" w:lineRule="auto"/>
              <w:ind w:firstLine="480" w:firstLineChars="200"/>
              <w:rPr>
                <w:sz w:val="24"/>
              </w:rPr>
            </w:pPr>
            <w:r>
              <w:rPr>
                <w:sz w:val="24"/>
              </w:rPr>
              <w:drawing>
                <wp:anchor distT="0" distB="0" distL="114300" distR="114300" simplePos="0" relativeHeight="251664384" behindDoc="0" locked="0" layoutInCell="1" allowOverlap="1">
                  <wp:simplePos x="0" y="0"/>
                  <wp:positionH relativeFrom="margin">
                    <wp:align>center</wp:align>
                  </wp:positionH>
                  <wp:positionV relativeFrom="paragraph">
                    <wp:posOffset>83185</wp:posOffset>
                  </wp:positionV>
                  <wp:extent cx="1637665" cy="429260"/>
                  <wp:effectExtent l="0" t="0" r="635" b="8890"/>
                  <wp:wrapTopAndBottom/>
                  <wp:docPr id="9" name="图片 7" descr="a9d2e34bb94ee063953e44063c87e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a9d2e34bb94ee063953e44063c87edf"/>
                          <pic:cNvPicPr>
                            <a:picLocks noChangeAspect="1"/>
                          </pic:cNvPicPr>
                        </pic:nvPicPr>
                        <pic:blipFill>
                          <a:blip r:embed="rId18"/>
                          <a:stretch>
                            <a:fillRect/>
                          </a:stretch>
                        </pic:blipFill>
                        <pic:spPr>
                          <a:xfrm>
                            <a:off x="0" y="0"/>
                            <a:ext cx="1637665" cy="429260"/>
                          </a:xfrm>
                          <a:prstGeom prst="rect">
                            <a:avLst/>
                          </a:prstGeom>
                          <a:noFill/>
                          <a:ln>
                            <a:noFill/>
                          </a:ln>
                        </pic:spPr>
                      </pic:pic>
                    </a:graphicData>
                  </a:graphic>
                </wp:anchor>
              </w:drawing>
            </w:r>
            <w:r>
              <w:rPr>
                <w:sz w:val="24"/>
              </w:rPr>
              <w:t>式中：q1，q1，…，qn——每种危险物质的最大存在总量，t；</w:t>
            </w:r>
          </w:p>
          <w:p>
            <w:pPr>
              <w:spacing w:line="360" w:lineRule="auto"/>
              <w:ind w:firstLine="480" w:firstLineChars="200"/>
              <w:rPr>
                <w:sz w:val="24"/>
              </w:rPr>
            </w:pPr>
            <w:r>
              <w:rPr>
                <w:sz w:val="24"/>
              </w:rPr>
              <w:t>Q1，Q2，…，Qn——每种危险物质的临界量，t。</w:t>
            </w:r>
          </w:p>
          <w:p>
            <w:pPr>
              <w:spacing w:line="360" w:lineRule="auto"/>
              <w:ind w:firstLine="480" w:firstLineChars="200"/>
              <w:rPr>
                <w:sz w:val="24"/>
              </w:rPr>
            </w:pPr>
            <w:r>
              <w:rPr>
                <w:sz w:val="24"/>
              </w:rPr>
              <w:t>当 Q＜1 时，该项目环境风险潜势为I。</w:t>
            </w:r>
          </w:p>
          <w:p>
            <w:pPr>
              <w:spacing w:line="360" w:lineRule="auto"/>
              <w:ind w:firstLine="480" w:firstLineChars="200"/>
              <w:rPr>
                <w:sz w:val="24"/>
              </w:rPr>
            </w:pPr>
            <w:r>
              <w:rPr>
                <w:sz w:val="24"/>
              </w:rPr>
              <w:t>当 Q≥1，将 Q 值划分为：（1）1≤Q＜10；（2）10≤Q＜100；</w:t>
            </w:r>
          </w:p>
          <w:p>
            <w:pPr>
              <w:spacing w:line="360" w:lineRule="auto"/>
              <w:ind w:firstLine="480" w:firstLineChars="200"/>
              <w:rPr>
                <w:sz w:val="24"/>
              </w:rPr>
            </w:pPr>
            <w:r>
              <w:rPr>
                <w:sz w:val="24"/>
              </w:rPr>
              <w:t>本项目危险物质数量及临界量比值（Q）统计如下。</w:t>
            </w:r>
          </w:p>
          <w:p>
            <w:pPr>
              <w:spacing w:before="156" w:beforeLines="50" w:line="360" w:lineRule="auto"/>
              <w:ind w:firstLine="964" w:firstLineChars="400"/>
              <w:rPr>
                <w:b/>
                <w:sz w:val="24"/>
              </w:rPr>
            </w:pPr>
            <w:r>
              <w:rPr>
                <w:b/>
                <w:sz w:val="24"/>
              </w:rPr>
              <w:t>表4-18本项目危险物质数量及临界量比值（Q）一览表</w:t>
            </w:r>
          </w:p>
          <w:tbl>
            <w:tblPr>
              <w:tblStyle w:val="27"/>
              <w:tblW w:w="49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5"/>
              <w:gridCol w:w="1959"/>
              <w:gridCol w:w="2898"/>
              <w:gridCol w:w="1158"/>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66" w:type="pct"/>
                  <w:vAlign w:val="center"/>
                </w:tcPr>
                <w:p>
                  <w:pPr>
                    <w:jc w:val="center"/>
                    <w:rPr>
                      <w:b/>
                      <w:szCs w:val="21"/>
                    </w:rPr>
                  </w:pPr>
                  <w:r>
                    <w:rPr>
                      <w:b/>
                      <w:szCs w:val="21"/>
                    </w:rPr>
                    <w:t>序号</w:t>
                  </w:r>
                </w:p>
              </w:tc>
              <w:tc>
                <w:tcPr>
                  <w:tcW w:w="1140" w:type="pct"/>
                  <w:vAlign w:val="center"/>
                </w:tcPr>
                <w:p>
                  <w:pPr>
                    <w:jc w:val="center"/>
                    <w:rPr>
                      <w:b/>
                      <w:szCs w:val="21"/>
                    </w:rPr>
                  </w:pPr>
                  <w:r>
                    <w:rPr>
                      <w:b/>
                      <w:szCs w:val="21"/>
                    </w:rPr>
                    <w:t>名称</w:t>
                  </w:r>
                </w:p>
              </w:tc>
              <w:tc>
                <w:tcPr>
                  <w:tcW w:w="1686" w:type="pct"/>
                  <w:vAlign w:val="center"/>
                </w:tcPr>
                <w:p>
                  <w:pPr>
                    <w:jc w:val="center"/>
                    <w:rPr>
                      <w:b/>
                      <w:szCs w:val="21"/>
                    </w:rPr>
                  </w:pPr>
                  <w:r>
                    <w:rPr>
                      <w:b/>
                      <w:szCs w:val="21"/>
                    </w:rPr>
                    <w:t>最大存在总量（t）</w:t>
                  </w:r>
                </w:p>
                <w:p>
                  <w:pPr>
                    <w:jc w:val="center"/>
                    <w:rPr>
                      <w:b/>
                      <w:szCs w:val="21"/>
                    </w:rPr>
                  </w:pPr>
                  <w:r>
                    <w:rPr>
                      <w:b/>
                      <w:szCs w:val="21"/>
                    </w:rPr>
                    <w:t>（包括车间暂存及存储区量）</w:t>
                  </w:r>
                </w:p>
              </w:tc>
              <w:tc>
                <w:tcPr>
                  <w:tcW w:w="674" w:type="pct"/>
                  <w:vAlign w:val="center"/>
                </w:tcPr>
                <w:p>
                  <w:pPr>
                    <w:jc w:val="center"/>
                    <w:rPr>
                      <w:b/>
                      <w:szCs w:val="21"/>
                    </w:rPr>
                  </w:pPr>
                  <w:r>
                    <w:rPr>
                      <w:b/>
                      <w:szCs w:val="21"/>
                    </w:rPr>
                    <w:t>临界量（t）</w:t>
                  </w:r>
                </w:p>
              </w:tc>
              <w:tc>
                <w:tcPr>
                  <w:tcW w:w="834" w:type="pct"/>
                  <w:vAlign w:val="center"/>
                </w:tcPr>
                <w:p>
                  <w:pPr>
                    <w:jc w:val="center"/>
                    <w:rPr>
                      <w:b/>
                      <w:szCs w:val="21"/>
                    </w:rPr>
                  </w:pPr>
                  <w:r>
                    <w:rPr>
                      <w:b/>
                      <w:szCs w:val="21"/>
                    </w:rPr>
                    <w:drawing>
                      <wp:inline distT="0" distB="0" distL="114300" distR="114300">
                        <wp:extent cx="419100" cy="352425"/>
                        <wp:effectExtent l="0" t="0" r="0" b="9525"/>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19"/>
                                <a:stretch>
                                  <a:fillRect/>
                                </a:stretch>
                              </pic:blipFill>
                              <pic:spPr>
                                <a:xfrm>
                                  <a:off x="0" y="0"/>
                                  <a:ext cx="419100" cy="3524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66" w:type="pct"/>
                  <w:vAlign w:val="center"/>
                </w:tcPr>
                <w:p>
                  <w:pPr>
                    <w:jc w:val="center"/>
                    <w:rPr>
                      <w:szCs w:val="21"/>
                    </w:rPr>
                  </w:pPr>
                  <w:r>
                    <w:rPr>
                      <w:szCs w:val="21"/>
                    </w:rPr>
                    <w:t>1</w:t>
                  </w:r>
                </w:p>
              </w:tc>
              <w:tc>
                <w:tcPr>
                  <w:tcW w:w="1140" w:type="pct"/>
                  <w:vAlign w:val="center"/>
                </w:tcPr>
                <w:p>
                  <w:pPr>
                    <w:jc w:val="center"/>
                    <w:rPr>
                      <w:szCs w:val="21"/>
                    </w:rPr>
                  </w:pPr>
                  <w:r>
                    <w:rPr>
                      <w:szCs w:val="21"/>
                    </w:rPr>
                    <w:t>硝酸</w:t>
                  </w:r>
                </w:p>
              </w:tc>
              <w:tc>
                <w:tcPr>
                  <w:tcW w:w="1686" w:type="pct"/>
                  <w:vAlign w:val="center"/>
                </w:tcPr>
                <w:p>
                  <w:pPr>
                    <w:pStyle w:val="25"/>
                    <w:adjustRightInd w:val="0"/>
                    <w:spacing w:after="0" w:line="240" w:lineRule="auto"/>
                    <w:ind w:firstLine="0" w:firstLineChars="0"/>
                    <w:jc w:val="center"/>
                    <w:rPr>
                      <w:sz w:val="21"/>
                      <w:szCs w:val="21"/>
                    </w:rPr>
                  </w:pPr>
                  <w:r>
                    <w:rPr>
                      <w:sz w:val="21"/>
                      <w:szCs w:val="21"/>
                    </w:rPr>
                    <w:t>1</w:t>
                  </w:r>
                </w:p>
              </w:tc>
              <w:tc>
                <w:tcPr>
                  <w:tcW w:w="674" w:type="pct"/>
                  <w:vAlign w:val="center"/>
                </w:tcPr>
                <w:p>
                  <w:pPr>
                    <w:jc w:val="center"/>
                    <w:rPr>
                      <w:szCs w:val="21"/>
                    </w:rPr>
                  </w:pPr>
                  <w:r>
                    <w:rPr>
                      <w:szCs w:val="21"/>
                    </w:rPr>
                    <w:t>7.5</w:t>
                  </w:r>
                </w:p>
              </w:tc>
              <w:tc>
                <w:tcPr>
                  <w:tcW w:w="834" w:type="pct"/>
                  <w:vAlign w:val="center"/>
                </w:tcPr>
                <w:p>
                  <w:pPr>
                    <w:jc w:val="center"/>
                    <w:rPr>
                      <w:szCs w:val="21"/>
                    </w:rPr>
                  </w:pPr>
                  <w:r>
                    <w:rPr>
                      <w:szCs w:val="21"/>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66" w:type="pct"/>
                  <w:vAlign w:val="center"/>
                </w:tcPr>
                <w:p>
                  <w:pPr>
                    <w:jc w:val="center"/>
                    <w:rPr>
                      <w:szCs w:val="21"/>
                    </w:rPr>
                  </w:pPr>
                  <w:r>
                    <w:rPr>
                      <w:szCs w:val="21"/>
                    </w:rPr>
                    <w:t>2</w:t>
                  </w:r>
                </w:p>
              </w:tc>
              <w:tc>
                <w:tcPr>
                  <w:tcW w:w="1140" w:type="pct"/>
                  <w:vAlign w:val="center"/>
                </w:tcPr>
                <w:p>
                  <w:pPr>
                    <w:jc w:val="center"/>
                    <w:rPr>
                      <w:szCs w:val="21"/>
                    </w:rPr>
                  </w:pPr>
                  <w:r>
                    <w:rPr>
                      <w:szCs w:val="21"/>
                    </w:rPr>
                    <w:t>机油</w:t>
                  </w:r>
                </w:p>
              </w:tc>
              <w:tc>
                <w:tcPr>
                  <w:tcW w:w="1686" w:type="pct"/>
                  <w:vAlign w:val="center"/>
                </w:tcPr>
                <w:p>
                  <w:pPr>
                    <w:jc w:val="center"/>
                    <w:rPr>
                      <w:szCs w:val="21"/>
                    </w:rPr>
                  </w:pPr>
                  <w:r>
                    <w:rPr>
                      <w:szCs w:val="21"/>
                    </w:rPr>
                    <w:t>1.2</w:t>
                  </w:r>
                </w:p>
              </w:tc>
              <w:tc>
                <w:tcPr>
                  <w:tcW w:w="674" w:type="pct"/>
                  <w:vAlign w:val="center"/>
                </w:tcPr>
                <w:p>
                  <w:pPr>
                    <w:jc w:val="center"/>
                    <w:rPr>
                      <w:szCs w:val="21"/>
                    </w:rPr>
                  </w:pPr>
                  <w:r>
                    <w:rPr>
                      <w:szCs w:val="21"/>
                    </w:rPr>
                    <w:t>2500</w:t>
                  </w:r>
                </w:p>
              </w:tc>
              <w:tc>
                <w:tcPr>
                  <w:tcW w:w="834" w:type="pct"/>
                  <w:vAlign w:val="center"/>
                </w:tcPr>
                <w:p>
                  <w:pPr>
                    <w:jc w:val="center"/>
                    <w:rPr>
                      <w:szCs w:val="21"/>
                    </w:rPr>
                  </w:pPr>
                  <w:r>
                    <w:rPr>
                      <w:szCs w:val="21"/>
                    </w:rPr>
                    <w:t>0.00048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66" w:type="pct"/>
                  <w:vAlign w:val="center"/>
                </w:tcPr>
                <w:p>
                  <w:pPr>
                    <w:jc w:val="center"/>
                    <w:rPr>
                      <w:szCs w:val="21"/>
                    </w:rPr>
                  </w:pPr>
                  <w:r>
                    <w:rPr>
                      <w:szCs w:val="21"/>
                    </w:rPr>
                    <w:t>3</w:t>
                  </w:r>
                </w:p>
              </w:tc>
              <w:tc>
                <w:tcPr>
                  <w:tcW w:w="1140" w:type="pct"/>
                  <w:vAlign w:val="center"/>
                </w:tcPr>
                <w:p>
                  <w:pPr>
                    <w:jc w:val="center"/>
                    <w:rPr>
                      <w:szCs w:val="21"/>
                    </w:rPr>
                  </w:pPr>
                  <w:r>
                    <w:rPr>
                      <w:szCs w:val="21"/>
                    </w:rPr>
                    <w:t>硫酸铵</w:t>
                  </w:r>
                </w:p>
              </w:tc>
              <w:tc>
                <w:tcPr>
                  <w:tcW w:w="1686" w:type="pct"/>
                  <w:vAlign w:val="center"/>
                </w:tcPr>
                <w:p>
                  <w:pPr>
                    <w:jc w:val="center"/>
                    <w:rPr>
                      <w:szCs w:val="21"/>
                    </w:rPr>
                  </w:pPr>
                  <w:r>
                    <w:rPr>
                      <w:szCs w:val="21"/>
                    </w:rPr>
                    <w:t>1.4</w:t>
                  </w:r>
                </w:p>
              </w:tc>
              <w:tc>
                <w:tcPr>
                  <w:tcW w:w="674" w:type="pct"/>
                  <w:vAlign w:val="center"/>
                </w:tcPr>
                <w:p>
                  <w:pPr>
                    <w:jc w:val="center"/>
                    <w:rPr>
                      <w:szCs w:val="21"/>
                    </w:rPr>
                  </w:pPr>
                  <w:r>
                    <w:rPr>
                      <w:szCs w:val="21"/>
                    </w:rPr>
                    <w:t>10</w:t>
                  </w:r>
                </w:p>
              </w:tc>
              <w:tc>
                <w:tcPr>
                  <w:tcW w:w="834" w:type="pct"/>
                  <w:vAlign w:val="center"/>
                </w:tcPr>
                <w:p>
                  <w:pPr>
                    <w:jc w:val="center"/>
                    <w:rPr>
                      <w:szCs w:val="21"/>
                    </w:rPr>
                  </w:pPr>
                  <w:r>
                    <w:rPr>
                      <w:szCs w:val="21"/>
                    </w:rPr>
                    <w:t>0.1</w:t>
                  </w:r>
                  <w:r>
                    <w:rPr>
                      <w:rStyle w:val="32"/>
                      <w:kern w:val="0"/>
                      <w:szCs w:val="20"/>
                    </w:rPr>
                    <w:t>4</w:t>
                  </w:r>
                </w:p>
              </w:tc>
            </w:tr>
          </w:tbl>
          <w:p>
            <w:pPr>
              <w:spacing w:line="360" w:lineRule="auto"/>
              <w:ind w:firstLine="480" w:firstLineChars="200"/>
              <w:rPr>
                <w:sz w:val="24"/>
              </w:rPr>
            </w:pPr>
            <w:r>
              <w:rPr>
                <w:sz w:val="24"/>
              </w:rPr>
              <w:t>根据《建设项目环境风险评价技术导则》（HJ169-2018），当Q&lt;1时，该项目环境风险潜势为Ⅰ，可开展简单分析。</w:t>
            </w:r>
          </w:p>
          <w:p>
            <w:pPr>
              <w:spacing w:line="360" w:lineRule="auto"/>
              <w:ind w:firstLine="480" w:firstLineChars="200"/>
              <w:rPr>
                <w:sz w:val="24"/>
              </w:rPr>
            </w:pPr>
            <w:r>
              <w:rPr>
                <w:sz w:val="24"/>
              </w:rPr>
              <w:t>由风险分析可知，本项目硝酸Q=0.13；机油Q=0.00048，</w:t>
            </w:r>
            <w:r>
              <w:rPr>
                <w:szCs w:val="21"/>
              </w:rPr>
              <w:t>硫酸铵=0.14</w:t>
            </w:r>
            <w:r>
              <w:rPr>
                <w:sz w:val="24"/>
              </w:rPr>
              <w:t xml:space="preserve"> 。以上三相相加Q=0.27048＜1。因此本项目环境风险潜势为Ⅰ，仅开展简单分析。</w:t>
            </w:r>
          </w:p>
          <w:p>
            <w:pPr>
              <w:spacing w:line="360" w:lineRule="auto"/>
              <w:ind w:left="420" w:leftChars="200"/>
              <w:rPr>
                <w:sz w:val="24"/>
              </w:rPr>
            </w:pPr>
            <w:r>
              <w:rPr>
                <w:sz w:val="24"/>
              </w:rPr>
              <w:t>（3）风险评价</w:t>
            </w:r>
          </w:p>
          <w:p>
            <w:pPr>
              <w:spacing w:line="360" w:lineRule="auto"/>
              <w:ind w:firstLine="480" w:firstLineChars="200"/>
              <w:rPr>
                <w:sz w:val="24"/>
              </w:rPr>
            </w:pPr>
            <w:r>
              <w:rPr>
                <w:rFonts w:hint="eastAsia" w:ascii="宋体" w:hAnsi="宋体" w:cs="宋体"/>
                <w:sz w:val="24"/>
              </w:rPr>
              <w:t>①</w:t>
            </w:r>
            <w:r>
              <w:rPr>
                <w:sz w:val="24"/>
              </w:rPr>
              <w:t>评价依据：根据评价工作等级划分，本项目 Q＜1，环境风险势能直接判断为I等级。</w:t>
            </w:r>
          </w:p>
          <w:p>
            <w:pPr>
              <w:spacing w:line="360" w:lineRule="auto"/>
              <w:ind w:firstLine="480" w:firstLineChars="200"/>
              <w:rPr>
                <w:sz w:val="24"/>
              </w:rPr>
            </w:pPr>
            <w:r>
              <w:rPr>
                <w:rFonts w:hint="eastAsia" w:ascii="宋体" w:hAnsi="宋体" w:cs="宋体"/>
                <w:sz w:val="24"/>
              </w:rPr>
              <w:t>②</w:t>
            </w:r>
            <w:r>
              <w:rPr>
                <w:sz w:val="24"/>
              </w:rPr>
              <w:t>环境敏感目标概况：周边500m范围内无民井及地下取水口。</w:t>
            </w:r>
          </w:p>
          <w:p>
            <w:pPr>
              <w:spacing w:line="360" w:lineRule="auto"/>
              <w:ind w:firstLine="480" w:firstLineChars="200"/>
              <w:rPr>
                <w:sz w:val="24"/>
              </w:rPr>
            </w:pPr>
            <w:r>
              <w:rPr>
                <w:rFonts w:hint="eastAsia" w:ascii="宋体" w:hAnsi="宋体" w:cs="宋体"/>
                <w:sz w:val="24"/>
              </w:rPr>
              <w:t>③</w:t>
            </w:r>
            <w:r>
              <w:rPr>
                <w:sz w:val="24"/>
              </w:rPr>
              <w:t>环境风险分析：</w:t>
            </w:r>
          </w:p>
          <w:p>
            <w:pPr>
              <w:pStyle w:val="12"/>
              <w:spacing w:line="360" w:lineRule="auto"/>
              <w:ind w:firstLine="480" w:firstLineChars="200"/>
              <w:rPr>
                <w:rFonts w:ascii="Times New Roman" w:hAnsi="Times New Roman"/>
                <w:sz w:val="24"/>
              </w:rPr>
            </w:pPr>
            <w:r>
              <w:rPr>
                <w:rFonts w:ascii="Times New Roman" w:hAnsi="Times New Roman"/>
                <w:sz w:val="24"/>
              </w:rPr>
              <w:t>风险一：硝酸</w:t>
            </w:r>
          </w:p>
          <w:p>
            <w:pPr>
              <w:pStyle w:val="12"/>
              <w:spacing w:line="360" w:lineRule="auto"/>
              <w:ind w:firstLine="480" w:firstLineChars="200"/>
              <w:rPr>
                <w:rFonts w:ascii="Times New Roman" w:hAnsi="Times New Roman"/>
                <w:sz w:val="24"/>
              </w:rPr>
            </w:pPr>
            <w:r>
              <w:rPr>
                <w:rFonts w:ascii="Times New Roman" w:hAnsi="Times New Roman"/>
                <w:sz w:val="24"/>
              </w:rPr>
              <w:t>本项目涉及的风险物质硝酸并不稳定，遇光或热会分解而放出二氧化氮，硝酸溶液及硝酸蒸汽对皮肤和黏膜有强刺激和腐蚀作用。主要分布在危险化学品储存室，在存储室建设没有达到要求，造成泄漏或者其包装物丢失在外可能会对土壤环境和水环境造成影响。</w:t>
            </w:r>
          </w:p>
          <w:p>
            <w:pPr>
              <w:pStyle w:val="12"/>
              <w:spacing w:line="360" w:lineRule="auto"/>
              <w:ind w:firstLine="420" w:firstLineChars="200"/>
              <w:rPr>
                <w:rFonts w:ascii="Times New Roman" w:hAnsi="Times New Roman"/>
                <w:sz w:val="24"/>
              </w:rPr>
            </w:pPr>
            <w:r>
              <w:fldChar w:fldCharType="begin"/>
            </w:r>
            <w:r>
              <w:instrText xml:space="preserve"> HYPERLINK "https://baike.sogou.com/lemma/ShowInnerLink.htm?lemmaId=7711236&amp;ss_c=ssc.citiao.link" \t "https://baike.sogou.com/_blank" </w:instrText>
            </w:r>
            <w:r>
              <w:fldChar w:fldCharType="separate"/>
            </w:r>
            <w:r>
              <w:rPr>
                <w:rFonts w:ascii="Times New Roman" w:hAnsi="Times New Roman"/>
                <w:sz w:val="24"/>
              </w:rPr>
              <w:t>浓硝酸</w:t>
            </w:r>
            <w:r>
              <w:rPr>
                <w:rFonts w:ascii="Times New Roman" w:hAnsi="Times New Roman"/>
                <w:sz w:val="24"/>
              </w:rPr>
              <w:fldChar w:fldCharType="end"/>
            </w:r>
            <w:r>
              <w:rPr>
                <w:rFonts w:ascii="Times New Roman" w:hAnsi="Times New Roman"/>
                <w:sz w:val="24"/>
              </w:rPr>
              <w:t>烟雾可释放出</w:t>
            </w:r>
            <w:r>
              <w:fldChar w:fldCharType="begin"/>
            </w:r>
            <w:r>
              <w:instrText xml:space="preserve"> HYPERLINK "https://baike.sogou.com/lemma/ShowInnerLink.htm?lemmaId=6439226&amp;ss_c=ssc.citiao.link" \t "https://baike.sogou.com/_blank" </w:instrText>
            </w:r>
            <w:r>
              <w:fldChar w:fldCharType="separate"/>
            </w:r>
            <w:r>
              <w:rPr>
                <w:rFonts w:ascii="Times New Roman" w:hAnsi="Times New Roman"/>
                <w:sz w:val="24"/>
              </w:rPr>
              <w:t>五氧化二氮</w:t>
            </w:r>
            <w:r>
              <w:rPr>
                <w:rFonts w:ascii="Times New Roman" w:hAnsi="Times New Roman"/>
                <w:sz w:val="24"/>
              </w:rPr>
              <w:fldChar w:fldCharType="end"/>
            </w:r>
            <w:r>
              <w:rPr>
                <w:rFonts w:ascii="Times New Roman" w:hAnsi="Times New Roman"/>
                <w:sz w:val="24"/>
              </w:rPr>
              <w:t>（</w:t>
            </w:r>
            <w:r>
              <w:fldChar w:fldCharType="begin"/>
            </w:r>
            <w:r>
              <w:instrText xml:space="preserve"> HYPERLINK "https://baike.sogou.com/lemma/ShowInnerLink.htm?lemmaId=6439226&amp;ss_c=ssc.citiao.link" \t "https://baike.sogou.com/_blank" </w:instrText>
            </w:r>
            <w:r>
              <w:fldChar w:fldCharType="separate"/>
            </w:r>
            <w:r>
              <w:rPr>
                <w:rFonts w:ascii="Times New Roman" w:hAnsi="Times New Roman"/>
                <w:sz w:val="24"/>
              </w:rPr>
              <w:t>硝酐</w:t>
            </w:r>
            <w:r>
              <w:rPr>
                <w:rFonts w:ascii="Times New Roman" w:hAnsi="Times New Roman"/>
                <w:sz w:val="24"/>
              </w:rPr>
              <w:fldChar w:fldCharType="end"/>
            </w:r>
            <w:r>
              <w:rPr>
                <w:rFonts w:ascii="Times New Roman" w:hAnsi="Times New Roman"/>
                <w:sz w:val="24"/>
              </w:rPr>
              <w:t>）遇</w:t>
            </w:r>
            <w:r>
              <w:rPr>
                <w:rFonts w:hint="eastAsia" w:ascii="Times New Roman" w:hAnsi="Times New Roman"/>
                <w:sz w:val="24"/>
                <w:lang w:eastAsia="zh-CN"/>
              </w:rPr>
              <w:t>水蒸气</w:t>
            </w:r>
            <w:r>
              <w:rPr>
                <w:rFonts w:ascii="Times New Roman" w:hAnsi="Times New Roman"/>
                <w:sz w:val="24"/>
              </w:rPr>
              <w:t>形成酸雾，可迅速分解而形成二氧化氮，浓硝酸加热时产生硝酸蒸汽，也可分解产生二氧化氮，吸入后可引起急性氮氧化物中毒。人在低于12ppm（30mg/m³）左右时未见明显的损害。吸入可引起肺炎。大鼠吸入LC50 49 ppm/4小时。国外报道3例吸入硝酸烟雾后短时间内无呼吸道症状。4－6h后进行性呼吸困难。入院后均有发绀及口、鼻流出泡沫液体。给机械通气及100%氧气吸入。在24h内死亡。经尸检，肺组织免疫组织学分析及电镜检查表明细胞损伤可能由于二氧化氮的</w:t>
            </w:r>
            <w:r>
              <w:fldChar w:fldCharType="begin"/>
            </w:r>
            <w:r>
              <w:instrText xml:space="preserve"> HYPERLINK "https://baike.sogou.com/lemma/ShowInnerLink.htm?lemmaId=3282218&amp;ss_c=ssc.citiao.link" \t "https://baike.sogou.com/_blank" </w:instrText>
            </w:r>
            <w:r>
              <w:fldChar w:fldCharType="separate"/>
            </w:r>
            <w:r>
              <w:rPr>
                <w:rFonts w:ascii="Times New Roman" w:hAnsi="Times New Roman"/>
                <w:sz w:val="24"/>
              </w:rPr>
              <w:t>水合作用</w:t>
            </w:r>
            <w:r>
              <w:rPr>
                <w:rFonts w:ascii="Times New Roman" w:hAnsi="Times New Roman"/>
                <w:sz w:val="24"/>
              </w:rPr>
              <w:fldChar w:fldCharType="end"/>
            </w:r>
            <w:r>
              <w:rPr>
                <w:rFonts w:ascii="Times New Roman" w:hAnsi="Times New Roman"/>
                <w:sz w:val="24"/>
              </w:rPr>
              <w:t>产生自由基所引起的，此种时间依赖的作用可能是迟发性</w:t>
            </w:r>
            <w:r>
              <w:fldChar w:fldCharType="begin"/>
            </w:r>
            <w:r>
              <w:instrText xml:space="preserve"> HYPERLINK "https://baike.sogou.com/lemma/ShowInnerLink.htm?lemmaId=6622147&amp;ss_c=ssc.citiao.link" \t "https://baike.sogou.com/_blank" </w:instrText>
            </w:r>
            <w:r>
              <w:fldChar w:fldCharType="separate"/>
            </w:r>
            <w:r>
              <w:rPr>
                <w:rFonts w:ascii="Times New Roman" w:hAnsi="Times New Roman"/>
                <w:sz w:val="24"/>
              </w:rPr>
              <w:t>肺损伤</w:t>
            </w:r>
            <w:r>
              <w:rPr>
                <w:rFonts w:ascii="Times New Roman" w:hAnsi="Times New Roman"/>
                <w:sz w:val="24"/>
              </w:rPr>
              <w:fldChar w:fldCharType="end"/>
            </w:r>
            <w:r>
              <w:rPr>
                <w:rFonts w:ascii="Times New Roman" w:hAnsi="Times New Roman"/>
                <w:sz w:val="24"/>
              </w:rPr>
              <w:t>症状的部分原因。 吸入硝酸烟雾可引起急性中毒。口服硝酸可引起腐蚀性</w:t>
            </w:r>
            <w:r>
              <w:fldChar w:fldCharType="begin"/>
            </w:r>
            <w:r>
              <w:instrText xml:space="preserve"> HYPERLINK "https://baike.sogou.com/lemma/ShowInnerLink.htm?lemmaId=6027186&amp;ss_c=ssc.citiao.link" \t "https://baike.sogou.com/_blank" </w:instrText>
            </w:r>
            <w:r>
              <w:fldChar w:fldCharType="separate"/>
            </w:r>
            <w:r>
              <w:rPr>
                <w:rFonts w:ascii="Times New Roman" w:hAnsi="Times New Roman"/>
                <w:sz w:val="24"/>
              </w:rPr>
              <w:t>口腔炎</w:t>
            </w:r>
            <w:r>
              <w:rPr>
                <w:rFonts w:ascii="Times New Roman" w:hAnsi="Times New Roman"/>
                <w:sz w:val="24"/>
              </w:rPr>
              <w:fldChar w:fldCharType="end"/>
            </w:r>
            <w:r>
              <w:rPr>
                <w:rFonts w:ascii="Times New Roman" w:hAnsi="Times New Roman"/>
                <w:sz w:val="24"/>
              </w:rPr>
              <w:t>和</w:t>
            </w:r>
            <w:r>
              <w:fldChar w:fldCharType="begin"/>
            </w:r>
            <w:r>
              <w:instrText xml:space="preserve"> HYPERLINK "https://baike.sogou.com/lemma/ShowInnerLink.htm?lemmaId=5770723&amp;ss_c=ssc.citiao.link" \t "https://baike.sogou.com/_blank" </w:instrText>
            </w:r>
            <w:r>
              <w:fldChar w:fldCharType="separate"/>
            </w:r>
            <w:r>
              <w:rPr>
                <w:rFonts w:ascii="Times New Roman" w:hAnsi="Times New Roman"/>
                <w:sz w:val="24"/>
              </w:rPr>
              <w:t>胃肠炎</w:t>
            </w:r>
            <w:r>
              <w:rPr>
                <w:rFonts w:ascii="Times New Roman" w:hAnsi="Times New Roman"/>
                <w:sz w:val="24"/>
              </w:rPr>
              <w:fldChar w:fldCharType="end"/>
            </w:r>
            <w:r>
              <w:rPr>
                <w:rFonts w:ascii="Times New Roman" w:hAnsi="Times New Roman"/>
                <w:sz w:val="24"/>
              </w:rPr>
              <w:t>，可出现休克或</w:t>
            </w:r>
            <w:r>
              <w:fldChar w:fldCharType="begin"/>
            </w:r>
            <w:r>
              <w:instrText xml:space="preserve"> HYPERLINK "https://baike.sogou.com/lemma/ShowInnerLink.htm?lemmaId=472842&amp;ss_c=ssc.citiao.link" \t "https://baike.sogou.com/_blank" </w:instrText>
            </w:r>
            <w:r>
              <w:fldChar w:fldCharType="separate"/>
            </w:r>
            <w:r>
              <w:rPr>
                <w:rFonts w:ascii="Times New Roman" w:hAnsi="Times New Roman"/>
                <w:sz w:val="24"/>
              </w:rPr>
              <w:t>肾功能衰竭</w:t>
            </w:r>
            <w:r>
              <w:rPr>
                <w:rFonts w:ascii="Times New Roman" w:hAnsi="Times New Roman"/>
                <w:sz w:val="24"/>
              </w:rPr>
              <w:fldChar w:fldCharType="end"/>
            </w:r>
            <w:r>
              <w:rPr>
                <w:rFonts w:ascii="Times New Roman" w:hAnsi="Times New Roman"/>
                <w:sz w:val="24"/>
              </w:rPr>
              <w:t>等。</w:t>
            </w:r>
          </w:p>
          <w:p>
            <w:pPr>
              <w:pStyle w:val="12"/>
              <w:spacing w:line="360" w:lineRule="auto"/>
              <w:ind w:firstLine="480" w:firstLineChars="200"/>
              <w:rPr>
                <w:rFonts w:ascii="Times New Roman" w:hAnsi="Times New Roman"/>
                <w:sz w:val="24"/>
              </w:rPr>
            </w:pPr>
            <w:r>
              <w:rPr>
                <w:rFonts w:ascii="Times New Roman" w:hAnsi="Times New Roman"/>
                <w:sz w:val="24"/>
              </w:rPr>
              <w:t>项目所使用、贮存的硝酸量小，使用棕色瓶收容并放置在铺设有防渗透、防腐蚀地胶的地面上。配备有完善的取用管理制度及泄漏处理方式，硝酸泄漏对环境造成的影响不大。</w:t>
            </w:r>
          </w:p>
          <w:p>
            <w:pPr>
              <w:spacing w:line="360" w:lineRule="auto"/>
              <w:ind w:firstLine="480" w:firstLineChars="200"/>
              <w:rPr>
                <w:sz w:val="24"/>
              </w:rPr>
            </w:pPr>
            <w:r>
              <w:rPr>
                <w:sz w:val="24"/>
              </w:rPr>
              <w:t>风险二：机油</w:t>
            </w:r>
          </w:p>
          <w:p>
            <w:pPr>
              <w:pStyle w:val="13"/>
              <w:spacing w:line="360" w:lineRule="auto"/>
              <w:ind w:firstLine="480" w:firstLineChars="200"/>
              <w:rPr>
                <w:rFonts w:ascii="Times New Roman"/>
                <w:color w:val="auto"/>
              </w:rPr>
            </w:pPr>
            <w:r>
              <w:rPr>
                <w:rFonts w:ascii="Times New Roman"/>
                <w:color w:val="auto"/>
              </w:rPr>
              <w:t>主要储存在仓库，若仓库及危险废物贮存库中暂存的油品泄漏进入雨水管网，会对周围水体造成一定的影响。另外，车间内电路破碎存在触电的危险，短路造成的火灾、爆炸等危险；机械设备还可能导致机械伤害、触电等事故。</w:t>
            </w:r>
          </w:p>
          <w:p>
            <w:pPr>
              <w:pStyle w:val="13"/>
              <w:spacing w:line="360" w:lineRule="auto"/>
              <w:ind w:firstLine="480" w:firstLineChars="200"/>
              <w:rPr>
                <w:rFonts w:ascii="Times New Roman"/>
                <w:color w:val="auto"/>
              </w:rPr>
            </w:pPr>
            <w:r>
              <w:rPr>
                <w:rFonts w:ascii="Times New Roman"/>
                <w:color w:val="auto"/>
              </w:rPr>
              <w:t>风险三：硫酸铵</w:t>
            </w:r>
          </w:p>
          <w:p>
            <w:pPr>
              <w:pStyle w:val="13"/>
              <w:spacing w:line="360" w:lineRule="auto"/>
              <w:ind w:firstLine="480" w:firstLineChars="200"/>
              <w:rPr>
                <w:rFonts w:ascii="Times New Roman"/>
                <w:color w:val="auto"/>
              </w:rPr>
            </w:pPr>
            <w:r>
              <w:rPr>
                <w:rFonts w:ascii="Times New Roman"/>
                <w:color w:val="auto"/>
              </w:rPr>
              <w:t>主要分布在危险化学品储存室，在存储室建设没有达到要求，造成泄漏或者其包装物丢失在外可能会对土壤环境和水环境造成影响。受热分解产生有毒的烟气，对眼睛、黏膜和皮肤有刺激作用，长期使用会使土壤出现酸化板结现象。</w:t>
            </w:r>
          </w:p>
          <w:p>
            <w:pPr>
              <w:pStyle w:val="13"/>
              <w:spacing w:line="360" w:lineRule="auto"/>
              <w:ind w:firstLine="480" w:firstLineChars="200"/>
              <w:rPr>
                <w:rFonts w:ascii="Times New Roman"/>
                <w:color w:val="auto"/>
              </w:rPr>
            </w:pPr>
            <w:r>
              <w:rPr>
                <w:rFonts w:hint="eastAsia" w:hAnsi="宋体" w:cs="宋体"/>
                <w:color w:val="auto"/>
              </w:rPr>
              <w:t>④</w:t>
            </w:r>
            <w:r>
              <w:rPr>
                <w:rFonts w:ascii="Times New Roman"/>
                <w:color w:val="auto"/>
              </w:rPr>
              <w:t>环境风险防范措施及应急要求：</w:t>
            </w:r>
          </w:p>
          <w:p>
            <w:pPr>
              <w:pStyle w:val="13"/>
              <w:spacing w:line="360" w:lineRule="auto"/>
              <w:ind w:firstLine="480" w:firstLineChars="200"/>
              <w:rPr>
                <w:rFonts w:ascii="Times New Roman"/>
                <w:color w:val="auto"/>
              </w:rPr>
            </w:pPr>
            <w:r>
              <w:rPr>
                <w:rFonts w:ascii="Times New Roman"/>
                <w:color w:val="auto"/>
              </w:rPr>
              <w:t>a.使用防爆、防火电缆，电气设施进行了触电保护，爆炸危险区域的划分、防爆电器（气） 的安装和布防必须符合《爆炸和火灾环境电力装置设计规范(GB50058)》要求。各装置防静电设计应符合《防止静电事故通用导则》（GB12518）以及《工业企业静电接地设计规程》（HGJ28）；各装置防静电设计应根据生产工艺要求，作业环境特点和物料性质采取相应的防静电措施；各生产装置在防爆区域内的所有金属设备、管道等都必须设计静电接地装置， 且接地电阻符合规范要求：不大于10Ω；非导电设备、管道等应设计间接接地或采用屏蔽方法，屏蔽体必须可靠接地；根据生产特点配置必要的静电检测仪器、仪表。</w:t>
            </w:r>
          </w:p>
          <w:p>
            <w:pPr>
              <w:pStyle w:val="13"/>
              <w:spacing w:line="360" w:lineRule="auto"/>
              <w:ind w:firstLine="480" w:firstLineChars="200"/>
              <w:rPr>
                <w:rFonts w:ascii="Times New Roman"/>
                <w:color w:val="auto"/>
              </w:rPr>
            </w:pPr>
            <w:r>
              <w:rPr>
                <w:rFonts w:ascii="Times New Roman"/>
                <w:color w:val="auto"/>
              </w:rPr>
              <w:t>b.定期检查、维护生产中使用的设备、仓库，确保</w:t>
            </w:r>
            <w:r>
              <w:rPr>
                <w:rFonts w:hint="eastAsia" w:ascii="Times New Roman"/>
                <w:color w:val="auto"/>
                <w:lang w:eastAsia="zh-CN"/>
              </w:rPr>
              <w:t>各项</w:t>
            </w:r>
            <w:r>
              <w:rPr>
                <w:rFonts w:ascii="Times New Roman"/>
                <w:color w:val="auto"/>
              </w:rPr>
              <w:t>设施、设备正常运行。</w:t>
            </w:r>
          </w:p>
          <w:p>
            <w:pPr>
              <w:pStyle w:val="13"/>
              <w:spacing w:line="360" w:lineRule="auto"/>
              <w:ind w:firstLine="480" w:firstLineChars="200"/>
              <w:rPr>
                <w:rFonts w:ascii="Times New Roman"/>
                <w:color w:val="auto"/>
              </w:rPr>
            </w:pPr>
            <w:r>
              <w:rPr>
                <w:rFonts w:ascii="Times New Roman"/>
                <w:color w:val="auto"/>
              </w:rPr>
              <w:t>c.生产车间、仓库、危险废物贮存库均配备黄沙箱、吸油毡、应急桶等，用于泄漏的硝酸、磷酸、硫酸铵应急暂存。</w:t>
            </w:r>
          </w:p>
          <w:p>
            <w:pPr>
              <w:pStyle w:val="13"/>
              <w:spacing w:line="360" w:lineRule="auto"/>
              <w:ind w:firstLine="480" w:firstLineChars="200"/>
              <w:rPr>
                <w:rFonts w:ascii="Times New Roman"/>
                <w:color w:val="auto"/>
              </w:rPr>
            </w:pPr>
            <w:r>
              <w:rPr>
                <w:rFonts w:ascii="Times New Roman"/>
                <w:color w:val="auto"/>
              </w:rPr>
              <w:t>d.生产区和各仓库设置干粉灭火器和泡沫灭火器、消防砂；厂内采用电话报警。</w:t>
            </w:r>
          </w:p>
          <w:p>
            <w:pPr>
              <w:pStyle w:val="13"/>
              <w:spacing w:line="360" w:lineRule="auto"/>
              <w:ind w:firstLine="480" w:firstLineChars="200"/>
              <w:rPr>
                <w:rFonts w:ascii="Times New Roman"/>
                <w:color w:val="auto"/>
              </w:rPr>
            </w:pPr>
            <w:r>
              <w:rPr>
                <w:rFonts w:ascii="Times New Roman"/>
                <w:color w:val="auto"/>
              </w:rPr>
              <w:t>锅炉房：</w:t>
            </w:r>
          </w:p>
          <w:p>
            <w:pPr>
              <w:pStyle w:val="13"/>
              <w:spacing w:line="360" w:lineRule="auto"/>
              <w:ind w:firstLine="480" w:firstLineChars="200"/>
              <w:rPr>
                <w:rFonts w:ascii="Times New Roman"/>
                <w:color w:val="auto"/>
              </w:rPr>
            </w:pPr>
            <w:r>
              <w:rPr>
                <w:rFonts w:ascii="Times New Roman"/>
                <w:color w:val="auto"/>
              </w:rPr>
              <w:t>（1）建立完善的安全生产管理制度，加强安全生产的宣传和教育，确保安全生产落实到生产中的每一个环节。建立完善的环境风险管理制度，安排专职或兼职人员负责原辅料和成品的储存管理。安排具有专业技术专职或兼职人员负责废气治理措施的日常运营管理，制定废气运营操作规范，检修维护时间和流程项目，建立运行台账管理制度。</w:t>
            </w:r>
          </w:p>
          <w:p>
            <w:pPr>
              <w:pStyle w:val="13"/>
              <w:spacing w:line="360" w:lineRule="auto"/>
              <w:ind w:firstLine="480" w:firstLineChars="200"/>
              <w:rPr>
                <w:rFonts w:ascii="Times New Roman"/>
                <w:color w:val="auto"/>
              </w:rPr>
            </w:pPr>
            <w:r>
              <w:rPr>
                <w:rFonts w:ascii="Times New Roman"/>
                <w:color w:val="auto"/>
              </w:rPr>
              <w:t>（2）锅炉房参照《建筑设计防火规范》(GB50016-2006)和《锅炉房设计规范》(GB50041-2008)设计施工，耐火等级二级以上，锅炉房内应配备一定数量的干粉/泡沫灭火器。</w:t>
            </w:r>
          </w:p>
          <w:p>
            <w:pPr>
              <w:pStyle w:val="13"/>
              <w:spacing w:line="360" w:lineRule="auto"/>
              <w:ind w:firstLine="480" w:firstLineChars="200"/>
              <w:rPr>
                <w:rFonts w:ascii="Times New Roman"/>
                <w:color w:val="auto"/>
              </w:rPr>
            </w:pPr>
            <w:r>
              <w:rPr>
                <w:rFonts w:ascii="Times New Roman"/>
                <w:color w:val="auto"/>
              </w:rPr>
              <w:t>（3）锅炉房远离火种、热源、工作场所严禁吸烟及明火作业，锅炉操作工必须岗前培训合格后上岗，并记录锅炉运转情况。</w:t>
            </w:r>
          </w:p>
          <w:p>
            <w:pPr>
              <w:pStyle w:val="13"/>
              <w:spacing w:line="360" w:lineRule="auto"/>
              <w:ind w:firstLine="480" w:firstLineChars="200"/>
              <w:rPr>
                <w:rFonts w:ascii="Times New Roman"/>
                <w:color w:val="auto"/>
              </w:rPr>
            </w:pPr>
            <w:r>
              <w:rPr>
                <w:rFonts w:ascii="Times New Roman"/>
                <w:color w:val="auto"/>
              </w:rPr>
              <w:t>（4）在生产过程中，</w:t>
            </w:r>
            <w:r>
              <w:rPr>
                <w:rFonts w:hint="eastAsia" w:ascii="Times New Roman"/>
                <w:color w:val="auto"/>
                <w:lang w:eastAsia="zh-CN"/>
              </w:rPr>
              <w:t>必须</w:t>
            </w:r>
            <w:r>
              <w:rPr>
                <w:rFonts w:ascii="Times New Roman"/>
                <w:color w:val="auto"/>
              </w:rPr>
              <w:t>有专人值班，掌握安全防范措施，尽可能将风险降低到最低限度。</w:t>
            </w:r>
          </w:p>
          <w:p>
            <w:pPr>
              <w:pStyle w:val="13"/>
              <w:spacing w:line="360" w:lineRule="auto"/>
              <w:ind w:firstLine="480" w:firstLineChars="200"/>
              <w:rPr>
                <w:rFonts w:ascii="Times New Roman"/>
                <w:color w:val="auto"/>
              </w:rPr>
            </w:pPr>
            <w:r>
              <w:rPr>
                <w:rFonts w:ascii="Times New Roman"/>
                <w:color w:val="auto"/>
              </w:rPr>
              <w:t>（5）生产现场设置各种安全标志。按照规范对凡需要迅速发现并引起注意以防发生事故的场所、部位均按要求涂安全色。</w:t>
            </w:r>
          </w:p>
          <w:p>
            <w:pPr>
              <w:pStyle w:val="13"/>
              <w:spacing w:line="360" w:lineRule="auto"/>
              <w:ind w:firstLine="480" w:firstLineChars="200"/>
              <w:rPr>
                <w:rFonts w:ascii="Times New Roman"/>
                <w:color w:val="auto"/>
              </w:rPr>
            </w:pPr>
            <w:r>
              <w:rPr>
                <w:rFonts w:ascii="Times New Roman"/>
                <w:color w:val="auto"/>
              </w:rPr>
              <w:t>（6）管道、管件等采用可靠的密封技术并设置自控报警系统，一旦出现泄漏现象及时报警。</w:t>
            </w:r>
          </w:p>
          <w:p>
            <w:pPr>
              <w:pStyle w:val="13"/>
              <w:spacing w:line="360" w:lineRule="auto"/>
              <w:ind w:firstLine="480" w:firstLineChars="200"/>
              <w:rPr>
                <w:rFonts w:ascii="Times New Roman"/>
                <w:color w:val="auto"/>
              </w:rPr>
            </w:pPr>
            <w:r>
              <w:rPr>
                <w:rFonts w:ascii="Times New Roman"/>
                <w:color w:val="auto"/>
              </w:rPr>
              <w:t>（7）锅炉每年进行一次定期检验，未经定期检验的锅炉不得使用，加强锅炉房的用电设施设备管理，延吉用电设备超负荷长期运行，定期检查维修电路，防止线路老化导致短路引起火灾事故。</w:t>
            </w:r>
          </w:p>
          <w:p>
            <w:pPr>
              <w:pStyle w:val="13"/>
              <w:spacing w:line="360" w:lineRule="auto"/>
              <w:ind w:firstLine="480" w:firstLineChars="200"/>
              <w:rPr>
                <w:rFonts w:ascii="Times New Roman"/>
                <w:color w:val="auto"/>
              </w:rPr>
            </w:pPr>
            <w:r>
              <w:rPr>
                <w:rFonts w:ascii="Times New Roman"/>
                <w:color w:val="auto"/>
              </w:rPr>
              <w:t>危险废物贮存库</w:t>
            </w:r>
          </w:p>
          <w:p>
            <w:pPr>
              <w:pStyle w:val="13"/>
              <w:spacing w:line="360" w:lineRule="auto"/>
              <w:ind w:firstLine="480" w:firstLineChars="200"/>
              <w:rPr>
                <w:rFonts w:ascii="Times New Roman"/>
                <w:color w:val="auto"/>
              </w:rPr>
            </w:pPr>
            <w:r>
              <w:rPr>
                <w:rFonts w:ascii="Times New Roman"/>
                <w:color w:val="auto"/>
              </w:rPr>
              <w:t>（1）未将不相容的废物混合或者合并存放；</w:t>
            </w:r>
          </w:p>
          <w:p>
            <w:pPr>
              <w:pStyle w:val="13"/>
              <w:spacing w:line="360" w:lineRule="auto"/>
              <w:ind w:firstLine="480" w:firstLineChars="200"/>
              <w:rPr>
                <w:rFonts w:ascii="Times New Roman"/>
                <w:color w:val="auto"/>
              </w:rPr>
            </w:pPr>
            <w:r>
              <w:rPr>
                <w:rFonts w:ascii="Times New Roman"/>
                <w:color w:val="auto"/>
              </w:rPr>
              <w:t>（2）贮存间地面、围堰、浸出液导流渠及浸出液收集池均采取防渗处理。基础采取防渗，防渗层为2mm厚高密度聚乙烯（HDPE），渗透系数可满足≤10-</w:t>
            </w:r>
            <w:r>
              <w:rPr>
                <w:rFonts w:ascii="Times New Roman"/>
                <w:color w:val="auto"/>
                <w:vertAlign w:val="superscript"/>
              </w:rPr>
              <w:t>10</w:t>
            </w:r>
            <w:r>
              <w:rPr>
                <w:rFonts w:ascii="Times New Roman"/>
                <w:color w:val="auto"/>
              </w:rPr>
              <w:t xml:space="preserve">cm/s；      </w:t>
            </w:r>
          </w:p>
          <w:p>
            <w:pPr>
              <w:pStyle w:val="13"/>
              <w:spacing w:line="360" w:lineRule="auto"/>
              <w:ind w:firstLine="480" w:firstLineChars="200"/>
              <w:rPr>
                <w:rFonts w:ascii="Times New Roman"/>
                <w:color w:val="auto"/>
              </w:rPr>
            </w:pPr>
            <w:r>
              <w:rPr>
                <w:rFonts w:ascii="Times New Roman"/>
                <w:color w:val="auto"/>
              </w:rPr>
              <w:t>（3）贮存间地面、围堰、浸出液导流渠及浸出液收集池均采取防腐处理。现有耐腐蚀的硬化地面，采用环氧树脂防腐漆，且表面无裂痕；</w:t>
            </w:r>
          </w:p>
          <w:p>
            <w:pPr>
              <w:pStyle w:val="13"/>
              <w:spacing w:line="360" w:lineRule="auto"/>
              <w:ind w:firstLine="480" w:firstLineChars="200"/>
              <w:rPr>
                <w:rFonts w:ascii="Times New Roman"/>
                <w:color w:val="auto"/>
              </w:rPr>
            </w:pPr>
            <w:r>
              <w:rPr>
                <w:rFonts w:ascii="Times New Roman"/>
                <w:color w:val="auto"/>
              </w:rPr>
              <w:t>（4）贮存间设置危险废物标识。盛装危险废物的容器粘贴符合《危险废物贮存污染控制标准GB18597-2001（2023年版本）》附录A所示的标签，危险废物警示标识尺寸为：等边三角形，边长40cm，背景为黄色，图形为黑色，警告标志外檐2.5cm。在各危废暂存容器上粘贴危险废物信息卡，各分隔区域设置明显的标示牌，说明该区域暂存危废类别；</w:t>
            </w:r>
          </w:p>
          <w:p>
            <w:pPr>
              <w:pStyle w:val="13"/>
              <w:spacing w:line="360" w:lineRule="auto"/>
              <w:ind w:firstLine="480" w:firstLineChars="200"/>
              <w:rPr>
                <w:rFonts w:ascii="Times New Roman"/>
                <w:color w:val="auto"/>
              </w:rPr>
            </w:pPr>
            <w:r>
              <w:rPr>
                <w:rFonts w:ascii="Times New Roman"/>
                <w:color w:val="auto"/>
              </w:rPr>
              <w:t>（5）危险废物暂存点内有安全照明设施和观察窗口；</w:t>
            </w:r>
          </w:p>
          <w:p>
            <w:pPr>
              <w:pStyle w:val="13"/>
              <w:spacing w:line="360" w:lineRule="auto"/>
              <w:ind w:firstLine="480" w:firstLineChars="200"/>
              <w:rPr>
                <w:rFonts w:ascii="Times New Roman"/>
                <w:color w:val="auto"/>
              </w:rPr>
            </w:pPr>
            <w:r>
              <w:rPr>
                <w:rFonts w:ascii="Times New Roman"/>
                <w:color w:val="auto"/>
              </w:rPr>
              <w:t>（6）防止雨水对贮存场所进行冲刷，在危险废物暂存点须设置比较高的门槛，发生事件时，尽量将泄漏出来的物品导入调节池，将污染物控制在最小面积范围内，减少环境影响；</w:t>
            </w:r>
          </w:p>
          <w:p>
            <w:pPr>
              <w:pStyle w:val="13"/>
              <w:spacing w:line="360" w:lineRule="auto"/>
              <w:ind w:firstLine="480" w:firstLineChars="200"/>
              <w:rPr>
                <w:rFonts w:ascii="Times New Roman"/>
                <w:color w:val="auto"/>
              </w:rPr>
            </w:pPr>
            <w:r>
              <w:rPr>
                <w:rFonts w:ascii="Times New Roman"/>
                <w:color w:val="auto"/>
              </w:rPr>
              <w:t>（7）将危险废物的贮存纳入到日常的安全管理中，定期或不定期的实施环境安全检查，对危险废物的包装容器是否存在腐蚀穿孔、密封不良、老化等进行重点检查；</w:t>
            </w:r>
          </w:p>
          <w:p>
            <w:pPr>
              <w:pStyle w:val="13"/>
              <w:spacing w:line="360" w:lineRule="auto"/>
              <w:ind w:firstLine="480" w:firstLineChars="200"/>
              <w:rPr>
                <w:rFonts w:ascii="Times New Roman"/>
                <w:color w:val="auto"/>
              </w:rPr>
            </w:pPr>
            <w:r>
              <w:rPr>
                <w:rFonts w:ascii="Times New Roman"/>
                <w:color w:val="auto"/>
              </w:rPr>
              <w:t>（8）培训员工按制度进行操作，如：杜绝员工野蛮操作、装卸撞击、摩擦导致包装破损等现象发生；</w:t>
            </w:r>
          </w:p>
          <w:p>
            <w:pPr>
              <w:pStyle w:val="13"/>
              <w:spacing w:line="360" w:lineRule="auto"/>
              <w:ind w:firstLine="480" w:firstLineChars="200"/>
              <w:rPr>
                <w:rFonts w:ascii="Times New Roman"/>
                <w:color w:val="auto"/>
              </w:rPr>
            </w:pPr>
            <w:r>
              <w:rPr>
                <w:rFonts w:ascii="Times New Roman"/>
                <w:color w:val="auto"/>
              </w:rPr>
              <w:t>（9）公司应针对危险废物的环境风险特征，预先准备充足相应的应急物资，如防泄漏设施、防毒面具、消防器材等，以便实施应急处置；</w:t>
            </w:r>
          </w:p>
          <w:p>
            <w:pPr>
              <w:pStyle w:val="13"/>
              <w:spacing w:line="360" w:lineRule="auto"/>
              <w:ind w:firstLine="480" w:firstLineChars="200"/>
              <w:rPr>
                <w:rFonts w:ascii="Times New Roman"/>
                <w:color w:val="auto"/>
              </w:rPr>
            </w:pPr>
            <w:r>
              <w:rPr>
                <w:rFonts w:ascii="Times New Roman"/>
                <w:color w:val="auto"/>
              </w:rPr>
              <w:t>（10）在雷雨天气时，应加大频次对危险废物贮存场所进行检查，防止雨水对贮存场所进行冲刷造成环境事件的发生；</w:t>
            </w:r>
          </w:p>
          <w:p>
            <w:pPr>
              <w:pStyle w:val="13"/>
              <w:spacing w:line="360" w:lineRule="auto"/>
              <w:ind w:firstLine="480" w:firstLineChars="200"/>
              <w:rPr>
                <w:rFonts w:ascii="Times New Roman"/>
                <w:color w:val="auto"/>
              </w:rPr>
            </w:pPr>
            <w:r>
              <w:rPr>
                <w:rFonts w:ascii="Times New Roman"/>
                <w:color w:val="auto"/>
              </w:rPr>
              <w:t>（11）公司各部门发现有危险废物泄漏等异常迹象时，应果断采取转移、堵漏等措施，实施紧急处置。当危险废物意外泄漏进入市政管网或雨水管网时，抢险抢修组对泄漏物进行拦截、收集、转运，避免引起污染。</w:t>
            </w:r>
          </w:p>
          <w:p>
            <w:pPr>
              <w:pStyle w:val="13"/>
              <w:spacing w:line="360" w:lineRule="auto"/>
              <w:ind w:firstLine="480" w:firstLineChars="200"/>
              <w:rPr>
                <w:rFonts w:ascii="Times New Roman"/>
                <w:color w:val="auto"/>
              </w:rPr>
            </w:pPr>
            <w:r>
              <w:rPr>
                <w:rFonts w:ascii="Times New Roman"/>
                <w:color w:val="auto"/>
              </w:rPr>
              <w:t>（12）严格按照《企业事业单位突发环境事件应急预案备案管理办法（试行）》要求，编制《突发环境事件应急预案》，组织专家及周边相关单位评审并上报当地环保部门备案。</w:t>
            </w:r>
          </w:p>
          <w:p>
            <w:pPr>
              <w:pStyle w:val="13"/>
              <w:spacing w:line="360" w:lineRule="auto"/>
              <w:ind w:firstLine="480" w:firstLineChars="200"/>
              <w:rPr>
                <w:rFonts w:ascii="Times New Roman"/>
                <w:color w:val="auto"/>
              </w:rPr>
            </w:pPr>
            <w:r>
              <w:rPr>
                <w:rFonts w:ascii="Times New Roman"/>
                <w:color w:val="auto"/>
              </w:rPr>
              <w:t>（13）定期进行环境突发事故应急演练，通过演练使锅炉房工作人员熟悉逃生路线和疏散方式，锻炼和提高相关人员在突发事故情况下的快速救援有效降低事故危害，减少事故损失。定期进行演练还可以使应急人员更清晰的明确各自的职责和工作程序，提高协同作战的能力，保证应急救援工作能够有效、迅速的开展。</w:t>
            </w:r>
          </w:p>
          <w:p>
            <w:pPr>
              <w:spacing w:line="360" w:lineRule="auto"/>
              <w:ind w:firstLine="480" w:firstLineChars="200"/>
              <w:rPr>
                <w:sz w:val="24"/>
              </w:rPr>
            </w:pPr>
            <w:r>
              <w:rPr>
                <w:sz w:val="24"/>
              </w:rPr>
              <w:t>2、应急预案</w:t>
            </w:r>
          </w:p>
          <w:p>
            <w:pPr>
              <w:spacing w:line="360" w:lineRule="auto"/>
              <w:ind w:firstLine="480" w:firstLineChars="200"/>
              <w:rPr>
                <w:sz w:val="24"/>
              </w:rPr>
            </w:pPr>
            <w:r>
              <w:rPr>
                <w:sz w:val="24"/>
              </w:rPr>
              <w:t>本项目需要制定具有可操作性的突发环 境事件应急预案，应急预案具体要求见下表。</w:t>
            </w:r>
          </w:p>
          <w:p>
            <w:pPr>
              <w:spacing w:before="156" w:beforeLines="50" w:line="360" w:lineRule="auto"/>
              <w:jc w:val="center"/>
              <w:rPr>
                <w:b/>
                <w:bCs/>
                <w:sz w:val="24"/>
              </w:rPr>
            </w:pPr>
            <w:r>
              <w:rPr>
                <w:b/>
                <w:bCs/>
                <w:sz w:val="24"/>
              </w:rPr>
              <w:t>表4-19  突发环境事件应急预案要求</w:t>
            </w:r>
          </w:p>
          <w:tbl>
            <w:tblPr>
              <w:tblStyle w:val="2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53"/>
              <w:gridCol w:w="2709"/>
              <w:gridCol w:w="53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 w:hRule="atLeast"/>
              </w:trPr>
              <w:tc>
                <w:tcPr>
                  <w:tcW w:w="375" w:type="pct"/>
                  <w:vAlign w:val="center"/>
                </w:tcPr>
                <w:p>
                  <w:pPr>
                    <w:jc w:val="center"/>
                    <w:rPr>
                      <w:b/>
                      <w:szCs w:val="21"/>
                    </w:rPr>
                  </w:pPr>
                  <w:r>
                    <w:rPr>
                      <w:b/>
                      <w:szCs w:val="21"/>
                    </w:rPr>
                    <w:t>序号</w:t>
                  </w:r>
                </w:p>
              </w:tc>
              <w:tc>
                <w:tcPr>
                  <w:tcW w:w="1556" w:type="pct"/>
                </w:tcPr>
                <w:p>
                  <w:pPr>
                    <w:jc w:val="center"/>
                    <w:rPr>
                      <w:b/>
                      <w:szCs w:val="21"/>
                    </w:rPr>
                  </w:pPr>
                  <w:r>
                    <w:rPr>
                      <w:b/>
                      <w:szCs w:val="21"/>
                    </w:rPr>
                    <w:t>项目</w:t>
                  </w:r>
                </w:p>
              </w:tc>
              <w:tc>
                <w:tcPr>
                  <w:tcW w:w="3067" w:type="pct"/>
                  <w:vAlign w:val="center"/>
                </w:tcPr>
                <w:p>
                  <w:pPr>
                    <w:jc w:val="center"/>
                    <w:rPr>
                      <w:b/>
                      <w:szCs w:val="21"/>
                    </w:rPr>
                  </w:pPr>
                  <w:r>
                    <w:rPr>
                      <w:b/>
                      <w:szCs w:val="21"/>
                    </w:rPr>
                    <w:t>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 w:hRule="atLeast"/>
              </w:trPr>
              <w:tc>
                <w:tcPr>
                  <w:tcW w:w="375" w:type="pct"/>
                  <w:vAlign w:val="center"/>
                </w:tcPr>
                <w:p>
                  <w:pPr>
                    <w:jc w:val="center"/>
                    <w:rPr>
                      <w:szCs w:val="21"/>
                    </w:rPr>
                  </w:pPr>
                  <w:r>
                    <w:rPr>
                      <w:szCs w:val="21"/>
                    </w:rPr>
                    <w:t>1</w:t>
                  </w:r>
                </w:p>
              </w:tc>
              <w:tc>
                <w:tcPr>
                  <w:tcW w:w="1556" w:type="pct"/>
                  <w:vAlign w:val="center"/>
                </w:tcPr>
                <w:p>
                  <w:pPr>
                    <w:jc w:val="center"/>
                    <w:rPr>
                      <w:szCs w:val="21"/>
                    </w:rPr>
                  </w:pPr>
                  <w:r>
                    <w:rPr>
                      <w:szCs w:val="21"/>
                    </w:rPr>
                    <w:t>预案适用范围</w:t>
                  </w:r>
                </w:p>
              </w:tc>
              <w:tc>
                <w:tcPr>
                  <w:tcW w:w="3067" w:type="pct"/>
                  <w:vAlign w:val="center"/>
                </w:tcPr>
                <w:p>
                  <w:pPr>
                    <w:rPr>
                      <w:szCs w:val="21"/>
                    </w:rPr>
                  </w:pPr>
                  <w:r>
                    <w:rPr>
                      <w:szCs w:val="21"/>
                    </w:rPr>
                    <w:t>项目运营过程中发生的突发环境事件或可能发生的突发环境事件的预警、报告、处置救援和应急终止等。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 w:hRule="atLeast"/>
              </w:trPr>
              <w:tc>
                <w:tcPr>
                  <w:tcW w:w="375" w:type="pct"/>
                  <w:vAlign w:val="center"/>
                </w:tcPr>
                <w:p>
                  <w:pPr>
                    <w:jc w:val="center"/>
                    <w:rPr>
                      <w:szCs w:val="21"/>
                    </w:rPr>
                  </w:pPr>
                  <w:r>
                    <w:rPr>
                      <w:szCs w:val="21"/>
                    </w:rPr>
                    <w:t>2</w:t>
                  </w:r>
                </w:p>
              </w:tc>
              <w:tc>
                <w:tcPr>
                  <w:tcW w:w="1556" w:type="pct"/>
                  <w:vAlign w:val="center"/>
                </w:tcPr>
                <w:p>
                  <w:pPr>
                    <w:jc w:val="center"/>
                    <w:rPr>
                      <w:szCs w:val="21"/>
                    </w:rPr>
                  </w:pPr>
                  <w:r>
                    <w:rPr>
                      <w:szCs w:val="21"/>
                    </w:rPr>
                    <w:t>环境事件分类与分级</w:t>
                  </w:r>
                </w:p>
              </w:tc>
              <w:tc>
                <w:tcPr>
                  <w:tcW w:w="3067" w:type="pct"/>
                  <w:vAlign w:val="center"/>
                </w:tcPr>
                <w:p>
                  <w:pPr>
                    <w:rPr>
                      <w:szCs w:val="21"/>
                    </w:rPr>
                  </w:pPr>
                  <w:r>
                    <w:rPr>
                      <w:szCs w:val="21"/>
                    </w:rPr>
                    <w:t>明确项目可能发生的突发环境事件的类别及级别。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 w:hRule="atLeast"/>
              </w:trPr>
              <w:tc>
                <w:tcPr>
                  <w:tcW w:w="375" w:type="pct"/>
                  <w:vAlign w:val="center"/>
                </w:tcPr>
                <w:p>
                  <w:pPr>
                    <w:jc w:val="center"/>
                    <w:rPr>
                      <w:szCs w:val="21"/>
                    </w:rPr>
                  </w:pPr>
                  <w:r>
                    <w:rPr>
                      <w:szCs w:val="21"/>
                    </w:rPr>
                    <w:t>3</w:t>
                  </w:r>
                </w:p>
              </w:tc>
              <w:tc>
                <w:tcPr>
                  <w:tcW w:w="1556" w:type="pct"/>
                  <w:vAlign w:val="center"/>
                </w:tcPr>
                <w:p>
                  <w:pPr>
                    <w:jc w:val="center"/>
                    <w:rPr>
                      <w:szCs w:val="21"/>
                    </w:rPr>
                  </w:pPr>
                  <w:r>
                    <w:rPr>
                      <w:szCs w:val="21"/>
                    </w:rPr>
                    <w:t>组织机构与职责</w:t>
                  </w:r>
                </w:p>
              </w:tc>
              <w:tc>
                <w:tcPr>
                  <w:tcW w:w="3067" w:type="pct"/>
                  <w:vAlign w:val="center"/>
                </w:tcPr>
                <w:p>
                  <w:pPr>
                    <w:rPr>
                      <w:szCs w:val="21"/>
                    </w:rPr>
                  </w:pPr>
                  <w:r>
                    <w:rPr>
                      <w:szCs w:val="21"/>
                    </w:rPr>
                    <w:t>规定应急组织机构组成及各机构职责。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 w:hRule="atLeast"/>
              </w:trPr>
              <w:tc>
                <w:tcPr>
                  <w:tcW w:w="375" w:type="pct"/>
                  <w:vAlign w:val="center"/>
                </w:tcPr>
                <w:p>
                  <w:pPr>
                    <w:jc w:val="center"/>
                    <w:rPr>
                      <w:szCs w:val="21"/>
                    </w:rPr>
                  </w:pPr>
                  <w:r>
                    <w:rPr>
                      <w:szCs w:val="21"/>
                    </w:rPr>
                    <w:t>4</w:t>
                  </w:r>
                </w:p>
              </w:tc>
              <w:tc>
                <w:tcPr>
                  <w:tcW w:w="1556" w:type="pct"/>
                  <w:vAlign w:val="center"/>
                </w:tcPr>
                <w:p>
                  <w:pPr>
                    <w:jc w:val="center"/>
                    <w:rPr>
                      <w:szCs w:val="21"/>
                    </w:rPr>
                  </w:pPr>
                  <w:r>
                    <w:rPr>
                      <w:szCs w:val="21"/>
                    </w:rPr>
                    <w:t>监控和预警</w:t>
                  </w:r>
                </w:p>
              </w:tc>
              <w:tc>
                <w:tcPr>
                  <w:tcW w:w="3067" w:type="pct"/>
                  <w:vAlign w:val="center"/>
                </w:tcPr>
                <w:p>
                  <w:pPr>
                    <w:rPr>
                      <w:szCs w:val="21"/>
                    </w:rPr>
                  </w:pPr>
                  <w:r>
                    <w:rPr>
                      <w:szCs w:val="21"/>
                    </w:rPr>
                    <w:t>提出环境风险源监控措施及预警行动报警、通讯、联络方式。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375" w:type="pct"/>
                  <w:vAlign w:val="center"/>
                </w:tcPr>
                <w:p>
                  <w:pPr>
                    <w:jc w:val="center"/>
                    <w:rPr>
                      <w:szCs w:val="21"/>
                    </w:rPr>
                  </w:pPr>
                  <w:r>
                    <w:rPr>
                      <w:szCs w:val="21"/>
                    </w:rPr>
                    <w:t>5</w:t>
                  </w:r>
                </w:p>
              </w:tc>
              <w:tc>
                <w:tcPr>
                  <w:tcW w:w="1556" w:type="pct"/>
                  <w:vAlign w:val="center"/>
                </w:tcPr>
                <w:p>
                  <w:pPr>
                    <w:jc w:val="center"/>
                    <w:rPr>
                      <w:szCs w:val="21"/>
                    </w:rPr>
                  </w:pPr>
                  <w:r>
                    <w:rPr>
                      <w:szCs w:val="21"/>
                    </w:rPr>
                    <w:t>应急响应</w:t>
                  </w:r>
                </w:p>
              </w:tc>
              <w:tc>
                <w:tcPr>
                  <w:tcW w:w="3067" w:type="pct"/>
                  <w:vAlign w:val="center"/>
                </w:tcPr>
                <w:p>
                  <w:pPr>
                    <w:rPr>
                      <w:szCs w:val="21"/>
                    </w:rPr>
                  </w:pPr>
                  <w:r>
                    <w:rPr>
                      <w:szCs w:val="21"/>
                    </w:rPr>
                    <w:t>规定应急响应级别及应急响应程序。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375" w:type="pct"/>
                  <w:vAlign w:val="center"/>
                </w:tcPr>
                <w:p>
                  <w:pPr>
                    <w:jc w:val="center"/>
                    <w:rPr>
                      <w:szCs w:val="21"/>
                    </w:rPr>
                  </w:pPr>
                  <w:r>
                    <w:rPr>
                      <w:szCs w:val="21"/>
                    </w:rPr>
                    <w:t>6</w:t>
                  </w:r>
                </w:p>
              </w:tc>
              <w:tc>
                <w:tcPr>
                  <w:tcW w:w="1556" w:type="pct"/>
                  <w:vAlign w:val="center"/>
                </w:tcPr>
                <w:p>
                  <w:pPr>
                    <w:jc w:val="center"/>
                    <w:rPr>
                      <w:szCs w:val="21"/>
                    </w:rPr>
                  </w:pPr>
                  <w:r>
                    <w:rPr>
                      <w:szCs w:val="21"/>
                    </w:rPr>
                    <w:t>应急保障</w:t>
                  </w:r>
                </w:p>
              </w:tc>
              <w:tc>
                <w:tcPr>
                  <w:tcW w:w="3067" w:type="pct"/>
                  <w:vAlign w:val="center"/>
                </w:tcPr>
                <w:p>
                  <w:pPr>
                    <w:rPr>
                      <w:szCs w:val="21"/>
                    </w:rPr>
                  </w:pPr>
                  <w:r>
                    <w:rPr>
                      <w:szCs w:val="21"/>
                    </w:rPr>
                    <w:t>应急设施，设备与器材等。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375" w:type="pct"/>
                  <w:vAlign w:val="center"/>
                </w:tcPr>
                <w:p>
                  <w:pPr>
                    <w:jc w:val="center"/>
                    <w:rPr>
                      <w:szCs w:val="21"/>
                    </w:rPr>
                  </w:pPr>
                  <w:r>
                    <w:rPr>
                      <w:szCs w:val="21"/>
                    </w:rPr>
                    <w:t>7</w:t>
                  </w:r>
                </w:p>
              </w:tc>
              <w:tc>
                <w:tcPr>
                  <w:tcW w:w="1556" w:type="pct"/>
                  <w:vAlign w:val="center"/>
                </w:tcPr>
                <w:p>
                  <w:pPr>
                    <w:jc w:val="center"/>
                    <w:rPr>
                      <w:szCs w:val="21"/>
                    </w:rPr>
                  </w:pPr>
                  <w:r>
                    <w:rPr>
                      <w:szCs w:val="21"/>
                    </w:rPr>
                    <w:t>善后处置</w:t>
                  </w:r>
                </w:p>
              </w:tc>
              <w:tc>
                <w:tcPr>
                  <w:tcW w:w="3067" w:type="pct"/>
                  <w:vAlign w:val="center"/>
                </w:tcPr>
                <w:p>
                  <w:pPr>
                    <w:pStyle w:val="38"/>
                  </w:pPr>
                  <w:r>
                    <w:t>污染物收集、清理与处理等，正常秩序的恢复，事故后果的影响消除等。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375" w:type="pct"/>
                  <w:vAlign w:val="center"/>
                </w:tcPr>
                <w:p>
                  <w:pPr>
                    <w:jc w:val="center"/>
                    <w:rPr>
                      <w:szCs w:val="21"/>
                    </w:rPr>
                  </w:pPr>
                  <w:r>
                    <w:rPr>
                      <w:szCs w:val="21"/>
                    </w:rPr>
                    <w:t>8</w:t>
                  </w:r>
                </w:p>
              </w:tc>
              <w:tc>
                <w:tcPr>
                  <w:tcW w:w="1556" w:type="pct"/>
                  <w:vAlign w:val="center"/>
                </w:tcPr>
                <w:p>
                  <w:pPr>
                    <w:jc w:val="center"/>
                    <w:rPr>
                      <w:szCs w:val="21"/>
                    </w:rPr>
                  </w:pPr>
                  <w:r>
                    <w:rPr>
                      <w:szCs w:val="21"/>
                    </w:rPr>
                    <w:t>预案管理与演练</w:t>
                  </w:r>
                </w:p>
              </w:tc>
              <w:tc>
                <w:tcPr>
                  <w:tcW w:w="3067" w:type="pct"/>
                  <w:vAlign w:val="center"/>
                </w:tcPr>
                <w:p>
                  <w:pPr>
                    <w:rPr>
                      <w:szCs w:val="21"/>
                    </w:rPr>
                  </w:pPr>
                  <w:r>
                    <w:rPr>
                      <w:szCs w:val="21"/>
                    </w:rPr>
                    <w:t>应急计划制定后，安排专人负责，平时安排人员培训与演练。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trPr>
              <w:tc>
                <w:tcPr>
                  <w:tcW w:w="375" w:type="pct"/>
                  <w:vAlign w:val="center"/>
                </w:tcPr>
                <w:p>
                  <w:pPr>
                    <w:jc w:val="center"/>
                    <w:rPr>
                      <w:szCs w:val="21"/>
                    </w:rPr>
                  </w:pPr>
                  <w:r>
                    <w:rPr>
                      <w:szCs w:val="21"/>
                    </w:rPr>
                    <w:t>9</w:t>
                  </w:r>
                </w:p>
              </w:tc>
              <w:tc>
                <w:tcPr>
                  <w:tcW w:w="1556" w:type="pct"/>
                  <w:vAlign w:val="center"/>
                </w:tcPr>
                <w:p>
                  <w:pPr>
                    <w:jc w:val="center"/>
                    <w:rPr>
                      <w:szCs w:val="21"/>
                    </w:rPr>
                  </w:pPr>
                  <w:r>
                    <w:rPr>
                      <w:szCs w:val="21"/>
                    </w:rPr>
                    <w:t>应急环境监测、抢险、救援及控制措施</w:t>
                  </w:r>
                </w:p>
              </w:tc>
              <w:tc>
                <w:tcPr>
                  <w:tcW w:w="3067" w:type="pct"/>
                  <w:vAlign w:val="center"/>
                </w:tcPr>
                <w:p>
                  <w:pPr>
                    <w:rPr>
                      <w:szCs w:val="21"/>
                    </w:rPr>
                  </w:pPr>
                  <w:r>
                    <w:rPr>
                      <w:szCs w:val="21"/>
                    </w:rPr>
                    <w:t>由专业队伍负责对事故现场进行侦察监测，对事故性质、参数与后果进行评估，为指挥部门提供决策依据。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 w:hRule="atLeast"/>
              </w:trPr>
              <w:tc>
                <w:tcPr>
                  <w:tcW w:w="375" w:type="pct"/>
                  <w:vAlign w:val="center"/>
                </w:tcPr>
                <w:p>
                  <w:pPr>
                    <w:jc w:val="center"/>
                    <w:rPr>
                      <w:szCs w:val="21"/>
                    </w:rPr>
                  </w:pPr>
                  <w:r>
                    <w:rPr>
                      <w:szCs w:val="21"/>
                    </w:rPr>
                    <w:t>10</w:t>
                  </w:r>
                </w:p>
              </w:tc>
              <w:tc>
                <w:tcPr>
                  <w:tcW w:w="1556" w:type="pct"/>
                  <w:vAlign w:val="center"/>
                </w:tcPr>
                <w:p>
                  <w:pPr>
                    <w:jc w:val="center"/>
                    <w:rPr>
                      <w:szCs w:val="21"/>
                    </w:rPr>
                  </w:pPr>
                  <w:r>
                    <w:rPr>
                      <w:szCs w:val="21"/>
                    </w:rPr>
                    <w:t>事故应急救援终止程序及恢复计划</w:t>
                  </w:r>
                </w:p>
              </w:tc>
              <w:tc>
                <w:tcPr>
                  <w:tcW w:w="3067" w:type="pct"/>
                  <w:vAlign w:val="center"/>
                </w:tcPr>
                <w:p>
                  <w:pPr>
                    <w:rPr>
                      <w:szCs w:val="21"/>
                    </w:rPr>
                  </w:pPr>
                  <w:r>
                    <w:rPr>
                      <w:szCs w:val="21"/>
                    </w:rPr>
                    <w:t>规定应急状态终止程序。</w:t>
                  </w:r>
                </w:p>
                <w:p>
                  <w:pPr>
                    <w:rPr>
                      <w:szCs w:val="21"/>
                    </w:rPr>
                  </w:pPr>
                  <w:r>
                    <w:rPr>
                      <w:szCs w:val="21"/>
                    </w:rPr>
                    <w:t>事故现场善后处理，恢复措施。</w:t>
                  </w:r>
                </w:p>
                <w:p>
                  <w:pPr>
                    <w:rPr>
                      <w:szCs w:val="21"/>
                    </w:rPr>
                  </w:pPr>
                  <w:r>
                    <w:rPr>
                      <w:szCs w:val="21"/>
                    </w:rPr>
                    <w:t>邻近区域解除事故警戒及善后恢复措施。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375" w:type="pct"/>
                  <w:vAlign w:val="center"/>
                </w:tcPr>
                <w:p>
                  <w:pPr>
                    <w:jc w:val="center"/>
                    <w:rPr>
                      <w:szCs w:val="21"/>
                    </w:rPr>
                  </w:pPr>
                  <w:r>
                    <w:rPr>
                      <w:szCs w:val="21"/>
                    </w:rPr>
                    <w:t>11</w:t>
                  </w:r>
                </w:p>
              </w:tc>
              <w:tc>
                <w:tcPr>
                  <w:tcW w:w="1556" w:type="pct"/>
                  <w:vAlign w:val="center"/>
                </w:tcPr>
                <w:p>
                  <w:pPr>
                    <w:jc w:val="center"/>
                    <w:rPr>
                      <w:szCs w:val="21"/>
                    </w:rPr>
                  </w:pPr>
                  <w:r>
                    <w:rPr>
                      <w:szCs w:val="21"/>
                    </w:rPr>
                    <w:t>公众教育和信息</w:t>
                  </w:r>
                </w:p>
              </w:tc>
              <w:tc>
                <w:tcPr>
                  <w:tcW w:w="3067" w:type="pct"/>
                  <w:vAlign w:val="center"/>
                </w:tcPr>
                <w:p>
                  <w:pPr>
                    <w:rPr>
                      <w:szCs w:val="21"/>
                    </w:rPr>
                  </w:pPr>
                  <w:r>
                    <w:rPr>
                      <w:szCs w:val="21"/>
                    </w:rPr>
                    <w:t>对项目邻近地区开展公众教育、培训和发布有关信息。</w:t>
                  </w:r>
                </w:p>
              </w:tc>
            </w:tr>
          </w:tbl>
          <w:p>
            <w:pPr>
              <w:spacing w:line="360" w:lineRule="auto"/>
              <w:ind w:firstLine="480" w:firstLineChars="200"/>
              <w:rPr>
                <w:sz w:val="24"/>
              </w:rPr>
            </w:pPr>
            <w:r>
              <w:rPr>
                <w:sz w:val="24"/>
              </w:rPr>
              <w:t>3、环境风险评价结论</w:t>
            </w:r>
          </w:p>
          <w:p>
            <w:pPr>
              <w:spacing w:line="360" w:lineRule="auto"/>
              <w:ind w:firstLine="480" w:firstLineChars="200"/>
              <w:rPr>
                <w:sz w:val="24"/>
              </w:rPr>
            </w:pPr>
            <w:r>
              <w:rPr>
                <w:sz w:val="24"/>
              </w:rPr>
              <w:t>本环评提出的风险防范措施有：项目区域内地面硬化，建立危险废物贮存库，规范管理，加强职工培训，建立相应的管理及检查制度；按照相关规范和消防部门的要求，配备相应的消防器材，采取规范化的产生危险废物暂存措施；按照《企业事业单位突发环境事件应急预案备案管理办法（试行）》要求，编制《突发环境事件应急预案》。各防范措施符合相关规范要求，防范措施有效。</w:t>
            </w:r>
          </w:p>
          <w:p>
            <w:pPr>
              <w:spacing w:line="360" w:lineRule="auto"/>
              <w:rPr>
                <w:sz w:val="24"/>
              </w:rPr>
            </w:pPr>
            <w:r>
              <w:rPr>
                <w:sz w:val="24"/>
              </w:rPr>
              <w:t>四、环境监理及监测</w:t>
            </w:r>
          </w:p>
          <w:p>
            <w:pPr>
              <w:spacing w:line="360" w:lineRule="auto"/>
              <w:ind w:firstLine="480" w:firstLineChars="200"/>
              <w:rPr>
                <w:sz w:val="24"/>
              </w:rPr>
            </w:pPr>
            <w:r>
              <w:rPr>
                <w:sz w:val="24"/>
              </w:rPr>
              <w:t>（1）监测机构设置</w:t>
            </w:r>
          </w:p>
          <w:p>
            <w:pPr>
              <w:spacing w:line="360" w:lineRule="auto"/>
              <w:ind w:firstLine="480" w:firstLineChars="200"/>
              <w:rPr>
                <w:sz w:val="24"/>
              </w:rPr>
            </w:pPr>
            <w:r>
              <w:rPr>
                <w:sz w:val="24"/>
              </w:rPr>
              <w:t>本项目运营期的环境监督性监测、竣工验收监测可委托有资质的环境监测单位承担；项目内简单的日常监测任务可由本项目建立的环境监测机构承担。</w:t>
            </w:r>
          </w:p>
          <w:p>
            <w:pPr>
              <w:spacing w:line="360" w:lineRule="auto"/>
              <w:ind w:firstLine="480" w:firstLineChars="200"/>
              <w:rPr>
                <w:sz w:val="24"/>
              </w:rPr>
            </w:pPr>
            <w:r>
              <w:rPr>
                <w:sz w:val="24"/>
              </w:rPr>
              <w:t>（2）环境监测计划</w:t>
            </w:r>
          </w:p>
          <w:p>
            <w:pPr>
              <w:spacing w:before="156" w:beforeLines="50" w:line="360" w:lineRule="auto"/>
              <w:jc w:val="center"/>
              <w:rPr>
                <w:b/>
                <w:bCs/>
                <w:sz w:val="24"/>
              </w:rPr>
            </w:pPr>
          </w:p>
          <w:p>
            <w:pPr>
              <w:spacing w:before="156" w:beforeLines="50" w:line="360" w:lineRule="auto"/>
              <w:jc w:val="center"/>
              <w:rPr>
                <w:b/>
                <w:bCs/>
                <w:sz w:val="24"/>
              </w:rPr>
            </w:pPr>
          </w:p>
          <w:p>
            <w:pPr>
              <w:spacing w:before="156" w:beforeLines="50" w:line="360" w:lineRule="auto"/>
              <w:jc w:val="center"/>
              <w:rPr>
                <w:b/>
                <w:bCs/>
                <w:sz w:val="24"/>
              </w:rPr>
            </w:pPr>
          </w:p>
          <w:p>
            <w:pPr>
              <w:spacing w:before="156" w:beforeLines="50" w:line="360" w:lineRule="auto"/>
              <w:jc w:val="center"/>
              <w:rPr>
                <w:b/>
                <w:bCs/>
                <w:sz w:val="24"/>
              </w:rPr>
            </w:pPr>
          </w:p>
          <w:p>
            <w:pPr>
              <w:spacing w:before="156" w:beforeLines="50" w:line="360" w:lineRule="auto"/>
              <w:jc w:val="center"/>
              <w:rPr>
                <w:b/>
                <w:bCs/>
                <w:sz w:val="24"/>
              </w:rPr>
            </w:pPr>
          </w:p>
          <w:p>
            <w:pPr>
              <w:spacing w:before="156" w:beforeLines="50" w:line="360" w:lineRule="auto"/>
              <w:jc w:val="center"/>
              <w:rPr>
                <w:b/>
                <w:bCs/>
                <w:sz w:val="24"/>
              </w:rPr>
            </w:pPr>
            <w:r>
              <w:rPr>
                <w:b/>
                <w:bCs/>
                <w:sz w:val="24"/>
              </w:rPr>
              <w:t>表4-20  营运期环境监测计划表</w:t>
            </w:r>
          </w:p>
          <w:tbl>
            <w:tblPr>
              <w:tblStyle w:val="27"/>
              <w:tblW w:w="49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1"/>
              <w:gridCol w:w="1026"/>
              <w:gridCol w:w="1292"/>
              <w:gridCol w:w="1858"/>
              <w:gridCol w:w="1371"/>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6" w:type="pct"/>
                  <w:vAlign w:val="center"/>
                </w:tcPr>
                <w:p>
                  <w:pPr>
                    <w:jc w:val="center"/>
                    <w:rPr>
                      <w:b/>
                      <w:szCs w:val="21"/>
                    </w:rPr>
                  </w:pPr>
                  <w:r>
                    <w:rPr>
                      <w:b/>
                      <w:szCs w:val="21"/>
                    </w:rPr>
                    <w:t>监测类别</w:t>
                  </w:r>
                </w:p>
              </w:tc>
              <w:tc>
                <w:tcPr>
                  <w:tcW w:w="598" w:type="pct"/>
                  <w:vAlign w:val="center"/>
                </w:tcPr>
                <w:p>
                  <w:pPr>
                    <w:jc w:val="center"/>
                    <w:rPr>
                      <w:b/>
                      <w:szCs w:val="21"/>
                    </w:rPr>
                  </w:pPr>
                  <w:r>
                    <w:rPr>
                      <w:b/>
                      <w:szCs w:val="21"/>
                    </w:rPr>
                    <w:t>排放口编号</w:t>
                  </w:r>
                </w:p>
              </w:tc>
              <w:tc>
                <w:tcPr>
                  <w:tcW w:w="753" w:type="pct"/>
                  <w:vAlign w:val="center"/>
                </w:tcPr>
                <w:p>
                  <w:pPr>
                    <w:jc w:val="center"/>
                    <w:rPr>
                      <w:b/>
                      <w:szCs w:val="21"/>
                    </w:rPr>
                  </w:pPr>
                  <w:r>
                    <w:rPr>
                      <w:b/>
                      <w:szCs w:val="21"/>
                    </w:rPr>
                    <w:t>监测地点</w:t>
                  </w:r>
                </w:p>
              </w:tc>
              <w:tc>
                <w:tcPr>
                  <w:tcW w:w="1083" w:type="pct"/>
                  <w:vAlign w:val="center"/>
                </w:tcPr>
                <w:p>
                  <w:pPr>
                    <w:jc w:val="center"/>
                    <w:rPr>
                      <w:b/>
                      <w:szCs w:val="21"/>
                    </w:rPr>
                  </w:pPr>
                  <w:r>
                    <w:rPr>
                      <w:b/>
                      <w:szCs w:val="21"/>
                    </w:rPr>
                    <w:t>监测项目</w:t>
                  </w:r>
                </w:p>
              </w:tc>
              <w:tc>
                <w:tcPr>
                  <w:tcW w:w="799" w:type="pct"/>
                  <w:vAlign w:val="center"/>
                </w:tcPr>
                <w:p>
                  <w:pPr>
                    <w:jc w:val="center"/>
                    <w:rPr>
                      <w:b/>
                      <w:szCs w:val="21"/>
                    </w:rPr>
                  </w:pPr>
                  <w:r>
                    <w:rPr>
                      <w:b/>
                      <w:szCs w:val="21"/>
                    </w:rPr>
                    <w:t>监测频率</w:t>
                  </w:r>
                </w:p>
              </w:tc>
              <w:tc>
                <w:tcPr>
                  <w:tcW w:w="1102" w:type="pct"/>
                  <w:vAlign w:val="center"/>
                </w:tcPr>
                <w:p>
                  <w:pPr>
                    <w:ind w:right="-107" w:rightChars="-51"/>
                    <w:jc w:val="center"/>
                    <w:rPr>
                      <w:b/>
                      <w:szCs w:val="21"/>
                    </w:rPr>
                  </w:pPr>
                  <w:r>
                    <w:rPr>
                      <w:b/>
                      <w:szCs w:val="21"/>
                    </w:rPr>
                    <w:t>监测方法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666" w:type="pct"/>
                  <w:vAlign w:val="center"/>
                </w:tcPr>
                <w:p>
                  <w:pPr>
                    <w:jc w:val="center"/>
                    <w:rPr>
                      <w:szCs w:val="21"/>
                    </w:rPr>
                  </w:pPr>
                  <w:r>
                    <w:rPr>
                      <w:szCs w:val="21"/>
                    </w:rPr>
                    <w:t>废气</w:t>
                  </w:r>
                </w:p>
              </w:tc>
              <w:tc>
                <w:tcPr>
                  <w:tcW w:w="598" w:type="pct"/>
                  <w:vAlign w:val="center"/>
                </w:tcPr>
                <w:p>
                  <w:pPr>
                    <w:jc w:val="center"/>
                    <w:rPr>
                      <w:szCs w:val="21"/>
                    </w:rPr>
                  </w:pPr>
                  <w:r>
                    <w:rPr>
                      <w:szCs w:val="21"/>
                    </w:rPr>
                    <w:t>/</w:t>
                  </w:r>
                </w:p>
              </w:tc>
              <w:tc>
                <w:tcPr>
                  <w:tcW w:w="753" w:type="pct"/>
                  <w:vAlign w:val="center"/>
                </w:tcPr>
                <w:p>
                  <w:pPr>
                    <w:jc w:val="center"/>
                    <w:rPr>
                      <w:szCs w:val="21"/>
                    </w:rPr>
                  </w:pPr>
                  <w:r>
                    <w:rPr>
                      <w:szCs w:val="21"/>
                    </w:rPr>
                    <w:t>生物质锅炉排气筒</w:t>
                  </w:r>
                </w:p>
              </w:tc>
              <w:tc>
                <w:tcPr>
                  <w:tcW w:w="1083" w:type="pct"/>
                  <w:vAlign w:val="center"/>
                </w:tcPr>
                <w:p>
                  <w:pPr>
                    <w:pStyle w:val="6"/>
                    <w:rPr>
                      <w:sz w:val="21"/>
                      <w:szCs w:val="21"/>
                    </w:rPr>
                  </w:pPr>
                  <w:r>
                    <w:rPr>
                      <w:sz w:val="21"/>
                      <w:szCs w:val="21"/>
                    </w:rPr>
                    <w:t>NOx、SO</w:t>
                  </w:r>
                  <w:r>
                    <w:rPr>
                      <w:sz w:val="21"/>
                      <w:szCs w:val="21"/>
                      <w:vertAlign w:val="subscript"/>
                    </w:rPr>
                    <w:t>2</w:t>
                  </w:r>
                  <w:r>
                    <w:rPr>
                      <w:sz w:val="21"/>
                      <w:szCs w:val="21"/>
                    </w:rPr>
                    <w:t>、颗粒物、烟气黑度</w:t>
                  </w:r>
                </w:p>
                <w:p>
                  <w:pPr>
                    <w:jc w:val="center"/>
                    <w:rPr>
                      <w:szCs w:val="21"/>
                    </w:rPr>
                  </w:pPr>
                </w:p>
              </w:tc>
              <w:tc>
                <w:tcPr>
                  <w:tcW w:w="799" w:type="pct"/>
                  <w:vAlign w:val="center"/>
                </w:tcPr>
                <w:p>
                  <w:pPr>
                    <w:jc w:val="center"/>
                    <w:rPr>
                      <w:szCs w:val="21"/>
                    </w:rPr>
                  </w:pPr>
                  <w:r>
                    <w:rPr>
                      <w:szCs w:val="21"/>
                    </w:rPr>
                    <w:t>一个月1次</w:t>
                  </w:r>
                </w:p>
              </w:tc>
              <w:tc>
                <w:tcPr>
                  <w:tcW w:w="1102" w:type="pct"/>
                  <w:vAlign w:val="center"/>
                </w:tcPr>
                <w:p>
                  <w:pPr>
                    <w:jc w:val="center"/>
                    <w:rPr>
                      <w:szCs w:val="21"/>
                    </w:rPr>
                  </w:pPr>
                  <w:r>
                    <w:rPr>
                      <w:szCs w:val="21"/>
                    </w:rPr>
                    <w:t>《</w:t>
                  </w:r>
                  <w:r>
                    <w:fldChar w:fldCharType="begin"/>
                  </w:r>
                  <w:r>
                    <w:instrText xml:space="preserve"> HYPERLINK "https://www.mee.gov.cn/ywgz/fgbz/bz/bzwb/shjbh/xgbzh/201705/W020170511330877890199.pdf" </w:instrText>
                  </w:r>
                  <w:r>
                    <w:fldChar w:fldCharType="separate"/>
                  </w:r>
                  <w:r>
                    <w:rPr>
                      <w:szCs w:val="21"/>
                    </w:rPr>
                    <w:t>排污单位自行监测技术指南 火力发电及锅炉</w:t>
                  </w:r>
                  <w:r>
                    <w:rPr>
                      <w:szCs w:val="21"/>
                    </w:rPr>
                    <w:fldChar w:fldCharType="end"/>
                  </w:r>
                  <w:r>
                    <w:rPr>
                      <w:szCs w:val="21"/>
                    </w:rPr>
                    <w:t>》(HJ 820-2017)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666" w:type="pct"/>
                  <w:vAlign w:val="center"/>
                </w:tcPr>
                <w:p>
                  <w:pPr>
                    <w:jc w:val="center"/>
                    <w:rPr>
                      <w:szCs w:val="21"/>
                    </w:rPr>
                  </w:pPr>
                  <w:r>
                    <w:rPr>
                      <w:szCs w:val="21"/>
                    </w:rPr>
                    <w:t>废水</w:t>
                  </w:r>
                </w:p>
              </w:tc>
              <w:tc>
                <w:tcPr>
                  <w:tcW w:w="598" w:type="pct"/>
                  <w:vAlign w:val="center"/>
                </w:tcPr>
                <w:p>
                  <w:pPr>
                    <w:jc w:val="center"/>
                    <w:rPr>
                      <w:szCs w:val="21"/>
                    </w:rPr>
                  </w:pPr>
                  <w:r>
                    <w:rPr>
                      <w:szCs w:val="21"/>
                    </w:rPr>
                    <w:t>/</w:t>
                  </w:r>
                </w:p>
              </w:tc>
              <w:tc>
                <w:tcPr>
                  <w:tcW w:w="753" w:type="pct"/>
                  <w:vAlign w:val="center"/>
                </w:tcPr>
                <w:p>
                  <w:pPr>
                    <w:jc w:val="center"/>
                    <w:rPr>
                      <w:szCs w:val="21"/>
                    </w:rPr>
                  </w:pPr>
                  <w:r>
                    <w:rPr>
                      <w:szCs w:val="21"/>
                    </w:rPr>
                    <w:t>污水处理站</w:t>
                  </w:r>
                </w:p>
              </w:tc>
              <w:tc>
                <w:tcPr>
                  <w:tcW w:w="1083" w:type="pct"/>
                  <w:vAlign w:val="center"/>
                </w:tcPr>
                <w:p>
                  <w:pPr>
                    <w:jc w:val="center"/>
                    <w:rPr>
                      <w:szCs w:val="21"/>
                    </w:rPr>
                  </w:pPr>
                  <w:r>
                    <w:rPr>
                      <w:szCs w:val="21"/>
                    </w:rPr>
                    <w:t>氨氮、BOD</w:t>
                  </w:r>
                  <w:r>
                    <w:rPr>
                      <w:szCs w:val="21"/>
                      <w:vertAlign w:val="subscript"/>
                    </w:rPr>
                    <w:t>5</w:t>
                  </w:r>
                  <w:r>
                    <w:rPr>
                      <w:szCs w:val="21"/>
                    </w:rPr>
                    <w:t>、SS、pH、动植物油、COD、总磷</w:t>
                  </w:r>
                </w:p>
              </w:tc>
              <w:tc>
                <w:tcPr>
                  <w:tcW w:w="799" w:type="pct"/>
                  <w:vAlign w:val="center"/>
                </w:tcPr>
                <w:p>
                  <w:pPr>
                    <w:jc w:val="center"/>
                    <w:rPr>
                      <w:szCs w:val="21"/>
                    </w:rPr>
                  </w:pPr>
                  <w:r>
                    <w:rPr>
                      <w:szCs w:val="21"/>
                    </w:rPr>
                    <w:t>每个季度监测一次</w:t>
                  </w:r>
                </w:p>
              </w:tc>
              <w:tc>
                <w:tcPr>
                  <w:tcW w:w="1102" w:type="pct"/>
                  <w:vAlign w:val="center"/>
                </w:tcPr>
                <w:p>
                  <w:pPr>
                    <w:jc w:val="center"/>
                    <w:rPr>
                      <w:szCs w:val="21"/>
                    </w:rPr>
                  </w:pPr>
                  <w:r>
                    <w:rPr>
                      <w:szCs w:val="21"/>
                    </w:rPr>
                    <w:t>《</w:t>
                  </w:r>
                  <w:r>
                    <w:fldChar w:fldCharType="begin"/>
                  </w:r>
                  <w:r>
                    <w:instrText xml:space="preserve"> HYPERLINK "https://www.mee.gov.cn/ywgz/fgbz/bz/bzwb/shjbh/xgbzh/201705/W020170511330877890199.pdf" </w:instrText>
                  </w:r>
                  <w:r>
                    <w:fldChar w:fldCharType="separate"/>
                  </w:r>
                  <w:r>
                    <w:rPr>
                      <w:szCs w:val="21"/>
                    </w:rPr>
                    <w:t>排污单位自行监测技术指南 火力发电及锅炉</w:t>
                  </w:r>
                  <w:r>
                    <w:rPr>
                      <w:szCs w:val="21"/>
                    </w:rPr>
                    <w:fldChar w:fldCharType="end"/>
                  </w:r>
                  <w:r>
                    <w:rPr>
                      <w:szCs w:val="21"/>
                    </w:rPr>
                    <w:t>》(HJ 820-2017)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66" w:type="pct"/>
                  <w:vAlign w:val="center"/>
                </w:tcPr>
                <w:p>
                  <w:pPr>
                    <w:jc w:val="center"/>
                    <w:rPr>
                      <w:szCs w:val="21"/>
                    </w:rPr>
                  </w:pPr>
                  <w:r>
                    <w:rPr>
                      <w:szCs w:val="21"/>
                    </w:rPr>
                    <w:t>噪声</w:t>
                  </w:r>
                </w:p>
              </w:tc>
              <w:tc>
                <w:tcPr>
                  <w:tcW w:w="598" w:type="pct"/>
                  <w:vAlign w:val="center"/>
                </w:tcPr>
                <w:p>
                  <w:pPr>
                    <w:jc w:val="center"/>
                    <w:rPr>
                      <w:szCs w:val="21"/>
                    </w:rPr>
                  </w:pPr>
                  <w:r>
                    <w:rPr>
                      <w:szCs w:val="21"/>
                    </w:rPr>
                    <w:t>/</w:t>
                  </w:r>
                </w:p>
              </w:tc>
              <w:tc>
                <w:tcPr>
                  <w:tcW w:w="753" w:type="pct"/>
                  <w:vAlign w:val="center"/>
                </w:tcPr>
                <w:p>
                  <w:pPr>
                    <w:jc w:val="center"/>
                    <w:rPr>
                      <w:szCs w:val="21"/>
                    </w:rPr>
                  </w:pPr>
                  <w:r>
                    <w:rPr>
                      <w:szCs w:val="21"/>
                    </w:rPr>
                    <w:t>项目厂界</w:t>
                  </w:r>
                </w:p>
              </w:tc>
              <w:tc>
                <w:tcPr>
                  <w:tcW w:w="1083" w:type="pct"/>
                  <w:vAlign w:val="center"/>
                </w:tcPr>
                <w:p>
                  <w:pPr>
                    <w:jc w:val="center"/>
                    <w:rPr>
                      <w:szCs w:val="21"/>
                    </w:rPr>
                  </w:pPr>
                  <w:r>
                    <w:rPr>
                      <w:szCs w:val="21"/>
                    </w:rPr>
                    <w:t>等效连续A声级</w:t>
                  </w:r>
                </w:p>
              </w:tc>
              <w:tc>
                <w:tcPr>
                  <w:tcW w:w="799" w:type="pct"/>
                  <w:vAlign w:val="center"/>
                </w:tcPr>
                <w:p>
                  <w:pPr>
                    <w:jc w:val="center"/>
                    <w:rPr>
                      <w:szCs w:val="21"/>
                    </w:rPr>
                  </w:pPr>
                  <w:r>
                    <w:rPr>
                      <w:szCs w:val="21"/>
                    </w:rPr>
                    <w:t>厂界环境噪声每季度监测1次</w:t>
                  </w:r>
                </w:p>
              </w:tc>
              <w:tc>
                <w:tcPr>
                  <w:tcW w:w="1102" w:type="pct"/>
                  <w:vAlign w:val="center"/>
                </w:tcPr>
                <w:p>
                  <w:pPr>
                    <w:jc w:val="center"/>
                    <w:rPr>
                      <w:szCs w:val="21"/>
                    </w:rPr>
                  </w:pPr>
                  <w:r>
                    <w:rPr>
                      <w:szCs w:val="21"/>
                    </w:rPr>
                    <w:t>《</w:t>
                  </w:r>
                  <w:r>
                    <w:fldChar w:fldCharType="begin"/>
                  </w:r>
                  <w:r>
                    <w:instrText xml:space="preserve"> HYPERLINK "https://www.mee.gov.cn/ywgz/fgbz/bz/bzwb/shjbh/xgbzh/201705/W020170511330877890199.pdf" </w:instrText>
                  </w:r>
                  <w:r>
                    <w:fldChar w:fldCharType="separate"/>
                  </w:r>
                  <w:r>
                    <w:rPr>
                      <w:szCs w:val="21"/>
                    </w:rPr>
                    <w:t>排污单位自行监测技术指南 火力发电及锅炉</w:t>
                  </w:r>
                  <w:r>
                    <w:rPr>
                      <w:szCs w:val="21"/>
                    </w:rPr>
                    <w:fldChar w:fldCharType="end"/>
                  </w:r>
                  <w:r>
                    <w:rPr>
                      <w:szCs w:val="21"/>
                    </w:rPr>
                    <w:t>》(HJ 820-2017)</w:t>
                  </w:r>
                </w:p>
              </w:tc>
            </w:tr>
          </w:tbl>
          <w:p>
            <w:pPr>
              <w:pStyle w:val="13"/>
              <w:rPr>
                <w:rFonts w:ascii="Times New Roman"/>
                <w:color w:val="auto"/>
              </w:rPr>
            </w:pPr>
          </w:p>
          <w:p>
            <w:pPr>
              <w:pStyle w:val="13"/>
              <w:rPr>
                <w:rFonts w:ascii="Times New Roman"/>
                <w:color w:val="auto"/>
              </w:rPr>
            </w:pPr>
          </w:p>
          <w:p>
            <w:pPr>
              <w:pStyle w:val="13"/>
              <w:rPr>
                <w:rFonts w:ascii="Times New Roman"/>
                <w:color w:val="auto"/>
              </w:rPr>
            </w:pPr>
          </w:p>
          <w:p>
            <w:pPr>
              <w:pStyle w:val="13"/>
              <w:rPr>
                <w:rFonts w:ascii="Times New Roman"/>
                <w:color w:val="auto"/>
              </w:rPr>
            </w:pPr>
          </w:p>
          <w:p>
            <w:pPr>
              <w:pStyle w:val="13"/>
              <w:rPr>
                <w:rFonts w:ascii="Times New Roman"/>
                <w:color w:val="auto"/>
              </w:rPr>
            </w:pPr>
          </w:p>
          <w:p>
            <w:pPr>
              <w:pStyle w:val="13"/>
              <w:rPr>
                <w:rFonts w:ascii="Times New Roman"/>
                <w:color w:val="auto"/>
              </w:rPr>
            </w:pPr>
          </w:p>
          <w:p>
            <w:pPr>
              <w:pStyle w:val="13"/>
              <w:rPr>
                <w:rFonts w:ascii="Times New Roman"/>
                <w:color w:val="auto"/>
              </w:rPr>
            </w:pPr>
          </w:p>
          <w:p>
            <w:pPr>
              <w:pStyle w:val="13"/>
              <w:rPr>
                <w:rFonts w:ascii="Times New Roman"/>
                <w:color w:val="auto"/>
              </w:rPr>
            </w:pPr>
          </w:p>
          <w:p>
            <w:pPr>
              <w:pStyle w:val="13"/>
              <w:rPr>
                <w:rFonts w:ascii="Times New Roman"/>
                <w:color w:val="auto"/>
              </w:rPr>
            </w:pPr>
          </w:p>
          <w:p>
            <w:pPr>
              <w:pStyle w:val="13"/>
              <w:rPr>
                <w:rFonts w:ascii="Times New Roman"/>
                <w:color w:val="auto"/>
              </w:rPr>
            </w:pPr>
          </w:p>
          <w:p>
            <w:pPr>
              <w:pStyle w:val="13"/>
              <w:rPr>
                <w:rFonts w:ascii="Times New Roman"/>
                <w:color w:val="auto"/>
              </w:rPr>
            </w:pPr>
          </w:p>
          <w:p>
            <w:pPr>
              <w:pStyle w:val="13"/>
              <w:rPr>
                <w:rFonts w:ascii="Times New Roman"/>
                <w:color w:val="auto"/>
              </w:rPr>
            </w:pPr>
          </w:p>
          <w:p>
            <w:pPr>
              <w:pStyle w:val="13"/>
              <w:rPr>
                <w:rFonts w:ascii="Times New Roman"/>
                <w:color w:val="auto"/>
              </w:rPr>
            </w:pPr>
          </w:p>
          <w:p>
            <w:pPr>
              <w:pStyle w:val="13"/>
              <w:rPr>
                <w:rFonts w:ascii="Times New Roman"/>
                <w:color w:val="auto"/>
              </w:rPr>
            </w:pPr>
          </w:p>
          <w:p>
            <w:pPr>
              <w:pStyle w:val="13"/>
              <w:rPr>
                <w:rFonts w:ascii="Times New Roman"/>
                <w:color w:val="auto"/>
              </w:rPr>
            </w:pPr>
          </w:p>
          <w:p>
            <w:pPr>
              <w:pStyle w:val="13"/>
              <w:rPr>
                <w:rFonts w:ascii="Times New Roman"/>
                <w:color w:val="auto"/>
              </w:rPr>
            </w:pPr>
          </w:p>
          <w:p>
            <w:pPr>
              <w:pStyle w:val="13"/>
              <w:rPr>
                <w:rFonts w:ascii="Times New Roman"/>
                <w:color w:val="auto"/>
              </w:rPr>
            </w:pPr>
          </w:p>
          <w:p>
            <w:pPr>
              <w:pStyle w:val="13"/>
              <w:rPr>
                <w:rFonts w:ascii="Times New Roman"/>
                <w:color w:val="auto"/>
              </w:rPr>
            </w:pPr>
          </w:p>
          <w:p>
            <w:pPr>
              <w:pStyle w:val="13"/>
              <w:rPr>
                <w:rFonts w:ascii="Times New Roman"/>
                <w:color w:val="auto"/>
              </w:rPr>
            </w:pPr>
          </w:p>
          <w:p>
            <w:pPr>
              <w:pStyle w:val="13"/>
              <w:rPr>
                <w:rFonts w:ascii="Times New Roman"/>
                <w:color w:val="auto"/>
              </w:rPr>
            </w:pPr>
          </w:p>
          <w:p>
            <w:pPr>
              <w:pStyle w:val="13"/>
              <w:rPr>
                <w:rFonts w:ascii="Times New Roman"/>
                <w:color w:val="auto"/>
              </w:rPr>
            </w:pPr>
          </w:p>
          <w:p>
            <w:pPr>
              <w:pStyle w:val="13"/>
              <w:rPr>
                <w:rFonts w:ascii="Times New Roman"/>
                <w:color w:val="auto"/>
              </w:rPr>
            </w:pPr>
          </w:p>
          <w:p>
            <w:pPr>
              <w:pStyle w:val="13"/>
              <w:rPr>
                <w:rFonts w:ascii="Times New Roman"/>
                <w:color w:val="auto"/>
              </w:rPr>
            </w:pPr>
          </w:p>
          <w:p>
            <w:pPr>
              <w:pStyle w:val="13"/>
              <w:rPr>
                <w:rFonts w:ascii="Times New Roman"/>
                <w:color w:val="auto"/>
              </w:rPr>
            </w:pPr>
          </w:p>
          <w:p>
            <w:pPr>
              <w:pStyle w:val="13"/>
              <w:rPr>
                <w:rFonts w:ascii="Times New Roman"/>
                <w:color w:val="auto"/>
              </w:rPr>
            </w:pPr>
          </w:p>
          <w:p>
            <w:pPr>
              <w:pStyle w:val="13"/>
              <w:rPr>
                <w:rFonts w:ascii="Times New Roman"/>
                <w:color w:val="auto"/>
              </w:rPr>
            </w:pPr>
          </w:p>
          <w:p>
            <w:pPr>
              <w:pStyle w:val="13"/>
              <w:rPr>
                <w:rFonts w:ascii="Times New Roman"/>
                <w:color w:val="auto"/>
              </w:rPr>
            </w:pPr>
          </w:p>
          <w:p>
            <w:pPr>
              <w:pStyle w:val="13"/>
              <w:rPr>
                <w:rFonts w:ascii="Times New Roman"/>
                <w:color w:val="auto"/>
              </w:rPr>
            </w:pPr>
          </w:p>
        </w:tc>
      </w:tr>
    </w:tbl>
    <w:p>
      <w:pPr>
        <w:spacing w:line="360" w:lineRule="auto"/>
        <w:rPr>
          <w:snapToGrid w:val="0"/>
          <w:sz w:val="24"/>
        </w:rPr>
        <w:sectPr>
          <w:pgSz w:w="11906" w:h="16838"/>
          <w:pgMar w:top="1247" w:right="1247" w:bottom="1247" w:left="1247" w:header="851" w:footer="992" w:gutter="0"/>
          <w:cols w:space="425" w:num="1"/>
          <w:docGrid w:type="lines" w:linePitch="312" w:charSpace="0"/>
        </w:sectPr>
      </w:pPr>
    </w:p>
    <w:p>
      <w:pPr>
        <w:pStyle w:val="23"/>
        <w:spacing w:line="360" w:lineRule="auto"/>
        <w:jc w:val="center"/>
        <w:outlineLvl w:val="0"/>
        <w:rPr>
          <w:rFonts w:ascii="Times New Roman" w:hAnsi="Times New Roman"/>
          <w:b/>
          <w:bCs/>
          <w:snapToGrid w:val="0"/>
          <w:sz w:val="30"/>
          <w:szCs w:val="30"/>
        </w:rPr>
      </w:pPr>
      <w:bookmarkStart w:id="230" w:name="_Toc144233332"/>
      <w:bookmarkStart w:id="231" w:name="_Toc25649"/>
      <w:bookmarkStart w:id="232" w:name="_Toc25891"/>
      <w:r>
        <w:rPr>
          <w:rFonts w:ascii="Times New Roman" w:hAnsi="Times New Roman"/>
          <w:b/>
          <w:bCs/>
          <w:snapToGrid w:val="0"/>
          <w:sz w:val="30"/>
          <w:szCs w:val="30"/>
        </w:rPr>
        <w:t>五、</w:t>
      </w:r>
      <w:bookmarkStart w:id="233" w:name="_Hlk54167917"/>
      <w:r>
        <w:rPr>
          <w:rFonts w:ascii="Times New Roman" w:hAnsi="Times New Roman"/>
          <w:b/>
          <w:bCs/>
          <w:snapToGrid w:val="0"/>
          <w:sz w:val="30"/>
          <w:szCs w:val="30"/>
        </w:rPr>
        <w:t>环境保护措施监督检查清单</w:t>
      </w:r>
      <w:bookmarkEnd w:id="230"/>
      <w:bookmarkEnd w:id="231"/>
      <w:bookmarkEnd w:id="232"/>
      <w:bookmarkEnd w:id="233"/>
    </w:p>
    <w:tbl>
      <w:tblPr>
        <w:tblStyle w:val="27"/>
        <w:tblW w:w="971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276"/>
        <w:gridCol w:w="1276"/>
        <w:gridCol w:w="3260"/>
        <w:gridCol w:w="26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286" w:type="dxa"/>
            <w:tcBorders>
              <w:tl2br w:val="single" w:color="auto" w:sz="4" w:space="0"/>
            </w:tcBorders>
            <w:vAlign w:val="center"/>
          </w:tcPr>
          <w:p>
            <w:pPr>
              <w:snapToGrid w:val="0"/>
              <w:jc w:val="center"/>
              <w:rPr>
                <w:b/>
                <w:szCs w:val="21"/>
              </w:rPr>
            </w:pPr>
            <w:r>
              <w:rPr>
                <w:b/>
                <w:szCs w:val="21"/>
              </w:rPr>
              <w:t xml:space="preserve">    内容</w:t>
            </w:r>
          </w:p>
          <w:p>
            <w:pPr>
              <w:snapToGrid w:val="0"/>
              <w:rPr>
                <w:b/>
                <w:szCs w:val="21"/>
              </w:rPr>
            </w:pPr>
            <w:r>
              <w:rPr>
                <w:b/>
                <w:szCs w:val="21"/>
              </w:rPr>
              <w:t>要素</w:t>
            </w:r>
          </w:p>
        </w:tc>
        <w:tc>
          <w:tcPr>
            <w:tcW w:w="1276" w:type="dxa"/>
            <w:vAlign w:val="center"/>
          </w:tcPr>
          <w:p>
            <w:pPr>
              <w:snapToGrid w:val="0"/>
              <w:jc w:val="center"/>
              <w:rPr>
                <w:b/>
                <w:szCs w:val="21"/>
              </w:rPr>
            </w:pPr>
            <w:r>
              <w:rPr>
                <w:b/>
                <w:szCs w:val="21"/>
              </w:rPr>
              <w:t>排放口（编号、名称）/污染源</w:t>
            </w:r>
          </w:p>
        </w:tc>
        <w:tc>
          <w:tcPr>
            <w:tcW w:w="1276" w:type="dxa"/>
            <w:vAlign w:val="center"/>
          </w:tcPr>
          <w:p>
            <w:pPr>
              <w:snapToGrid w:val="0"/>
              <w:jc w:val="center"/>
              <w:rPr>
                <w:b/>
                <w:szCs w:val="21"/>
              </w:rPr>
            </w:pPr>
            <w:r>
              <w:rPr>
                <w:b/>
                <w:szCs w:val="21"/>
              </w:rPr>
              <w:t>污染物项目</w:t>
            </w:r>
          </w:p>
        </w:tc>
        <w:tc>
          <w:tcPr>
            <w:tcW w:w="3260" w:type="dxa"/>
            <w:vAlign w:val="center"/>
          </w:tcPr>
          <w:p>
            <w:pPr>
              <w:snapToGrid w:val="0"/>
              <w:jc w:val="center"/>
              <w:rPr>
                <w:b/>
                <w:szCs w:val="21"/>
              </w:rPr>
            </w:pPr>
            <w:r>
              <w:rPr>
                <w:b/>
                <w:szCs w:val="21"/>
              </w:rPr>
              <w:t>环境保护措施</w:t>
            </w:r>
          </w:p>
        </w:tc>
        <w:tc>
          <w:tcPr>
            <w:tcW w:w="2617" w:type="dxa"/>
            <w:vAlign w:val="center"/>
          </w:tcPr>
          <w:p>
            <w:pPr>
              <w:snapToGrid w:val="0"/>
              <w:jc w:val="center"/>
              <w:rPr>
                <w:b/>
                <w:szCs w:val="21"/>
              </w:rPr>
            </w:pPr>
            <w:r>
              <w:rPr>
                <w:b/>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86" w:type="dxa"/>
            <w:vMerge w:val="restart"/>
            <w:vAlign w:val="center"/>
          </w:tcPr>
          <w:p>
            <w:pPr>
              <w:snapToGrid w:val="0"/>
              <w:jc w:val="center"/>
              <w:rPr>
                <w:szCs w:val="21"/>
              </w:rPr>
            </w:pPr>
            <w:r>
              <w:rPr>
                <w:szCs w:val="21"/>
              </w:rPr>
              <w:t>大气环境</w:t>
            </w:r>
          </w:p>
        </w:tc>
        <w:tc>
          <w:tcPr>
            <w:tcW w:w="1276" w:type="dxa"/>
            <w:vAlign w:val="center"/>
          </w:tcPr>
          <w:p>
            <w:pPr>
              <w:snapToGrid w:val="0"/>
              <w:jc w:val="center"/>
              <w:rPr>
                <w:szCs w:val="21"/>
              </w:rPr>
            </w:pPr>
            <w:r>
              <w:rPr>
                <w:szCs w:val="21"/>
              </w:rPr>
              <w:t>生物质锅炉</w:t>
            </w:r>
          </w:p>
        </w:tc>
        <w:tc>
          <w:tcPr>
            <w:tcW w:w="1276" w:type="dxa"/>
            <w:vAlign w:val="center"/>
          </w:tcPr>
          <w:p>
            <w:pPr>
              <w:snapToGrid w:val="0"/>
              <w:jc w:val="center"/>
              <w:rPr>
                <w:szCs w:val="21"/>
              </w:rPr>
            </w:pPr>
            <w:r>
              <w:rPr>
                <w:szCs w:val="21"/>
              </w:rPr>
              <w:t>烟尘、二氧</w:t>
            </w:r>
          </w:p>
          <w:p>
            <w:pPr>
              <w:snapToGrid w:val="0"/>
              <w:jc w:val="center"/>
              <w:rPr>
                <w:szCs w:val="21"/>
              </w:rPr>
            </w:pPr>
            <w:r>
              <w:rPr>
                <w:szCs w:val="21"/>
              </w:rPr>
              <w:t>化硫、烟气黑度</w:t>
            </w:r>
          </w:p>
        </w:tc>
        <w:tc>
          <w:tcPr>
            <w:tcW w:w="3260" w:type="dxa"/>
            <w:vAlign w:val="center"/>
          </w:tcPr>
          <w:p>
            <w:pPr>
              <w:snapToGrid w:val="0"/>
              <w:jc w:val="center"/>
              <w:rPr>
                <w:szCs w:val="21"/>
              </w:rPr>
            </w:pPr>
            <w:r>
              <w:rPr>
                <w:szCs w:val="21"/>
              </w:rPr>
              <w:t>经</w:t>
            </w:r>
            <w:r>
              <w:rPr>
                <w:rFonts w:hint="eastAsia"/>
                <w:szCs w:val="21"/>
              </w:rPr>
              <w:t>湿式</w:t>
            </w:r>
            <w:r>
              <w:rPr>
                <w:szCs w:val="21"/>
              </w:rPr>
              <w:t>脱硫+布袋除尘处理后，通过一根40m高的排气筒高空排放</w:t>
            </w:r>
          </w:p>
        </w:tc>
        <w:tc>
          <w:tcPr>
            <w:tcW w:w="2617" w:type="dxa"/>
            <w:vAlign w:val="center"/>
          </w:tcPr>
          <w:p>
            <w:pPr>
              <w:snapToGrid w:val="0"/>
              <w:jc w:val="center"/>
              <w:rPr>
                <w:szCs w:val="21"/>
              </w:rPr>
            </w:pPr>
            <w:r>
              <w:rPr>
                <w:szCs w:val="21"/>
              </w:rPr>
              <w:t>《锅炉大气污染物排放标准》（GB13271-2014），SO</w:t>
            </w:r>
            <w:r>
              <w:rPr>
                <w:szCs w:val="21"/>
                <w:vertAlign w:val="subscript"/>
              </w:rPr>
              <w:t>2</w:t>
            </w:r>
            <w:r>
              <w:rPr>
                <w:szCs w:val="21"/>
              </w:rPr>
              <w:t>≤300mg/m</w:t>
            </w:r>
            <w:r>
              <w:rPr>
                <w:szCs w:val="21"/>
                <w:vertAlign w:val="superscript"/>
              </w:rPr>
              <w:t>3</w:t>
            </w:r>
            <w:r>
              <w:rPr>
                <w:szCs w:val="21"/>
              </w:rPr>
              <w:t>、氮氧化物≤300mg/m</w:t>
            </w:r>
            <w:r>
              <w:rPr>
                <w:szCs w:val="21"/>
                <w:vertAlign w:val="superscript"/>
              </w:rPr>
              <w:t>3</w:t>
            </w:r>
            <w:r>
              <w:rPr>
                <w:szCs w:val="21"/>
              </w:rPr>
              <w:t>、颗粒物≤50 mg/m</w:t>
            </w:r>
            <w:r>
              <w:rPr>
                <w:szCs w:val="21"/>
                <w:vertAlign w:val="superscript"/>
              </w:rPr>
              <w:t>3</w:t>
            </w:r>
            <w:r>
              <w:rPr>
                <w:szCs w:val="21"/>
              </w:rPr>
              <w:t>、烟气黑度≤1。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286" w:type="dxa"/>
            <w:vMerge w:val="continue"/>
            <w:vAlign w:val="center"/>
          </w:tcPr>
          <w:p>
            <w:pPr>
              <w:snapToGrid w:val="0"/>
              <w:jc w:val="center"/>
              <w:rPr>
                <w:szCs w:val="21"/>
              </w:rPr>
            </w:pPr>
          </w:p>
        </w:tc>
        <w:tc>
          <w:tcPr>
            <w:tcW w:w="1276" w:type="dxa"/>
            <w:vAlign w:val="center"/>
          </w:tcPr>
          <w:p>
            <w:pPr>
              <w:snapToGrid w:val="0"/>
              <w:jc w:val="center"/>
              <w:rPr>
                <w:szCs w:val="21"/>
              </w:rPr>
            </w:pPr>
            <w:r>
              <w:rPr>
                <w:szCs w:val="21"/>
              </w:rPr>
              <w:t>食堂</w:t>
            </w:r>
          </w:p>
        </w:tc>
        <w:tc>
          <w:tcPr>
            <w:tcW w:w="1276" w:type="dxa"/>
            <w:vAlign w:val="center"/>
          </w:tcPr>
          <w:p>
            <w:pPr>
              <w:snapToGrid w:val="0"/>
              <w:jc w:val="center"/>
              <w:rPr>
                <w:szCs w:val="21"/>
              </w:rPr>
            </w:pPr>
            <w:r>
              <w:rPr>
                <w:szCs w:val="21"/>
              </w:rPr>
              <w:t>油烟</w:t>
            </w:r>
          </w:p>
        </w:tc>
        <w:tc>
          <w:tcPr>
            <w:tcW w:w="3260" w:type="dxa"/>
            <w:vAlign w:val="center"/>
          </w:tcPr>
          <w:p>
            <w:pPr>
              <w:snapToGrid w:val="0"/>
              <w:jc w:val="center"/>
              <w:rPr>
                <w:szCs w:val="21"/>
              </w:rPr>
            </w:pPr>
            <w:r>
              <w:rPr>
                <w:szCs w:val="21"/>
              </w:rPr>
              <w:t>烟气净化装置</w:t>
            </w:r>
          </w:p>
        </w:tc>
        <w:tc>
          <w:tcPr>
            <w:tcW w:w="2617" w:type="dxa"/>
            <w:vAlign w:val="center"/>
          </w:tcPr>
          <w:p>
            <w:pPr>
              <w:snapToGrid w:val="0"/>
              <w:jc w:val="center"/>
              <w:rPr>
                <w:szCs w:val="21"/>
              </w:rPr>
            </w:pPr>
            <w:r>
              <w:rPr>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286" w:type="dxa"/>
            <w:vMerge w:val="continue"/>
            <w:vAlign w:val="center"/>
          </w:tcPr>
          <w:p>
            <w:pPr>
              <w:snapToGrid w:val="0"/>
              <w:jc w:val="center"/>
              <w:rPr>
                <w:szCs w:val="21"/>
              </w:rPr>
            </w:pPr>
          </w:p>
        </w:tc>
        <w:tc>
          <w:tcPr>
            <w:tcW w:w="1276" w:type="dxa"/>
            <w:vAlign w:val="center"/>
          </w:tcPr>
          <w:p>
            <w:pPr>
              <w:snapToGrid w:val="0"/>
              <w:jc w:val="center"/>
              <w:rPr>
                <w:szCs w:val="21"/>
              </w:rPr>
            </w:pPr>
            <w:r>
              <w:rPr>
                <w:szCs w:val="21"/>
              </w:rPr>
              <w:t>农药废气</w:t>
            </w:r>
          </w:p>
        </w:tc>
        <w:tc>
          <w:tcPr>
            <w:tcW w:w="1276" w:type="dxa"/>
            <w:vAlign w:val="center"/>
          </w:tcPr>
          <w:p>
            <w:pPr>
              <w:snapToGrid w:val="0"/>
              <w:jc w:val="center"/>
              <w:rPr>
                <w:szCs w:val="21"/>
              </w:rPr>
            </w:pPr>
            <w:r>
              <w:rPr>
                <w:szCs w:val="21"/>
              </w:rPr>
              <w:t>异味</w:t>
            </w:r>
          </w:p>
        </w:tc>
        <w:tc>
          <w:tcPr>
            <w:tcW w:w="3260" w:type="dxa"/>
            <w:vAlign w:val="center"/>
          </w:tcPr>
          <w:p>
            <w:pPr>
              <w:snapToGrid w:val="0"/>
              <w:jc w:val="center"/>
              <w:rPr>
                <w:szCs w:val="21"/>
              </w:rPr>
            </w:pPr>
            <w:r>
              <w:rPr>
                <w:szCs w:val="21"/>
              </w:rPr>
              <w:t>使用低毒高效农药，厂房建设为全密闭形式</w:t>
            </w:r>
          </w:p>
        </w:tc>
        <w:tc>
          <w:tcPr>
            <w:tcW w:w="2617" w:type="dxa"/>
            <w:vAlign w:val="center"/>
          </w:tcPr>
          <w:p>
            <w:pPr>
              <w:snapToGrid w:val="0"/>
              <w:jc w:val="center"/>
              <w:rPr>
                <w:szCs w:val="21"/>
              </w:rPr>
            </w:pPr>
            <w:r>
              <w:rPr>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286" w:type="dxa"/>
            <w:vMerge w:val="continue"/>
            <w:vAlign w:val="center"/>
          </w:tcPr>
          <w:p>
            <w:pPr>
              <w:snapToGrid w:val="0"/>
              <w:jc w:val="center"/>
              <w:rPr>
                <w:szCs w:val="21"/>
              </w:rPr>
            </w:pPr>
          </w:p>
        </w:tc>
        <w:tc>
          <w:tcPr>
            <w:tcW w:w="1276" w:type="dxa"/>
            <w:vAlign w:val="center"/>
          </w:tcPr>
          <w:p>
            <w:pPr>
              <w:snapToGrid w:val="0"/>
              <w:jc w:val="center"/>
              <w:rPr>
                <w:szCs w:val="21"/>
              </w:rPr>
            </w:pPr>
            <w:r>
              <w:rPr>
                <w:szCs w:val="21"/>
              </w:rPr>
              <w:t>制冷剂</w:t>
            </w:r>
          </w:p>
        </w:tc>
        <w:tc>
          <w:tcPr>
            <w:tcW w:w="1276" w:type="dxa"/>
            <w:vAlign w:val="center"/>
          </w:tcPr>
          <w:p>
            <w:pPr>
              <w:snapToGrid w:val="0"/>
              <w:jc w:val="center"/>
              <w:rPr>
                <w:szCs w:val="21"/>
              </w:rPr>
            </w:pPr>
            <w:r>
              <w:rPr>
                <w:szCs w:val="21"/>
              </w:rPr>
              <w:t>/</w:t>
            </w:r>
          </w:p>
        </w:tc>
        <w:tc>
          <w:tcPr>
            <w:tcW w:w="3260" w:type="dxa"/>
            <w:vAlign w:val="center"/>
          </w:tcPr>
          <w:p>
            <w:pPr>
              <w:snapToGrid w:val="0"/>
              <w:jc w:val="center"/>
              <w:rPr>
                <w:szCs w:val="21"/>
              </w:rPr>
            </w:pPr>
            <w:r>
              <w:rPr>
                <w:szCs w:val="21"/>
              </w:rPr>
              <w:t>使用环保制冷剂、提高制冷剂管道气密性</w:t>
            </w:r>
          </w:p>
        </w:tc>
        <w:tc>
          <w:tcPr>
            <w:tcW w:w="2617" w:type="dxa"/>
            <w:vAlign w:val="center"/>
          </w:tcPr>
          <w:p>
            <w:pPr>
              <w:snapToGrid w:val="0"/>
              <w:jc w:val="center"/>
              <w:rPr>
                <w:szCs w:val="21"/>
              </w:rPr>
            </w:pPr>
            <w:r>
              <w:rPr>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286" w:type="dxa"/>
            <w:vMerge w:val="restart"/>
            <w:vAlign w:val="center"/>
          </w:tcPr>
          <w:p>
            <w:pPr>
              <w:snapToGrid w:val="0"/>
              <w:jc w:val="center"/>
              <w:rPr>
                <w:szCs w:val="21"/>
              </w:rPr>
            </w:pPr>
            <w:r>
              <w:rPr>
                <w:szCs w:val="21"/>
              </w:rPr>
              <w:t>地表水环境</w:t>
            </w:r>
          </w:p>
        </w:tc>
        <w:tc>
          <w:tcPr>
            <w:tcW w:w="1276" w:type="dxa"/>
            <w:vAlign w:val="center"/>
          </w:tcPr>
          <w:p>
            <w:pPr>
              <w:snapToGrid w:val="0"/>
              <w:jc w:val="center"/>
              <w:rPr>
                <w:szCs w:val="21"/>
              </w:rPr>
            </w:pPr>
            <w:r>
              <w:rPr>
                <w:szCs w:val="21"/>
              </w:rPr>
              <w:t>生活污水</w:t>
            </w:r>
          </w:p>
        </w:tc>
        <w:tc>
          <w:tcPr>
            <w:tcW w:w="1276" w:type="dxa"/>
            <w:vAlign w:val="center"/>
          </w:tcPr>
          <w:p>
            <w:pPr>
              <w:snapToGrid w:val="0"/>
              <w:jc w:val="center"/>
              <w:rPr>
                <w:szCs w:val="21"/>
              </w:rPr>
            </w:pPr>
            <w:r>
              <w:rPr>
                <w:szCs w:val="21"/>
              </w:rPr>
              <w:t>COD、BOD</w:t>
            </w:r>
            <w:r>
              <w:rPr>
                <w:szCs w:val="21"/>
                <w:vertAlign w:val="subscript"/>
              </w:rPr>
              <w:t>5</w:t>
            </w:r>
            <w:r>
              <w:rPr>
                <w:szCs w:val="21"/>
              </w:rPr>
              <w:t>、SS、氨氮、总磷</w:t>
            </w:r>
          </w:p>
        </w:tc>
        <w:tc>
          <w:tcPr>
            <w:tcW w:w="3260" w:type="dxa"/>
            <w:vAlign w:val="center"/>
          </w:tcPr>
          <w:p>
            <w:pPr>
              <w:snapToGrid w:val="0"/>
              <w:jc w:val="center"/>
              <w:rPr>
                <w:szCs w:val="21"/>
              </w:rPr>
            </w:pPr>
            <w:r>
              <w:rPr>
                <w:szCs w:val="21"/>
              </w:rPr>
              <w:t>在未接入污水管网时，食堂污水经规格为1.5m</w:t>
            </w:r>
            <w:r>
              <w:rPr>
                <w:szCs w:val="21"/>
                <w:vertAlign w:val="superscript"/>
              </w:rPr>
              <w:t>3</w:t>
            </w:r>
            <w:r>
              <w:rPr>
                <w:szCs w:val="21"/>
              </w:rPr>
              <w:t>隔油池处理后和生活污水一起经规格为6m</w:t>
            </w:r>
            <w:r>
              <w:rPr>
                <w:szCs w:val="21"/>
                <w:vertAlign w:val="superscript"/>
              </w:rPr>
              <w:t>3</w:t>
            </w:r>
            <w:r>
              <w:rPr>
                <w:szCs w:val="21"/>
              </w:rPr>
              <w:t>化粪池处理后进入自建污水处理站（处理规模为5m</w:t>
            </w:r>
            <w:r>
              <w:rPr>
                <w:szCs w:val="21"/>
                <w:vertAlign w:val="superscript"/>
              </w:rPr>
              <w:t>3</w:t>
            </w:r>
            <w:r>
              <w:rPr>
                <w:szCs w:val="21"/>
              </w:rPr>
              <w:t>/d）处理后回用；接入污水管网后食堂污水经规格为1.5m</w:t>
            </w:r>
            <w:r>
              <w:rPr>
                <w:szCs w:val="21"/>
                <w:vertAlign w:val="superscript"/>
              </w:rPr>
              <w:t>3</w:t>
            </w:r>
            <w:r>
              <w:rPr>
                <w:szCs w:val="21"/>
              </w:rPr>
              <w:t>隔油池处理后和生活污水经规格为6m</w:t>
            </w:r>
            <w:r>
              <w:rPr>
                <w:szCs w:val="21"/>
                <w:vertAlign w:val="superscript"/>
              </w:rPr>
              <w:t>3</w:t>
            </w:r>
            <w:r>
              <w:rPr>
                <w:szCs w:val="21"/>
              </w:rPr>
              <w:t>化粪池处理后达到《污水排入城镇下水道水质标准》（GB/T31962-2015）A等级标准要求排入污水管网，进入姚安县第二污水处理厂进行处理。（姚安县第二污水处理厂的设计规模近期为5000m</w:t>
            </w:r>
            <w:r>
              <w:rPr>
                <w:szCs w:val="21"/>
                <w:vertAlign w:val="superscript"/>
              </w:rPr>
              <w:t>3</w:t>
            </w:r>
            <w:r>
              <w:rPr>
                <w:szCs w:val="21"/>
              </w:rPr>
              <w:t>/d，工艺A</w:t>
            </w:r>
            <w:r>
              <w:rPr>
                <w:szCs w:val="21"/>
                <w:vertAlign w:val="superscript"/>
              </w:rPr>
              <w:t>2</w:t>
            </w:r>
            <w:r>
              <w:rPr>
                <w:szCs w:val="21"/>
              </w:rPr>
              <w:t>/O+MBBR），远期为10000m</w:t>
            </w:r>
            <w:r>
              <w:rPr>
                <w:szCs w:val="21"/>
                <w:vertAlign w:val="superscript"/>
              </w:rPr>
              <w:t>3</w:t>
            </w:r>
            <w:r>
              <w:rPr>
                <w:szCs w:val="21"/>
              </w:rPr>
              <w:t>/d，出水水质可达一级A标）</w:t>
            </w:r>
          </w:p>
        </w:tc>
        <w:tc>
          <w:tcPr>
            <w:tcW w:w="2617" w:type="dxa"/>
            <w:vAlign w:val="center"/>
          </w:tcPr>
          <w:p>
            <w:pPr>
              <w:snapToGrid w:val="0"/>
              <w:jc w:val="center"/>
              <w:rPr>
                <w:szCs w:val="21"/>
              </w:rPr>
            </w:pPr>
          </w:p>
          <w:p>
            <w:pPr>
              <w:snapToGrid w:val="0"/>
              <w:jc w:val="center"/>
              <w:rPr>
                <w:szCs w:val="21"/>
              </w:rPr>
            </w:pPr>
            <w:r>
              <w:rPr>
                <w:szCs w:val="21"/>
              </w:rPr>
              <w:t>接通污水管网前：《城市污水再生利用-农田灌溉用水水质》（GB/T20922-2007）</w:t>
            </w:r>
          </w:p>
          <w:p>
            <w:pPr>
              <w:snapToGrid w:val="0"/>
              <w:jc w:val="center"/>
              <w:rPr>
                <w:szCs w:val="21"/>
              </w:rPr>
            </w:pPr>
            <w:r>
              <w:rPr>
                <w:szCs w:val="21"/>
              </w:rPr>
              <w:t>接通污水管网后：《污水排入城镇下水道水质标准》（GB/T31962-2015）A等级标准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286" w:type="dxa"/>
            <w:vMerge w:val="continue"/>
            <w:vAlign w:val="center"/>
          </w:tcPr>
          <w:p>
            <w:pPr>
              <w:snapToGrid w:val="0"/>
              <w:jc w:val="center"/>
              <w:rPr>
                <w:szCs w:val="21"/>
              </w:rPr>
            </w:pPr>
          </w:p>
        </w:tc>
        <w:tc>
          <w:tcPr>
            <w:tcW w:w="1276" w:type="dxa"/>
            <w:vAlign w:val="center"/>
          </w:tcPr>
          <w:p>
            <w:pPr>
              <w:snapToGrid w:val="0"/>
              <w:jc w:val="center"/>
              <w:rPr>
                <w:szCs w:val="21"/>
              </w:rPr>
            </w:pPr>
            <w:r>
              <w:rPr>
                <w:szCs w:val="21"/>
              </w:rPr>
              <w:t>锅炉废水</w:t>
            </w:r>
          </w:p>
        </w:tc>
        <w:tc>
          <w:tcPr>
            <w:tcW w:w="1276" w:type="dxa"/>
            <w:vAlign w:val="center"/>
          </w:tcPr>
          <w:p>
            <w:pPr>
              <w:snapToGrid w:val="0"/>
              <w:jc w:val="center"/>
              <w:rPr>
                <w:szCs w:val="21"/>
              </w:rPr>
            </w:pPr>
            <w:r>
              <w:rPr>
                <w:szCs w:val="21"/>
              </w:rPr>
              <w:t>SS</w:t>
            </w:r>
          </w:p>
        </w:tc>
        <w:tc>
          <w:tcPr>
            <w:tcW w:w="3260" w:type="dxa"/>
            <w:vMerge w:val="restart"/>
            <w:vAlign w:val="center"/>
          </w:tcPr>
          <w:p>
            <w:pPr>
              <w:snapToGrid w:val="0"/>
              <w:jc w:val="center"/>
              <w:rPr>
                <w:szCs w:val="21"/>
              </w:rPr>
            </w:pPr>
            <w:r>
              <w:rPr>
                <w:szCs w:val="21"/>
              </w:rPr>
              <w:t>锅炉废水排入化粪池，设置一个容积为9m</w:t>
            </w:r>
            <w:r>
              <w:rPr>
                <w:szCs w:val="21"/>
                <w:vertAlign w:val="superscript"/>
              </w:rPr>
              <w:t>3</w:t>
            </w:r>
            <w:r>
              <w:rPr>
                <w:szCs w:val="21"/>
              </w:rPr>
              <w:t>的回用水池收集包花预清洗废水，处理后回用于项目种植区配肥灌溉</w:t>
            </w:r>
          </w:p>
        </w:tc>
        <w:tc>
          <w:tcPr>
            <w:tcW w:w="2617" w:type="dxa"/>
            <w:vMerge w:val="restart"/>
            <w:vAlign w:val="center"/>
          </w:tcPr>
          <w:p>
            <w:pPr>
              <w:snapToGrid w:val="0"/>
              <w:jc w:val="center"/>
              <w:rPr>
                <w:szCs w:val="21"/>
              </w:rPr>
            </w:pPr>
            <w:r>
              <w:rPr>
                <w:szCs w:val="21"/>
              </w:rPr>
              <w:t>《城市污水再生利用-农田灌溉用水水质》（GB/T20922-2007）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286" w:type="dxa"/>
            <w:vMerge w:val="continue"/>
            <w:vAlign w:val="center"/>
          </w:tcPr>
          <w:p>
            <w:pPr>
              <w:snapToGrid w:val="0"/>
              <w:jc w:val="center"/>
              <w:rPr>
                <w:szCs w:val="21"/>
              </w:rPr>
            </w:pPr>
          </w:p>
        </w:tc>
        <w:tc>
          <w:tcPr>
            <w:tcW w:w="1276" w:type="dxa"/>
            <w:vAlign w:val="center"/>
          </w:tcPr>
          <w:p>
            <w:pPr>
              <w:snapToGrid w:val="0"/>
              <w:jc w:val="center"/>
              <w:rPr>
                <w:szCs w:val="21"/>
              </w:rPr>
            </w:pPr>
            <w:r>
              <w:rPr>
                <w:szCs w:val="21"/>
              </w:rPr>
              <w:t>包花预清洗废水</w:t>
            </w:r>
          </w:p>
        </w:tc>
        <w:tc>
          <w:tcPr>
            <w:tcW w:w="1276" w:type="dxa"/>
            <w:vAlign w:val="center"/>
          </w:tcPr>
          <w:p>
            <w:pPr>
              <w:snapToGrid w:val="0"/>
              <w:jc w:val="center"/>
              <w:rPr>
                <w:szCs w:val="21"/>
              </w:rPr>
            </w:pPr>
            <w:r>
              <w:rPr>
                <w:szCs w:val="21"/>
              </w:rPr>
              <w:t>SS</w:t>
            </w:r>
          </w:p>
        </w:tc>
        <w:tc>
          <w:tcPr>
            <w:tcW w:w="3260" w:type="dxa"/>
            <w:vMerge w:val="continue"/>
            <w:vAlign w:val="center"/>
          </w:tcPr>
          <w:p>
            <w:pPr>
              <w:snapToGrid w:val="0"/>
              <w:jc w:val="center"/>
              <w:rPr>
                <w:szCs w:val="21"/>
              </w:rPr>
            </w:pPr>
          </w:p>
        </w:tc>
        <w:tc>
          <w:tcPr>
            <w:tcW w:w="2617" w:type="dxa"/>
            <w:vMerge w:val="continue"/>
            <w:vAlign w:val="center"/>
          </w:tcPr>
          <w:p>
            <w:pPr>
              <w:snapToGrid w:val="0"/>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86" w:type="dxa"/>
            <w:vMerge w:val="continue"/>
            <w:vAlign w:val="center"/>
          </w:tcPr>
          <w:p>
            <w:pPr>
              <w:snapToGrid w:val="0"/>
              <w:jc w:val="center"/>
              <w:rPr>
                <w:szCs w:val="21"/>
              </w:rPr>
            </w:pPr>
          </w:p>
        </w:tc>
        <w:tc>
          <w:tcPr>
            <w:tcW w:w="1276" w:type="dxa"/>
            <w:vAlign w:val="center"/>
          </w:tcPr>
          <w:p>
            <w:pPr>
              <w:snapToGrid w:val="0"/>
              <w:jc w:val="center"/>
              <w:rPr>
                <w:szCs w:val="21"/>
              </w:rPr>
            </w:pPr>
            <w:r>
              <w:rPr>
                <w:szCs w:val="21"/>
              </w:rPr>
              <w:t>种植浇灌渗出水</w:t>
            </w:r>
          </w:p>
        </w:tc>
        <w:tc>
          <w:tcPr>
            <w:tcW w:w="1276" w:type="dxa"/>
            <w:vAlign w:val="center"/>
          </w:tcPr>
          <w:p>
            <w:pPr>
              <w:snapToGrid w:val="0"/>
              <w:jc w:val="center"/>
              <w:rPr>
                <w:szCs w:val="21"/>
              </w:rPr>
            </w:pPr>
            <w:r>
              <w:rPr>
                <w:szCs w:val="21"/>
              </w:rPr>
              <w:t>pH、CODcr、BOD</w:t>
            </w:r>
            <w:r>
              <w:rPr>
                <w:szCs w:val="21"/>
                <w:vertAlign w:val="subscript"/>
              </w:rPr>
              <w:t>5</w:t>
            </w:r>
            <w:r>
              <w:rPr>
                <w:szCs w:val="21"/>
              </w:rPr>
              <w:t>、SS、NH</w:t>
            </w:r>
            <w:r>
              <w:rPr>
                <w:szCs w:val="21"/>
                <w:vertAlign w:val="subscript"/>
              </w:rPr>
              <w:t>3</w:t>
            </w:r>
            <w:r>
              <w:rPr>
                <w:szCs w:val="21"/>
              </w:rPr>
              <w:t>-N、总磷</w:t>
            </w:r>
          </w:p>
        </w:tc>
        <w:tc>
          <w:tcPr>
            <w:tcW w:w="3260" w:type="dxa"/>
            <w:vAlign w:val="center"/>
          </w:tcPr>
          <w:p>
            <w:pPr>
              <w:snapToGrid w:val="0"/>
              <w:jc w:val="center"/>
              <w:rPr>
                <w:szCs w:val="21"/>
              </w:rPr>
            </w:pPr>
            <w:r>
              <w:rPr>
                <w:szCs w:val="21"/>
              </w:rPr>
              <w:t>回用于水肥系统</w:t>
            </w:r>
          </w:p>
        </w:tc>
        <w:tc>
          <w:tcPr>
            <w:tcW w:w="2617" w:type="dxa"/>
            <w:vAlign w:val="center"/>
          </w:tcPr>
          <w:p>
            <w:pPr>
              <w:snapToGrid w:val="0"/>
              <w:jc w:val="center"/>
              <w:rPr>
                <w:szCs w:val="21"/>
              </w:rPr>
            </w:pPr>
            <w:r>
              <w:rPr>
                <w:szCs w:val="21"/>
              </w:rPr>
              <w:t>《城市污水再生利用-农田灌溉用水水质》（GB/T20922-2007）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86" w:type="dxa"/>
            <w:vMerge w:val="continue"/>
            <w:vAlign w:val="center"/>
          </w:tcPr>
          <w:p>
            <w:pPr>
              <w:snapToGrid w:val="0"/>
              <w:jc w:val="center"/>
              <w:rPr>
                <w:szCs w:val="21"/>
              </w:rPr>
            </w:pPr>
          </w:p>
        </w:tc>
        <w:tc>
          <w:tcPr>
            <w:tcW w:w="1276" w:type="dxa"/>
            <w:vAlign w:val="center"/>
          </w:tcPr>
          <w:p>
            <w:pPr>
              <w:snapToGrid w:val="0"/>
              <w:jc w:val="center"/>
              <w:rPr>
                <w:szCs w:val="21"/>
              </w:rPr>
            </w:pPr>
            <w:r>
              <w:rPr>
                <w:szCs w:val="21"/>
              </w:rPr>
              <w:t>食堂废水</w:t>
            </w:r>
          </w:p>
        </w:tc>
        <w:tc>
          <w:tcPr>
            <w:tcW w:w="1276" w:type="dxa"/>
            <w:vAlign w:val="center"/>
          </w:tcPr>
          <w:p>
            <w:pPr>
              <w:snapToGrid w:val="0"/>
              <w:jc w:val="center"/>
              <w:rPr>
                <w:szCs w:val="21"/>
              </w:rPr>
            </w:pPr>
            <w:r>
              <w:rPr>
                <w:szCs w:val="21"/>
              </w:rPr>
              <w:t>pH、COD、BOD</w:t>
            </w:r>
            <w:r>
              <w:rPr>
                <w:szCs w:val="21"/>
                <w:vertAlign w:val="subscript"/>
              </w:rPr>
              <w:t>5</w:t>
            </w:r>
            <w:r>
              <w:rPr>
                <w:szCs w:val="21"/>
              </w:rPr>
              <w:t>、SS、氨氮、总磷、动植物油</w:t>
            </w:r>
          </w:p>
        </w:tc>
        <w:tc>
          <w:tcPr>
            <w:tcW w:w="3260" w:type="dxa"/>
            <w:vAlign w:val="center"/>
          </w:tcPr>
          <w:p>
            <w:pPr>
              <w:snapToGrid w:val="0"/>
              <w:jc w:val="center"/>
              <w:rPr>
                <w:szCs w:val="21"/>
              </w:rPr>
            </w:pPr>
            <w:r>
              <w:rPr>
                <w:szCs w:val="21"/>
              </w:rPr>
              <w:t>在未接入污水管网时，食堂污水经隔油池处理后进入自建污水处理站处理后回</w:t>
            </w:r>
          </w:p>
          <w:p>
            <w:pPr>
              <w:snapToGrid w:val="0"/>
              <w:jc w:val="center"/>
              <w:rPr>
                <w:szCs w:val="21"/>
              </w:rPr>
            </w:pPr>
            <w:r>
              <w:rPr>
                <w:szCs w:val="21"/>
              </w:rPr>
              <w:t>用；接入污水管网后食堂污水经隔油池处理后进入化粪池后达到《污水排入城镇下水道水质标准》（GB/T31962-2015）A等级标准要求排入污水管网，进入姚安县第二污水处理厂进行处理。</w:t>
            </w:r>
          </w:p>
        </w:tc>
        <w:tc>
          <w:tcPr>
            <w:tcW w:w="2617" w:type="dxa"/>
            <w:vAlign w:val="center"/>
          </w:tcPr>
          <w:p>
            <w:pPr>
              <w:snapToGrid w:val="0"/>
              <w:jc w:val="center"/>
              <w:rPr>
                <w:szCs w:val="21"/>
              </w:rPr>
            </w:pPr>
            <w:r>
              <w:rPr>
                <w:szCs w:val="21"/>
              </w:rPr>
              <w:t>接通污水管网前：《城市污水再生利用-农田灌溉用水水质》（GB/T20922-2007）</w:t>
            </w:r>
          </w:p>
          <w:p>
            <w:pPr>
              <w:snapToGrid w:val="0"/>
              <w:jc w:val="center"/>
              <w:rPr>
                <w:szCs w:val="21"/>
              </w:rPr>
            </w:pPr>
            <w:r>
              <w:rPr>
                <w:szCs w:val="21"/>
              </w:rPr>
              <w:t>接通污水管网后：《污水排入城镇下水道水质标准》（GB/T31962-2015）A等级标准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286" w:type="dxa"/>
            <w:vMerge w:val="continue"/>
            <w:vAlign w:val="center"/>
          </w:tcPr>
          <w:p>
            <w:pPr>
              <w:snapToGrid w:val="0"/>
              <w:jc w:val="center"/>
              <w:rPr>
                <w:szCs w:val="21"/>
              </w:rPr>
            </w:pPr>
          </w:p>
        </w:tc>
        <w:tc>
          <w:tcPr>
            <w:tcW w:w="1276" w:type="dxa"/>
            <w:vAlign w:val="center"/>
          </w:tcPr>
          <w:p>
            <w:pPr>
              <w:snapToGrid w:val="0"/>
              <w:jc w:val="center"/>
              <w:rPr>
                <w:szCs w:val="21"/>
              </w:rPr>
            </w:pPr>
            <w:r>
              <w:rPr>
                <w:szCs w:val="21"/>
                <w:lang w:bidi="ar"/>
              </w:rPr>
              <w:t>软水制备产生浓水</w:t>
            </w:r>
          </w:p>
        </w:tc>
        <w:tc>
          <w:tcPr>
            <w:tcW w:w="1276" w:type="dxa"/>
            <w:vAlign w:val="center"/>
          </w:tcPr>
          <w:p>
            <w:pPr>
              <w:snapToGrid w:val="0"/>
              <w:jc w:val="center"/>
              <w:rPr>
                <w:szCs w:val="21"/>
              </w:rPr>
            </w:pPr>
            <w:r>
              <w:rPr>
                <w:szCs w:val="21"/>
                <w:lang w:bidi="ar"/>
              </w:rPr>
              <w:t>全盐量</w:t>
            </w:r>
          </w:p>
        </w:tc>
        <w:tc>
          <w:tcPr>
            <w:tcW w:w="3260" w:type="dxa"/>
            <w:vAlign w:val="center"/>
          </w:tcPr>
          <w:p>
            <w:pPr>
              <w:snapToGrid w:val="0"/>
              <w:jc w:val="center"/>
              <w:rPr>
                <w:szCs w:val="21"/>
              </w:rPr>
            </w:pPr>
            <w:r>
              <w:rPr>
                <w:szCs w:val="21"/>
                <w:lang w:bidi="ar"/>
              </w:rPr>
              <w:t>收集回用于项目种植区配肥灌溉</w:t>
            </w:r>
          </w:p>
        </w:tc>
        <w:tc>
          <w:tcPr>
            <w:tcW w:w="2617" w:type="dxa"/>
            <w:vAlign w:val="center"/>
          </w:tcPr>
          <w:p>
            <w:pPr>
              <w:snapToGrid w:val="0"/>
              <w:jc w:val="center"/>
              <w:rPr>
                <w:szCs w:val="21"/>
              </w:rPr>
            </w:pPr>
            <w:r>
              <w:rPr>
                <w:szCs w:val="21"/>
                <w:lang w:bidi="ar"/>
              </w:rPr>
              <w:t>《城市污水再生利用-农田灌溉用水水质》（GB/T20922-2007）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286" w:type="dxa"/>
            <w:vMerge w:val="continue"/>
            <w:vAlign w:val="center"/>
          </w:tcPr>
          <w:p>
            <w:pPr>
              <w:snapToGrid w:val="0"/>
              <w:jc w:val="center"/>
              <w:rPr>
                <w:szCs w:val="21"/>
              </w:rPr>
            </w:pPr>
          </w:p>
        </w:tc>
        <w:tc>
          <w:tcPr>
            <w:tcW w:w="1276" w:type="dxa"/>
            <w:vAlign w:val="center"/>
          </w:tcPr>
          <w:p>
            <w:pPr>
              <w:snapToGrid w:val="0"/>
              <w:jc w:val="center"/>
              <w:rPr>
                <w:szCs w:val="21"/>
              </w:rPr>
            </w:pPr>
            <w:r>
              <w:rPr>
                <w:szCs w:val="21"/>
              </w:rPr>
              <w:t>初期雨水</w:t>
            </w:r>
          </w:p>
        </w:tc>
        <w:tc>
          <w:tcPr>
            <w:tcW w:w="1276" w:type="dxa"/>
            <w:vAlign w:val="center"/>
          </w:tcPr>
          <w:p>
            <w:pPr>
              <w:snapToGrid w:val="0"/>
              <w:jc w:val="center"/>
              <w:rPr>
                <w:szCs w:val="21"/>
              </w:rPr>
            </w:pPr>
            <w:r>
              <w:rPr>
                <w:szCs w:val="21"/>
              </w:rPr>
              <w:t>SS</w:t>
            </w:r>
          </w:p>
        </w:tc>
        <w:tc>
          <w:tcPr>
            <w:tcW w:w="3260" w:type="dxa"/>
            <w:vAlign w:val="center"/>
          </w:tcPr>
          <w:p>
            <w:pPr>
              <w:snapToGrid w:val="0"/>
              <w:jc w:val="center"/>
              <w:rPr>
                <w:szCs w:val="21"/>
              </w:rPr>
            </w:pPr>
            <w:r>
              <w:rPr>
                <w:szCs w:val="21"/>
              </w:rPr>
              <w:t>设有一个760m</w:t>
            </w:r>
            <w:r>
              <w:rPr>
                <w:szCs w:val="21"/>
                <w:vertAlign w:val="superscript"/>
              </w:rPr>
              <w:t>3</w:t>
            </w:r>
            <w:r>
              <w:rPr>
                <w:szCs w:val="21"/>
              </w:rPr>
              <w:t>的沉淀池，收集沉淀处理后回用于种植基地浇灌、配肥等</w:t>
            </w:r>
          </w:p>
        </w:tc>
        <w:tc>
          <w:tcPr>
            <w:tcW w:w="2617" w:type="dxa"/>
            <w:vAlign w:val="center"/>
          </w:tcPr>
          <w:p>
            <w:pPr>
              <w:snapToGrid w:val="0"/>
              <w:jc w:val="center"/>
              <w:rPr>
                <w:szCs w:val="21"/>
              </w:rPr>
            </w:pPr>
            <w:r>
              <w:rPr>
                <w:szCs w:val="21"/>
              </w:rPr>
              <w:t>《城市污水再生利用-农田灌溉用水水质》（GB/T20922-2007）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1286" w:type="dxa"/>
            <w:vAlign w:val="center"/>
          </w:tcPr>
          <w:p>
            <w:pPr>
              <w:snapToGrid w:val="0"/>
              <w:jc w:val="center"/>
              <w:rPr>
                <w:szCs w:val="21"/>
              </w:rPr>
            </w:pPr>
            <w:r>
              <w:rPr>
                <w:szCs w:val="21"/>
              </w:rPr>
              <w:t>声环境</w:t>
            </w:r>
          </w:p>
        </w:tc>
        <w:tc>
          <w:tcPr>
            <w:tcW w:w="1276" w:type="dxa"/>
            <w:vAlign w:val="center"/>
          </w:tcPr>
          <w:p>
            <w:pPr>
              <w:snapToGrid w:val="0"/>
              <w:jc w:val="center"/>
              <w:rPr>
                <w:szCs w:val="21"/>
              </w:rPr>
            </w:pPr>
            <w:r>
              <w:rPr>
                <w:szCs w:val="21"/>
              </w:rPr>
              <w:t>设备</w:t>
            </w:r>
          </w:p>
        </w:tc>
        <w:tc>
          <w:tcPr>
            <w:tcW w:w="1276" w:type="dxa"/>
            <w:vAlign w:val="center"/>
          </w:tcPr>
          <w:p>
            <w:pPr>
              <w:snapToGrid w:val="0"/>
              <w:jc w:val="center"/>
              <w:rPr>
                <w:szCs w:val="21"/>
              </w:rPr>
            </w:pPr>
            <w:r>
              <w:rPr>
                <w:szCs w:val="21"/>
              </w:rPr>
              <w:t>噪声</w:t>
            </w:r>
          </w:p>
        </w:tc>
        <w:tc>
          <w:tcPr>
            <w:tcW w:w="3260" w:type="dxa"/>
            <w:vAlign w:val="center"/>
          </w:tcPr>
          <w:p>
            <w:pPr>
              <w:snapToGrid w:val="0"/>
              <w:jc w:val="center"/>
              <w:rPr>
                <w:szCs w:val="21"/>
              </w:rPr>
            </w:pPr>
            <w:r>
              <w:rPr>
                <w:szCs w:val="21"/>
              </w:rPr>
              <w:t>安装减震垫，正常维护、强噪声源设置于建筑物中。</w:t>
            </w:r>
          </w:p>
        </w:tc>
        <w:tc>
          <w:tcPr>
            <w:tcW w:w="2617" w:type="dxa"/>
            <w:vAlign w:val="center"/>
          </w:tcPr>
          <w:p>
            <w:pPr>
              <w:snapToGrid w:val="0"/>
              <w:jc w:val="center"/>
              <w:rPr>
                <w:szCs w:val="21"/>
              </w:rPr>
            </w:pPr>
            <w:r>
              <w:rPr>
                <w:szCs w:val="21"/>
              </w:rPr>
              <w:t>厂界达《工业企业厂界环境噪声排放标准》（GB12348-2008）中2类标准限值，昼间≤60dB(A)，夜间≤50dB(A)。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286" w:type="dxa"/>
            <w:vAlign w:val="center"/>
          </w:tcPr>
          <w:p>
            <w:pPr>
              <w:snapToGrid w:val="0"/>
              <w:jc w:val="center"/>
              <w:rPr>
                <w:szCs w:val="21"/>
              </w:rPr>
            </w:pPr>
            <w:r>
              <w:rPr>
                <w:szCs w:val="21"/>
              </w:rPr>
              <w:t>电磁辐射</w:t>
            </w:r>
          </w:p>
        </w:tc>
        <w:tc>
          <w:tcPr>
            <w:tcW w:w="1276" w:type="dxa"/>
            <w:vAlign w:val="center"/>
          </w:tcPr>
          <w:p>
            <w:pPr>
              <w:snapToGrid w:val="0"/>
              <w:jc w:val="center"/>
              <w:rPr>
                <w:szCs w:val="21"/>
              </w:rPr>
            </w:pPr>
            <w:r>
              <w:rPr>
                <w:szCs w:val="21"/>
              </w:rPr>
              <w:t>/</w:t>
            </w:r>
          </w:p>
        </w:tc>
        <w:tc>
          <w:tcPr>
            <w:tcW w:w="1276" w:type="dxa"/>
            <w:vAlign w:val="center"/>
          </w:tcPr>
          <w:p>
            <w:pPr>
              <w:snapToGrid w:val="0"/>
              <w:jc w:val="center"/>
              <w:rPr>
                <w:szCs w:val="21"/>
              </w:rPr>
            </w:pPr>
            <w:r>
              <w:rPr>
                <w:szCs w:val="21"/>
              </w:rPr>
              <w:t>/</w:t>
            </w:r>
          </w:p>
        </w:tc>
        <w:tc>
          <w:tcPr>
            <w:tcW w:w="3260" w:type="dxa"/>
            <w:vAlign w:val="center"/>
          </w:tcPr>
          <w:p>
            <w:pPr>
              <w:snapToGrid w:val="0"/>
              <w:jc w:val="center"/>
              <w:rPr>
                <w:szCs w:val="21"/>
              </w:rPr>
            </w:pPr>
            <w:r>
              <w:rPr>
                <w:szCs w:val="21"/>
              </w:rPr>
              <w:t>/</w:t>
            </w:r>
          </w:p>
        </w:tc>
        <w:tc>
          <w:tcPr>
            <w:tcW w:w="2617" w:type="dxa"/>
            <w:vAlign w:val="center"/>
          </w:tcPr>
          <w:p>
            <w:pPr>
              <w:snapToGrid w:val="0"/>
              <w:jc w:val="center"/>
              <w:rPr>
                <w:szCs w:val="21"/>
              </w:rPr>
            </w:pPr>
            <w:r>
              <w:rPr>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286" w:type="dxa"/>
            <w:vAlign w:val="center"/>
          </w:tcPr>
          <w:p>
            <w:pPr>
              <w:snapToGrid w:val="0"/>
              <w:jc w:val="center"/>
              <w:rPr>
                <w:szCs w:val="21"/>
              </w:rPr>
            </w:pPr>
            <w:r>
              <w:rPr>
                <w:szCs w:val="21"/>
              </w:rPr>
              <w:t>固体废物</w:t>
            </w:r>
          </w:p>
        </w:tc>
        <w:tc>
          <w:tcPr>
            <w:tcW w:w="8429" w:type="dxa"/>
            <w:gridSpan w:val="4"/>
            <w:vAlign w:val="center"/>
          </w:tcPr>
          <w:p>
            <w:pPr>
              <w:snapToGrid w:val="0"/>
              <w:rPr>
                <w:szCs w:val="21"/>
              </w:rPr>
            </w:pPr>
            <w:r>
              <w:rPr>
                <w:szCs w:val="21"/>
              </w:rPr>
              <w:t>（1）一般固废：收集后由环卫部门定期清运。</w:t>
            </w:r>
            <w:r>
              <w:rPr>
                <w:szCs w:val="21"/>
                <w:lang w:bidi="ar"/>
              </w:rPr>
              <w:t>种植固废部分售卖农户，部分粉碎回田（不发酵）。</w:t>
            </w:r>
          </w:p>
          <w:p>
            <w:pPr>
              <w:snapToGrid w:val="0"/>
              <w:rPr>
                <w:szCs w:val="21"/>
              </w:rPr>
            </w:pPr>
            <w:r>
              <w:rPr>
                <w:szCs w:val="21"/>
              </w:rPr>
              <w:t>（2）危险固废：环评要求设1座危险废物贮存库对危险废物暂存，由有资质的相关单位进行清运，危险废物贮存间执行《危险废物贮存污染控制标准》（GB18597-2023）的相关规定，应建立健全企业危险废物责任制度，完善和制定管理台账和管理计划，落实危险废物规范化管理措施。</w:t>
            </w:r>
          </w:p>
          <w:p>
            <w:pPr>
              <w:snapToGrid w:val="0"/>
              <w:ind w:firstLine="420" w:firstLineChars="200"/>
              <w:rPr>
                <w:szCs w:val="21"/>
              </w:rPr>
            </w:pPr>
            <w:r>
              <w:rPr>
                <w:szCs w:val="21"/>
              </w:rPr>
              <w:t>项目各项固废均得到有效处置，处置率达100%。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286" w:type="dxa"/>
            <w:vAlign w:val="center"/>
          </w:tcPr>
          <w:p>
            <w:pPr>
              <w:snapToGrid w:val="0"/>
              <w:jc w:val="center"/>
              <w:rPr>
                <w:szCs w:val="21"/>
              </w:rPr>
            </w:pPr>
            <w:r>
              <w:rPr>
                <w:szCs w:val="21"/>
              </w:rPr>
              <w:t>土壤及地下水污染防治措施</w:t>
            </w:r>
          </w:p>
        </w:tc>
        <w:tc>
          <w:tcPr>
            <w:tcW w:w="8429" w:type="dxa"/>
            <w:gridSpan w:val="4"/>
            <w:vAlign w:val="center"/>
          </w:tcPr>
          <w:p>
            <w:pPr>
              <w:snapToGrid w:val="0"/>
              <w:jc w:val="center"/>
              <w:rPr>
                <w:szCs w:val="21"/>
              </w:rPr>
            </w:pPr>
            <w:r>
              <w:rPr>
                <w:szCs w:val="21"/>
              </w:rPr>
              <w:t>源头上控制对土壤及地下水的污染。企业应从设计、管理中防止和减少污染物滴漏。采取的主要措施包括工艺、管道，设备、土建、给排水、总图布置等防止污染物泄露的措施。在处理或贮存化学品的所有区域设置防渗漏的地耳并设置围堰，以确保任何物质的冒溢均能被回收，从而防止土壤和地下水环境污染。设计强酸或强碱操作区域的地基、地面、围墙、排水沟均通过耐酸碱混凝土或耐酸碱胶泥或花岗岩处理；其他操作区域的地基、地面均铺设防渗漏地基。严格按照化工环境保护设计规范设计施工，设计化学物质的输送管线均设置在地面上，不设地下贮罐。地下集水池经过酸性防腐和防渗漏处理。企业危险废物临时堆场设冒应符合《危险废物贮存污染控制标准》（GB18597-2023）要求，废物临时堆场应采取防雨淋、防扬散、防渗漏、防流失等措施，以免对地下水和土壤造成污染。本项目危险废物贮存库和危险化学品暂存间为重点防渗区，建设防渗、防腐措施，等效黏土防渗层Mb≥1.5m，K≤1×10</w:t>
            </w:r>
            <w:r>
              <w:rPr>
                <w:szCs w:val="21"/>
                <w:vertAlign w:val="superscript"/>
              </w:rPr>
              <w:t>-7</w:t>
            </w:r>
            <w:r>
              <w:rPr>
                <w:szCs w:val="21"/>
              </w:rPr>
              <w:t>cm/s；或参照GB16889执行。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286" w:type="dxa"/>
            <w:vAlign w:val="center"/>
          </w:tcPr>
          <w:p>
            <w:pPr>
              <w:snapToGrid w:val="0"/>
              <w:jc w:val="center"/>
              <w:rPr>
                <w:szCs w:val="21"/>
              </w:rPr>
            </w:pPr>
            <w:r>
              <w:rPr>
                <w:szCs w:val="21"/>
              </w:rPr>
              <w:t>生态保护措施</w:t>
            </w:r>
          </w:p>
        </w:tc>
        <w:tc>
          <w:tcPr>
            <w:tcW w:w="8429" w:type="dxa"/>
            <w:gridSpan w:val="4"/>
            <w:vAlign w:val="center"/>
          </w:tcPr>
          <w:p>
            <w:pPr>
              <w:snapToGrid w:val="0"/>
              <w:jc w:val="center"/>
              <w:rPr>
                <w:szCs w:val="21"/>
              </w:rPr>
            </w:pPr>
            <w:r>
              <w:rPr>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286" w:type="dxa"/>
            <w:vAlign w:val="center"/>
          </w:tcPr>
          <w:p>
            <w:pPr>
              <w:snapToGrid w:val="0"/>
              <w:jc w:val="center"/>
              <w:rPr>
                <w:szCs w:val="21"/>
              </w:rPr>
            </w:pPr>
            <w:r>
              <w:rPr>
                <w:szCs w:val="21"/>
              </w:rPr>
              <w:t>环境风险</w:t>
            </w:r>
          </w:p>
          <w:p>
            <w:pPr>
              <w:snapToGrid w:val="0"/>
              <w:jc w:val="center"/>
              <w:rPr>
                <w:szCs w:val="21"/>
              </w:rPr>
            </w:pPr>
            <w:r>
              <w:rPr>
                <w:szCs w:val="21"/>
              </w:rPr>
              <w:t>防范措施</w:t>
            </w:r>
          </w:p>
        </w:tc>
        <w:tc>
          <w:tcPr>
            <w:tcW w:w="8429" w:type="dxa"/>
            <w:gridSpan w:val="4"/>
            <w:vAlign w:val="center"/>
          </w:tcPr>
          <w:p>
            <w:pPr>
              <w:snapToGrid w:val="0"/>
              <w:rPr>
                <w:szCs w:val="21"/>
              </w:rPr>
            </w:pPr>
            <w:r>
              <w:rPr>
                <w:szCs w:val="21"/>
              </w:rPr>
              <w:t>对地面进行硬化；定期对仓库进行检查，防止润滑油桶破损泄漏；对工作人员进行安全卫生和环保教育，提高操作工作人员的技术水平和责任心，加强生产管理，严格规章制度，降低误操作引发事故的环境风险；对各类贮存容器、机电装置、安全设施、消防器材等，进行各种日常的、定期的、专业的防火安全检查，并将发现的问题落实到人、限期落实整改；建立值班巡查制度、火险报告制度、安全奖惩制度等；开展各种形式的安全教育和宣传，增强全员安全意识。加强职工培训，增强职工的安全意识和相关知识；坚持定时安全检查，对查出的事故隐患及时整改；严格按照《企业事业单位突发环境事件应急预案备案管理办法（试行）》要求，编制《突发环境事件应急预案》，组织专家及周边相关单位评审并上报当地环保部门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286" w:type="dxa"/>
            <w:vAlign w:val="center"/>
          </w:tcPr>
          <w:p>
            <w:pPr>
              <w:snapToGrid w:val="0"/>
              <w:jc w:val="center"/>
              <w:rPr>
                <w:szCs w:val="21"/>
              </w:rPr>
            </w:pPr>
            <w:r>
              <w:rPr>
                <w:szCs w:val="21"/>
              </w:rPr>
              <w:t>其他环境</w:t>
            </w:r>
          </w:p>
          <w:p>
            <w:pPr>
              <w:snapToGrid w:val="0"/>
              <w:jc w:val="center"/>
              <w:rPr>
                <w:szCs w:val="21"/>
              </w:rPr>
            </w:pPr>
            <w:r>
              <w:rPr>
                <w:szCs w:val="21"/>
              </w:rPr>
              <w:t>管理要求</w:t>
            </w:r>
          </w:p>
        </w:tc>
        <w:tc>
          <w:tcPr>
            <w:tcW w:w="8429" w:type="dxa"/>
            <w:gridSpan w:val="4"/>
            <w:vAlign w:val="center"/>
          </w:tcPr>
          <w:p>
            <w:pPr>
              <w:snapToGrid w:val="0"/>
              <w:rPr>
                <w:szCs w:val="21"/>
              </w:rPr>
            </w:pPr>
            <w:r>
              <w:rPr>
                <w:rFonts w:hint="eastAsia" w:ascii="宋体" w:hAnsi="宋体" w:cs="宋体"/>
                <w:szCs w:val="21"/>
              </w:rPr>
              <w:t>①</w:t>
            </w:r>
            <w:r>
              <w:rPr>
                <w:szCs w:val="21"/>
              </w:rPr>
              <w:t>加强日常管理，配备专门的环保管理人员；</w:t>
            </w:r>
          </w:p>
          <w:p>
            <w:pPr>
              <w:snapToGrid w:val="0"/>
              <w:rPr>
                <w:szCs w:val="21"/>
              </w:rPr>
            </w:pPr>
            <w:r>
              <w:rPr>
                <w:rFonts w:hint="eastAsia" w:ascii="宋体" w:hAnsi="宋体" w:cs="宋体"/>
                <w:szCs w:val="21"/>
              </w:rPr>
              <w:t>②</w:t>
            </w:r>
            <w:r>
              <w:rPr>
                <w:szCs w:val="21"/>
              </w:rPr>
              <w:t>排污口规范化设置；</w:t>
            </w:r>
          </w:p>
          <w:p>
            <w:pPr>
              <w:snapToGrid w:val="0"/>
              <w:rPr>
                <w:szCs w:val="21"/>
              </w:rPr>
            </w:pPr>
            <w:r>
              <w:rPr>
                <w:rFonts w:hint="eastAsia" w:ascii="宋体" w:hAnsi="宋体" w:cs="宋体"/>
                <w:szCs w:val="21"/>
              </w:rPr>
              <w:t>③</w:t>
            </w:r>
            <w:r>
              <w:rPr>
                <w:szCs w:val="21"/>
              </w:rPr>
              <w:t>建立环境监测计划；</w:t>
            </w:r>
          </w:p>
          <w:p>
            <w:pPr>
              <w:snapToGrid w:val="0"/>
              <w:rPr>
                <w:szCs w:val="21"/>
              </w:rPr>
            </w:pPr>
            <w:r>
              <w:rPr>
                <w:rFonts w:hint="eastAsia" w:ascii="宋体" w:hAnsi="宋体" w:cs="宋体"/>
                <w:szCs w:val="21"/>
              </w:rPr>
              <w:t>④</w:t>
            </w:r>
            <w:r>
              <w:rPr>
                <w:szCs w:val="21"/>
              </w:rPr>
              <w:t>执行国家环境保护“三同时”制度，投入运行后，及时按照国环规环评[2017]4 号《建设项目竣工环境保护验收暂行办法》中的相关规定要求开展自主竣工环境保护验收；</w:t>
            </w:r>
          </w:p>
          <w:p>
            <w:pPr>
              <w:snapToGrid w:val="0"/>
              <w:rPr>
                <w:szCs w:val="21"/>
              </w:rPr>
            </w:pPr>
            <w:r>
              <w:rPr>
                <w:rFonts w:hint="eastAsia" w:ascii="宋体" w:hAnsi="宋体" w:cs="宋体"/>
                <w:szCs w:val="21"/>
              </w:rPr>
              <w:t>⑤</w:t>
            </w:r>
            <w:r>
              <w:rPr>
                <w:szCs w:val="21"/>
              </w:rPr>
              <w:t>强化排污许可的申报以及证后管理。</w:t>
            </w:r>
          </w:p>
        </w:tc>
      </w:tr>
    </w:tbl>
    <w:p>
      <w:pPr>
        <w:spacing w:line="360" w:lineRule="auto"/>
        <w:rPr>
          <w:b/>
          <w:bCs/>
          <w:snapToGrid w:val="0"/>
          <w:sz w:val="24"/>
        </w:rPr>
      </w:pPr>
    </w:p>
    <w:p>
      <w:pPr>
        <w:spacing w:line="360" w:lineRule="auto"/>
        <w:jc w:val="center"/>
        <w:rPr>
          <w:b/>
          <w:bCs/>
          <w:snapToGrid w:val="0"/>
          <w:sz w:val="24"/>
        </w:rPr>
        <w:sectPr>
          <w:pgSz w:w="11906" w:h="16838"/>
          <w:pgMar w:top="1247" w:right="1247" w:bottom="1247" w:left="1247" w:header="851" w:footer="992" w:gutter="0"/>
          <w:cols w:space="425" w:num="1"/>
          <w:docGrid w:type="lines" w:linePitch="312" w:charSpace="0"/>
        </w:sectPr>
      </w:pPr>
    </w:p>
    <w:p>
      <w:pPr>
        <w:spacing w:line="360" w:lineRule="auto"/>
        <w:jc w:val="center"/>
        <w:outlineLvl w:val="0"/>
        <w:rPr>
          <w:b/>
          <w:bCs/>
          <w:snapToGrid w:val="0"/>
          <w:kern w:val="0"/>
          <w:sz w:val="30"/>
          <w:szCs w:val="30"/>
        </w:rPr>
      </w:pPr>
      <w:bookmarkStart w:id="234" w:name="_Toc144233333"/>
      <w:r>
        <w:rPr>
          <w:b/>
          <w:bCs/>
          <w:snapToGrid w:val="0"/>
          <w:kern w:val="0"/>
          <w:sz w:val="30"/>
          <w:szCs w:val="30"/>
        </w:rPr>
        <w:t>六、结论</w:t>
      </w:r>
      <w:bookmarkEnd w:id="234"/>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pPr>
              <w:adjustRightInd w:val="0"/>
              <w:snapToGrid w:val="0"/>
              <w:spacing w:line="360" w:lineRule="auto"/>
              <w:ind w:firstLine="480" w:firstLineChars="200"/>
              <w:jc w:val="left"/>
              <w:rPr>
                <w:sz w:val="24"/>
              </w:rPr>
            </w:pPr>
            <w:r>
              <w:rPr>
                <w:sz w:val="24"/>
              </w:rPr>
              <w:t>姚安县光禄镇特色农业生产种植示范基地及配套锅炉建设项目符合国家政策，符合相关规划，符合达标排放、总量控制的原则。项目产生的环境影响包括废水、废气、噪声、固废。在采取环评提出的防治措施后，可以得到有效控制，不会对周围环境产生显著的影响。项目符合清洁生产原则，与周围环境相容。因此，在严格执行“三同时”制度，加强企业环境管理，采纳本报告提出的对策措施的前提下，本项目从环境保护角度来说是可行的。</w:t>
            </w:r>
          </w:p>
          <w:p>
            <w:pPr>
              <w:pStyle w:val="12"/>
              <w:spacing w:line="360" w:lineRule="auto"/>
              <w:rPr>
                <w:rFonts w:ascii="Times New Roman" w:hAnsi="Times New Roman"/>
                <w:sz w:val="24"/>
              </w:rPr>
            </w:pPr>
          </w:p>
          <w:p>
            <w:pPr>
              <w:pStyle w:val="12"/>
              <w:spacing w:line="360" w:lineRule="auto"/>
              <w:rPr>
                <w:rFonts w:ascii="Times New Roman" w:hAnsi="Times New Roman"/>
                <w:sz w:val="24"/>
              </w:rPr>
            </w:pPr>
          </w:p>
          <w:p>
            <w:pPr>
              <w:pStyle w:val="12"/>
              <w:spacing w:line="360" w:lineRule="auto"/>
              <w:rPr>
                <w:rFonts w:ascii="Times New Roman" w:hAnsi="Times New Roman"/>
                <w:sz w:val="24"/>
              </w:rPr>
            </w:pPr>
            <w:r>
              <w:rPr>
                <w:rFonts w:ascii="Times New Roman" w:hAnsi="Times New Roman"/>
                <w:sz w:val="24"/>
              </w:rPr>
              <w:t xml:space="preserve">   </w:t>
            </w:r>
          </w:p>
          <w:p>
            <w:pPr>
              <w:pStyle w:val="12"/>
              <w:spacing w:line="360" w:lineRule="auto"/>
              <w:rPr>
                <w:rFonts w:ascii="Times New Roman" w:hAnsi="Times New Roman"/>
                <w:sz w:val="24"/>
              </w:rPr>
            </w:pPr>
          </w:p>
          <w:p>
            <w:pPr>
              <w:pStyle w:val="12"/>
              <w:spacing w:line="360" w:lineRule="auto"/>
              <w:rPr>
                <w:rFonts w:ascii="Times New Roman" w:hAnsi="Times New Roman"/>
                <w:sz w:val="24"/>
              </w:rPr>
            </w:pPr>
          </w:p>
          <w:p>
            <w:pPr>
              <w:pStyle w:val="12"/>
              <w:spacing w:line="360" w:lineRule="auto"/>
              <w:rPr>
                <w:rFonts w:ascii="Times New Roman" w:hAnsi="Times New Roman"/>
                <w:sz w:val="24"/>
              </w:rPr>
            </w:pPr>
          </w:p>
          <w:p>
            <w:pPr>
              <w:pStyle w:val="12"/>
              <w:spacing w:line="360" w:lineRule="auto"/>
              <w:rPr>
                <w:rFonts w:ascii="Times New Roman" w:hAnsi="Times New Roman"/>
                <w:sz w:val="24"/>
              </w:rPr>
            </w:pPr>
          </w:p>
          <w:p>
            <w:pPr>
              <w:pStyle w:val="12"/>
              <w:spacing w:line="360" w:lineRule="auto"/>
              <w:rPr>
                <w:rFonts w:ascii="Times New Roman" w:hAnsi="Times New Roman"/>
                <w:sz w:val="24"/>
              </w:rPr>
            </w:pPr>
          </w:p>
          <w:p>
            <w:pPr>
              <w:pStyle w:val="12"/>
              <w:spacing w:line="360" w:lineRule="auto"/>
              <w:rPr>
                <w:rFonts w:ascii="Times New Roman" w:hAnsi="Times New Roman"/>
                <w:sz w:val="24"/>
              </w:rPr>
            </w:pPr>
          </w:p>
          <w:p>
            <w:pPr>
              <w:pStyle w:val="12"/>
              <w:spacing w:line="360" w:lineRule="auto"/>
              <w:rPr>
                <w:rFonts w:ascii="Times New Roman" w:hAnsi="Times New Roman"/>
                <w:sz w:val="24"/>
              </w:rPr>
            </w:pPr>
          </w:p>
          <w:p>
            <w:pPr>
              <w:pStyle w:val="12"/>
              <w:spacing w:line="360" w:lineRule="auto"/>
              <w:rPr>
                <w:rFonts w:ascii="Times New Roman" w:hAnsi="Times New Roman"/>
                <w:sz w:val="24"/>
              </w:rPr>
            </w:pPr>
          </w:p>
          <w:p>
            <w:pPr>
              <w:pStyle w:val="12"/>
              <w:spacing w:line="360" w:lineRule="auto"/>
              <w:rPr>
                <w:rFonts w:ascii="Times New Roman" w:hAnsi="Times New Roman"/>
                <w:sz w:val="24"/>
              </w:rPr>
            </w:pPr>
          </w:p>
          <w:p>
            <w:pPr>
              <w:pStyle w:val="12"/>
              <w:spacing w:line="360" w:lineRule="auto"/>
              <w:rPr>
                <w:rFonts w:ascii="Times New Roman" w:hAnsi="Times New Roman"/>
                <w:sz w:val="24"/>
              </w:rPr>
            </w:pPr>
          </w:p>
          <w:p>
            <w:pPr>
              <w:pStyle w:val="12"/>
              <w:spacing w:line="360" w:lineRule="auto"/>
              <w:rPr>
                <w:rFonts w:ascii="Times New Roman" w:hAnsi="Times New Roman"/>
                <w:sz w:val="24"/>
              </w:rPr>
            </w:pPr>
          </w:p>
          <w:p>
            <w:pPr>
              <w:pStyle w:val="12"/>
              <w:spacing w:line="360" w:lineRule="auto"/>
              <w:rPr>
                <w:rFonts w:ascii="Times New Roman" w:hAnsi="Times New Roman"/>
                <w:sz w:val="24"/>
              </w:rPr>
            </w:pPr>
          </w:p>
          <w:p>
            <w:pPr>
              <w:pStyle w:val="12"/>
              <w:spacing w:line="360" w:lineRule="auto"/>
              <w:rPr>
                <w:rFonts w:ascii="Times New Roman" w:hAnsi="Times New Roman"/>
                <w:sz w:val="24"/>
              </w:rPr>
            </w:pPr>
          </w:p>
          <w:p>
            <w:pPr>
              <w:pStyle w:val="12"/>
              <w:spacing w:line="360" w:lineRule="auto"/>
              <w:rPr>
                <w:rFonts w:ascii="Times New Roman" w:hAnsi="Times New Roman"/>
                <w:sz w:val="24"/>
              </w:rPr>
            </w:pPr>
          </w:p>
          <w:p>
            <w:pPr>
              <w:pStyle w:val="12"/>
              <w:spacing w:line="360" w:lineRule="auto"/>
              <w:rPr>
                <w:rFonts w:ascii="Times New Roman" w:hAnsi="Times New Roman"/>
                <w:sz w:val="24"/>
              </w:rPr>
            </w:pPr>
          </w:p>
          <w:p>
            <w:pPr>
              <w:pStyle w:val="12"/>
              <w:spacing w:line="360" w:lineRule="auto"/>
              <w:rPr>
                <w:rFonts w:ascii="Times New Roman" w:hAnsi="Times New Roman"/>
                <w:sz w:val="24"/>
              </w:rPr>
            </w:pPr>
          </w:p>
          <w:p>
            <w:pPr>
              <w:pStyle w:val="13"/>
              <w:rPr>
                <w:rFonts w:ascii="Times New Roman"/>
                <w:color w:val="auto"/>
              </w:rPr>
            </w:pPr>
          </w:p>
        </w:tc>
      </w:tr>
    </w:tbl>
    <w:p>
      <w:pPr>
        <w:spacing w:line="360" w:lineRule="auto"/>
        <w:jc w:val="center"/>
        <w:rPr>
          <w:snapToGrid w:val="0"/>
          <w:sz w:val="24"/>
        </w:rPr>
        <w:sectPr>
          <w:pgSz w:w="11906" w:h="16838"/>
          <w:pgMar w:top="1247" w:right="1247" w:bottom="1247" w:left="1247" w:header="851" w:footer="992" w:gutter="0"/>
          <w:cols w:space="425" w:num="1"/>
          <w:docGrid w:type="lines" w:linePitch="312" w:charSpace="0"/>
        </w:sectPr>
      </w:pPr>
    </w:p>
    <w:p>
      <w:pPr>
        <w:pStyle w:val="23"/>
        <w:adjustRightInd w:val="0"/>
        <w:snapToGrid w:val="0"/>
        <w:spacing w:before="0" w:beforeAutospacing="0" w:after="0" w:afterAutospacing="0" w:line="360" w:lineRule="auto"/>
        <w:outlineLvl w:val="0"/>
        <w:rPr>
          <w:rFonts w:ascii="Times New Roman" w:hAnsi="Times New Roman"/>
          <w:snapToGrid w:val="0"/>
          <w:szCs w:val="24"/>
        </w:rPr>
      </w:pPr>
      <w:bookmarkStart w:id="235" w:name="_Toc5606"/>
      <w:bookmarkStart w:id="236" w:name="_Toc144233334"/>
      <w:bookmarkStart w:id="237" w:name="_Toc30772"/>
      <w:r>
        <w:rPr>
          <w:rFonts w:ascii="Times New Roman" w:hAnsi="Times New Roman"/>
          <w:snapToGrid w:val="0"/>
          <w:szCs w:val="24"/>
        </w:rPr>
        <w:t>附表</w:t>
      </w:r>
      <w:bookmarkEnd w:id="235"/>
      <w:bookmarkEnd w:id="236"/>
      <w:bookmarkEnd w:id="237"/>
    </w:p>
    <w:p>
      <w:pPr>
        <w:pStyle w:val="23"/>
        <w:adjustRightInd w:val="0"/>
        <w:snapToGrid w:val="0"/>
        <w:spacing w:before="0" w:beforeAutospacing="0" w:after="0" w:afterAutospacing="0" w:line="360" w:lineRule="auto"/>
        <w:jc w:val="center"/>
        <w:rPr>
          <w:rFonts w:ascii="Times New Roman" w:hAnsi="Times New Roman"/>
          <w:snapToGrid w:val="0"/>
          <w:szCs w:val="24"/>
        </w:rPr>
      </w:pPr>
      <w:bookmarkStart w:id="238" w:name="_Toc27505"/>
      <w:bookmarkStart w:id="239" w:name="_Toc8741"/>
      <w:r>
        <w:rPr>
          <w:rFonts w:ascii="Times New Roman" w:hAnsi="Times New Roman"/>
          <w:b/>
          <w:bCs/>
          <w:snapToGrid w:val="0"/>
          <w:szCs w:val="24"/>
        </w:rPr>
        <w:t>建设项目污染物排放量汇总表</w:t>
      </w:r>
      <w:bookmarkEnd w:id="238"/>
      <w:bookmarkEnd w:id="239"/>
    </w:p>
    <w:tbl>
      <w:tblPr>
        <w:tblStyle w:val="27"/>
        <w:tblW w:w="1466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32"/>
        <w:gridCol w:w="834"/>
        <w:gridCol w:w="1486"/>
        <w:gridCol w:w="1784"/>
        <w:gridCol w:w="1338"/>
        <w:gridCol w:w="1573"/>
        <w:gridCol w:w="1644"/>
        <w:gridCol w:w="1856"/>
        <w:gridCol w:w="1970"/>
        <w:gridCol w:w="13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66" w:type="dxa"/>
            <w:gridSpan w:val="2"/>
            <w:tcBorders>
              <w:tl2br w:val="single" w:color="auto" w:sz="4" w:space="0"/>
            </w:tcBorders>
            <w:tcMar>
              <w:left w:w="28" w:type="dxa"/>
              <w:right w:w="28" w:type="dxa"/>
            </w:tcMar>
            <w:vAlign w:val="center"/>
          </w:tcPr>
          <w:p>
            <w:pPr>
              <w:pStyle w:val="39"/>
              <w:spacing w:beforeLines="0" w:afterLines="0" w:line="240" w:lineRule="auto"/>
              <w:jc w:val="right"/>
              <w:rPr>
                <w:rFonts w:ascii="Times New Roman"/>
                <w:b/>
                <w:snapToGrid w:val="0"/>
                <w:spacing w:val="-6"/>
                <w:kern w:val="21"/>
                <w:szCs w:val="21"/>
              </w:rPr>
            </w:pPr>
            <w:r>
              <w:rPr>
                <w:rFonts w:ascii="Times New Roman"/>
                <w:b/>
                <w:snapToGrid w:val="0"/>
                <w:spacing w:val="-6"/>
                <w:kern w:val="21"/>
                <w:szCs w:val="21"/>
              </w:rPr>
              <w:t>项目</w:t>
            </w:r>
          </w:p>
          <w:p>
            <w:pPr>
              <w:pStyle w:val="39"/>
              <w:spacing w:beforeLines="0" w:afterLines="0" w:line="240" w:lineRule="auto"/>
              <w:jc w:val="left"/>
              <w:rPr>
                <w:rFonts w:ascii="Times New Roman"/>
                <w:b/>
                <w:snapToGrid w:val="0"/>
                <w:spacing w:val="-6"/>
                <w:kern w:val="21"/>
                <w:szCs w:val="21"/>
              </w:rPr>
            </w:pPr>
            <w:r>
              <w:rPr>
                <w:rFonts w:ascii="Times New Roman"/>
                <w:b/>
                <w:snapToGrid w:val="0"/>
                <w:spacing w:val="-6"/>
                <w:kern w:val="21"/>
                <w:szCs w:val="21"/>
              </w:rPr>
              <w:t>分类</w:t>
            </w:r>
          </w:p>
        </w:tc>
        <w:tc>
          <w:tcPr>
            <w:tcW w:w="1486" w:type="dxa"/>
            <w:tcMar>
              <w:left w:w="28" w:type="dxa"/>
              <w:right w:w="28" w:type="dxa"/>
            </w:tcMar>
            <w:vAlign w:val="center"/>
          </w:tcPr>
          <w:p>
            <w:pPr>
              <w:pStyle w:val="39"/>
              <w:spacing w:beforeLines="0" w:afterLines="0" w:line="240" w:lineRule="auto"/>
              <w:rPr>
                <w:rFonts w:ascii="Times New Roman"/>
                <w:b/>
                <w:snapToGrid w:val="0"/>
                <w:spacing w:val="-6"/>
                <w:kern w:val="21"/>
                <w:szCs w:val="21"/>
              </w:rPr>
            </w:pPr>
            <w:r>
              <w:rPr>
                <w:rFonts w:ascii="Times New Roman"/>
                <w:b/>
                <w:snapToGrid w:val="0"/>
                <w:spacing w:val="-6"/>
                <w:kern w:val="21"/>
                <w:szCs w:val="21"/>
              </w:rPr>
              <w:t>污染物名称</w:t>
            </w:r>
          </w:p>
        </w:tc>
        <w:tc>
          <w:tcPr>
            <w:tcW w:w="1784" w:type="dxa"/>
            <w:tcMar>
              <w:left w:w="28" w:type="dxa"/>
              <w:right w:w="28" w:type="dxa"/>
            </w:tcMar>
            <w:vAlign w:val="center"/>
          </w:tcPr>
          <w:p>
            <w:pPr>
              <w:pStyle w:val="39"/>
              <w:spacing w:beforeLines="0" w:afterLines="0" w:line="240" w:lineRule="auto"/>
              <w:rPr>
                <w:rFonts w:ascii="Times New Roman"/>
                <w:b/>
                <w:snapToGrid w:val="0"/>
                <w:spacing w:val="-6"/>
                <w:kern w:val="21"/>
                <w:szCs w:val="21"/>
              </w:rPr>
            </w:pPr>
            <w:r>
              <w:rPr>
                <w:rFonts w:ascii="Times New Roman"/>
                <w:b/>
                <w:snapToGrid w:val="0"/>
                <w:spacing w:val="-6"/>
                <w:kern w:val="21"/>
                <w:szCs w:val="21"/>
              </w:rPr>
              <w:t>现有工程</w:t>
            </w:r>
          </w:p>
          <w:p>
            <w:pPr>
              <w:pStyle w:val="39"/>
              <w:spacing w:beforeLines="0" w:afterLines="0" w:line="240" w:lineRule="auto"/>
              <w:rPr>
                <w:rFonts w:ascii="Times New Roman"/>
                <w:b/>
                <w:snapToGrid w:val="0"/>
                <w:spacing w:val="-6"/>
                <w:kern w:val="21"/>
                <w:szCs w:val="21"/>
              </w:rPr>
            </w:pPr>
            <w:r>
              <w:rPr>
                <w:rFonts w:ascii="Times New Roman"/>
                <w:b/>
                <w:snapToGrid w:val="0"/>
                <w:spacing w:val="-6"/>
                <w:kern w:val="21"/>
                <w:szCs w:val="21"/>
              </w:rPr>
              <w:t>排放量（固体废物产生量）</w:t>
            </w:r>
            <w:r>
              <w:rPr>
                <w:rFonts w:ascii="Times New Roman"/>
                <w:b/>
                <w:snapToGrid w:val="0"/>
                <w:spacing w:val="-6"/>
                <w:kern w:val="21"/>
                <w:szCs w:val="21"/>
              </w:rPr>
              <w:fldChar w:fldCharType="begin"/>
            </w:r>
            <w:r>
              <w:rPr>
                <w:rFonts w:ascii="Times New Roman"/>
                <w:b/>
                <w:snapToGrid w:val="0"/>
                <w:spacing w:val="-6"/>
                <w:kern w:val="21"/>
                <w:szCs w:val="21"/>
              </w:rPr>
              <w:instrText xml:space="preserve"> = 1 \* GB3 </w:instrText>
            </w:r>
            <w:r>
              <w:rPr>
                <w:rFonts w:ascii="Times New Roman"/>
                <w:b/>
                <w:snapToGrid w:val="0"/>
                <w:spacing w:val="-6"/>
                <w:kern w:val="21"/>
                <w:szCs w:val="21"/>
              </w:rPr>
              <w:fldChar w:fldCharType="separate"/>
            </w:r>
            <w:r>
              <w:rPr>
                <w:rFonts w:hint="eastAsia" w:hAnsi="宋体" w:cs="宋体"/>
                <w:b/>
                <w:snapToGrid w:val="0"/>
                <w:spacing w:val="-6"/>
                <w:kern w:val="21"/>
                <w:szCs w:val="21"/>
              </w:rPr>
              <w:t>①</w:t>
            </w:r>
            <w:r>
              <w:rPr>
                <w:rFonts w:ascii="Times New Roman"/>
                <w:b/>
                <w:snapToGrid w:val="0"/>
                <w:spacing w:val="-6"/>
                <w:kern w:val="21"/>
                <w:szCs w:val="21"/>
              </w:rPr>
              <w:fldChar w:fldCharType="end"/>
            </w:r>
          </w:p>
        </w:tc>
        <w:tc>
          <w:tcPr>
            <w:tcW w:w="1338" w:type="dxa"/>
            <w:tcMar>
              <w:left w:w="28" w:type="dxa"/>
              <w:right w:w="28" w:type="dxa"/>
            </w:tcMar>
            <w:vAlign w:val="center"/>
          </w:tcPr>
          <w:p>
            <w:pPr>
              <w:pStyle w:val="39"/>
              <w:spacing w:beforeLines="0" w:afterLines="0" w:line="240" w:lineRule="auto"/>
              <w:rPr>
                <w:rFonts w:ascii="Times New Roman"/>
                <w:b/>
                <w:snapToGrid w:val="0"/>
                <w:spacing w:val="-6"/>
                <w:kern w:val="21"/>
                <w:szCs w:val="21"/>
              </w:rPr>
            </w:pPr>
            <w:r>
              <w:rPr>
                <w:rFonts w:ascii="Times New Roman"/>
                <w:b/>
                <w:snapToGrid w:val="0"/>
                <w:spacing w:val="-6"/>
                <w:kern w:val="21"/>
                <w:szCs w:val="21"/>
              </w:rPr>
              <w:t>现有工程</w:t>
            </w:r>
          </w:p>
          <w:p>
            <w:pPr>
              <w:pStyle w:val="39"/>
              <w:spacing w:beforeLines="0" w:afterLines="0" w:line="240" w:lineRule="auto"/>
              <w:rPr>
                <w:rFonts w:ascii="Times New Roman"/>
                <w:b/>
                <w:snapToGrid w:val="0"/>
                <w:spacing w:val="-6"/>
                <w:kern w:val="21"/>
                <w:szCs w:val="21"/>
              </w:rPr>
            </w:pPr>
            <w:r>
              <w:rPr>
                <w:rFonts w:ascii="Times New Roman"/>
                <w:b/>
                <w:snapToGrid w:val="0"/>
                <w:spacing w:val="-6"/>
                <w:kern w:val="21"/>
                <w:szCs w:val="21"/>
              </w:rPr>
              <w:t>许可排放量</w:t>
            </w:r>
          </w:p>
          <w:p>
            <w:pPr>
              <w:pStyle w:val="39"/>
              <w:spacing w:beforeLines="0" w:afterLines="0" w:line="240" w:lineRule="auto"/>
              <w:rPr>
                <w:rFonts w:ascii="Times New Roman"/>
                <w:b/>
                <w:snapToGrid w:val="0"/>
                <w:spacing w:val="-6"/>
                <w:kern w:val="21"/>
                <w:szCs w:val="21"/>
              </w:rPr>
            </w:pPr>
            <w:r>
              <w:rPr>
                <w:rFonts w:ascii="Times New Roman"/>
                <w:b/>
                <w:snapToGrid w:val="0"/>
                <w:spacing w:val="-6"/>
                <w:kern w:val="21"/>
                <w:szCs w:val="21"/>
              </w:rPr>
              <w:fldChar w:fldCharType="begin"/>
            </w:r>
            <w:r>
              <w:rPr>
                <w:rFonts w:ascii="Times New Roman"/>
                <w:b/>
                <w:snapToGrid w:val="0"/>
                <w:spacing w:val="-6"/>
                <w:kern w:val="21"/>
                <w:szCs w:val="21"/>
              </w:rPr>
              <w:instrText xml:space="preserve"> = 2 \* GB3 </w:instrText>
            </w:r>
            <w:r>
              <w:rPr>
                <w:rFonts w:ascii="Times New Roman"/>
                <w:b/>
                <w:snapToGrid w:val="0"/>
                <w:spacing w:val="-6"/>
                <w:kern w:val="21"/>
                <w:szCs w:val="21"/>
              </w:rPr>
              <w:fldChar w:fldCharType="separate"/>
            </w:r>
            <w:r>
              <w:rPr>
                <w:rFonts w:hint="eastAsia" w:hAnsi="宋体" w:cs="宋体"/>
                <w:b/>
                <w:snapToGrid w:val="0"/>
                <w:spacing w:val="-6"/>
                <w:kern w:val="21"/>
                <w:szCs w:val="21"/>
              </w:rPr>
              <w:t>②</w:t>
            </w:r>
            <w:r>
              <w:rPr>
                <w:rFonts w:ascii="Times New Roman"/>
                <w:b/>
                <w:snapToGrid w:val="0"/>
                <w:spacing w:val="-6"/>
                <w:kern w:val="21"/>
                <w:szCs w:val="21"/>
              </w:rPr>
              <w:fldChar w:fldCharType="end"/>
            </w:r>
          </w:p>
        </w:tc>
        <w:tc>
          <w:tcPr>
            <w:tcW w:w="1573" w:type="dxa"/>
            <w:tcMar>
              <w:left w:w="28" w:type="dxa"/>
              <w:right w:w="28" w:type="dxa"/>
            </w:tcMar>
            <w:vAlign w:val="center"/>
          </w:tcPr>
          <w:p>
            <w:pPr>
              <w:pStyle w:val="39"/>
              <w:spacing w:beforeLines="0" w:afterLines="0" w:line="240" w:lineRule="auto"/>
              <w:rPr>
                <w:rFonts w:ascii="Times New Roman"/>
                <w:b/>
                <w:snapToGrid w:val="0"/>
                <w:spacing w:val="-6"/>
                <w:kern w:val="21"/>
                <w:szCs w:val="21"/>
              </w:rPr>
            </w:pPr>
            <w:r>
              <w:rPr>
                <w:rFonts w:ascii="Times New Roman"/>
                <w:b/>
                <w:snapToGrid w:val="0"/>
                <w:spacing w:val="-6"/>
                <w:kern w:val="21"/>
                <w:szCs w:val="21"/>
              </w:rPr>
              <w:t>在建工程</w:t>
            </w:r>
          </w:p>
          <w:p>
            <w:pPr>
              <w:pStyle w:val="39"/>
              <w:spacing w:beforeLines="0" w:afterLines="0" w:line="240" w:lineRule="auto"/>
              <w:rPr>
                <w:rFonts w:ascii="Times New Roman"/>
                <w:b/>
                <w:snapToGrid w:val="0"/>
                <w:spacing w:val="-6"/>
                <w:kern w:val="21"/>
                <w:szCs w:val="21"/>
              </w:rPr>
            </w:pPr>
            <w:r>
              <w:rPr>
                <w:rFonts w:ascii="Times New Roman"/>
                <w:b/>
                <w:snapToGrid w:val="0"/>
                <w:spacing w:val="-6"/>
                <w:kern w:val="21"/>
                <w:szCs w:val="21"/>
              </w:rPr>
              <w:t>排放量（固体废物产生量）</w:t>
            </w:r>
            <w:r>
              <w:rPr>
                <w:rFonts w:ascii="Times New Roman"/>
                <w:b/>
                <w:snapToGrid w:val="0"/>
                <w:spacing w:val="-6"/>
                <w:kern w:val="21"/>
                <w:szCs w:val="21"/>
              </w:rPr>
              <w:fldChar w:fldCharType="begin"/>
            </w:r>
            <w:r>
              <w:rPr>
                <w:rFonts w:ascii="Times New Roman"/>
                <w:b/>
                <w:snapToGrid w:val="0"/>
                <w:spacing w:val="-6"/>
                <w:kern w:val="21"/>
                <w:szCs w:val="21"/>
              </w:rPr>
              <w:instrText xml:space="preserve"> = 3 \* GB3 </w:instrText>
            </w:r>
            <w:r>
              <w:rPr>
                <w:rFonts w:ascii="Times New Roman"/>
                <w:b/>
                <w:snapToGrid w:val="0"/>
                <w:spacing w:val="-6"/>
                <w:kern w:val="21"/>
                <w:szCs w:val="21"/>
              </w:rPr>
              <w:fldChar w:fldCharType="separate"/>
            </w:r>
            <w:r>
              <w:rPr>
                <w:rFonts w:hint="eastAsia" w:hAnsi="宋体" w:cs="宋体"/>
                <w:b/>
                <w:snapToGrid w:val="0"/>
                <w:spacing w:val="-6"/>
                <w:kern w:val="21"/>
                <w:szCs w:val="21"/>
              </w:rPr>
              <w:t>③</w:t>
            </w:r>
            <w:r>
              <w:rPr>
                <w:rFonts w:ascii="Times New Roman"/>
                <w:b/>
                <w:snapToGrid w:val="0"/>
                <w:spacing w:val="-6"/>
                <w:kern w:val="21"/>
                <w:szCs w:val="21"/>
              </w:rPr>
              <w:fldChar w:fldCharType="end"/>
            </w:r>
          </w:p>
        </w:tc>
        <w:tc>
          <w:tcPr>
            <w:tcW w:w="1644" w:type="dxa"/>
            <w:tcMar>
              <w:left w:w="28" w:type="dxa"/>
              <w:right w:w="28" w:type="dxa"/>
            </w:tcMar>
            <w:vAlign w:val="center"/>
          </w:tcPr>
          <w:p>
            <w:pPr>
              <w:pStyle w:val="39"/>
              <w:spacing w:beforeLines="0" w:afterLines="0" w:line="240" w:lineRule="auto"/>
              <w:rPr>
                <w:rFonts w:ascii="Times New Roman"/>
                <w:b/>
                <w:snapToGrid w:val="0"/>
                <w:spacing w:val="-6"/>
                <w:kern w:val="21"/>
                <w:szCs w:val="21"/>
              </w:rPr>
            </w:pPr>
            <w:r>
              <w:rPr>
                <w:rFonts w:ascii="Times New Roman"/>
                <w:b/>
                <w:snapToGrid w:val="0"/>
                <w:spacing w:val="-6"/>
                <w:kern w:val="21"/>
                <w:szCs w:val="21"/>
              </w:rPr>
              <w:t>本项目</w:t>
            </w:r>
          </w:p>
          <w:p>
            <w:pPr>
              <w:pStyle w:val="39"/>
              <w:spacing w:beforeLines="0" w:afterLines="0" w:line="240" w:lineRule="auto"/>
              <w:rPr>
                <w:rFonts w:ascii="Times New Roman"/>
                <w:b/>
                <w:snapToGrid w:val="0"/>
                <w:spacing w:val="-6"/>
                <w:kern w:val="21"/>
                <w:szCs w:val="21"/>
              </w:rPr>
            </w:pPr>
            <w:r>
              <w:rPr>
                <w:rFonts w:ascii="Times New Roman"/>
                <w:b/>
                <w:snapToGrid w:val="0"/>
                <w:spacing w:val="-6"/>
                <w:kern w:val="21"/>
                <w:szCs w:val="21"/>
              </w:rPr>
              <w:t>排放量（固体废物产生量）</w:t>
            </w:r>
            <w:r>
              <w:rPr>
                <w:rFonts w:ascii="Times New Roman"/>
                <w:b/>
                <w:snapToGrid w:val="0"/>
                <w:spacing w:val="-6"/>
                <w:kern w:val="21"/>
                <w:szCs w:val="21"/>
              </w:rPr>
              <w:fldChar w:fldCharType="begin"/>
            </w:r>
            <w:r>
              <w:rPr>
                <w:rFonts w:ascii="Times New Roman"/>
                <w:b/>
                <w:snapToGrid w:val="0"/>
                <w:spacing w:val="-6"/>
                <w:kern w:val="21"/>
                <w:szCs w:val="21"/>
              </w:rPr>
              <w:instrText xml:space="preserve"> = 4 \* GB3 </w:instrText>
            </w:r>
            <w:r>
              <w:rPr>
                <w:rFonts w:ascii="Times New Roman"/>
                <w:b/>
                <w:snapToGrid w:val="0"/>
                <w:spacing w:val="-6"/>
                <w:kern w:val="21"/>
                <w:szCs w:val="21"/>
              </w:rPr>
              <w:fldChar w:fldCharType="separate"/>
            </w:r>
            <w:r>
              <w:rPr>
                <w:rFonts w:hint="eastAsia" w:hAnsi="宋体" w:cs="宋体"/>
                <w:b/>
                <w:snapToGrid w:val="0"/>
                <w:spacing w:val="-6"/>
                <w:kern w:val="21"/>
                <w:szCs w:val="21"/>
              </w:rPr>
              <w:t>④</w:t>
            </w:r>
            <w:r>
              <w:rPr>
                <w:rFonts w:ascii="Times New Roman"/>
                <w:b/>
                <w:snapToGrid w:val="0"/>
                <w:spacing w:val="-6"/>
                <w:kern w:val="21"/>
                <w:szCs w:val="21"/>
              </w:rPr>
              <w:fldChar w:fldCharType="end"/>
            </w:r>
          </w:p>
        </w:tc>
        <w:tc>
          <w:tcPr>
            <w:tcW w:w="1856" w:type="dxa"/>
            <w:tcMar>
              <w:left w:w="28" w:type="dxa"/>
              <w:right w:w="28" w:type="dxa"/>
            </w:tcMar>
            <w:vAlign w:val="center"/>
          </w:tcPr>
          <w:p>
            <w:pPr>
              <w:pStyle w:val="39"/>
              <w:spacing w:beforeLines="0" w:afterLines="0" w:line="240" w:lineRule="auto"/>
              <w:rPr>
                <w:rFonts w:ascii="Times New Roman"/>
                <w:b/>
                <w:snapToGrid w:val="0"/>
                <w:spacing w:val="-16"/>
                <w:kern w:val="21"/>
                <w:szCs w:val="21"/>
              </w:rPr>
            </w:pPr>
            <w:r>
              <w:rPr>
                <w:rFonts w:ascii="Times New Roman"/>
                <w:b/>
                <w:snapToGrid w:val="0"/>
                <w:spacing w:val="-16"/>
                <w:kern w:val="21"/>
                <w:szCs w:val="21"/>
              </w:rPr>
              <w:t>以新带老削减量</w:t>
            </w:r>
          </w:p>
          <w:p>
            <w:pPr>
              <w:pStyle w:val="39"/>
              <w:spacing w:beforeLines="0" w:afterLines="0" w:line="240" w:lineRule="auto"/>
              <w:rPr>
                <w:rFonts w:ascii="Times New Roman"/>
                <w:b/>
                <w:snapToGrid w:val="0"/>
                <w:spacing w:val="-16"/>
                <w:kern w:val="21"/>
                <w:szCs w:val="21"/>
              </w:rPr>
            </w:pPr>
            <w:r>
              <w:rPr>
                <w:rFonts w:ascii="Times New Roman"/>
                <w:b/>
                <w:snapToGrid w:val="0"/>
                <w:spacing w:val="-16"/>
                <w:kern w:val="21"/>
                <w:szCs w:val="21"/>
              </w:rPr>
              <w:t>（新建项目不填）</w:t>
            </w:r>
            <w:r>
              <w:rPr>
                <w:rFonts w:ascii="Times New Roman"/>
                <w:b/>
                <w:snapToGrid w:val="0"/>
                <w:spacing w:val="-16"/>
                <w:kern w:val="21"/>
                <w:szCs w:val="21"/>
              </w:rPr>
              <w:fldChar w:fldCharType="begin"/>
            </w:r>
            <w:r>
              <w:rPr>
                <w:rFonts w:ascii="Times New Roman"/>
                <w:b/>
                <w:snapToGrid w:val="0"/>
                <w:spacing w:val="-16"/>
                <w:kern w:val="21"/>
                <w:szCs w:val="21"/>
              </w:rPr>
              <w:instrText xml:space="preserve"> = 5 \* GB3 </w:instrText>
            </w:r>
            <w:r>
              <w:rPr>
                <w:rFonts w:ascii="Times New Roman"/>
                <w:b/>
                <w:snapToGrid w:val="0"/>
                <w:spacing w:val="-16"/>
                <w:kern w:val="21"/>
                <w:szCs w:val="21"/>
              </w:rPr>
              <w:fldChar w:fldCharType="separate"/>
            </w:r>
            <w:r>
              <w:rPr>
                <w:rFonts w:hint="eastAsia" w:hAnsi="宋体" w:cs="宋体"/>
                <w:b/>
                <w:snapToGrid w:val="0"/>
                <w:spacing w:val="-16"/>
                <w:kern w:val="21"/>
                <w:szCs w:val="21"/>
              </w:rPr>
              <w:t>⑤</w:t>
            </w:r>
            <w:r>
              <w:rPr>
                <w:rFonts w:ascii="Times New Roman"/>
                <w:b/>
                <w:snapToGrid w:val="0"/>
                <w:spacing w:val="-16"/>
                <w:kern w:val="21"/>
                <w:szCs w:val="21"/>
              </w:rPr>
              <w:fldChar w:fldCharType="end"/>
            </w:r>
          </w:p>
        </w:tc>
        <w:tc>
          <w:tcPr>
            <w:tcW w:w="1970" w:type="dxa"/>
            <w:tcMar>
              <w:left w:w="28" w:type="dxa"/>
              <w:right w:w="28" w:type="dxa"/>
            </w:tcMar>
            <w:vAlign w:val="center"/>
          </w:tcPr>
          <w:p>
            <w:pPr>
              <w:pStyle w:val="39"/>
              <w:spacing w:beforeLines="0" w:afterLines="0" w:line="240" w:lineRule="auto"/>
              <w:rPr>
                <w:rFonts w:ascii="Times New Roman"/>
                <w:b/>
                <w:snapToGrid w:val="0"/>
                <w:spacing w:val="-16"/>
                <w:kern w:val="21"/>
                <w:szCs w:val="21"/>
              </w:rPr>
            </w:pPr>
            <w:r>
              <w:rPr>
                <w:rFonts w:ascii="Times New Roman"/>
                <w:b/>
                <w:snapToGrid w:val="0"/>
                <w:spacing w:val="-16"/>
                <w:kern w:val="21"/>
                <w:szCs w:val="21"/>
              </w:rPr>
              <w:t>本项目建成后</w:t>
            </w:r>
          </w:p>
          <w:p>
            <w:pPr>
              <w:pStyle w:val="39"/>
              <w:spacing w:beforeLines="0" w:afterLines="0" w:line="240" w:lineRule="auto"/>
              <w:rPr>
                <w:rFonts w:ascii="Times New Roman"/>
                <w:b/>
                <w:snapToGrid w:val="0"/>
                <w:spacing w:val="-16"/>
                <w:kern w:val="21"/>
                <w:szCs w:val="21"/>
              </w:rPr>
            </w:pPr>
            <w:r>
              <w:rPr>
                <w:rFonts w:ascii="Times New Roman"/>
                <w:b/>
                <w:snapToGrid w:val="0"/>
                <w:spacing w:val="-16"/>
                <w:kern w:val="21"/>
                <w:szCs w:val="21"/>
              </w:rPr>
              <w:t>全厂排放量（固体废物产生量）</w:t>
            </w:r>
            <w:r>
              <w:rPr>
                <w:rFonts w:ascii="Times New Roman"/>
                <w:b/>
                <w:snapToGrid w:val="0"/>
                <w:spacing w:val="-16"/>
                <w:kern w:val="21"/>
                <w:szCs w:val="21"/>
              </w:rPr>
              <w:fldChar w:fldCharType="begin"/>
            </w:r>
            <w:r>
              <w:rPr>
                <w:rFonts w:ascii="Times New Roman"/>
                <w:b/>
                <w:snapToGrid w:val="0"/>
                <w:spacing w:val="-16"/>
                <w:kern w:val="21"/>
                <w:szCs w:val="21"/>
              </w:rPr>
              <w:instrText xml:space="preserve"> = 6 \* GB3 </w:instrText>
            </w:r>
            <w:r>
              <w:rPr>
                <w:rFonts w:ascii="Times New Roman"/>
                <w:b/>
                <w:snapToGrid w:val="0"/>
                <w:spacing w:val="-16"/>
                <w:kern w:val="21"/>
                <w:szCs w:val="21"/>
              </w:rPr>
              <w:fldChar w:fldCharType="separate"/>
            </w:r>
            <w:r>
              <w:rPr>
                <w:rFonts w:hint="eastAsia" w:hAnsi="宋体" w:cs="宋体"/>
                <w:b/>
                <w:snapToGrid w:val="0"/>
                <w:spacing w:val="-16"/>
                <w:kern w:val="21"/>
                <w:szCs w:val="21"/>
              </w:rPr>
              <w:t>⑥</w:t>
            </w:r>
            <w:r>
              <w:rPr>
                <w:rFonts w:ascii="Times New Roman"/>
                <w:b/>
                <w:snapToGrid w:val="0"/>
                <w:spacing w:val="-16"/>
                <w:kern w:val="21"/>
                <w:szCs w:val="21"/>
              </w:rPr>
              <w:fldChar w:fldCharType="end"/>
            </w:r>
          </w:p>
        </w:tc>
        <w:tc>
          <w:tcPr>
            <w:tcW w:w="1345" w:type="dxa"/>
            <w:tcMar>
              <w:left w:w="28" w:type="dxa"/>
              <w:right w:w="28" w:type="dxa"/>
            </w:tcMar>
            <w:vAlign w:val="center"/>
          </w:tcPr>
          <w:p>
            <w:pPr>
              <w:pStyle w:val="39"/>
              <w:spacing w:beforeLines="0" w:afterLines="0" w:line="240" w:lineRule="auto"/>
              <w:rPr>
                <w:rFonts w:ascii="Times New Roman"/>
                <w:b/>
                <w:snapToGrid w:val="0"/>
                <w:spacing w:val="-6"/>
                <w:kern w:val="21"/>
                <w:szCs w:val="21"/>
              </w:rPr>
            </w:pPr>
            <w:r>
              <w:rPr>
                <w:rFonts w:ascii="Times New Roman"/>
                <w:b/>
                <w:snapToGrid w:val="0"/>
                <w:spacing w:val="-6"/>
                <w:kern w:val="21"/>
                <w:szCs w:val="21"/>
              </w:rPr>
              <w:t>变化量</w:t>
            </w:r>
          </w:p>
          <w:p>
            <w:pPr>
              <w:pStyle w:val="39"/>
              <w:spacing w:beforeLines="0" w:afterLines="0" w:line="240" w:lineRule="auto"/>
              <w:rPr>
                <w:rFonts w:ascii="Times New Roman"/>
                <w:b/>
                <w:snapToGrid w:val="0"/>
                <w:spacing w:val="-6"/>
                <w:kern w:val="21"/>
                <w:szCs w:val="21"/>
              </w:rPr>
            </w:pPr>
            <w:r>
              <w:rPr>
                <w:rFonts w:ascii="Times New Roman"/>
                <w:b/>
                <w:snapToGrid w:val="0"/>
                <w:spacing w:val="-6"/>
                <w:kern w:val="21"/>
                <w:szCs w:val="21"/>
              </w:rPr>
              <w:fldChar w:fldCharType="begin"/>
            </w:r>
            <w:r>
              <w:rPr>
                <w:rFonts w:ascii="Times New Roman"/>
                <w:b/>
                <w:snapToGrid w:val="0"/>
                <w:spacing w:val="-6"/>
                <w:kern w:val="21"/>
                <w:szCs w:val="21"/>
              </w:rPr>
              <w:instrText xml:space="preserve"> = 7 \* GB3 </w:instrText>
            </w:r>
            <w:r>
              <w:rPr>
                <w:rFonts w:ascii="Times New Roman"/>
                <w:b/>
                <w:snapToGrid w:val="0"/>
                <w:spacing w:val="-6"/>
                <w:kern w:val="21"/>
                <w:szCs w:val="21"/>
              </w:rPr>
              <w:fldChar w:fldCharType="separate"/>
            </w:r>
            <w:r>
              <w:rPr>
                <w:rFonts w:hint="eastAsia" w:hAnsi="宋体" w:cs="宋体"/>
                <w:b/>
                <w:snapToGrid w:val="0"/>
                <w:spacing w:val="-6"/>
                <w:kern w:val="21"/>
                <w:szCs w:val="21"/>
              </w:rPr>
              <w:t>⑦</w:t>
            </w:r>
            <w:r>
              <w:rPr>
                <w:rFonts w:ascii="Times New Roman"/>
                <w:b/>
                <w:snapToGrid w:val="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32" w:type="dxa"/>
            <w:vMerge w:val="restart"/>
            <w:vAlign w:val="center"/>
          </w:tcPr>
          <w:p>
            <w:pPr>
              <w:pStyle w:val="39"/>
              <w:spacing w:beforeLines="0" w:afterLines="0" w:line="240" w:lineRule="auto"/>
              <w:rPr>
                <w:rFonts w:ascii="Times New Roman"/>
                <w:snapToGrid w:val="0"/>
                <w:kern w:val="21"/>
                <w:szCs w:val="21"/>
              </w:rPr>
            </w:pPr>
            <w:r>
              <w:rPr>
                <w:rFonts w:ascii="Times New Roman"/>
                <w:snapToGrid w:val="0"/>
                <w:kern w:val="21"/>
                <w:szCs w:val="21"/>
              </w:rPr>
              <w:t>废气</w:t>
            </w:r>
          </w:p>
        </w:tc>
        <w:tc>
          <w:tcPr>
            <w:tcW w:w="833" w:type="dxa"/>
            <w:vMerge w:val="restart"/>
            <w:vAlign w:val="center"/>
          </w:tcPr>
          <w:p>
            <w:pPr>
              <w:pStyle w:val="39"/>
              <w:spacing w:beforeLines="0" w:afterLines="0" w:line="240" w:lineRule="auto"/>
              <w:rPr>
                <w:rFonts w:ascii="Times New Roman"/>
                <w:snapToGrid w:val="0"/>
                <w:kern w:val="21"/>
                <w:szCs w:val="21"/>
              </w:rPr>
            </w:pPr>
            <w:r>
              <w:rPr>
                <w:rFonts w:ascii="Times New Roman"/>
                <w:snapToGrid w:val="0"/>
                <w:kern w:val="21"/>
                <w:szCs w:val="21"/>
              </w:rPr>
              <w:t>生物质锅炉</w:t>
            </w:r>
          </w:p>
        </w:tc>
        <w:tc>
          <w:tcPr>
            <w:tcW w:w="1486" w:type="dxa"/>
            <w:vAlign w:val="center"/>
          </w:tcPr>
          <w:p>
            <w:pPr>
              <w:jc w:val="center"/>
              <w:rPr>
                <w:szCs w:val="21"/>
              </w:rPr>
            </w:pPr>
            <w:r>
              <w:rPr>
                <w:szCs w:val="21"/>
              </w:rPr>
              <w:t>颗粒物</w:t>
            </w:r>
          </w:p>
        </w:tc>
        <w:tc>
          <w:tcPr>
            <w:tcW w:w="1784" w:type="dxa"/>
            <w:vAlign w:val="center"/>
          </w:tcPr>
          <w:p>
            <w:pPr>
              <w:jc w:val="center"/>
              <w:rPr>
                <w:snapToGrid w:val="0"/>
                <w:kern w:val="21"/>
                <w:szCs w:val="21"/>
              </w:rPr>
            </w:pPr>
            <w:r>
              <w:rPr>
                <w:snapToGrid w:val="0"/>
                <w:kern w:val="21"/>
                <w:szCs w:val="21"/>
              </w:rPr>
              <w:t>0</w:t>
            </w:r>
          </w:p>
        </w:tc>
        <w:tc>
          <w:tcPr>
            <w:tcW w:w="1338" w:type="dxa"/>
            <w:vAlign w:val="center"/>
          </w:tcPr>
          <w:p>
            <w:pPr>
              <w:jc w:val="center"/>
              <w:rPr>
                <w:snapToGrid w:val="0"/>
                <w:kern w:val="21"/>
                <w:szCs w:val="21"/>
              </w:rPr>
            </w:pPr>
            <w:r>
              <w:rPr>
                <w:snapToGrid w:val="0"/>
                <w:kern w:val="21"/>
                <w:szCs w:val="21"/>
              </w:rPr>
              <w:t>0</w:t>
            </w:r>
          </w:p>
        </w:tc>
        <w:tc>
          <w:tcPr>
            <w:tcW w:w="1573" w:type="dxa"/>
            <w:vAlign w:val="center"/>
          </w:tcPr>
          <w:p>
            <w:pPr>
              <w:jc w:val="center"/>
              <w:rPr>
                <w:snapToGrid w:val="0"/>
                <w:kern w:val="21"/>
                <w:szCs w:val="21"/>
              </w:rPr>
            </w:pPr>
            <w:r>
              <w:rPr>
                <w:snapToGrid w:val="0"/>
                <w:kern w:val="21"/>
                <w:szCs w:val="21"/>
              </w:rPr>
              <w:t>0</w:t>
            </w:r>
          </w:p>
        </w:tc>
        <w:tc>
          <w:tcPr>
            <w:tcW w:w="1644" w:type="dxa"/>
            <w:vAlign w:val="center"/>
          </w:tcPr>
          <w:p>
            <w:pPr>
              <w:jc w:val="center"/>
              <w:rPr>
                <w:szCs w:val="21"/>
              </w:rPr>
            </w:pPr>
            <w:r>
              <w:rPr>
                <w:szCs w:val="21"/>
              </w:rPr>
              <w:t>0.002</w:t>
            </w:r>
          </w:p>
        </w:tc>
        <w:tc>
          <w:tcPr>
            <w:tcW w:w="1856" w:type="dxa"/>
            <w:vAlign w:val="center"/>
          </w:tcPr>
          <w:p>
            <w:pPr>
              <w:jc w:val="center"/>
              <w:rPr>
                <w:snapToGrid w:val="0"/>
                <w:kern w:val="21"/>
                <w:szCs w:val="21"/>
              </w:rPr>
            </w:pPr>
            <w:r>
              <w:rPr>
                <w:snapToGrid w:val="0"/>
                <w:kern w:val="21"/>
                <w:szCs w:val="21"/>
              </w:rPr>
              <w:t>0</w:t>
            </w:r>
          </w:p>
        </w:tc>
        <w:tc>
          <w:tcPr>
            <w:tcW w:w="1970" w:type="dxa"/>
            <w:vAlign w:val="center"/>
          </w:tcPr>
          <w:p>
            <w:pPr>
              <w:jc w:val="center"/>
              <w:rPr>
                <w:szCs w:val="21"/>
              </w:rPr>
            </w:pPr>
            <w:r>
              <w:rPr>
                <w:szCs w:val="21"/>
              </w:rPr>
              <w:t>0.002</w:t>
            </w:r>
          </w:p>
        </w:tc>
        <w:tc>
          <w:tcPr>
            <w:tcW w:w="1345" w:type="dxa"/>
            <w:vAlign w:val="center"/>
          </w:tcPr>
          <w:p>
            <w:pPr>
              <w:jc w:val="center"/>
              <w:rPr>
                <w:szCs w:val="21"/>
              </w:rPr>
            </w:pPr>
            <w:r>
              <w:rPr>
                <w:szCs w:val="21"/>
              </w:rPr>
              <w:t>0.002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32" w:type="dxa"/>
            <w:vMerge w:val="continue"/>
            <w:vAlign w:val="center"/>
          </w:tcPr>
          <w:p>
            <w:pPr>
              <w:pStyle w:val="39"/>
              <w:spacing w:beforeLines="0" w:afterLines="0" w:line="240" w:lineRule="auto"/>
              <w:rPr>
                <w:rFonts w:ascii="Times New Roman"/>
                <w:snapToGrid w:val="0"/>
                <w:kern w:val="21"/>
                <w:szCs w:val="21"/>
              </w:rPr>
            </w:pPr>
          </w:p>
        </w:tc>
        <w:tc>
          <w:tcPr>
            <w:tcW w:w="833" w:type="dxa"/>
            <w:vMerge w:val="continue"/>
            <w:vAlign w:val="center"/>
          </w:tcPr>
          <w:p>
            <w:pPr>
              <w:pStyle w:val="39"/>
              <w:spacing w:beforeLines="0" w:afterLines="0" w:line="240" w:lineRule="auto"/>
              <w:rPr>
                <w:rFonts w:ascii="Times New Roman"/>
                <w:snapToGrid w:val="0"/>
                <w:kern w:val="21"/>
                <w:szCs w:val="21"/>
              </w:rPr>
            </w:pPr>
          </w:p>
        </w:tc>
        <w:tc>
          <w:tcPr>
            <w:tcW w:w="1486" w:type="dxa"/>
            <w:vAlign w:val="center"/>
          </w:tcPr>
          <w:p>
            <w:pPr>
              <w:pStyle w:val="36"/>
              <w:jc w:val="center"/>
              <w:rPr>
                <w:sz w:val="21"/>
                <w:szCs w:val="21"/>
              </w:rPr>
            </w:pPr>
            <w:r>
              <w:rPr>
                <w:sz w:val="21"/>
                <w:szCs w:val="21"/>
              </w:rPr>
              <w:t>SO</w:t>
            </w:r>
            <w:r>
              <w:rPr>
                <w:sz w:val="21"/>
                <w:szCs w:val="21"/>
                <w:vertAlign w:val="subscript"/>
              </w:rPr>
              <w:t>2</w:t>
            </w:r>
          </w:p>
        </w:tc>
        <w:tc>
          <w:tcPr>
            <w:tcW w:w="1784" w:type="dxa"/>
            <w:vAlign w:val="center"/>
          </w:tcPr>
          <w:p>
            <w:pPr>
              <w:jc w:val="center"/>
              <w:rPr>
                <w:snapToGrid w:val="0"/>
                <w:kern w:val="21"/>
                <w:szCs w:val="21"/>
              </w:rPr>
            </w:pPr>
            <w:r>
              <w:rPr>
                <w:snapToGrid w:val="0"/>
                <w:kern w:val="21"/>
                <w:szCs w:val="21"/>
              </w:rPr>
              <w:t>0</w:t>
            </w:r>
          </w:p>
        </w:tc>
        <w:tc>
          <w:tcPr>
            <w:tcW w:w="1338" w:type="dxa"/>
            <w:vAlign w:val="center"/>
          </w:tcPr>
          <w:p>
            <w:pPr>
              <w:jc w:val="center"/>
              <w:rPr>
                <w:snapToGrid w:val="0"/>
                <w:kern w:val="21"/>
                <w:szCs w:val="21"/>
              </w:rPr>
            </w:pPr>
            <w:r>
              <w:rPr>
                <w:snapToGrid w:val="0"/>
                <w:kern w:val="21"/>
                <w:szCs w:val="21"/>
              </w:rPr>
              <w:t>0</w:t>
            </w:r>
          </w:p>
        </w:tc>
        <w:tc>
          <w:tcPr>
            <w:tcW w:w="1573" w:type="dxa"/>
            <w:vAlign w:val="center"/>
          </w:tcPr>
          <w:p>
            <w:pPr>
              <w:jc w:val="center"/>
              <w:rPr>
                <w:snapToGrid w:val="0"/>
                <w:kern w:val="21"/>
                <w:szCs w:val="21"/>
              </w:rPr>
            </w:pPr>
            <w:r>
              <w:rPr>
                <w:snapToGrid w:val="0"/>
                <w:kern w:val="21"/>
                <w:szCs w:val="21"/>
              </w:rPr>
              <w:t>0</w:t>
            </w:r>
          </w:p>
        </w:tc>
        <w:tc>
          <w:tcPr>
            <w:tcW w:w="1644" w:type="dxa"/>
            <w:vAlign w:val="center"/>
          </w:tcPr>
          <w:p>
            <w:pPr>
              <w:jc w:val="center"/>
              <w:rPr>
                <w:szCs w:val="21"/>
              </w:rPr>
            </w:pPr>
            <w:r>
              <w:rPr>
                <w:szCs w:val="21"/>
              </w:rPr>
              <w:t>0.018</w:t>
            </w:r>
          </w:p>
        </w:tc>
        <w:tc>
          <w:tcPr>
            <w:tcW w:w="1856" w:type="dxa"/>
            <w:vAlign w:val="center"/>
          </w:tcPr>
          <w:p>
            <w:pPr>
              <w:jc w:val="center"/>
              <w:rPr>
                <w:snapToGrid w:val="0"/>
                <w:kern w:val="21"/>
                <w:szCs w:val="21"/>
              </w:rPr>
            </w:pPr>
            <w:r>
              <w:rPr>
                <w:snapToGrid w:val="0"/>
                <w:kern w:val="21"/>
                <w:szCs w:val="21"/>
              </w:rPr>
              <w:t>0</w:t>
            </w:r>
          </w:p>
        </w:tc>
        <w:tc>
          <w:tcPr>
            <w:tcW w:w="1970" w:type="dxa"/>
            <w:vAlign w:val="center"/>
          </w:tcPr>
          <w:p>
            <w:pPr>
              <w:jc w:val="center"/>
              <w:rPr>
                <w:szCs w:val="21"/>
              </w:rPr>
            </w:pPr>
            <w:r>
              <w:rPr>
                <w:szCs w:val="21"/>
              </w:rPr>
              <w:t>0.018</w:t>
            </w:r>
          </w:p>
        </w:tc>
        <w:tc>
          <w:tcPr>
            <w:tcW w:w="1345" w:type="dxa"/>
            <w:vAlign w:val="center"/>
          </w:tcPr>
          <w:p>
            <w:pPr>
              <w:jc w:val="center"/>
              <w:rPr>
                <w:szCs w:val="21"/>
              </w:rPr>
            </w:pPr>
            <w:r>
              <w:rPr>
                <w:szCs w:val="21"/>
              </w:rPr>
              <w:t>0.018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32" w:type="dxa"/>
            <w:vMerge w:val="continue"/>
            <w:vAlign w:val="center"/>
          </w:tcPr>
          <w:p>
            <w:pPr>
              <w:pStyle w:val="39"/>
              <w:spacing w:beforeLines="0" w:afterLines="0" w:line="240" w:lineRule="auto"/>
              <w:rPr>
                <w:rFonts w:ascii="Times New Roman"/>
                <w:snapToGrid w:val="0"/>
                <w:kern w:val="21"/>
                <w:szCs w:val="21"/>
              </w:rPr>
            </w:pPr>
          </w:p>
        </w:tc>
        <w:tc>
          <w:tcPr>
            <w:tcW w:w="833" w:type="dxa"/>
            <w:vMerge w:val="continue"/>
            <w:vAlign w:val="center"/>
          </w:tcPr>
          <w:p>
            <w:pPr>
              <w:pStyle w:val="39"/>
              <w:spacing w:beforeLines="0" w:afterLines="0" w:line="240" w:lineRule="auto"/>
              <w:rPr>
                <w:rFonts w:ascii="Times New Roman"/>
                <w:snapToGrid w:val="0"/>
                <w:kern w:val="21"/>
                <w:szCs w:val="21"/>
              </w:rPr>
            </w:pPr>
          </w:p>
        </w:tc>
        <w:tc>
          <w:tcPr>
            <w:tcW w:w="1486" w:type="dxa"/>
            <w:vAlign w:val="center"/>
          </w:tcPr>
          <w:p>
            <w:pPr>
              <w:pStyle w:val="36"/>
              <w:jc w:val="center"/>
              <w:rPr>
                <w:sz w:val="21"/>
                <w:szCs w:val="21"/>
              </w:rPr>
            </w:pPr>
            <w:r>
              <w:rPr>
                <w:sz w:val="21"/>
                <w:szCs w:val="21"/>
              </w:rPr>
              <w:t>NOx</w:t>
            </w:r>
          </w:p>
        </w:tc>
        <w:tc>
          <w:tcPr>
            <w:tcW w:w="1784" w:type="dxa"/>
            <w:vAlign w:val="center"/>
          </w:tcPr>
          <w:p>
            <w:pPr>
              <w:jc w:val="center"/>
              <w:rPr>
                <w:snapToGrid w:val="0"/>
                <w:kern w:val="21"/>
                <w:szCs w:val="21"/>
              </w:rPr>
            </w:pPr>
            <w:r>
              <w:rPr>
                <w:snapToGrid w:val="0"/>
                <w:kern w:val="21"/>
                <w:szCs w:val="21"/>
              </w:rPr>
              <w:t>0</w:t>
            </w:r>
          </w:p>
        </w:tc>
        <w:tc>
          <w:tcPr>
            <w:tcW w:w="1338" w:type="dxa"/>
            <w:vAlign w:val="center"/>
          </w:tcPr>
          <w:p>
            <w:pPr>
              <w:jc w:val="center"/>
              <w:rPr>
                <w:snapToGrid w:val="0"/>
                <w:kern w:val="21"/>
                <w:szCs w:val="21"/>
              </w:rPr>
            </w:pPr>
            <w:r>
              <w:rPr>
                <w:snapToGrid w:val="0"/>
                <w:kern w:val="21"/>
                <w:szCs w:val="21"/>
              </w:rPr>
              <w:t>0</w:t>
            </w:r>
          </w:p>
        </w:tc>
        <w:tc>
          <w:tcPr>
            <w:tcW w:w="1573" w:type="dxa"/>
            <w:vAlign w:val="center"/>
          </w:tcPr>
          <w:p>
            <w:pPr>
              <w:jc w:val="center"/>
              <w:rPr>
                <w:snapToGrid w:val="0"/>
                <w:kern w:val="21"/>
                <w:szCs w:val="21"/>
              </w:rPr>
            </w:pPr>
            <w:r>
              <w:rPr>
                <w:snapToGrid w:val="0"/>
                <w:kern w:val="21"/>
                <w:szCs w:val="21"/>
              </w:rPr>
              <w:t>0</w:t>
            </w:r>
          </w:p>
        </w:tc>
        <w:tc>
          <w:tcPr>
            <w:tcW w:w="1644" w:type="dxa"/>
            <w:vAlign w:val="center"/>
          </w:tcPr>
          <w:p>
            <w:pPr>
              <w:jc w:val="center"/>
              <w:rPr>
                <w:szCs w:val="21"/>
              </w:rPr>
            </w:pPr>
            <w:r>
              <w:rPr>
                <w:szCs w:val="21"/>
              </w:rPr>
              <w:t>0.31</w:t>
            </w:r>
          </w:p>
        </w:tc>
        <w:tc>
          <w:tcPr>
            <w:tcW w:w="1856" w:type="dxa"/>
            <w:vAlign w:val="center"/>
          </w:tcPr>
          <w:p>
            <w:pPr>
              <w:jc w:val="center"/>
              <w:rPr>
                <w:snapToGrid w:val="0"/>
                <w:kern w:val="21"/>
                <w:szCs w:val="21"/>
              </w:rPr>
            </w:pPr>
            <w:r>
              <w:rPr>
                <w:snapToGrid w:val="0"/>
                <w:kern w:val="21"/>
                <w:szCs w:val="21"/>
              </w:rPr>
              <w:t>0</w:t>
            </w:r>
          </w:p>
        </w:tc>
        <w:tc>
          <w:tcPr>
            <w:tcW w:w="1970" w:type="dxa"/>
            <w:vAlign w:val="center"/>
          </w:tcPr>
          <w:p>
            <w:pPr>
              <w:jc w:val="center"/>
              <w:rPr>
                <w:szCs w:val="21"/>
              </w:rPr>
            </w:pPr>
            <w:r>
              <w:rPr>
                <w:szCs w:val="21"/>
              </w:rPr>
              <w:t>0.31</w:t>
            </w:r>
          </w:p>
        </w:tc>
        <w:tc>
          <w:tcPr>
            <w:tcW w:w="1345" w:type="dxa"/>
            <w:vAlign w:val="center"/>
          </w:tcPr>
          <w:p>
            <w:pPr>
              <w:jc w:val="center"/>
              <w:rPr>
                <w:szCs w:val="21"/>
              </w:rPr>
            </w:pPr>
            <w:r>
              <w:rPr>
                <w:szCs w:val="21"/>
              </w:rPr>
              <w:t>0.31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666" w:type="dxa"/>
            <w:gridSpan w:val="2"/>
            <w:vMerge w:val="restart"/>
            <w:vAlign w:val="center"/>
          </w:tcPr>
          <w:p>
            <w:pPr>
              <w:pStyle w:val="39"/>
              <w:spacing w:beforeLines="0" w:afterLines="0" w:line="240" w:lineRule="auto"/>
              <w:rPr>
                <w:rFonts w:ascii="Times New Roman"/>
                <w:snapToGrid w:val="0"/>
                <w:kern w:val="21"/>
                <w:szCs w:val="21"/>
              </w:rPr>
            </w:pPr>
            <w:r>
              <w:rPr>
                <w:rFonts w:ascii="Times New Roman"/>
                <w:snapToGrid w:val="0"/>
                <w:kern w:val="21"/>
                <w:szCs w:val="21"/>
              </w:rPr>
              <w:t>废水</w:t>
            </w:r>
          </w:p>
        </w:tc>
        <w:tc>
          <w:tcPr>
            <w:tcW w:w="1486" w:type="dxa"/>
            <w:vAlign w:val="center"/>
          </w:tcPr>
          <w:p>
            <w:pPr>
              <w:pStyle w:val="39"/>
              <w:spacing w:beforeLines="0" w:afterLines="0" w:line="240" w:lineRule="auto"/>
              <w:rPr>
                <w:rFonts w:ascii="Times New Roman"/>
                <w:snapToGrid w:val="0"/>
                <w:kern w:val="21"/>
                <w:szCs w:val="21"/>
              </w:rPr>
            </w:pPr>
            <w:r>
              <w:rPr>
                <w:rFonts w:ascii="Times New Roman"/>
                <w:snapToGrid w:val="0"/>
                <w:kern w:val="21"/>
                <w:szCs w:val="21"/>
              </w:rPr>
              <w:t>CODcr</w:t>
            </w:r>
          </w:p>
        </w:tc>
        <w:tc>
          <w:tcPr>
            <w:tcW w:w="1784" w:type="dxa"/>
            <w:vAlign w:val="center"/>
          </w:tcPr>
          <w:p>
            <w:pPr>
              <w:jc w:val="center"/>
              <w:rPr>
                <w:snapToGrid w:val="0"/>
                <w:kern w:val="21"/>
                <w:szCs w:val="21"/>
              </w:rPr>
            </w:pPr>
            <w:r>
              <w:rPr>
                <w:snapToGrid w:val="0"/>
                <w:kern w:val="21"/>
                <w:szCs w:val="21"/>
              </w:rPr>
              <w:t>0</w:t>
            </w:r>
          </w:p>
        </w:tc>
        <w:tc>
          <w:tcPr>
            <w:tcW w:w="1338" w:type="dxa"/>
            <w:vAlign w:val="center"/>
          </w:tcPr>
          <w:p>
            <w:pPr>
              <w:jc w:val="center"/>
              <w:rPr>
                <w:snapToGrid w:val="0"/>
                <w:kern w:val="21"/>
                <w:szCs w:val="21"/>
              </w:rPr>
            </w:pPr>
            <w:r>
              <w:rPr>
                <w:snapToGrid w:val="0"/>
                <w:kern w:val="21"/>
                <w:szCs w:val="21"/>
              </w:rPr>
              <w:t>0</w:t>
            </w:r>
          </w:p>
        </w:tc>
        <w:tc>
          <w:tcPr>
            <w:tcW w:w="1573" w:type="dxa"/>
            <w:vAlign w:val="center"/>
          </w:tcPr>
          <w:p>
            <w:pPr>
              <w:jc w:val="center"/>
              <w:rPr>
                <w:snapToGrid w:val="0"/>
                <w:kern w:val="21"/>
                <w:szCs w:val="21"/>
              </w:rPr>
            </w:pPr>
            <w:r>
              <w:rPr>
                <w:snapToGrid w:val="0"/>
                <w:kern w:val="21"/>
                <w:szCs w:val="21"/>
              </w:rPr>
              <w:t>0</w:t>
            </w:r>
          </w:p>
        </w:tc>
        <w:tc>
          <w:tcPr>
            <w:tcW w:w="1644" w:type="dxa"/>
            <w:vAlign w:val="center"/>
          </w:tcPr>
          <w:p>
            <w:pPr>
              <w:jc w:val="center"/>
              <w:rPr>
                <w:snapToGrid w:val="0"/>
                <w:kern w:val="21"/>
                <w:szCs w:val="21"/>
              </w:rPr>
            </w:pPr>
            <w:r>
              <w:rPr>
                <w:snapToGrid w:val="0"/>
                <w:kern w:val="21"/>
                <w:szCs w:val="21"/>
              </w:rPr>
              <w:t>0</w:t>
            </w:r>
          </w:p>
        </w:tc>
        <w:tc>
          <w:tcPr>
            <w:tcW w:w="1856" w:type="dxa"/>
            <w:vAlign w:val="center"/>
          </w:tcPr>
          <w:p>
            <w:pPr>
              <w:jc w:val="center"/>
              <w:rPr>
                <w:snapToGrid w:val="0"/>
                <w:kern w:val="21"/>
                <w:szCs w:val="21"/>
              </w:rPr>
            </w:pPr>
            <w:r>
              <w:rPr>
                <w:snapToGrid w:val="0"/>
                <w:kern w:val="21"/>
                <w:szCs w:val="21"/>
              </w:rPr>
              <w:t>0</w:t>
            </w:r>
          </w:p>
        </w:tc>
        <w:tc>
          <w:tcPr>
            <w:tcW w:w="1970" w:type="dxa"/>
            <w:vAlign w:val="center"/>
          </w:tcPr>
          <w:p>
            <w:pPr>
              <w:jc w:val="center"/>
              <w:rPr>
                <w:snapToGrid w:val="0"/>
                <w:kern w:val="21"/>
                <w:szCs w:val="21"/>
              </w:rPr>
            </w:pPr>
            <w:r>
              <w:rPr>
                <w:snapToGrid w:val="0"/>
                <w:kern w:val="21"/>
                <w:szCs w:val="21"/>
              </w:rPr>
              <w:t>0</w:t>
            </w:r>
          </w:p>
        </w:tc>
        <w:tc>
          <w:tcPr>
            <w:tcW w:w="1345" w:type="dxa"/>
            <w:vAlign w:val="center"/>
          </w:tcPr>
          <w:p>
            <w:pPr>
              <w:jc w:val="center"/>
              <w:rPr>
                <w:snapToGrid w:val="0"/>
                <w:kern w:val="21"/>
                <w:szCs w:val="21"/>
              </w:rPr>
            </w:pPr>
            <w:r>
              <w:rPr>
                <w:snapToGrid w:val="0"/>
                <w:kern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666" w:type="dxa"/>
            <w:gridSpan w:val="2"/>
            <w:vMerge w:val="continue"/>
            <w:vAlign w:val="center"/>
          </w:tcPr>
          <w:p>
            <w:pPr>
              <w:pStyle w:val="39"/>
              <w:spacing w:beforeLines="0" w:afterLines="0" w:line="240" w:lineRule="auto"/>
              <w:rPr>
                <w:rFonts w:ascii="Times New Roman"/>
                <w:snapToGrid w:val="0"/>
                <w:kern w:val="21"/>
                <w:szCs w:val="21"/>
              </w:rPr>
            </w:pPr>
          </w:p>
        </w:tc>
        <w:tc>
          <w:tcPr>
            <w:tcW w:w="1486" w:type="dxa"/>
            <w:vAlign w:val="center"/>
          </w:tcPr>
          <w:p>
            <w:pPr>
              <w:pStyle w:val="39"/>
              <w:spacing w:beforeLines="0" w:afterLines="0" w:line="240" w:lineRule="auto"/>
              <w:rPr>
                <w:rFonts w:ascii="Times New Roman"/>
                <w:snapToGrid w:val="0"/>
                <w:kern w:val="21"/>
                <w:szCs w:val="21"/>
              </w:rPr>
            </w:pPr>
            <w:r>
              <w:rPr>
                <w:rFonts w:ascii="Times New Roman"/>
                <w:snapToGrid w:val="0"/>
                <w:kern w:val="21"/>
                <w:szCs w:val="21"/>
              </w:rPr>
              <w:t>氨氮</w:t>
            </w:r>
          </w:p>
        </w:tc>
        <w:tc>
          <w:tcPr>
            <w:tcW w:w="1784" w:type="dxa"/>
            <w:vAlign w:val="center"/>
          </w:tcPr>
          <w:p>
            <w:pPr>
              <w:jc w:val="center"/>
              <w:rPr>
                <w:snapToGrid w:val="0"/>
                <w:kern w:val="21"/>
                <w:szCs w:val="21"/>
              </w:rPr>
            </w:pPr>
            <w:r>
              <w:rPr>
                <w:snapToGrid w:val="0"/>
                <w:kern w:val="21"/>
                <w:szCs w:val="21"/>
              </w:rPr>
              <w:t>0</w:t>
            </w:r>
          </w:p>
        </w:tc>
        <w:tc>
          <w:tcPr>
            <w:tcW w:w="1338" w:type="dxa"/>
            <w:vAlign w:val="center"/>
          </w:tcPr>
          <w:p>
            <w:pPr>
              <w:jc w:val="center"/>
              <w:rPr>
                <w:snapToGrid w:val="0"/>
                <w:kern w:val="21"/>
                <w:szCs w:val="21"/>
              </w:rPr>
            </w:pPr>
            <w:r>
              <w:rPr>
                <w:snapToGrid w:val="0"/>
                <w:kern w:val="21"/>
                <w:szCs w:val="21"/>
              </w:rPr>
              <w:t>0</w:t>
            </w:r>
          </w:p>
        </w:tc>
        <w:tc>
          <w:tcPr>
            <w:tcW w:w="1573" w:type="dxa"/>
            <w:vAlign w:val="center"/>
          </w:tcPr>
          <w:p>
            <w:pPr>
              <w:jc w:val="center"/>
              <w:rPr>
                <w:snapToGrid w:val="0"/>
                <w:kern w:val="21"/>
                <w:szCs w:val="21"/>
              </w:rPr>
            </w:pPr>
            <w:r>
              <w:rPr>
                <w:snapToGrid w:val="0"/>
                <w:kern w:val="21"/>
                <w:szCs w:val="21"/>
              </w:rPr>
              <w:t>0</w:t>
            </w:r>
          </w:p>
        </w:tc>
        <w:tc>
          <w:tcPr>
            <w:tcW w:w="1644" w:type="dxa"/>
            <w:vAlign w:val="center"/>
          </w:tcPr>
          <w:p>
            <w:pPr>
              <w:jc w:val="center"/>
              <w:rPr>
                <w:snapToGrid w:val="0"/>
                <w:kern w:val="21"/>
                <w:szCs w:val="21"/>
              </w:rPr>
            </w:pPr>
            <w:r>
              <w:rPr>
                <w:snapToGrid w:val="0"/>
                <w:kern w:val="21"/>
                <w:szCs w:val="21"/>
              </w:rPr>
              <w:t>0</w:t>
            </w:r>
          </w:p>
        </w:tc>
        <w:tc>
          <w:tcPr>
            <w:tcW w:w="1856" w:type="dxa"/>
            <w:vAlign w:val="center"/>
          </w:tcPr>
          <w:p>
            <w:pPr>
              <w:jc w:val="center"/>
              <w:rPr>
                <w:snapToGrid w:val="0"/>
                <w:kern w:val="21"/>
                <w:szCs w:val="21"/>
              </w:rPr>
            </w:pPr>
            <w:r>
              <w:rPr>
                <w:snapToGrid w:val="0"/>
                <w:kern w:val="21"/>
                <w:szCs w:val="21"/>
              </w:rPr>
              <w:t>0</w:t>
            </w:r>
          </w:p>
        </w:tc>
        <w:tc>
          <w:tcPr>
            <w:tcW w:w="1970" w:type="dxa"/>
            <w:vAlign w:val="center"/>
          </w:tcPr>
          <w:p>
            <w:pPr>
              <w:jc w:val="center"/>
              <w:rPr>
                <w:snapToGrid w:val="0"/>
                <w:kern w:val="21"/>
                <w:szCs w:val="21"/>
              </w:rPr>
            </w:pPr>
            <w:r>
              <w:rPr>
                <w:snapToGrid w:val="0"/>
                <w:kern w:val="21"/>
                <w:szCs w:val="21"/>
              </w:rPr>
              <w:t>0</w:t>
            </w:r>
          </w:p>
        </w:tc>
        <w:tc>
          <w:tcPr>
            <w:tcW w:w="1345" w:type="dxa"/>
            <w:vAlign w:val="center"/>
          </w:tcPr>
          <w:p>
            <w:pPr>
              <w:jc w:val="center"/>
              <w:rPr>
                <w:snapToGrid w:val="0"/>
                <w:kern w:val="21"/>
                <w:szCs w:val="21"/>
              </w:rPr>
            </w:pPr>
            <w:r>
              <w:rPr>
                <w:snapToGrid w:val="0"/>
                <w:kern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666" w:type="dxa"/>
            <w:gridSpan w:val="2"/>
            <w:vMerge w:val="continue"/>
            <w:vAlign w:val="center"/>
          </w:tcPr>
          <w:p>
            <w:pPr>
              <w:pStyle w:val="39"/>
              <w:spacing w:beforeLines="0" w:afterLines="0" w:line="240" w:lineRule="auto"/>
              <w:rPr>
                <w:rFonts w:ascii="Times New Roman"/>
                <w:snapToGrid w:val="0"/>
                <w:kern w:val="21"/>
                <w:szCs w:val="21"/>
              </w:rPr>
            </w:pPr>
          </w:p>
        </w:tc>
        <w:tc>
          <w:tcPr>
            <w:tcW w:w="1486" w:type="dxa"/>
            <w:vAlign w:val="center"/>
          </w:tcPr>
          <w:p>
            <w:pPr>
              <w:pStyle w:val="39"/>
              <w:spacing w:beforeLines="0" w:afterLines="0" w:line="240" w:lineRule="auto"/>
              <w:rPr>
                <w:rFonts w:ascii="Times New Roman"/>
                <w:snapToGrid w:val="0"/>
                <w:kern w:val="21"/>
                <w:szCs w:val="21"/>
                <w:vertAlign w:val="subscript"/>
              </w:rPr>
            </w:pPr>
            <w:r>
              <w:rPr>
                <w:rFonts w:ascii="Times New Roman"/>
                <w:snapToGrid w:val="0"/>
                <w:kern w:val="21"/>
                <w:szCs w:val="21"/>
              </w:rPr>
              <w:t>BOD</w:t>
            </w:r>
            <w:r>
              <w:rPr>
                <w:rFonts w:ascii="Times New Roman"/>
                <w:snapToGrid w:val="0"/>
                <w:kern w:val="21"/>
                <w:szCs w:val="21"/>
                <w:vertAlign w:val="subscript"/>
              </w:rPr>
              <w:t>5</w:t>
            </w:r>
          </w:p>
        </w:tc>
        <w:tc>
          <w:tcPr>
            <w:tcW w:w="1784" w:type="dxa"/>
            <w:vAlign w:val="center"/>
          </w:tcPr>
          <w:p>
            <w:pPr>
              <w:jc w:val="center"/>
              <w:rPr>
                <w:snapToGrid w:val="0"/>
                <w:kern w:val="21"/>
                <w:szCs w:val="21"/>
              </w:rPr>
            </w:pPr>
            <w:r>
              <w:rPr>
                <w:snapToGrid w:val="0"/>
                <w:kern w:val="21"/>
                <w:szCs w:val="21"/>
              </w:rPr>
              <w:t>0</w:t>
            </w:r>
          </w:p>
        </w:tc>
        <w:tc>
          <w:tcPr>
            <w:tcW w:w="1338" w:type="dxa"/>
            <w:vAlign w:val="center"/>
          </w:tcPr>
          <w:p>
            <w:pPr>
              <w:jc w:val="center"/>
              <w:rPr>
                <w:snapToGrid w:val="0"/>
                <w:kern w:val="21"/>
                <w:szCs w:val="21"/>
              </w:rPr>
            </w:pPr>
            <w:r>
              <w:rPr>
                <w:snapToGrid w:val="0"/>
                <w:kern w:val="21"/>
                <w:szCs w:val="21"/>
              </w:rPr>
              <w:t>0</w:t>
            </w:r>
          </w:p>
        </w:tc>
        <w:tc>
          <w:tcPr>
            <w:tcW w:w="1573" w:type="dxa"/>
            <w:vAlign w:val="center"/>
          </w:tcPr>
          <w:p>
            <w:pPr>
              <w:jc w:val="center"/>
              <w:rPr>
                <w:snapToGrid w:val="0"/>
                <w:kern w:val="21"/>
                <w:szCs w:val="21"/>
              </w:rPr>
            </w:pPr>
            <w:r>
              <w:rPr>
                <w:snapToGrid w:val="0"/>
                <w:kern w:val="21"/>
                <w:szCs w:val="21"/>
              </w:rPr>
              <w:t>0</w:t>
            </w:r>
          </w:p>
        </w:tc>
        <w:tc>
          <w:tcPr>
            <w:tcW w:w="1644" w:type="dxa"/>
            <w:vAlign w:val="center"/>
          </w:tcPr>
          <w:p>
            <w:pPr>
              <w:jc w:val="center"/>
              <w:rPr>
                <w:snapToGrid w:val="0"/>
                <w:kern w:val="21"/>
                <w:szCs w:val="21"/>
              </w:rPr>
            </w:pPr>
            <w:r>
              <w:rPr>
                <w:snapToGrid w:val="0"/>
                <w:kern w:val="21"/>
                <w:szCs w:val="21"/>
              </w:rPr>
              <w:t>0</w:t>
            </w:r>
          </w:p>
        </w:tc>
        <w:tc>
          <w:tcPr>
            <w:tcW w:w="1856" w:type="dxa"/>
            <w:vAlign w:val="center"/>
          </w:tcPr>
          <w:p>
            <w:pPr>
              <w:jc w:val="center"/>
              <w:rPr>
                <w:snapToGrid w:val="0"/>
                <w:kern w:val="21"/>
                <w:szCs w:val="21"/>
              </w:rPr>
            </w:pPr>
            <w:r>
              <w:rPr>
                <w:snapToGrid w:val="0"/>
                <w:kern w:val="21"/>
                <w:szCs w:val="21"/>
              </w:rPr>
              <w:t>0</w:t>
            </w:r>
          </w:p>
        </w:tc>
        <w:tc>
          <w:tcPr>
            <w:tcW w:w="1970" w:type="dxa"/>
            <w:vAlign w:val="center"/>
          </w:tcPr>
          <w:p>
            <w:pPr>
              <w:jc w:val="center"/>
              <w:rPr>
                <w:snapToGrid w:val="0"/>
                <w:kern w:val="21"/>
                <w:szCs w:val="21"/>
              </w:rPr>
            </w:pPr>
            <w:r>
              <w:rPr>
                <w:snapToGrid w:val="0"/>
                <w:kern w:val="21"/>
                <w:szCs w:val="21"/>
              </w:rPr>
              <w:t>0</w:t>
            </w:r>
          </w:p>
        </w:tc>
        <w:tc>
          <w:tcPr>
            <w:tcW w:w="1345" w:type="dxa"/>
            <w:vAlign w:val="center"/>
          </w:tcPr>
          <w:p>
            <w:pPr>
              <w:jc w:val="center"/>
              <w:rPr>
                <w:snapToGrid w:val="0"/>
                <w:kern w:val="21"/>
                <w:szCs w:val="21"/>
              </w:rPr>
            </w:pPr>
            <w:r>
              <w:rPr>
                <w:snapToGrid w:val="0"/>
                <w:kern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666" w:type="dxa"/>
            <w:gridSpan w:val="2"/>
            <w:vMerge w:val="continue"/>
            <w:vAlign w:val="center"/>
          </w:tcPr>
          <w:p>
            <w:pPr>
              <w:pStyle w:val="39"/>
              <w:spacing w:beforeLines="0" w:afterLines="0" w:line="240" w:lineRule="auto"/>
              <w:rPr>
                <w:rFonts w:ascii="Times New Roman"/>
                <w:snapToGrid w:val="0"/>
                <w:kern w:val="21"/>
                <w:szCs w:val="21"/>
              </w:rPr>
            </w:pPr>
          </w:p>
        </w:tc>
        <w:tc>
          <w:tcPr>
            <w:tcW w:w="1486" w:type="dxa"/>
            <w:vAlign w:val="center"/>
          </w:tcPr>
          <w:p>
            <w:pPr>
              <w:pStyle w:val="39"/>
              <w:spacing w:beforeLines="0" w:afterLines="0" w:line="240" w:lineRule="auto"/>
              <w:rPr>
                <w:rFonts w:ascii="Times New Roman"/>
                <w:snapToGrid w:val="0"/>
                <w:kern w:val="21"/>
                <w:szCs w:val="21"/>
              </w:rPr>
            </w:pPr>
            <w:r>
              <w:rPr>
                <w:rFonts w:ascii="Times New Roman"/>
                <w:snapToGrid w:val="0"/>
                <w:kern w:val="21"/>
                <w:szCs w:val="21"/>
              </w:rPr>
              <w:t>SS</w:t>
            </w:r>
          </w:p>
        </w:tc>
        <w:tc>
          <w:tcPr>
            <w:tcW w:w="1784" w:type="dxa"/>
            <w:vAlign w:val="center"/>
          </w:tcPr>
          <w:p>
            <w:pPr>
              <w:jc w:val="center"/>
              <w:rPr>
                <w:snapToGrid w:val="0"/>
                <w:kern w:val="21"/>
                <w:szCs w:val="21"/>
              </w:rPr>
            </w:pPr>
            <w:r>
              <w:rPr>
                <w:snapToGrid w:val="0"/>
                <w:kern w:val="21"/>
                <w:szCs w:val="21"/>
              </w:rPr>
              <w:t>0</w:t>
            </w:r>
          </w:p>
        </w:tc>
        <w:tc>
          <w:tcPr>
            <w:tcW w:w="1338" w:type="dxa"/>
            <w:vAlign w:val="center"/>
          </w:tcPr>
          <w:p>
            <w:pPr>
              <w:jc w:val="center"/>
              <w:rPr>
                <w:snapToGrid w:val="0"/>
                <w:kern w:val="21"/>
                <w:szCs w:val="21"/>
              </w:rPr>
            </w:pPr>
            <w:r>
              <w:rPr>
                <w:snapToGrid w:val="0"/>
                <w:kern w:val="21"/>
                <w:szCs w:val="21"/>
              </w:rPr>
              <w:t>0</w:t>
            </w:r>
          </w:p>
        </w:tc>
        <w:tc>
          <w:tcPr>
            <w:tcW w:w="1573" w:type="dxa"/>
            <w:vAlign w:val="center"/>
          </w:tcPr>
          <w:p>
            <w:pPr>
              <w:jc w:val="center"/>
              <w:rPr>
                <w:snapToGrid w:val="0"/>
                <w:kern w:val="21"/>
                <w:szCs w:val="21"/>
              </w:rPr>
            </w:pPr>
            <w:r>
              <w:rPr>
                <w:snapToGrid w:val="0"/>
                <w:kern w:val="21"/>
                <w:szCs w:val="21"/>
              </w:rPr>
              <w:t>0</w:t>
            </w:r>
          </w:p>
        </w:tc>
        <w:tc>
          <w:tcPr>
            <w:tcW w:w="1644" w:type="dxa"/>
            <w:vAlign w:val="center"/>
          </w:tcPr>
          <w:p>
            <w:pPr>
              <w:jc w:val="center"/>
              <w:rPr>
                <w:snapToGrid w:val="0"/>
                <w:kern w:val="21"/>
                <w:szCs w:val="21"/>
              </w:rPr>
            </w:pPr>
            <w:r>
              <w:rPr>
                <w:snapToGrid w:val="0"/>
                <w:kern w:val="21"/>
                <w:szCs w:val="21"/>
              </w:rPr>
              <w:t>0</w:t>
            </w:r>
          </w:p>
        </w:tc>
        <w:tc>
          <w:tcPr>
            <w:tcW w:w="1856" w:type="dxa"/>
            <w:vAlign w:val="center"/>
          </w:tcPr>
          <w:p>
            <w:pPr>
              <w:jc w:val="center"/>
              <w:rPr>
                <w:snapToGrid w:val="0"/>
                <w:kern w:val="21"/>
                <w:szCs w:val="21"/>
              </w:rPr>
            </w:pPr>
            <w:r>
              <w:rPr>
                <w:snapToGrid w:val="0"/>
                <w:kern w:val="21"/>
                <w:szCs w:val="21"/>
              </w:rPr>
              <w:t>0</w:t>
            </w:r>
          </w:p>
        </w:tc>
        <w:tc>
          <w:tcPr>
            <w:tcW w:w="1970" w:type="dxa"/>
            <w:vAlign w:val="center"/>
          </w:tcPr>
          <w:p>
            <w:pPr>
              <w:jc w:val="center"/>
              <w:rPr>
                <w:snapToGrid w:val="0"/>
                <w:kern w:val="21"/>
                <w:szCs w:val="21"/>
              </w:rPr>
            </w:pPr>
            <w:r>
              <w:rPr>
                <w:snapToGrid w:val="0"/>
                <w:kern w:val="21"/>
                <w:szCs w:val="21"/>
              </w:rPr>
              <w:t>0</w:t>
            </w:r>
          </w:p>
        </w:tc>
        <w:tc>
          <w:tcPr>
            <w:tcW w:w="1345" w:type="dxa"/>
            <w:vAlign w:val="center"/>
          </w:tcPr>
          <w:p>
            <w:pPr>
              <w:jc w:val="center"/>
              <w:rPr>
                <w:snapToGrid w:val="0"/>
                <w:kern w:val="21"/>
                <w:szCs w:val="21"/>
              </w:rPr>
            </w:pPr>
            <w:r>
              <w:rPr>
                <w:snapToGrid w:val="0"/>
                <w:kern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666" w:type="dxa"/>
            <w:gridSpan w:val="2"/>
            <w:vMerge w:val="continue"/>
            <w:vAlign w:val="center"/>
          </w:tcPr>
          <w:p>
            <w:pPr>
              <w:pStyle w:val="39"/>
              <w:spacing w:beforeLines="0" w:afterLines="0" w:line="240" w:lineRule="auto"/>
              <w:rPr>
                <w:rFonts w:ascii="Times New Roman"/>
                <w:snapToGrid w:val="0"/>
                <w:kern w:val="21"/>
                <w:szCs w:val="21"/>
              </w:rPr>
            </w:pPr>
          </w:p>
        </w:tc>
        <w:tc>
          <w:tcPr>
            <w:tcW w:w="1486" w:type="dxa"/>
            <w:vAlign w:val="center"/>
          </w:tcPr>
          <w:p>
            <w:pPr>
              <w:pStyle w:val="39"/>
              <w:spacing w:beforeLines="0" w:afterLines="0" w:line="240" w:lineRule="auto"/>
              <w:rPr>
                <w:rFonts w:ascii="Times New Roman"/>
                <w:snapToGrid w:val="0"/>
                <w:kern w:val="21"/>
                <w:szCs w:val="21"/>
              </w:rPr>
            </w:pPr>
            <w:r>
              <w:rPr>
                <w:rFonts w:ascii="Times New Roman"/>
                <w:snapToGrid w:val="0"/>
                <w:kern w:val="21"/>
                <w:szCs w:val="21"/>
              </w:rPr>
              <w:t>TP</w:t>
            </w:r>
          </w:p>
        </w:tc>
        <w:tc>
          <w:tcPr>
            <w:tcW w:w="1784" w:type="dxa"/>
            <w:vAlign w:val="center"/>
          </w:tcPr>
          <w:p>
            <w:pPr>
              <w:jc w:val="center"/>
              <w:rPr>
                <w:snapToGrid w:val="0"/>
                <w:kern w:val="21"/>
                <w:szCs w:val="21"/>
              </w:rPr>
            </w:pPr>
            <w:r>
              <w:rPr>
                <w:snapToGrid w:val="0"/>
                <w:kern w:val="21"/>
                <w:szCs w:val="21"/>
              </w:rPr>
              <w:t>0</w:t>
            </w:r>
          </w:p>
        </w:tc>
        <w:tc>
          <w:tcPr>
            <w:tcW w:w="1338" w:type="dxa"/>
            <w:vAlign w:val="center"/>
          </w:tcPr>
          <w:p>
            <w:pPr>
              <w:jc w:val="center"/>
              <w:rPr>
                <w:snapToGrid w:val="0"/>
                <w:kern w:val="21"/>
                <w:szCs w:val="21"/>
              </w:rPr>
            </w:pPr>
            <w:r>
              <w:rPr>
                <w:snapToGrid w:val="0"/>
                <w:kern w:val="21"/>
                <w:szCs w:val="21"/>
              </w:rPr>
              <w:t>0</w:t>
            </w:r>
          </w:p>
        </w:tc>
        <w:tc>
          <w:tcPr>
            <w:tcW w:w="1573" w:type="dxa"/>
            <w:vAlign w:val="center"/>
          </w:tcPr>
          <w:p>
            <w:pPr>
              <w:jc w:val="center"/>
              <w:rPr>
                <w:snapToGrid w:val="0"/>
                <w:kern w:val="21"/>
                <w:szCs w:val="21"/>
              </w:rPr>
            </w:pPr>
            <w:r>
              <w:rPr>
                <w:snapToGrid w:val="0"/>
                <w:kern w:val="21"/>
                <w:szCs w:val="21"/>
              </w:rPr>
              <w:t>0</w:t>
            </w:r>
          </w:p>
        </w:tc>
        <w:tc>
          <w:tcPr>
            <w:tcW w:w="1644" w:type="dxa"/>
            <w:vAlign w:val="center"/>
          </w:tcPr>
          <w:p>
            <w:pPr>
              <w:jc w:val="center"/>
              <w:rPr>
                <w:snapToGrid w:val="0"/>
                <w:kern w:val="21"/>
                <w:szCs w:val="21"/>
              </w:rPr>
            </w:pPr>
            <w:r>
              <w:rPr>
                <w:snapToGrid w:val="0"/>
                <w:kern w:val="21"/>
                <w:szCs w:val="21"/>
              </w:rPr>
              <w:t>0</w:t>
            </w:r>
          </w:p>
        </w:tc>
        <w:tc>
          <w:tcPr>
            <w:tcW w:w="1856" w:type="dxa"/>
            <w:vAlign w:val="center"/>
          </w:tcPr>
          <w:p>
            <w:pPr>
              <w:jc w:val="center"/>
              <w:rPr>
                <w:snapToGrid w:val="0"/>
                <w:kern w:val="21"/>
                <w:szCs w:val="21"/>
              </w:rPr>
            </w:pPr>
            <w:r>
              <w:rPr>
                <w:snapToGrid w:val="0"/>
                <w:kern w:val="21"/>
                <w:szCs w:val="21"/>
              </w:rPr>
              <w:t>0</w:t>
            </w:r>
          </w:p>
        </w:tc>
        <w:tc>
          <w:tcPr>
            <w:tcW w:w="1970" w:type="dxa"/>
            <w:vAlign w:val="center"/>
          </w:tcPr>
          <w:p>
            <w:pPr>
              <w:jc w:val="center"/>
              <w:rPr>
                <w:snapToGrid w:val="0"/>
                <w:kern w:val="21"/>
                <w:szCs w:val="21"/>
              </w:rPr>
            </w:pPr>
            <w:r>
              <w:rPr>
                <w:snapToGrid w:val="0"/>
                <w:kern w:val="21"/>
                <w:szCs w:val="21"/>
              </w:rPr>
              <w:t>0</w:t>
            </w:r>
          </w:p>
        </w:tc>
        <w:tc>
          <w:tcPr>
            <w:tcW w:w="1345" w:type="dxa"/>
            <w:vAlign w:val="center"/>
          </w:tcPr>
          <w:p>
            <w:pPr>
              <w:jc w:val="center"/>
              <w:rPr>
                <w:snapToGrid w:val="0"/>
                <w:kern w:val="21"/>
                <w:szCs w:val="21"/>
              </w:rPr>
            </w:pPr>
            <w:r>
              <w:rPr>
                <w:snapToGrid w:val="0"/>
                <w:kern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666" w:type="dxa"/>
            <w:gridSpan w:val="2"/>
            <w:vMerge w:val="restart"/>
            <w:vAlign w:val="center"/>
          </w:tcPr>
          <w:p>
            <w:pPr>
              <w:pStyle w:val="39"/>
              <w:spacing w:beforeLines="0" w:afterLines="0" w:line="240" w:lineRule="auto"/>
              <w:rPr>
                <w:rFonts w:ascii="Times New Roman"/>
                <w:snapToGrid w:val="0"/>
                <w:kern w:val="21"/>
                <w:szCs w:val="21"/>
              </w:rPr>
            </w:pPr>
            <w:r>
              <w:rPr>
                <w:rFonts w:ascii="Times New Roman"/>
                <w:snapToGrid w:val="0"/>
                <w:kern w:val="21"/>
                <w:szCs w:val="21"/>
              </w:rPr>
              <w:t>一般工业</w:t>
            </w:r>
          </w:p>
          <w:p>
            <w:pPr>
              <w:pStyle w:val="39"/>
              <w:spacing w:beforeLines="0" w:afterLines="0" w:line="240" w:lineRule="auto"/>
              <w:rPr>
                <w:rFonts w:ascii="Times New Roman"/>
                <w:snapToGrid w:val="0"/>
                <w:kern w:val="21"/>
                <w:szCs w:val="21"/>
              </w:rPr>
            </w:pPr>
            <w:r>
              <w:rPr>
                <w:rFonts w:ascii="Times New Roman"/>
                <w:snapToGrid w:val="0"/>
                <w:kern w:val="21"/>
                <w:szCs w:val="21"/>
              </w:rPr>
              <w:t>固体废物</w:t>
            </w:r>
          </w:p>
        </w:tc>
        <w:tc>
          <w:tcPr>
            <w:tcW w:w="1486" w:type="dxa"/>
            <w:vAlign w:val="center"/>
          </w:tcPr>
          <w:p>
            <w:pPr>
              <w:jc w:val="center"/>
              <w:rPr>
                <w:snapToGrid w:val="0"/>
                <w:kern w:val="21"/>
                <w:szCs w:val="21"/>
              </w:rPr>
            </w:pPr>
            <w:r>
              <w:rPr>
                <w:szCs w:val="21"/>
              </w:rPr>
              <w:t>枯萎玫瑰花和不合格玫瑰花</w:t>
            </w:r>
          </w:p>
        </w:tc>
        <w:tc>
          <w:tcPr>
            <w:tcW w:w="1784" w:type="dxa"/>
            <w:vAlign w:val="center"/>
          </w:tcPr>
          <w:p>
            <w:pPr>
              <w:jc w:val="center"/>
              <w:rPr>
                <w:snapToGrid w:val="0"/>
                <w:kern w:val="21"/>
                <w:szCs w:val="21"/>
              </w:rPr>
            </w:pPr>
            <w:r>
              <w:rPr>
                <w:snapToGrid w:val="0"/>
                <w:kern w:val="21"/>
                <w:szCs w:val="21"/>
              </w:rPr>
              <w:t>0</w:t>
            </w:r>
          </w:p>
        </w:tc>
        <w:tc>
          <w:tcPr>
            <w:tcW w:w="1338" w:type="dxa"/>
            <w:vAlign w:val="center"/>
          </w:tcPr>
          <w:p>
            <w:pPr>
              <w:jc w:val="center"/>
              <w:rPr>
                <w:snapToGrid w:val="0"/>
                <w:kern w:val="21"/>
                <w:szCs w:val="21"/>
              </w:rPr>
            </w:pPr>
            <w:r>
              <w:rPr>
                <w:snapToGrid w:val="0"/>
                <w:kern w:val="21"/>
                <w:szCs w:val="21"/>
              </w:rPr>
              <w:t>0</w:t>
            </w:r>
          </w:p>
        </w:tc>
        <w:tc>
          <w:tcPr>
            <w:tcW w:w="1573" w:type="dxa"/>
            <w:vAlign w:val="center"/>
          </w:tcPr>
          <w:p>
            <w:pPr>
              <w:jc w:val="center"/>
              <w:rPr>
                <w:snapToGrid w:val="0"/>
                <w:kern w:val="21"/>
                <w:szCs w:val="21"/>
              </w:rPr>
            </w:pPr>
            <w:r>
              <w:rPr>
                <w:snapToGrid w:val="0"/>
                <w:kern w:val="21"/>
                <w:szCs w:val="21"/>
              </w:rPr>
              <w:t>0</w:t>
            </w:r>
          </w:p>
        </w:tc>
        <w:tc>
          <w:tcPr>
            <w:tcW w:w="1644" w:type="dxa"/>
            <w:vAlign w:val="center"/>
          </w:tcPr>
          <w:p>
            <w:pPr>
              <w:jc w:val="center"/>
              <w:rPr>
                <w:snapToGrid w:val="0"/>
                <w:kern w:val="21"/>
                <w:szCs w:val="21"/>
              </w:rPr>
            </w:pPr>
            <w:r>
              <w:rPr>
                <w:snapToGrid w:val="0"/>
                <w:kern w:val="21"/>
                <w:szCs w:val="21"/>
              </w:rPr>
              <w:t>17.892</w:t>
            </w:r>
          </w:p>
        </w:tc>
        <w:tc>
          <w:tcPr>
            <w:tcW w:w="1856" w:type="dxa"/>
            <w:vAlign w:val="center"/>
          </w:tcPr>
          <w:p>
            <w:pPr>
              <w:jc w:val="center"/>
              <w:rPr>
                <w:snapToGrid w:val="0"/>
                <w:kern w:val="21"/>
                <w:szCs w:val="21"/>
              </w:rPr>
            </w:pPr>
            <w:r>
              <w:rPr>
                <w:snapToGrid w:val="0"/>
                <w:kern w:val="21"/>
                <w:szCs w:val="21"/>
              </w:rPr>
              <w:t>0</w:t>
            </w:r>
          </w:p>
        </w:tc>
        <w:tc>
          <w:tcPr>
            <w:tcW w:w="1970" w:type="dxa"/>
            <w:vAlign w:val="center"/>
          </w:tcPr>
          <w:p>
            <w:pPr>
              <w:jc w:val="center"/>
              <w:rPr>
                <w:snapToGrid w:val="0"/>
                <w:kern w:val="21"/>
                <w:szCs w:val="21"/>
              </w:rPr>
            </w:pPr>
            <w:r>
              <w:rPr>
                <w:snapToGrid w:val="0"/>
                <w:kern w:val="21"/>
                <w:szCs w:val="21"/>
              </w:rPr>
              <w:t>17.892</w:t>
            </w:r>
          </w:p>
        </w:tc>
        <w:tc>
          <w:tcPr>
            <w:tcW w:w="1345" w:type="dxa"/>
            <w:vAlign w:val="center"/>
          </w:tcPr>
          <w:p>
            <w:pPr>
              <w:jc w:val="center"/>
              <w:rPr>
                <w:snapToGrid w:val="0"/>
                <w:kern w:val="21"/>
                <w:szCs w:val="21"/>
              </w:rPr>
            </w:pPr>
            <w:r>
              <w:rPr>
                <w:snapToGrid w:val="0"/>
                <w:kern w:val="21"/>
                <w:szCs w:val="21"/>
              </w:rPr>
              <w:t>17.892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666" w:type="dxa"/>
            <w:gridSpan w:val="2"/>
            <w:vMerge w:val="continue"/>
            <w:vAlign w:val="center"/>
          </w:tcPr>
          <w:p>
            <w:pPr>
              <w:pStyle w:val="39"/>
              <w:spacing w:beforeLines="0" w:afterLines="0" w:line="240" w:lineRule="auto"/>
              <w:rPr>
                <w:rFonts w:ascii="Times New Roman"/>
                <w:snapToGrid w:val="0"/>
                <w:kern w:val="21"/>
                <w:szCs w:val="21"/>
              </w:rPr>
            </w:pPr>
          </w:p>
        </w:tc>
        <w:tc>
          <w:tcPr>
            <w:tcW w:w="1486" w:type="dxa"/>
            <w:vAlign w:val="center"/>
          </w:tcPr>
          <w:p>
            <w:pPr>
              <w:jc w:val="center"/>
              <w:rPr>
                <w:snapToGrid w:val="0"/>
                <w:kern w:val="21"/>
                <w:szCs w:val="21"/>
              </w:rPr>
            </w:pPr>
            <w:r>
              <w:rPr>
                <w:szCs w:val="21"/>
              </w:rPr>
              <w:t>废包材</w:t>
            </w:r>
          </w:p>
        </w:tc>
        <w:tc>
          <w:tcPr>
            <w:tcW w:w="1784" w:type="dxa"/>
            <w:vAlign w:val="center"/>
          </w:tcPr>
          <w:p>
            <w:pPr>
              <w:jc w:val="center"/>
              <w:rPr>
                <w:snapToGrid w:val="0"/>
                <w:kern w:val="21"/>
                <w:szCs w:val="21"/>
              </w:rPr>
            </w:pPr>
            <w:r>
              <w:rPr>
                <w:snapToGrid w:val="0"/>
                <w:kern w:val="21"/>
                <w:szCs w:val="21"/>
              </w:rPr>
              <w:t>0</w:t>
            </w:r>
          </w:p>
        </w:tc>
        <w:tc>
          <w:tcPr>
            <w:tcW w:w="1338" w:type="dxa"/>
            <w:vAlign w:val="center"/>
          </w:tcPr>
          <w:p>
            <w:pPr>
              <w:jc w:val="center"/>
              <w:rPr>
                <w:snapToGrid w:val="0"/>
                <w:kern w:val="21"/>
                <w:szCs w:val="21"/>
              </w:rPr>
            </w:pPr>
            <w:r>
              <w:rPr>
                <w:snapToGrid w:val="0"/>
                <w:kern w:val="21"/>
                <w:szCs w:val="21"/>
              </w:rPr>
              <w:t>0</w:t>
            </w:r>
          </w:p>
        </w:tc>
        <w:tc>
          <w:tcPr>
            <w:tcW w:w="1573" w:type="dxa"/>
            <w:vAlign w:val="center"/>
          </w:tcPr>
          <w:p>
            <w:pPr>
              <w:jc w:val="center"/>
              <w:rPr>
                <w:snapToGrid w:val="0"/>
                <w:kern w:val="21"/>
                <w:szCs w:val="21"/>
              </w:rPr>
            </w:pPr>
            <w:r>
              <w:rPr>
                <w:snapToGrid w:val="0"/>
                <w:kern w:val="21"/>
                <w:szCs w:val="21"/>
              </w:rPr>
              <w:t>0</w:t>
            </w:r>
          </w:p>
        </w:tc>
        <w:tc>
          <w:tcPr>
            <w:tcW w:w="1644" w:type="dxa"/>
            <w:vAlign w:val="center"/>
          </w:tcPr>
          <w:p>
            <w:pPr>
              <w:jc w:val="center"/>
              <w:rPr>
                <w:snapToGrid w:val="0"/>
                <w:kern w:val="21"/>
                <w:szCs w:val="21"/>
              </w:rPr>
            </w:pPr>
            <w:r>
              <w:rPr>
                <w:snapToGrid w:val="0"/>
                <w:kern w:val="21"/>
                <w:szCs w:val="21"/>
              </w:rPr>
              <w:t>6</w:t>
            </w:r>
          </w:p>
        </w:tc>
        <w:tc>
          <w:tcPr>
            <w:tcW w:w="1856" w:type="dxa"/>
            <w:vAlign w:val="center"/>
          </w:tcPr>
          <w:p>
            <w:pPr>
              <w:jc w:val="center"/>
              <w:rPr>
                <w:snapToGrid w:val="0"/>
                <w:kern w:val="21"/>
                <w:szCs w:val="21"/>
              </w:rPr>
            </w:pPr>
            <w:r>
              <w:rPr>
                <w:snapToGrid w:val="0"/>
                <w:kern w:val="21"/>
                <w:szCs w:val="21"/>
              </w:rPr>
              <w:t>0</w:t>
            </w:r>
          </w:p>
        </w:tc>
        <w:tc>
          <w:tcPr>
            <w:tcW w:w="1970" w:type="dxa"/>
            <w:vAlign w:val="center"/>
          </w:tcPr>
          <w:p>
            <w:pPr>
              <w:jc w:val="center"/>
              <w:rPr>
                <w:snapToGrid w:val="0"/>
                <w:kern w:val="21"/>
                <w:szCs w:val="21"/>
              </w:rPr>
            </w:pPr>
            <w:r>
              <w:rPr>
                <w:snapToGrid w:val="0"/>
                <w:kern w:val="21"/>
                <w:szCs w:val="21"/>
              </w:rPr>
              <w:t>6</w:t>
            </w:r>
          </w:p>
        </w:tc>
        <w:tc>
          <w:tcPr>
            <w:tcW w:w="1345" w:type="dxa"/>
            <w:vAlign w:val="center"/>
          </w:tcPr>
          <w:p>
            <w:pPr>
              <w:jc w:val="center"/>
              <w:rPr>
                <w:snapToGrid w:val="0"/>
                <w:kern w:val="21"/>
                <w:szCs w:val="21"/>
              </w:rPr>
            </w:pPr>
            <w:r>
              <w:rPr>
                <w:snapToGrid w:val="0"/>
                <w:kern w:val="21"/>
                <w:szCs w:val="21"/>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666" w:type="dxa"/>
            <w:gridSpan w:val="2"/>
            <w:vMerge w:val="continue"/>
            <w:vAlign w:val="center"/>
          </w:tcPr>
          <w:p>
            <w:pPr>
              <w:pStyle w:val="39"/>
              <w:spacing w:beforeLines="0" w:afterLines="0" w:line="240" w:lineRule="auto"/>
              <w:rPr>
                <w:rFonts w:ascii="Times New Roman"/>
                <w:snapToGrid w:val="0"/>
                <w:kern w:val="21"/>
                <w:szCs w:val="21"/>
              </w:rPr>
            </w:pPr>
          </w:p>
        </w:tc>
        <w:tc>
          <w:tcPr>
            <w:tcW w:w="1486" w:type="dxa"/>
            <w:vAlign w:val="center"/>
          </w:tcPr>
          <w:p>
            <w:pPr>
              <w:jc w:val="center"/>
              <w:rPr>
                <w:snapToGrid w:val="0"/>
                <w:kern w:val="21"/>
                <w:szCs w:val="21"/>
              </w:rPr>
            </w:pPr>
            <w:r>
              <w:rPr>
                <w:szCs w:val="21"/>
              </w:rPr>
              <w:t>生物质锅炉灰渣</w:t>
            </w:r>
          </w:p>
        </w:tc>
        <w:tc>
          <w:tcPr>
            <w:tcW w:w="1784" w:type="dxa"/>
            <w:vAlign w:val="center"/>
          </w:tcPr>
          <w:p>
            <w:pPr>
              <w:jc w:val="center"/>
              <w:rPr>
                <w:snapToGrid w:val="0"/>
                <w:kern w:val="21"/>
                <w:szCs w:val="21"/>
              </w:rPr>
            </w:pPr>
            <w:r>
              <w:rPr>
                <w:snapToGrid w:val="0"/>
                <w:kern w:val="21"/>
                <w:szCs w:val="21"/>
              </w:rPr>
              <w:t>0</w:t>
            </w:r>
          </w:p>
        </w:tc>
        <w:tc>
          <w:tcPr>
            <w:tcW w:w="1338" w:type="dxa"/>
            <w:vAlign w:val="center"/>
          </w:tcPr>
          <w:p>
            <w:pPr>
              <w:jc w:val="center"/>
              <w:rPr>
                <w:snapToGrid w:val="0"/>
                <w:kern w:val="21"/>
                <w:szCs w:val="21"/>
              </w:rPr>
            </w:pPr>
            <w:r>
              <w:rPr>
                <w:snapToGrid w:val="0"/>
                <w:kern w:val="21"/>
                <w:szCs w:val="21"/>
              </w:rPr>
              <w:t>0</w:t>
            </w:r>
          </w:p>
        </w:tc>
        <w:tc>
          <w:tcPr>
            <w:tcW w:w="1573" w:type="dxa"/>
            <w:vAlign w:val="center"/>
          </w:tcPr>
          <w:p>
            <w:pPr>
              <w:jc w:val="center"/>
              <w:rPr>
                <w:snapToGrid w:val="0"/>
                <w:kern w:val="21"/>
                <w:szCs w:val="21"/>
              </w:rPr>
            </w:pPr>
            <w:r>
              <w:rPr>
                <w:snapToGrid w:val="0"/>
                <w:kern w:val="21"/>
                <w:szCs w:val="21"/>
              </w:rPr>
              <w:t>0</w:t>
            </w:r>
          </w:p>
        </w:tc>
        <w:tc>
          <w:tcPr>
            <w:tcW w:w="1644" w:type="dxa"/>
            <w:vAlign w:val="center"/>
          </w:tcPr>
          <w:p>
            <w:pPr>
              <w:jc w:val="center"/>
              <w:rPr>
                <w:snapToGrid w:val="0"/>
                <w:kern w:val="21"/>
                <w:szCs w:val="21"/>
              </w:rPr>
            </w:pPr>
            <w:r>
              <w:rPr>
                <w:snapToGrid w:val="0"/>
                <w:kern w:val="21"/>
                <w:szCs w:val="21"/>
              </w:rPr>
              <w:t>42.5</w:t>
            </w:r>
          </w:p>
        </w:tc>
        <w:tc>
          <w:tcPr>
            <w:tcW w:w="1856" w:type="dxa"/>
            <w:vAlign w:val="center"/>
          </w:tcPr>
          <w:p>
            <w:pPr>
              <w:jc w:val="center"/>
              <w:rPr>
                <w:snapToGrid w:val="0"/>
                <w:kern w:val="21"/>
                <w:szCs w:val="21"/>
              </w:rPr>
            </w:pPr>
            <w:r>
              <w:rPr>
                <w:snapToGrid w:val="0"/>
                <w:kern w:val="21"/>
                <w:szCs w:val="21"/>
              </w:rPr>
              <w:t>0</w:t>
            </w:r>
          </w:p>
        </w:tc>
        <w:tc>
          <w:tcPr>
            <w:tcW w:w="1970" w:type="dxa"/>
            <w:vAlign w:val="center"/>
          </w:tcPr>
          <w:p>
            <w:pPr>
              <w:jc w:val="center"/>
              <w:rPr>
                <w:snapToGrid w:val="0"/>
                <w:kern w:val="21"/>
                <w:szCs w:val="21"/>
              </w:rPr>
            </w:pPr>
            <w:r>
              <w:rPr>
                <w:snapToGrid w:val="0"/>
                <w:kern w:val="21"/>
                <w:szCs w:val="21"/>
              </w:rPr>
              <w:t>42.5</w:t>
            </w:r>
          </w:p>
        </w:tc>
        <w:tc>
          <w:tcPr>
            <w:tcW w:w="1345" w:type="dxa"/>
            <w:vAlign w:val="center"/>
          </w:tcPr>
          <w:p>
            <w:pPr>
              <w:jc w:val="center"/>
              <w:rPr>
                <w:snapToGrid w:val="0"/>
                <w:kern w:val="21"/>
                <w:szCs w:val="21"/>
              </w:rPr>
            </w:pPr>
            <w:r>
              <w:rPr>
                <w:snapToGrid w:val="0"/>
                <w:kern w:val="21"/>
                <w:szCs w:val="21"/>
              </w:rPr>
              <w:t>42.5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666" w:type="dxa"/>
            <w:gridSpan w:val="2"/>
            <w:vMerge w:val="continue"/>
            <w:vAlign w:val="center"/>
          </w:tcPr>
          <w:p>
            <w:pPr>
              <w:pStyle w:val="39"/>
              <w:spacing w:beforeLines="0" w:afterLines="0" w:line="240" w:lineRule="auto"/>
              <w:rPr>
                <w:rFonts w:ascii="Times New Roman"/>
                <w:snapToGrid w:val="0"/>
                <w:kern w:val="21"/>
                <w:szCs w:val="21"/>
              </w:rPr>
            </w:pPr>
          </w:p>
        </w:tc>
        <w:tc>
          <w:tcPr>
            <w:tcW w:w="1486" w:type="dxa"/>
            <w:vAlign w:val="center"/>
          </w:tcPr>
          <w:p>
            <w:pPr>
              <w:jc w:val="center"/>
              <w:rPr>
                <w:szCs w:val="21"/>
              </w:rPr>
            </w:pPr>
            <w:r>
              <w:rPr>
                <w:szCs w:val="21"/>
              </w:rPr>
              <w:t>生活垃圾</w:t>
            </w:r>
          </w:p>
        </w:tc>
        <w:tc>
          <w:tcPr>
            <w:tcW w:w="1784" w:type="dxa"/>
            <w:vAlign w:val="center"/>
          </w:tcPr>
          <w:p>
            <w:pPr>
              <w:jc w:val="center"/>
              <w:rPr>
                <w:snapToGrid w:val="0"/>
                <w:kern w:val="21"/>
                <w:szCs w:val="21"/>
              </w:rPr>
            </w:pPr>
            <w:r>
              <w:rPr>
                <w:snapToGrid w:val="0"/>
                <w:kern w:val="21"/>
                <w:szCs w:val="21"/>
              </w:rPr>
              <w:t>0</w:t>
            </w:r>
          </w:p>
        </w:tc>
        <w:tc>
          <w:tcPr>
            <w:tcW w:w="1338" w:type="dxa"/>
            <w:vAlign w:val="center"/>
          </w:tcPr>
          <w:p>
            <w:pPr>
              <w:jc w:val="center"/>
              <w:rPr>
                <w:snapToGrid w:val="0"/>
                <w:kern w:val="21"/>
                <w:szCs w:val="21"/>
              </w:rPr>
            </w:pPr>
            <w:r>
              <w:rPr>
                <w:snapToGrid w:val="0"/>
                <w:kern w:val="21"/>
                <w:szCs w:val="21"/>
              </w:rPr>
              <w:t>0</w:t>
            </w:r>
          </w:p>
        </w:tc>
        <w:tc>
          <w:tcPr>
            <w:tcW w:w="1573" w:type="dxa"/>
            <w:vAlign w:val="center"/>
          </w:tcPr>
          <w:p>
            <w:pPr>
              <w:jc w:val="center"/>
              <w:rPr>
                <w:snapToGrid w:val="0"/>
                <w:kern w:val="21"/>
                <w:szCs w:val="21"/>
              </w:rPr>
            </w:pPr>
            <w:r>
              <w:rPr>
                <w:snapToGrid w:val="0"/>
                <w:kern w:val="21"/>
                <w:szCs w:val="21"/>
              </w:rPr>
              <w:t>0</w:t>
            </w:r>
          </w:p>
        </w:tc>
        <w:tc>
          <w:tcPr>
            <w:tcW w:w="1644" w:type="dxa"/>
            <w:vAlign w:val="center"/>
          </w:tcPr>
          <w:p>
            <w:pPr>
              <w:jc w:val="center"/>
              <w:rPr>
                <w:snapToGrid w:val="0"/>
                <w:kern w:val="21"/>
                <w:szCs w:val="21"/>
              </w:rPr>
            </w:pPr>
            <w:r>
              <w:rPr>
                <w:szCs w:val="21"/>
              </w:rPr>
              <w:t>34.31</w:t>
            </w:r>
          </w:p>
        </w:tc>
        <w:tc>
          <w:tcPr>
            <w:tcW w:w="1856" w:type="dxa"/>
            <w:vAlign w:val="center"/>
          </w:tcPr>
          <w:p>
            <w:pPr>
              <w:jc w:val="center"/>
              <w:rPr>
                <w:snapToGrid w:val="0"/>
                <w:kern w:val="21"/>
                <w:szCs w:val="21"/>
              </w:rPr>
            </w:pPr>
            <w:r>
              <w:rPr>
                <w:snapToGrid w:val="0"/>
                <w:kern w:val="21"/>
                <w:szCs w:val="21"/>
              </w:rPr>
              <w:t>0</w:t>
            </w:r>
          </w:p>
        </w:tc>
        <w:tc>
          <w:tcPr>
            <w:tcW w:w="1970" w:type="dxa"/>
            <w:vAlign w:val="center"/>
          </w:tcPr>
          <w:p>
            <w:pPr>
              <w:jc w:val="center"/>
              <w:rPr>
                <w:snapToGrid w:val="0"/>
                <w:kern w:val="21"/>
                <w:szCs w:val="21"/>
              </w:rPr>
            </w:pPr>
            <w:r>
              <w:rPr>
                <w:szCs w:val="21"/>
              </w:rPr>
              <w:t>34.31</w:t>
            </w:r>
          </w:p>
        </w:tc>
        <w:tc>
          <w:tcPr>
            <w:tcW w:w="1345" w:type="dxa"/>
            <w:vAlign w:val="center"/>
          </w:tcPr>
          <w:p>
            <w:pPr>
              <w:jc w:val="center"/>
              <w:rPr>
                <w:snapToGrid w:val="0"/>
                <w:kern w:val="21"/>
                <w:szCs w:val="21"/>
              </w:rPr>
            </w:pPr>
            <w:r>
              <w:rPr>
                <w:szCs w:val="21"/>
              </w:rPr>
              <w:t>34.31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666" w:type="dxa"/>
            <w:gridSpan w:val="2"/>
            <w:vMerge w:val="continue"/>
            <w:vAlign w:val="center"/>
          </w:tcPr>
          <w:p>
            <w:pPr>
              <w:pStyle w:val="39"/>
              <w:spacing w:beforeLines="0" w:afterLines="0" w:line="240" w:lineRule="auto"/>
              <w:rPr>
                <w:rFonts w:ascii="Times New Roman"/>
                <w:snapToGrid w:val="0"/>
                <w:kern w:val="21"/>
                <w:szCs w:val="21"/>
              </w:rPr>
            </w:pPr>
          </w:p>
        </w:tc>
        <w:tc>
          <w:tcPr>
            <w:tcW w:w="1486" w:type="dxa"/>
            <w:vAlign w:val="center"/>
          </w:tcPr>
          <w:p>
            <w:pPr>
              <w:jc w:val="center"/>
              <w:rPr>
                <w:snapToGrid w:val="0"/>
                <w:kern w:val="21"/>
                <w:szCs w:val="21"/>
              </w:rPr>
            </w:pPr>
            <w:r>
              <w:rPr>
                <w:szCs w:val="21"/>
              </w:rPr>
              <w:t>含油抹布手套（不按危废处置）</w:t>
            </w:r>
          </w:p>
        </w:tc>
        <w:tc>
          <w:tcPr>
            <w:tcW w:w="1784" w:type="dxa"/>
            <w:vAlign w:val="center"/>
          </w:tcPr>
          <w:p>
            <w:pPr>
              <w:jc w:val="center"/>
              <w:rPr>
                <w:snapToGrid w:val="0"/>
                <w:kern w:val="21"/>
                <w:szCs w:val="21"/>
              </w:rPr>
            </w:pPr>
            <w:r>
              <w:rPr>
                <w:snapToGrid w:val="0"/>
                <w:kern w:val="21"/>
                <w:szCs w:val="21"/>
              </w:rPr>
              <w:t>0</w:t>
            </w:r>
          </w:p>
        </w:tc>
        <w:tc>
          <w:tcPr>
            <w:tcW w:w="1338" w:type="dxa"/>
            <w:vAlign w:val="center"/>
          </w:tcPr>
          <w:p>
            <w:pPr>
              <w:jc w:val="center"/>
              <w:rPr>
                <w:snapToGrid w:val="0"/>
                <w:kern w:val="21"/>
                <w:szCs w:val="21"/>
              </w:rPr>
            </w:pPr>
            <w:r>
              <w:rPr>
                <w:snapToGrid w:val="0"/>
                <w:kern w:val="21"/>
                <w:szCs w:val="21"/>
              </w:rPr>
              <w:t>0</w:t>
            </w:r>
          </w:p>
        </w:tc>
        <w:tc>
          <w:tcPr>
            <w:tcW w:w="1573" w:type="dxa"/>
            <w:vAlign w:val="center"/>
          </w:tcPr>
          <w:p>
            <w:pPr>
              <w:jc w:val="center"/>
              <w:rPr>
                <w:snapToGrid w:val="0"/>
                <w:kern w:val="21"/>
                <w:szCs w:val="21"/>
              </w:rPr>
            </w:pPr>
            <w:r>
              <w:rPr>
                <w:snapToGrid w:val="0"/>
                <w:kern w:val="21"/>
                <w:szCs w:val="21"/>
              </w:rPr>
              <w:t>0</w:t>
            </w:r>
          </w:p>
        </w:tc>
        <w:tc>
          <w:tcPr>
            <w:tcW w:w="1644" w:type="dxa"/>
            <w:vAlign w:val="center"/>
          </w:tcPr>
          <w:p>
            <w:pPr>
              <w:jc w:val="center"/>
              <w:rPr>
                <w:snapToGrid w:val="0"/>
                <w:kern w:val="21"/>
                <w:szCs w:val="21"/>
              </w:rPr>
            </w:pPr>
            <w:r>
              <w:rPr>
                <w:snapToGrid w:val="0"/>
                <w:kern w:val="21"/>
                <w:szCs w:val="21"/>
              </w:rPr>
              <w:t>0.005</w:t>
            </w:r>
          </w:p>
        </w:tc>
        <w:tc>
          <w:tcPr>
            <w:tcW w:w="1856" w:type="dxa"/>
            <w:vAlign w:val="center"/>
          </w:tcPr>
          <w:p>
            <w:pPr>
              <w:jc w:val="center"/>
              <w:rPr>
                <w:snapToGrid w:val="0"/>
                <w:kern w:val="21"/>
                <w:szCs w:val="21"/>
              </w:rPr>
            </w:pPr>
            <w:r>
              <w:rPr>
                <w:snapToGrid w:val="0"/>
                <w:kern w:val="21"/>
                <w:szCs w:val="21"/>
              </w:rPr>
              <w:t>0</w:t>
            </w:r>
          </w:p>
        </w:tc>
        <w:tc>
          <w:tcPr>
            <w:tcW w:w="1970" w:type="dxa"/>
            <w:vAlign w:val="center"/>
          </w:tcPr>
          <w:p>
            <w:pPr>
              <w:jc w:val="center"/>
              <w:rPr>
                <w:snapToGrid w:val="0"/>
                <w:kern w:val="21"/>
                <w:szCs w:val="21"/>
              </w:rPr>
            </w:pPr>
            <w:r>
              <w:rPr>
                <w:snapToGrid w:val="0"/>
                <w:kern w:val="21"/>
                <w:szCs w:val="21"/>
              </w:rPr>
              <w:t>0.005</w:t>
            </w:r>
          </w:p>
        </w:tc>
        <w:tc>
          <w:tcPr>
            <w:tcW w:w="1345" w:type="dxa"/>
            <w:vAlign w:val="center"/>
          </w:tcPr>
          <w:p>
            <w:pPr>
              <w:jc w:val="center"/>
              <w:rPr>
                <w:snapToGrid w:val="0"/>
                <w:kern w:val="21"/>
                <w:szCs w:val="21"/>
              </w:rPr>
            </w:pPr>
            <w:r>
              <w:rPr>
                <w:snapToGrid w:val="0"/>
                <w:kern w:val="21"/>
                <w:szCs w:val="21"/>
              </w:rPr>
              <w:t>0.005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666" w:type="dxa"/>
            <w:gridSpan w:val="2"/>
            <w:vMerge w:val="continue"/>
            <w:vAlign w:val="center"/>
          </w:tcPr>
          <w:p>
            <w:pPr>
              <w:pStyle w:val="39"/>
              <w:spacing w:beforeLines="0" w:afterLines="0" w:line="240" w:lineRule="auto"/>
              <w:rPr>
                <w:rFonts w:ascii="Times New Roman"/>
                <w:snapToGrid w:val="0"/>
                <w:kern w:val="21"/>
                <w:szCs w:val="21"/>
              </w:rPr>
            </w:pPr>
          </w:p>
        </w:tc>
        <w:tc>
          <w:tcPr>
            <w:tcW w:w="1486" w:type="dxa"/>
            <w:vAlign w:val="center"/>
          </w:tcPr>
          <w:p>
            <w:pPr>
              <w:jc w:val="center"/>
              <w:rPr>
                <w:szCs w:val="21"/>
              </w:rPr>
            </w:pPr>
            <w:r>
              <w:rPr>
                <w:szCs w:val="21"/>
              </w:rPr>
              <w:t>农药、化肥包装物</w:t>
            </w:r>
          </w:p>
        </w:tc>
        <w:tc>
          <w:tcPr>
            <w:tcW w:w="1784" w:type="dxa"/>
            <w:vAlign w:val="center"/>
          </w:tcPr>
          <w:p>
            <w:pPr>
              <w:jc w:val="center"/>
              <w:rPr>
                <w:snapToGrid w:val="0"/>
                <w:kern w:val="21"/>
                <w:szCs w:val="21"/>
              </w:rPr>
            </w:pPr>
            <w:r>
              <w:rPr>
                <w:snapToGrid w:val="0"/>
                <w:kern w:val="21"/>
                <w:szCs w:val="21"/>
              </w:rPr>
              <w:t>0</w:t>
            </w:r>
          </w:p>
        </w:tc>
        <w:tc>
          <w:tcPr>
            <w:tcW w:w="1338" w:type="dxa"/>
            <w:vAlign w:val="center"/>
          </w:tcPr>
          <w:p>
            <w:pPr>
              <w:jc w:val="center"/>
              <w:rPr>
                <w:snapToGrid w:val="0"/>
                <w:kern w:val="21"/>
                <w:szCs w:val="21"/>
              </w:rPr>
            </w:pPr>
            <w:r>
              <w:rPr>
                <w:snapToGrid w:val="0"/>
                <w:kern w:val="21"/>
                <w:szCs w:val="21"/>
              </w:rPr>
              <w:t>0</w:t>
            </w:r>
          </w:p>
        </w:tc>
        <w:tc>
          <w:tcPr>
            <w:tcW w:w="1573" w:type="dxa"/>
            <w:vAlign w:val="center"/>
          </w:tcPr>
          <w:p>
            <w:pPr>
              <w:jc w:val="center"/>
              <w:rPr>
                <w:snapToGrid w:val="0"/>
                <w:kern w:val="21"/>
                <w:szCs w:val="21"/>
              </w:rPr>
            </w:pPr>
            <w:r>
              <w:rPr>
                <w:snapToGrid w:val="0"/>
                <w:kern w:val="21"/>
                <w:szCs w:val="21"/>
              </w:rPr>
              <w:t>0</w:t>
            </w:r>
          </w:p>
        </w:tc>
        <w:tc>
          <w:tcPr>
            <w:tcW w:w="1644" w:type="dxa"/>
            <w:vAlign w:val="center"/>
          </w:tcPr>
          <w:p>
            <w:pPr>
              <w:jc w:val="center"/>
              <w:rPr>
                <w:snapToGrid w:val="0"/>
                <w:kern w:val="21"/>
                <w:szCs w:val="21"/>
              </w:rPr>
            </w:pPr>
            <w:r>
              <w:rPr>
                <w:snapToGrid w:val="0"/>
                <w:kern w:val="21"/>
                <w:szCs w:val="21"/>
              </w:rPr>
              <w:t>0.399</w:t>
            </w:r>
          </w:p>
        </w:tc>
        <w:tc>
          <w:tcPr>
            <w:tcW w:w="1856" w:type="dxa"/>
            <w:vAlign w:val="center"/>
          </w:tcPr>
          <w:p>
            <w:pPr>
              <w:jc w:val="center"/>
              <w:rPr>
                <w:snapToGrid w:val="0"/>
                <w:kern w:val="21"/>
                <w:szCs w:val="21"/>
              </w:rPr>
            </w:pPr>
            <w:r>
              <w:rPr>
                <w:snapToGrid w:val="0"/>
                <w:kern w:val="21"/>
                <w:szCs w:val="21"/>
              </w:rPr>
              <w:t>0</w:t>
            </w:r>
          </w:p>
        </w:tc>
        <w:tc>
          <w:tcPr>
            <w:tcW w:w="1970" w:type="dxa"/>
            <w:vAlign w:val="center"/>
          </w:tcPr>
          <w:p>
            <w:pPr>
              <w:jc w:val="center"/>
              <w:rPr>
                <w:snapToGrid w:val="0"/>
                <w:kern w:val="21"/>
                <w:szCs w:val="21"/>
              </w:rPr>
            </w:pPr>
            <w:r>
              <w:rPr>
                <w:snapToGrid w:val="0"/>
                <w:kern w:val="21"/>
                <w:szCs w:val="21"/>
              </w:rPr>
              <w:t>0.399</w:t>
            </w:r>
          </w:p>
        </w:tc>
        <w:tc>
          <w:tcPr>
            <w:tcW w:w="1345" w:type="dxa"/>
            <w:vAlign w:val="center"/>
          </w:tcPr>
          <w:p>
            <w:pPr>
              <w:jc w:val="center"/>
              <w:rPr>
                <w:snapToGrid w:val="0"/>
                <w:kern w:val="21"/>
                <w:szCs w:val="21"/>
              </w:rPr>
            </w:pPr>
            <w:r>
              <w:rPr>
                <w:snapToGrid w:val="0"/>
                <w:kern w:val="21"/>
                <w:szCs w:val="21"/>
              </w:rPr>
              <w:t>0.399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666" w:type="dxa"/>
            <w:gridSpan w:val="2"/>
            <w:vMerge w:val="restart"/>
            <w:vAlign w:val="center"/>
          </w:tcPr>
          <w:p>
            <w:pPr>
              <w:pStyle w:val="39"/>
              <w:spacing w:beforeLines="0" w:afterLines="0" w:line="240" w:lineRule="auto"/>
              <w:rPr>
                <w:rFonts w:ascii="Times New Roman"/>
                <w:kern w:val="2"/>
                <w:szCs w:val="21"/>
              </w:rPr>
            </w:pPr>
            <w:r>
              <w:rPr>
                <w:rFonts w:ascii="Times New Roman"/>
                <w:kern w:val="2"/>
                <w:szCs w:val="21"/>
              </w:rPr>
              <w:t>危险废物</w:t>
            </w:r>
          </w:p>
        </w:tc>
        <w:tc>
          <w:tcPr>
            <w:tcW w:w="1486" w:type="dxa"/>
            <w:vAlign w:val="center"/>
          </w:tcPr>
          <w:p>
            <w:pPr>
              <w:pStyle w:val="39"/>
              <w:spacing w:beforeLines="0" w:afterLines="0" w:line="240" w:lineRule="auto"/>
              <w:rPr>
                <w:rFonts w:ascii="Times New Roman"/>
                <w:szCs w:val="21"/>
              </w:rPr>
            </w:pPr>
            <w:r>
              <w:rPr>
                <w:rFonts w:ascii="Times New Roman"/>
                <w:kern w:val="2"/>
                <w:szCs w:val="21"/>
              </w:rPr>
              <w:t>废机油</w:t>
            </w:r>
          </w:p>
        </w:tc>
        <w:tc>
          <w:tcPr>
            <w:tcW w:w="1784" w:type="dxa"/>
            <w:vAlign w:val="center"/>
          </w:tcPr>
          <w:p>
            <w:pPr>
              <w:pStyle w:val="39"/>
              <w:spacing w:beforeLines="0" w:afterLines="0" w:line="240" w:lineRule="auto"/>
              <w:rPr>
                <w:rFonts w:ascii="Times New Roman"/>
                <w:szCs w:val="21"/>
              </w:rPr>
            </w:pPr>
            <w:r>
              <w:rPr>
                <w:rFonts w:ascii="Times New Roman"/>
                <w:kern w:val="2"/>
                <w:szCs w:val="21"/>
              </w:rPr>
              <w:t>0</w:t>
            </w:r>
          </w:p>
        </w:tc>
        <w:tc>
          <w:tcPr>
            <w:tcW w:w="1338" w:type="dxa"/>
            <w:vAlign w:val="center"/>
          </w:tcPr>
          <w:p>
            <w:pPr>
              <w:pStyle w:val="39"/>
              <w:spacing w:beforeLines="0" w:afterLines="0" w:line="240" w:lineRule="auto"/>
              <w:rPr>
                <w:rFonts w:ascii="Times New Roman"/>
                <w:szCs w:val="21"/>
              </w:rPr>
            </w:pPr>
            <w:r>
              <w:rPr>
                <w:rFonts w:ascii="Times New Roman"/>
                <w:kern w:val="2"/>
                <w:szCs w:val="21"/>
              </w:rPr>
              <w:t>0</w:t>
            </w:r>
          </w:p>
        </w:tc>
        <w:tc>
          <w:tcPr>
            <w:tcW w:w="1573" w:type="dxa"/>
            <w:vAlign w:val="center"/>
          </w:tcPr>
          <w:p>
            <w:pPr>
              <w:pStyle w:val="39"/>
              <w:spacing w:beforeLines="0" w:afterLines="0" w:line="240" w:lineRule="auto"/>
              <w:rPr>
                <w:rFonts w:ascii="Times New Roman"/>
                <w:szCs w:val="21"/>
              </w:rPr>
            </w:pPr>
            <w:r>
              <w:rPr>
                <w:rFonts w:ascii="Times New Roman"/>
                <w:kern w:val="2"/>
                <w:szCs w:val="21"/>
              </w:rPr>
              <w:t>0</w:t>
            </w:r>
          </w:p>
        </w:tc>
        <w:tc>
          <w:tcPr>
            <w:tcW w:w="1644" w:type="dxa"/>
            <w:vAlign w:val="center"/>
          </w:tcPr>
          <w:p>
            <w:pPr>
              <w:pStyle w:val="39"/>
              <w:spacing w:beforeLines="0" w:afterLines="0" w:line="240" w:lineRule="auto"/>
              <w:rPr>
                <w:rFonts w:ascii="Times New Roman"/>
                <w:kern w:val="2"/>
                <w:szCs w:val="21"/>
              </w:rPr>
            </w:pPr>
            <w:r>
              <w:rPr>
                <w:rFonts w:ascii="Times New Roman"/>
                <w:kern w:val="2"/>
                <w:szCs w:val="21"/>
              </w:rPr>
              <w:t>0.5</w:t>
            </w:r>
          </w:p>
        </w:tc>
        <w:tc>
          <w:tcPr>
            <w:tcW w:w="1856" w:type="dxa"/>
            <w:vAlign w:val="center"/>
          </w:tcPr>
          <w:p>
            <w:pPr>
              <w:pStyle w:val="39"/>
              <w:spacing w:beforeLines="0" w:afterLines="0" w:line="240" w:lineRule="auto"/>
              <w:rPr>
                <w:rFonts w:ascii="Times New Roman"/>
                <w:szCs w:val="21"/>
              </w:rPr>
            </w:pPr>
            <w:r>
              <w:rPr>
                <w:rFonts w:ascii="Times New Roman"/>
                <w:kern w:val="2"/>
                <w:szCs w:val="21"/>
              </w:rPr>
              <w:t>0</w:t>
            </w:r>
          </w:p>
        </w:tc>
        <w:tc>
          <w:tcPr>
            <w:tcW w:w="1970" w:type="dxa"/>
            <w:vAlign w:val="center"/>
          </w:tcPr>
          <w:p>
            <w:pPr>
              <w:pStyle w:val="39"/>
              <w:spacing w:beforeLines="0" w:afterLines="0" w:line="240" w:lineRule="auto"/>
              <w:rPr>
                <w:rFonts w:ascii="Times New Roman"/>
                <w:kern w:val="2"/>
                <w:szCs w:val="21"/>
              </w:rPr>
            </w:pPr>
            <w:r>
              <w:rPr>
                <w:rFonts w:ascii="Times New Roman"/>
                <w:kern w:val="2"/>
                <w:szCs w:val="21"/>
              </w:rPr>
              <w:t>0.5</w:t>
            </w:r>
          </w:p>
        </w:tc>
        <w:tc>
          <w:tcPr>
            <w:tcW w:w="1345" w:type="dxa"/>
            <w:vAlign w:val="center"/>
          </w:tcPr>
          <w:p>
            <w:pPr>
              <w:pStyle w:val="39"/>
              <w:spacing w:beforeLines="0" w:afterLines="0" w:line="240" w:lineRule="auto"/>
              <w:rPr>
                <w:rFonts w:ascii="Times New Roman"/>
                <w:kern w:val="2"/>
                <w:szCs w:val="21"/>
              </w:rPr>
            </w:pPr>
            <w:r>
              <w:rPr>
                <w:rFonts w:ascii="Times New Roman"/>
                <w:kern w:val="2"/>
                <w:szCs w:val="21"/>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666" w:type="dxa"/>
            <w:gridSpan w:val="2"/>
            <w:vMerge w:val="continue"/>
            <w:vAlign w:val="center"/>
          </w:tcPr>
          <w:p>
            <w:pPr>
              <w:pStyle w:val="39"/>
              <w:spacing w:beforeLines="0" w:afterLines="0" w:line="240" w:lineRule="auto"/>
              <w:rPr>
                <w:rFonts w:ascii="Times New Roman"/>
                <w:kern w:val="2"/>
                <w:szCs w:val="21"/>
              </w:rPr>
            </w:pPr>
          </w:p>
        </w:tc>
        <w:tc>
          <w:tcPr>
            <w:tcW w:w="1486" w:type="dxa"/>
            <w:vAlign w:val="center"/>
          </w:tcPr>
          <w:p>
            <w:pPr>
              <w:pStyle w:val="39"/>
              <w:spacing w:beforeLines="0" w:afterLines="0" w:line="240" w:lineRule="auto"/>
              <w:rPr>
                <w:rFonts w:ascii="Times New Roman"/>
                <w:kern w:val="2"/>
                <w:szCs w:val="21"/>
              </w:rPr>
            </w:pPr>
            <w:r>
              <w:rPr>
                <w:rFonts w:ascii="Times New Roman"/>
                <w:kern w:val="2"/>
                <w:szCs w:val="21"/>
              </w:rPr>
              <w:t>硝酸、硫酸铵包装物</w:t>
            </w:r>
          </w:p>
        </w:tc>
        <w:tc>
          <w:tcPr>
            <w:tcW w:w="1784" w:type="dxa"/>
            <w:vAlign w:val="center"/>
          </w:tcPr>
          <w:p>
            <w:pPr>
              <w:pStyle w:val="39"/>
              <w:spacing w:beforeLines="0" w:afterLines="0" w:line="240" w:lineRule="auto"/>
              <w:rPr>
                <w:rFonts w:ascii="Times New Roman"/>
                <w:kern w:val="2"/>
                <w:szCs w:val="21"/>
              </w:rPr>
            </w:pPr>
            <w:r>
              <w:rPr>
                <w:rFonts w:ascii="Times New Roman"/>
                <w:kern w:val="2"/>
                <w:szCs w:val="21"/>
              </w:rPr>
              <w:t>0</w:t>
            </w:r>
          </w:p>
        </w:tc>
        <w:tc>
          <w:tcPr>
            <w:tcW w:w="1338" w:type="dxa"/>
            <w:vAlign w:val="center"/>
          </w:tcPr>
          <w:p>
            <w:pPr>
              <w:pStyle w:val="39"/>
              <w:spacing w:beforeLines="0" w:afterLines="0" w:line="240" w:lineRule="auto"/>
              <w:rPr>
                <w:rFonts w:ascii="Times New Roman"/>
                <w:kern w:val="2"/>
                <w:szCs w:val="21"/>
              </w:rPr>
            </w:pPr>
            <w:r>
              <w:rPr>
                <w:rFonts w:ascii="Times New Roman"/>
                <w:kern w:val="2"/>
                <w:szCs w:val="21"/>
              </w:rPr>
              <w:t>0</w:t>
            </w:r>
          </w:p>
        </w:tc>
        <w:tc>
          <w:tcPr>
            <w:tcW w:w="1573" w:type="dxa"/>
            <w:vAlign w:val="center"/>
          </w:tcPr>
          <w:p>
            <w:pPr>
              <w:pStyle w:val="39"/>
              <w:spacing w:beforeLines="0" w:afterLines="0" w:line="240" w:lineRule="auto"/>
              <w:rPr>
                <w:rFonts w:ascii="Times New Roman"/>
                <w:kern w:val="2"/>
                <w:szCs w:val="21"/>
              </w:rPr>
            </w:pPr>
            <w:r>
              <w:rPr>
                <w:rFonts w:ascii="Times New Roman"/>
                <w:kern w:val="2"/>
                <w:szCs w:val="21"/>
              </w:rPr>
              <w:t>0</w:t>
            </w:r>
          </w:p>
        </w:tc>
        <w:tc>
          <w:tcPr>
            <w:tcW w:w="1644" w:type="dxa"/>
            <w:vAlign w:val="center"/>
          </w:tcPr>
          <w:p>
            <w:pPr>
              <w:pStyle w:val="39"/>
              <w:spacing w:beforeLines="0" w:afterLines="0" w:line="240" w:lineRule="auto"/>
              <w:rPr>
                <w:rFonts w:ascii="Times New Roman"/>
                <w:kern w:val="2"/>
                <w:szCs w:val="21"/>
              </w:rPr>
            </w:pPr>
            <w:r>
              <w:rPr>
                <w:rFonts w:ascii="Times New Roman"/>
                <w:kern w:val="2"/>
                <w:szCs w:val="21"/>
              </w:rPr>
              <w:t>0.3</w:t>
            </w:r>
          </w:p>
        </w:tc>
        <w:tc>
          <w:tcPr>
            <w:tcW w:w="1856" w:type="dxa"/>
            <w:vAlign w:val="center"/>
          </w:tcPr>
          <w:p>
            <w:pPr>
              <w:pStyle w:val="39"/>
              <w:spacing w:beforeLines="0" w:afterLines="0" w:line="240" w:lineRule="auto"/>
              <w:rPr>
                <w:rFonts w:ascii="Times New Roman"/>
                <w:kern w:val="2"/>
                <w:szCs w:val="21"/>
              </w:rPr>
            </w:pPr>
            <w:r>
              <w:rPr>
                <w:rFonts w:ascii="Times New Roman"/>
                <w:kern w:val="2"/>
                <w:szCs w:val="21"/>
              </w:rPr>
              <w:t>0</w:t>
            </w:r>
          </w:p>
        </w:tc>
        <w:tc>
          <w:tcPr>
            <w:tcW w:w="1970" w:type="dxa"/>
            <w:vAlign w:val="center"/>
          </w:tcPr>
          <w:p>
            <w:pPr>
              <w:pStyle w:val="39"/>
              <w:spacing w:beforeLines="0" w:afterLines="0" w:line="240" w:lineRule="auto"/>
              <w:rPr>
                <w:rFonts w:ascii="Times New Roman"/>
                <w:kern w:val="2"/>
                <w:szCs w:val="21"/>
              </w:rPr>
            </w:pPr>
            <w:r>
              <w:rPr>
                <w:rFonts w:ascii="Times New Roman"/>
                <w:kern w:val="2"/>
                <w:szCs w:val="21"/>
              </w:rPr>
              <w:t>0.3</w:t>
            </w:r>
          </w:p>
        </w:tc>
        <w:tc>
          <w:tcPr>
            <w:tcW w:w="1345" w:type="dxa"/>
            <w:vAlign w:val="center"/>
          </w:tcPr>
          <w:p>
            <w:pPr>
              <w:pStyle w:val="39"/>
              <w:spacing w:beforeLines="0" w:afterLines="0" w:line="240" w:lineRule="auto"/>
              <w:rPr>
                <w:rFonts w:ascii="Times New Roman"/>
                <w:kern w:val="2"/>
                <w:szCs w:val="21"/>
              </w:rPr>
            </w:pPr>
            <w:r>
              <w:rPr>
                <w:rFonts w:ascii="Times New Roman"/>
                <w:kern w:val="2"/>
                <w:szCs w:val="21"/>
              </w:rPr>
              <w:t>0.3</w:t>
            </w:r>
          </w:p>
        </w:tc>
      </w:tr>
    </w:tbl>
    <w:p>
      <w:pPr>
        <w:pStyle w:val="39"/>
        <w:spacing w:before="249" w:beforeLines="80" w:after="31" w:line="360" w:lineRule="auto"/>
        <w:jc w:val="left"/>
        <w:rPr>
          <w:rFonts w:ascii="Times New Roman"/>
          <w:snapToGrid w:val="0"/>
          <w:spacing w:val="-6"/>
          <w:kern w:val="21"/>
          <w:szCs w:val="21"/>
        </w:rPr>
      </w:pPr>
      <w:r>
        <w:rPr>
          <w:rFonts w:ascii="Times New Roman"/>
          <w:snapToGrid w:val="0"/>
          <w:kern w:val="21"/>
          <w:szCs w:val="21"/>
        </w:rPr>
        <w:t>注：</w:t>
      </w:r>
      <w:r>
        <w:rPr>
          <w:rFonts w:ascii="Times New Roman"/>
          <w:snapToGrid w:val="0"/>
          <w:spacing w:val="-16"/>
          <w:kern w:val="21"/>
          <w:szCs w:val="21"/>
        </w:rPr>
        <w:fldChar w:fldCharType="begin"/>
      </w:r>
      <w:r>
        <w:rPr>
          <w:rFonts w:ascii="Times New Roman"/>
          <w:snapToGrid w:val="0"/>
          <w:spacing w:val="-16"/>
          <w:kern w:val="21"/>
          <w:szCs w:val="21"/>
        </w:rPr>
        <w:instrText xml:space="preserve"> = 6 \* GB3 \* MERGEFORMAT </w:instrText>
      </w:r>
      <w:r>
        <w:rPr>
          <w:rFonts w:ascii="Times New Roman"/>
          <w:snapToGrid w:val="0"/>
          <w:spacing w:val="-16"/>
          <w:kern w:val="21"/>
          <w:szCs w:val="21"/>
        </w:rPr>
        <w:fldChar w:fldCharType="separate"/>
      </w:r>
      <w:r>
        <w:rPr>
          <w:rFonts w:hint="eastAsia" w:hAnsi="宋体" w:cs="宋体"/>
          <w:szCs w:val="21"/>
        </w:rPr>
        <w:t>⑥</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1 \* GB3 \* MERGEFORMAT </w:instrText>
      </w:r>
      <w:r>
        <w:rPr>
          <w:rFonts w:ascii="Times New Roman"/>
          <w:snapToGrid w:val="0"/>
          <w:spacing w:val="-6"/>
          <w:kern w:val="21"/>
          <w:szCs w:val="21"/>
        </w:rPr>
        <w:fldChar w:fldCharType="separate"/>
      </w:r>
      <w:r>
        <w:rPr>
          <w:rFonts w:hint="eastAsia" w:hAnsi="宋体" w:cs="宋体"/>
          <w:szCs w:val="21"/>
        </w:rPr>
        <w:t>①</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3 \* GB3 \* MERGEFORMAT </w:instrText>
      </w:r>
      <w:r>
        <w:rPr>
          <w:rFonts w:ascii="Times New Roman"/>
          <w:snapToGrid w:val="0"/>
          <w:spacing w:val="-6"/>
          <w:kern w:val="21"/>
          <w:szCs w:val="21"/>
        </w:rPr>
        <w:fldChar w:fldCharType="separate"/>
      </w:r>
      <w:r>
        <w:rPr>
          <w:rFonts w:hint="eastAsia" w:hAnsi="宋体" w:cs="宋体"/>
          <w:szCs w:val="21"/>
        </w:rPr>
        <w:t>③</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4 \* GB3 \* MERGEFORMAT </w:instrText>
      </w:r>
      <w:r>
        <w:rPr>
          <w:rFonts w:ascii="Times New Roman"/>
          <w:snapToGrid w:val="0"/>
          <w:spacing w:val="-6"/>
          <w:kern w:val="21"/>
          <w:szCs w:val="21"/>
        </w:rPr>
        <w:fldChar w:fldCharType="separate"/>
      </w:r>
      <w:r>
        <w:rPr>
          <w:rFonts w:hint="eastAsia" w:hAnsi="宋体" w:cs="宋体"/>
          <w:szCs w:val="21"/>
        </w:rPr>
        <w:t>④</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16"/>
          <w:kern w:val="21"/>
          <w:szCs w:val="21"/>
        </w:rPr>
        <w:fldChar w:fldCharType="begin"/>
      </w:r>
      <w:r>
        <w:rPr>
          <w:rFonts w:ascii="Times New Roman"/>
          <w:snapToGrid w:val="0"/>
          <w:spacing w:val="-16"/>
          <w:kern w:val="21"/>
          <w:szCs w:val="21"/>
        </w:rPr>
        <w:instrText xml:space="preserve"> = 5 \* GB3 \* MERGEFORMAT </w:instrText>
      </w:r>
      <w:r>
        <w:rPr>
          <w:rFonts w:ascii="Times New Roman"/>
          <w:snapToGrid w:val="0"/>
          <w:spacing w:val="-16"/>
          <w:kern w:val="21"/>
          <w:szCs w:val="21"/>
        </w:rPr>
        <w:fldChar w:fldCharType="separate"/>
      </w:r>
      <w:r>
        <w:rPr>
          <w:rFonts w:hint="eastAsia" w:hAnsi="宋体" w:cs="宋体"/>
          <w:szCs w:val="21"/>
        </w:rPr>
        <w:t>⑤</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7 \* GB3 \* MERGEFORMAT </w:instrText>
      </w:r>
      <w:r>
        <w:rPr>
          <w:rFonts w:ascii="Times New Roman"/>
          <w:snapToGrid w:val="0"/>
          <w:spacing w:val="-6"/>
          <w:kern w:val="21"/>
          <w:szCs w:val="21"/>
        </w:rPr>
        <w:fldChar w:fldCharType="separate"/>
      </w:r>
      <w:r>
        <w:rPr>
          <w:rFonts w:hint="eastAsia" w:hAnsi="宋体" w:cs="宋体"/>
          <w:szCs w:val="21"/>
        </w:rPr>
        <w:t>⑦</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16"/>
          <w:kern w:val="21"/>
          <w:szCs w:val="21"/>
        </w:rPr>
        <w:fldChar w:fldCharType="begin"/>
      </w:r>
      <w:r>
        <w:rPr>
          <w:rFonts w:ascii="Times New Roman"/>
          <w:snapToGrid w:val="0"/>
          <w:spacing w:val="-16"/>
          <w:kern w:val="21"/>
          <w:szCs w:val="21"/>
        </w:rPr>
        <w:instrText xml:space="preserve"> = 6 \* GB3 \* MERGEFORMAT </w:instrText>
      </w:r>
      <w:r>
        <w:rPr>
          <w:rFonts w:ascii="Times New Roman"/>
          <w:snapToGrid w:val="0"/>
          <w:spacing w:val="-16"/>
          <w:kern w:val="21"/>
          <w:szCs w:val="21"/>
        </w:rPr>
        <w:fldChar w:fldCharType="separate"/>
      </w:r>
      <w:r>
        <w:rPr>
          <w:rFonts w:hint="eastAsia" w:hAnsi="宋体" w:cs="宋体"/>
          <w:szCs w:val="21"/>
        </w:rPr>
        <w:t>⑥</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1 \* GB3 \* MERGEFORMAT </w:instrText>
      </w:r>
      <w:r>
        <w:rPr>
          <w:rFonts w:ascii="Times New Roman"/>
          <w:snapToGrid w:val="0"/>
          <w:spacing w:val="-6"/>
          <w:kern w:val="21"/>
          <w:szCs w:val="21"/>
        </w:rPr>
        <w:fldChar w:fldCharType="separate"/>
      </w:r>
      <w:r>
        <w:rPr>
          <w:rFonts w:hint="eastAsia" w:hAnsi="宋体" w:cs="宋体"/>
          <w:szCs w:val="21"/>
        </w:rPr>
        <w:t>①</w:t>
      </w:r>
      <w:r>
        <w:rPr>
          <w:rFonts w:ascii="Times New Roman"/>
          <w:snapToGrid w:val="0"/>
          <w:spacing w:val="-6"/>
          <w:kern w:val="21"/>
          <w:szCs w:val="21"/>
        </w:rPr>
        <w:fldChar w:fldCharType="end"/>
      </w:r>
      <w:r>
        <w:rPr>
          <w:rFonts w:ascii="Times New Roman"/>
          <w:snapToGrid w:val="0"/>
          <w:spacing w:val="-6"/>
          <w:kern w:val="21"/>
          <w:szCs w:val="21"/>
        </w:rPr>
        <w:t xml:space="preserve"> </w:t>
      </w:r>
    </w:p>
    <w:sectPr>
      <w:pgSz w:w="16838" w:h="11906" w:orient="landscape"/>
      <w:pgMar w:top="1247"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9380485"/>
      <w:docPartObj>
        <w:docPartGallery w:val="autotext"/>
      </w:docPartObj>
    </w:sdtPr>
    <w:sdtContent>
      <w:p>
        <w:pPr>
          <w:pStyle w:val="16"/>
          <w:jc w:val="center"/>
        </w:pPr>
        <w:r>
          <w:fldChar w:fldCharType="begin"/>
        </w:r>
        <w:r>
          <w:instrText xml:space="preserve">PAGE   \* MERGEFORMAT</w:instrText>
        </w:r>
        <w:r>
          <w:fldChar w:fldCharType="separate"/>
        </w:r>
        <w:r>
          <w:rPr>
            <w:lang w:val="zh-CN"/>
          </w:rPr>
          <w:t>2</w:t>
        </w:r>
        <w:r>
          <w:fldChar w:fldCharType="end"/>
        </w:r>
      </w:p>
    </w:sdtContent>
  </w:sdt>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3C2EFE"/>
    <w:multiLevelType w:val="singleLevel"/>
    <w:tmpl w:val="953C2EFE"/>
    <w:lvl w:ilvl="0" w:tentative="0">
      <w:start w:val="2"/>
      <w:numFmt w:val="decimal"/>
      <w:suff w:val="nothing"/>
      <w:lvlText w:val="（%1）"/>
      <w:lvlJc w:val="left"/>
      <w:pPr>
        <w:ind w:left="315" w:firstLine="0"/>
      </w:pPr>
    </w:lvl>
  </w:abstractNum>
  <w:abstractNum w:abstractNumId="1">
    <w:nsid w:val="97335C07"/>
    <w:multiLevelType w:val="singleLevel"/>
    <w:tmpl w:val="97335C07"/>
    <w:lvl w:ilvl="0" w:tentative="0">
      <w:start w:val="1"/>
      <w:numFmt w:val="decimalEnclosedCircleChinese"/>
      <w:lvlText w:val="%1　"/>
      <w:lvlJc w:val="left"/>
      <w:pPr>
        <w:ind w:left="420" w:hanging="420"/>
      </w:pPr>
      <w:rPr>
        <w:rFonts w:hint="eastAsia"/>
      </w:rPr>
    </w:lvl>
  </w:abstractNum>
  <w:abstractNum w:abstractNumId="2">
    <w:nsid w:val="A89D0782"/>
    <w:multiLevelType w:val="singleLevel"/>
    <w:tmpl w:val="A89D0782"/>
    <w:lvl w:ilvl="0" w:tentative="0">
      <w:start w:val="1"/>
      <w:numFmt w:val="decimalEnclosedCircleChinese"/>
      <w:suff w:val="nothing"/>
      <w:lvlText w:val="%1　"/>
      <w:lvlJc w:val="left"/>
      <w:pPr>
        <w:ind w:left="0" w:firstLine="400"/>
      </w:pPr>
      <w:rPr>
        <w:rFonts w:hint="eastAsia"/>
      </w:rPr>
    </w:lvl>
  </w:abstractNum>
  <w:abstractNum w:abstractNumId="3">
    <w:nsid w:val="BF4333A4"/>
    <w:multiLevelType w:val="singleLevel"/>
    <w:tmpl w:val="BF4333A4"/>
    <w:lvl w:ilvl="0" w:tentative="0">
      <w:start w:val="1"/>
      <w:numFmt w:val="decimalEnclosedCircleChinese"/>
      <w:suff w:val="nothing"/>
      <w:lvlText w:val="%1　"/>
      <w:lvlJc w:val="left"/>
      <w:pPr>
        <w:ind w:left="0" w:firstLine="400"/>
      </w:pPr>
      <w:rPr>
        <w:rFonts w:hint="eastAsia"/>
      </w:rPr>
    </w:lvl>
  </w:abstractNum>
  <w:abstractNum w:abstractNumId="4">
    <w:nsid w:val="C7B788C9"/>
    <w:multiLevelType w:val="singleLevel"/>
    <w:tmpl w:val="C7B788C9"/>
    <w:lvl w:ilvl="0" w:tentative="0">
      <w:start w:val="3"/>
      <w:numFmt w:val="decimal"/>
      <w:suff w:val="nothing"/>
      <w:lvlText w:val="%1、"/>
      <w:lvlJc w:val="left"/>
    </w:lvl>
  </w:abstractNum>
  <w:abstractNum w:abstractNumId="5">
    <w:nsid w:val="E91F9A75"/>
    <w:multiLevelType w:val="singleLevel"/>
    <w:tmpl w:val="E91F9A75"/>
    <w:lvl w:ilvl="0" w:tentative="0">
      <w:start w:val="1"/>
      <w:numFmt w:val="decimalEnclosedCircleChinese"/>
      <w:suff w:val="nothing"/>
      <w:lvlText w:val="%1　"/>
      <w:lvlJc w:val="left"/>
      <w:pPr>
        <w:ind w:left="0" w:firstLine="400"/>
      </w:pPr>
      <w:rPr>
        <w:rFonts w:hint="eastAsia"/>
      </w:rPr>
    </w:lvl>
  </w:abstractNum>
  <w:abstractNum w:abstractNumId="6">
    <w:nsid w:val="F33E0B56"/>
    <w:multiLevelType w:val="singleLevel"/>
    <w:tmpl w:val="F33E0B56"/>
    <w:lvl w:ilvl="0" w:tentative="0">
      <w:start w:val="1"/>
      <w:numFmt w:val="decimalEnclosedCircleChinese"/>
      <w:suff w:val="nothing"/>
      <w:lvlText w:val="%1　"/>
      <w:lvlJc w:val="left"/>
      <w:pPr>
        <w:ind w:left="0" w:firstLine="400"/>
      </w:pPr>
      <w:rPr>
        <w:rFonts w:hint="eastAsia"/>
      </w:rPr>
    </w:lvl>
  </w:abstractNum>
  <w:abstractNum w:abstractNumId="7">
    <w:nsid w:val="038AD6BE"/>
    <w:multiLevelType w:val="singleLevel"/>
    <w:tmpl w:val="038AD6BE"/>
    <w:lvl w:ilvl="0" w:tentative="0">
      <w:start w:val="3"/>
      <w:numFmt w:val="chineseCounting"/>
      <w:suff w:val="nothing"/>
      <w:lvlText w:val="%1、"/>
      <w:lvlJc w:val="left"/>
      <w:rPr>
        <w:rFonts w:hint="eastAsia"/>
      </w:rPr>
    </w:lvl>
  </w:abstractNum>
  <w:abstractNum w:abstractNumId="8">
    <w:nsid w:val="1244572C"/>
    <w:multiLevelType w:val="singleLevel"/>
    <w:tmpl w:val="1244572C"/>
    <w:lvl w:ilvl="0" w:tentative="0">
      <w:start w:val="1"/>
      <w:numFmt w:val="chineseCounting"/>
      <w:suff w:val="nothing"/>
      <w:lvlText w:val="（%1）"/>
      <w:lvlJc w:val="left"/>
      <w:rPr>
        <w:rFonts w:hint="eastAsia"/>
        <w:b/>
        <w:bCs/>
      </w:rPr>
    </w:lvl>
  </w:abstractNum>
  <w:abstractNum w:abstractNumId="9">
    <w:nsid w:val="1A8473E7"/>
    <w:multiLevelType w:val="singleLevel"/>
    <w:tmpl w:val="1A8473E7"/>
    <w:lvl w:ilvl="0" w:tentative="0">
      <w:start w:val="1"/>
      <w:numFmt w:val="decimalEnclosedCircleChinese"/>
      <w:suff w:val="nothing"/>
      <w:lvlText w:val="%1　"/>
      <w:lvlJc w:val="left"/>
      <w:pPr>
        <w:ind w:left="0" w:firstLine="400"/>
      </w:pPr>
      <w:rPr>
        <w:rFonts w:hint="eastAsia"/>
      </w:rPr>
    </w:lvl>
  </w:abstractNum>
  <w:abstractNum w:abstractNumId="10">
    <w:nsid w:val="2F183E85"/>
    <w:multiLevelType w:val="singleLevel"/>
    <w:tmpl w:val="2F183E85"/>
    <w:lvl w:ilvl="0" w:tentative="0">
      <w:start w:val="1"/>
      <w:numFmt w:val="decimalEnclosedCircleChinese"/>
      <w:suff w:val="nothing"/>
      <w:lvlText w:val="%1　"/>
      <w:lvlJc w:val="left"/>
      <w:pPr>
        <w:ind w:left="0" w:firstLine="400"/>
      </w:pPr>
      <w:rPr>
        <w:rFonts w:hint="eastAsia"/>
      </w:rPr>
    </w:lvl>
  </w:abstractNum>
  <w:abstractNum w:abstractNumId="11">
    <w:nsid w:val="3B23E2DF"/>
    <w:multiLevelType w:val="singleLevel"/>
    <w:tmpl w:val="3B23E2DF"/>
    <w:lvl w:ilvl="0" w:tentative="0">
      <w:start w:val="1"/>
      <w:numFmt w:val="decimal"/>
      <w:suff w:val="nothing"/>
      <w:lvlText w:val="%1、"/>
      <w:lvlJc w:val="left"/>
    </w:lvl>
  </w:abstractNum>
  <w:abstractNum w:abstractNumId="12">
    <w:nsid w:val="5C10A846"/>
    <w:multiLevelType w:val="singleLevel"/>
    <w:tmpl w:val="5C10A846"/>
    <w:lvl w:ilvl="0" w:tentative="0">
      <w:start w:val="8"/>
      <w:numFmt w:val="decimal"/>
      <w:suff w:val="nothing"/>
      <w:lvlText w:val="（%1）"/>
      <w:lvlJc w:val="left"/>
    </w:lvl>
  </w:abstractNum>
  <w:abstractNum w:abstractNumId="13">
    <w:nsid w:val="67DF21F3"/>
    <w:multiLevelType w:val="singleLevel"/>
    <w:tmpl w:val="67DF21F3"/>
    <w:lvl w:ilvl="0" w:tentative="0">
      <w:start w:val="2"/>
      <w:numFmt w:val="decimal"/>
      <w:lvlText w:val="%1."/>
      <w:lvlJc w:val="left"/>
      <w:pPr>
        <w:tabs>
          <w:tab w:val="left" w:pos="312"/>
        </w:tabs>
      </w:pPr>
    </w:lvl>
  </w:abstractNum>
  <w:abstractNum w:abstractNumId="14">
    <w:nsid w:val="7748BB63"/>
    <w:multiLevelType w:val="singleLevel"/>
    <w:tmpl w:val="7748BB63"/>
    <w:lvl w:ilvl="0" w:tentative="0">
      <w:start w:val="1"/>
      <w:numFmt w:val="decimalEnclosedCircleChinese"/>
      <w:suff w:val="nothing"/>
      <w:lvlText w:val="%1　"/>
      <w:lvlJc w:val="left"/>
      <w:pPr>
        <w:ind w:left="0" w:firstLine="400"/>
      </w:pPr>
      <w:rPr>
        <w:rFonts w:hint="eastAsia"/>
      </w:rPr>
    </w:lvl>
  </w:abstractNum>
  <w:num w:numId="1">
    <w:abstractNumId w:val="12"/>
  </w:num>
  <w:num w:numId="2">
    <w:abstractNumId w:val="7"/>
  </w:num>
  <w:num w:numId="3">
    <w:abstractNumId w:val="8"/>
  </w:num>
  <w:num w:numId="4">
    <w:abstractNumId w:val="1"/>
  </w:num>
  <w:num w:numId="5">
    <w:abstractNumId w:val="6"/>
  </w:num>
  <w:num w:numId="6">
    <w:abstractNumId w:val="9"/>
  </w:num>
  <w:num w:numId="7">
    <w:abstractNumId w:val="11"/>
  </w:num>
  <w:num w:numId="8">
    <w:abstractNumId w:val="0"/>
  </w:num>
  <w:num w:numId="9">
    <w:abstractNumId w:val="4"/>
  </w:num>
  <w:num w:numId="10">
    <w:abstractNumId w:val="10"/>
  </w:num>
  <w:num w:numId="11">
    <w:abstractNumId w:val="3"/>
  </w:num>
  <w:num w:numId="12">
    <w:abstractNumId w:val="2"/>
  </w:num>
  <w:num w:numId="13">
    <w:abstractNumId w:val="13"/>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YzY3MjdiMmE2Yzg2YmZhYjUxZDcyYWY5NzAzMjQifQ=="/>
    <w:docVar w:name="KSO_WPS_MARK_KEY" w:val="557886db-b9f4-46c8-9441-c714332f0d45"/>
  </w:docVars>
  <w:rsids>
    <w:rsidRoot w:val="00F1040C"/>
    <w:rsid w:val="0000568C"/>
    <w:rsid w:val="00042CB6"/>
    <w:rsid w:val="000435DB"/>
    <w:rsid w:val="00076943"/>
    <w:rsid w:val="00083099"/>
    <w:rsid w:val="000B5377"/>
    <w:rsid w:val="00135135"/>
    <w:rsid w:val="00142005"/>
    <w:rsid w:val="0015610C"/>
    <w:rsid w:val="001975E7"/>
    <w:rsid w:val="001A2E4B"/>
    <w:rsid w:val="0023237A"/>
    <w:rsid w:val="002708E9"/>
    <w:rsid w:val="00297DD3"/>
    <w:rsid w:val="002A0404"/>
    <w:rsid w:val="002D1178"/>
    <w:rsid w:val="002E51CF"/>
    <w:rsid w:val="002F2B7B"/>
    <w:rsid w:val="003045C1"/>
    <w:rsid w:val="003224BB"/>
    <w:rsid w:val="00360670"/>
    <w:rsid w:val="003938EF"/>
    <w:rsid w:val="00407D54"/>
    <w:rsid w:val="00463CE6"/>
    <w:rsid w:val="00495BF2"/>
    <w:rsid w:val="004E16EF"/>
    <w:rsid w:val="004E2BC9"/>
    <w:rsid w:val="004F0015"/>
    <w:rsid w:val="005068F5"/>
    <w:rsid w:val="0051763D"/>
    <w:rsid w:val="00566723"/>
    <w:rsid w:val="00591149"/>
    <w:rsid w:val="005A155D"/>
    <w:rsid w:val="005A1F9C"/>
    <w:rsid w:val="005E0D75"/>
    <w:rsid w:val="005E32A5"/>
    <w:rsid w:val="00621C19"/>
    <w:rsid w:val="006B084C"/>
    <w:rsid w:val="00740817"/>
    <w:rsid w:val="007533AA"/>
    <w:rsid w:val="007923B7"/>
    <w:rsid w:val="007D132E"/>
    <w:rsid w:val="007E5CC0"/>
    <w:rsid w:val="007F6244"/>
    <w:rsid w:val="00800907"/>
    <w:rsid w:val="00811B94"/>
    <w:rsid w:val="008B4304"/>
    <w:rsid w:val="008C6EF8"/>
    <w:rsid w:val="008E2EDD"/>
    <w:rsid w:val="008F6F13"/>
    <w:rsid w:val="009040C6"/>
    <w:rsid w:val="00914524"/>
    <w:rsid w:val="0091763B"/>
    <w:rsid w:val="00987D10"/>
    <w:rsid w:val="009961B3"/>
    <w:rsid w:val="00996FA0"/>
    <w:rsid w:val="00A10993"/>
    <w:rsid w:val="00A30442"/>
    <w:rsid w:val="00A62C5A"/>
    <w:rsid w:val="00A9751A"/>
    <w:rsid w:val="00B22138"/>
    <w:rsid w:val="00B634B1"/>
    <w:rsid w:val="00BB1F4E"/>
    <w:rsid w:val="00C0482A"/>
    <w:rsid w:val="00C66C5C"/>
    <w:rsid w:val="00D46C76"/>
    <w:rsid w:val="00DC5974"/>
    <w:rsid w:val="00E12D26"/>
    <w:rsid w:val="00E80370"/>
    <w:rsid w:val="00EF44D6"/>
    <w:rsid w:val="00EF76DF"/>
    <w:rsid w:val="00F1040C"/>
    <w:rsid w:val="00F26165"/>
    <w:rsid w:val="00F54834"/>
    <w:rsid w:val="00F97E79"/>
    <w:rsid w:val="00FC6D1A"/>
    <w:rsid w:val="01284C10"/>
    <w:rsid w:val="014F4893"/>
    <w:rsid w:val="01546178"/>
    <w:rsid w:val="0167047E"/>
    <w:rsid w:val="017129C4"/>
    <w:rsid w:val="01822573"/>
    <w:rsid w:val="01947EA7"/>
    <w:rsid w:val="01981D96"/>
    <w:rsid w:val="01A7022B"/>
    <w:rsid w:val="01C34939"/>
    <w:rsid w:val="01E07299"/>
    <w:rsid w:val="01FC7C2F"/>
    <w:rsid w:val="01FD5964"/>
    <w:rsid w:val="0202373D"/>
    <w:rsid w:val="021D673F"/>
    <w:rsid w:val="022479B9"/>
    <w:rsid w:val="0227275A"/>
    <w:rsid w:val="02537921"/>
    <w:rsid w:val="025A704C"/>
    <w:rsid w:val="025B4546"/>
    <w:rsid w:val="028C5DE9"/>
    <w:rsid w:val="02A12ECC"/>
    <w:rsid w:val="02A46D06"/>
    <w:rsid w:val="02BA601B"/>
    <w:rsid w:val="02C31095"/>
    <w:rsid w:val="02DA365D"/>
    <w:rsid w:val="02ED2F4D"/>
    <w:rsid w:val="02EE40D2"/>
    <w:rsid w:val="03253AFD"/>
    <w:rsid w:val="03550AE6"/>
    <w:rsid w:val="03F56B72"/>
    <w:rsid w:val="04043713"/>
    <w:rsid w:val="041871BE"/>
    <w:rsid w:val="042D3C65"/>
    <w:rsid w:val="044E1A61"/>
    <w:rsid w:val="04536448"/>
    <w:rsid w:val="049A3989"/>
    <w:rsid w:val="049A4077"/>
    <w:rsid w:val="04AC26AB"/>
    <w:rsid w:val="04C61764"/>
    <w:rsid w:val="04C66C1A"/>
    <w:rsid w:val="04D37589"/>
    <w:rsid w:val="04E62E18"/>
    <w:rsid w:val="04F35E70"/>
    <w:rsid w:val="05121E5F"/>
    <w:rsid w:val="05235E1B"/>
    <w:rsid w:val="054A5593"/>
    <w:rsid w:val="054B35C3"/>
    <w:rsid w:val="05551D4C"/>
    <w:rsid w:val="05575AC4"/>
    <w:rsid w:val="055E32F7"/>
    <w:rsid w:val="05633A5A"/>
    <w:rsid w:val="059939ED"/>
    <w:rsid w:val="059B5232"/>
    <w:rsid w:val="05F23A3F"/>
    <w:rsid w:val="06007F0A"/>
    <w:rsid w:val="060A4416"/>
    <w:rsid w:val="06691E56"/>
    <w:rsid w:val="067D2836"/>
    <w:rsid w:val="06905732"/>
    <w:rsid w:val="06A1377C"/>
    <w:rsid w:val="06A64F55"/>
    <w:rsid w:val="06AD62E4"/>
    <w:rsid w:val="06FD3564"/>
    <w:rsid w:val="06FE6B3F"/>
    <w:rsid w:val="06FF4665"/>
    <w:rsid w:val="07300CC3"/>
    <w:rsid w:val="0748715B"/>
    <w:rsid w:val="075A7C2F"/>
    <w:rsid w:val="07832BA1"/>
    <w:rsid w:val="07893F2F"/>
    <w:rsid w:val="078B5B53"/>
    <w:rsid w:val="07C94DF8"/>
    <w:rsid w:val="08204893"/>
    <w:rsid w:val="084D0B65"/>
    <w:rsid w:val="08A53233"/>
    <w:rsid w:val="08D01FFA"/>
    <w:rsid w:val="08E91129"/>
    <w:rsid w:val="08EB6AB5"/>
    <w:rsid w:val="08EE0A97"/>
    <w:rsid w:val="08F66CA7"/>
    <w:rsid w:val="09071E85"/>
    <w:rsid w:val="090D12BC"/>
    <w:rsid w:val="091F0FEF"/>
    <w:rsid w:val="09371E95"/>
    <w:rsid w:val="093F343F"/>
    <w:rsid w:val="093F51ED"/>
    <w:rsid w:val="095C6015"/>
    <w:rsid w:val="096802A0"/>
    <w:rsid w:val="096C69B5"/>
    <w:rsid w:val="098F14A0"/>
    <w:rsid w:val="099C43EE"/>
    <w:rsid w:val="09B11687"/>
    <w:rsid w:val="09CC7469"/>
    <w:rsid w:val="09FB55B8"/>
    <w:rsid w:val="0A1C108A"/>
    <w:rsid w:val="0A2763AD"/>
    <w:rsid w:val="0A2A7C4B"/>
    <w:rsid w:val="0A3E7253"/>
    <w:rsid w:val="0AB1211B"/>
    <w:rsid w:val="0ABD3F63"/>
    <w:rsid w:val="0AC736EC"/>
    <w:rsid w:val="0B892750"/>
    <w:rsid w:val="0BE463A1"/>
    <w:rsid w:val="0BF26547"/>
    <w:rsid w:val="0BF829A3"/>
    <w:rsid w:val="0C040028"/>
    <w:rsid w:val="0C103F2F"/>
    <w:rsid w:val="0C252478"/>
    <w:rsid w:val="0C3306E4"/>
    <w:rsid w:val="0C3F4100"/>
    <w:rsid w:val="0C5F0ACF"/>
    <w:rsid w:val="0C8C2183"/>
    <w:rsid w:val="0C911013"/>
    <w:rsid w:val="0CAD1E36"/>
    <w:rsid w:val="0CF64618"/>
    <w:rsid w:val="0D1129FD"/>
    <w:rsid w:val="0D185D04"/>
    <w:rsid w:val="0D3C216F"/>
    <w:rsid w:val="0D68477F"/>
    <w:rsid w:val="0D7B3000"/>
    <w:rsid w:val="0D9F4589"/>
    <w:rsid w:val="0DC67C8B"/>
    <w:rsid w:val="0DD00062"/>
    <w:rsid w:val="0DD51C7C"/>
    <w:rsid w:val="0DEA1BCB"/>
    <w:rsid w:val="0E0A401C"/>
    <w:rsid w:val="0E1A3B33"/>
    <w:rsid w:val="0E372937"/>
    <w:rsid w:val="0E39045D"/>
    <w:rsid w:val="0E4868F2"/>
    <w:rsid w:val="0E5B4877"/>
    <w:rsid w:val="0E5E6063"/>
    <w:rsid w:val="0E745939"/>
    <w:rsid w:val="0E7A5909"/>
    <w:rsid w:val="0E9438E5"/>
    <w:rsid w:val="0E9D4F75"/>
    <w:rsid w:val="0EA16002"/>
    <w:rsid w:val="0EB16245"/>
    <w:rsid w:val="0ED73622"/>
    <w:rsid w:val="0EE832CC"/>
    <w:rsid w:val="0EF74D2B"/>
    <w:rsid w:val="0EF874D8"/>
    <w:rsid w:val="0F040A6B"/>
    <w:rsid w:val="0F114F36"/>
    <w:rsid w:val="0F3F5F47"/>
    <w:rsid w:val="0F88295E"/>
    <w:rsid w:val="0F8B1B6C"/>
    <w:rsid w:val="0FAE4C93"/>
    <w:rsid w:val="0FDF7F95"/>
    <w:rsid w:val="10294501"/>
    <w:rsid w:val="104136FB"/>
    <w:rsid w:val="106D4A4C"/>
    <w:rsid w:val="108E2F64"/>
    <w:rsid w:val="10A36D51"/>
    <w:rsid w:val="10AB38F8"/>
    <w:rsid w:val="10B93AD7"/>
    <w:rsid w:val="10DF7048"/>
    <w:rsid w:val="10E16B8A"/>
    <w:rsid w:val="10ED552F"/>
    <w:rsid w:val="10F66AD9"/>
    <w:rsid w:val="10FB40F0"/>
    <w:rsid w:val="1102722C"/>
    <w:rsid w:val="110B165A"/>
    <w:rsid w:val="111807FE"/>
    <w:rsid w:val="111F7718"/>
    <w:rsid w:val="11203B56"/>
    <w:rsid w:val="11323117"/>
    <w:rsid w:val="114F1D45"/>
    <w:rsid w:val="11525512"/>
    <w:rsid w:val="1163127F"/>
    <w:rsid w:val="116C0B49"/>
    <w:rsid w:val="11915AE2"/>
    <w:rsid w:val="11D850E3"/>
    <w:rsid w:val="11E06E41"/>
    <w:rsid w:val="11E93E2D"/>
    <w:rsid w:val="11FF19BD"/>
    <w:rsid w:val="120E39AF"/>
    <w:rsid w:val="121A67F7"/>
    <w:rsid w:val="12641821"/>
    <w:rsid w:val="126654F2"/>
    <w:rsid w:val="12940358"/>
    <w:rsid w:val="131F29C0"/>
    <w:rsid w:val="133B12DB"/>
    <w:rsid w:val="135B2C24"/>
    <w:rsid w:val="135C5325"/>
    <w:rsid w:val="13675A6C"/>
    <w:rsid w:val="138B0BFB"/>
    <w:rsid w:val="139B3968"/>
    <w:rsid w:val="13BB1914"/>
    <w:rsid w:val="13C327F4"/>
    <w:rsid w:val="14033ECF"/>
    <w:rsid w:val="14065285"/>
    <w:rsid w:val="14096B23"/>
    <w:rsid w:val="140C0BD3"/>
    <w:rsid w:val="140C165E"/>
    <w:rsid w:val="141A663B"/>
    <w:rsid w:val="14423DE3"/>
    <w:rsid w:val="145E6E6F"/>
    <w:rsid w:val="14667AD2"/>
    <w:rsid w:val="146F5047"/>
    <w:rsid w:val="1480017A"/>
    <w:rsid w:val="148B12E6"/>
    <w:rsid w:val="148F496F"/>
    <w:rsid w:val="14B336F3"/>
    <w:rsid w:val="14F47481"/>
    <w:rsid w:val="154F4259"/>
    <w:rsid w:val="155618F4"/>
    <w:rsid w:val="157F5DCE"/>
    <w:rsid w:val="15842905"/>
    <w:rsid w:val="158C7EF4"/>
    <w:rsid w:val="159A3ED7"/>
    <w:rsid w:val="159B37AB"/>
    <w:rsid w:val="15B25EBC"/>
    <w:rsid w:val="15E56085"/>
    <w:rsid w:val="15FD6214"/>
    <w:rsid w:val="16353C00"/>
    <w:rsid w:val="16377978"/>
    <w:rsid w:val="164125A5"/>
    <w:rsid w:val="16473933"/>
    <w:rsid w:val="164A2E55"/>
    <w:rsid w:val="16585B40"/>
    <w:rsid w:val="1659077B"/>
    <w:rsid w:val="167F131F"/>
    <w:rsid w:val="16801E3F"/>
    <w:rsid w:val="168F3E65"/>
    <w:rsid w:val="16913B0E"/>
    <w:rsid w:val="16A60D26"/>
    <w:rsid w:val="16B0440B"/>
    <w:rsid w:val="16D50F3F"/>
    <w:rsid w:val="16DA790D"/>
    <w:rsid w:val="16FA2753"/>
    <w:rsid w:val="16FE3FF2"/>
    <w:rsid w:val="17057AF1"/>
    <w:rsid w:val="17142FFD"/>
    <w:rsid w:val="174B7DFE"/>
    <w:rsid w:val="17716EB9"/>
    <w:rsid w:val="17A10E21"/>
    <w:rsid w:val="17B46DA6"/>
    <w:rsid w:val="17C23271"/>
    <w:rsid w:val="17E86A50"/>
    <w:rsid w:val="180E4718"/>
    <w:rsid w:val="182C7F62"/>
    <w:rsid w:val="1854476A"/>
    <w:rsid w:val="18583BD5"/>
    <w:rsid w:val="18586B29"/>
    <w:rsid w:val="18A46E1B"/>
    <w:rsid w:val="18A94431"/>
    <w:rsid w:val="18AB2C3E"/>
    <w:rsid w:val="18D62184"/>
    <w:rsid w:val="190F39CF"/>
    <w:rsid w:val="19267830"/>
    <w:rsid w:val="196A7426"/>
    <w:rsid w:val="19801636"/>
    <w:rsid w:val="199450E1"/>
    <w:rsid w:val="19A56200"/>
    <w:rsid w:val="19B27315"/>
    <w:rsid w:val="19B517ED"/>
    <w:rsid w:val="19BC1F42"/>
    <w:rsid w:val="1A085187"/>
    <w:rsid w:val="1A134921"/>
    <w:rsid w:val="1A3E5B3E"/>
    <w:rsid w:val="1A475CB0"/>
    <w:rsid w:val="1A6F69BD"/>
    <w:rsid w:val="1A864A2A"/>
    <w:rsid w:val="1A952EBF"/>
    <w:rsid w:val="1AAE21D3"/>
    <w:rsid w:val="1AB05F4B"/>
    <w:rsid w:val="1AB377E9"/>
    <w:rsid w:val="1AC90DBB"/>
    <w:rsid w:val="1AE45BF4"/>
    <w:rsid w:val="1AEC415E"/>
    <w:rsid w:val="1B010554"/>
    <w:rsid w:val="1B0C4DA4"/>
    <w:rsid w:val="1B2906C8"/>
    <w:rsid w:val="1B334486"/>
    <w:rsid w:val="1B3426D8"/>
    <w:rsid w:val="1B3D2D57"/>
    <w:rsid w:val="1B4A3CA9"/>
    <w:rsid w:val="1B5B5EB7"/>
    <w:rsid w:val="1BDA114A"/>
    <w:rsid w:val="1C0E117B"/>
    <w:rsid w:val="1C0F6CA1"/>
    <w:rsid w:val="1C161DDD"/>
    <w:rsid w:val="1C1B73F4"/>
    <w:rsid w:val="1C25614E"/>
    <w:rsid w:val="1C5C2071"/>
    <w:rsid w:val="1C5D17BA"/>
    <w:rsid w:val="1C5E5533"/>
    <w:rsid w:val="1C6F468F"/>
    <w:rsid w:val="1C8036FB"/>
    <w:rsid w:val="1CB60333"/>
    <w:rsid w:val="1CCE421C"/>
    <w:rsid w:val="1CE066BD"/>
    <w:rsid w:val="1CFC0FD3"/>
    <w:rsid w:val="1D0A7099"/>
    <w:rsid w:val="1D1B402B"/>
    <w:rsid w:val="1D230EAB"/>
    <w:rsid w:val="1D41732E"/>
    <w:rsid w:val="1D792624"/>
    <w:rsid w:val="1D8D324C"/>
    <w:rsid w:val="1DD41F50"/>
    <w:rsid w:val="1E00785D"/>
    <w:rsid w:val="1E546BED"/>
    <w:rsid w:val="1E676920"/>
    <w:rsid w:val="1E7B6870"/>
    <w:rsid w:val="1E7B7D3B"/>
    <w:rsid w:val="1E7D2F50"/>
    <w:rsid w:val="1EBB6326"/>
    <w:rsid w:val="1ED06CCD"/>
    <w:rsid w:val="1F01235A"/>
    <w:rsid w:val="1F1F71FB"/>
    <w:rsid w:val="1F2806D1"/>
    <w:rsid w:val="1F666BD8"/>
    <w:rsid w:val="1F903600"/>
    <w:rsid w:val="1F9A0F77"/>
    <w:rsid w:val="1FBC1B14"/>
    <w:rsid w:val="1FBE002E"/>
    <w:rsid w:val="1FBE07C2"/>
    <w:rsid w:val="1FC61D6D"/>
    <w:rsid w:val="1FDA1374"/>
    <w:rsid w:val="1FDA7C40"/>
    <w:rsid w:val="1FEB3F34"/>
    <w:rsid w:val="201E74B3"/>
    <w:rsid w:val="20340A84"/>
    <w:rsid w:val="20407429"/>
    <w:rsid w:val="20622042"/>
    <w:rsid w:val="206B0DA9"/>
    <w:rsid w:val="206F7D0E"/>
    <w:rsid w:val="207277FE"/>
    <w:rsid w:val="2079293B"/>
    <w:rsid w:val="208139AA"/>
    <w:rsid w:val="20892CAD"/>
    <w:rsid w:val="208C4E43"/>
    <w:rsid w:val="208F7643"/>
    <w:rsid w:val="20A21E92"/>
    <w:rsid w:val="20B83463"/>
    <w:rsid w:val="20D02EA3"/>
    <w:rsid w:val="211508B6"/>
    <w:rsid w:val="21224FC9"/>
    <w:rsid w:val="21254871"/>
    <w:rsid w:val="214E5B76"/>
    <w:rsid w:val="21535882"/>
    <w:rsid w:val="21560F9A"/>
    <w:rsid w:val="216E7FC6"/>
    <w:rsid w:val="218B6247"/>
    <w:rsid w:val="218C669E"/>
    <w:rsid w:val="21AE4866"/>
    <w:rsid w:val="21D4070D"/>
    <w:rsid w:val="21D6478E"/>
    <w:rsid w:val="22063C61"/>
    <w:rsid w:val="222039B6"/>
    <w:rsid w:val="22370D00"/>
    <w:rsid w:val="223C00C4"/>
    <w:rsid w:val="226C09A9"/>
    <w:rsid w:val="227B0BEC"/>
    <w:rsid w:val="229D5007"/>
    <w:rsid w:val="22FC245E"/>
    <w:rsid w:val="230B6414"/>
    <w:rsid w:val="230D1582"/>
    <w:rsid w:val="23177A3D"/>
    <w:rsid w:val="23241284"/>
    <w:rsid w:val="233B041F"/>
    <w:rsid w:val="2355143D"/>
    <w:rsid w:val="23713D9D"/>
    <w:rsid w:val="237A70F6"/>
    <w:rsid w:val="23A66A2C"/>
    <w:rsid w:val="23B93876"/>
    <w:rsid w:val="24203D33"/>
    <w:rsid w:val="24466FD8"/>
    <w:rsid w:val="245416F5"/>
    <w:rsid w:val="24653902"/>
    <w:rsid w:val="24661428"/>
    <w:rsid w:val="24DE5462"/>
    <w:rsid w:val="25126928"/>
    <w:rsid w:val="25137802"/>
    <w:rsid w:val="252B4B4C"/>
    <w:rsid w:val="25380A3F"/>
    <w:rsid w:val="253D03DB"/>
    <w:rsid w:val="255816B9"/>
    <w:rsid w:val="258204E4"/>
    <w:rsid w:val="259A0A26"/>
    <w:rsid w:val="259A3A7F"/>
    <w:rsid w:val="25A53750"/>
    <w:rsid w:val="25AD36CD"/>
    <w:rsid w:val="25CB1E8B"/>
    <w:rsid w:val="25E6400F"/>
    <w:rsid w:val="2610789E"/>
    <w:rsid w:val="261754E9"/>
    <w:rsid w:val="26395046"/>
    <w:rsid w:val="26572E58"/>
    <w:rsid w:val="267A6352"/>
    <w:rsid w:val="268F4C66"/>
    <w:rsid w:val="270513CC"/>
    <w:rsid w:val="27297C4A"/>
    <w:rsid w:val="273870AC"/>
    <w:rsid w:val="27455C6D"/>
    <w:rsid w:val="275814FC"/>
    <w:rsid w:val="276A67E4"/>
    <w:rsid w:val="279A5ACC"/>
    <w:rsid w:val="279D0626"/>
    <w:rsid w:val="27A04C51"/>
    <w:rsid w:val="27D506FF"/>
    <w:rsid w:val="27E72880"/>
    <w:rsid w:val="27F76455"/>
    <w:rsid w:val="281101F6"/>
    <w:rsid w:val="28110E97"/>
    <w:rsid w:val="28335AC5"/>
    <w:rsid w:val="285717B4"/>
    <w:rsid w:val="285B5212"/>
    <w:rsid w:val="2865667D"/>
    <w:rsid w:val="28697739"/>
    <w:rsid w:val="28A67F69"/>
    <w:rsid w:val="28BA720D"/>
    <w:rsid w:val="29293CF5"/>
    <w:rsid w:val="29397C3C"/>
    <w:rsid w:val="294066EC"/>
    <w:rsid w:val="294D62BD"/>
    <w:rsid w:val="295977AD"/>
    <w:rsid w:val="296D246F"/>
    <w:rsid w:val="298760C9"/>
    <w:rsid w:val="29C42E79"/>
    <w:rsid w:val="29CE3CF8"/>
    <w:rsid w:val="2A061601"/>
    <w:rsid w:val="2A102562"/>
    <w:rsid w:val="2A351C5A"/>
    <w:rsid w:val="2A53244F"/>
    <w:rsid w:val="2A5C57A7"/>
    <w:rsid w:val="2A6E1037"/>
    <w:rsid w:val="2AA35184"/>
    <w:rsid w:val="2ADC5A04"/>
    <w:rsid w:val="2B05714D"/>
    <w:rsid w:val="2B345DDC"/>
    <w:rsid w:val="2B4C1378"/>
    <w:rsid w:val="2B6C33C8"/>
    <w:rsid w:val="2B764647"/>
    <w:rsid w:val="2B801021"/>
    <w:rsid w:val="2BA274C8"/>
    <w:rsid w:val="2BA56CDA"/>
    <w:rsid w:val="2BAA0794"/>
    <w:rsid w:val="2BAD7DDD"/>
    <w:rsid w:val="2BC96E6C"/>
    <w:rsid w:val="2BD15D21"/>
    <w:rsid w:val="2BD575BF"/>
    <w:rsid w:val="2BF37A45"/>
    <w:rsid w:val="2BF51A0F"/>
    <w:rsid w:val="2BFE3814"/>
    <w:rsid w:val="2C293467"/>
    <w:rsid w:val="2C2B3683"/>
    <w:rsid w:val="2C3951D5"/>
    <w:rsid w:val="2C7F27FC"/>
    <w:rsid w:val="2C89195F"/>
    <w:rsid w:val="2CAD5E46"/>
    <w:rsid w:val="2CB95580"/>
    <w:rsid w:val="2CCB2770"/>
    <w:rsid w:val="2CF27CFD"/>
    <w:rsid w:val="2D2A1DEB"/>
    <w:rsid w:val="2D440F3B"/>
    <w:rsid w:val="2D6329A9"/>
    <w:rsid w:val="2D72163C"/>
    <w:rsid w:val="2D7D7F0E"/>
    <w:rsid w:val="2DA01E4F"/>
    <w:rsid w:val="2DCD2695"/>
    <w:rsid w:val="2DDF070E"/>
    <w:rsid w:val="2DE53544"/>
    <w:rsid w:val="2E073406"/>
    <w:rsid w:val="2E4A4135"/>
    <w:rsid w:val="2E51295C"/>
    <w:rsid w:val="2E5A0250"/>
    <w:rsid w:val="2E624A18"/>
    <w:rsid w:val="2E634AF6"/>
    <w:rsid w:val="2E7B1B68"/>
    <w:rsid w:val="2E8A1071"/>
    <w:rsid w:val="2EB931C8"/>
    <w:rsid w:val="2EE1627B"/>
    <w:rsid w:val="2EE31FF3"/>
    <w:rsid w:val="2F031D27"/>
    <w:rsid w:val="2F2555CD"/>
    <w:rsid w:val="2F432A92"/>
    <w:rsid w:val="2F8C0856"/>
    <w:rsid w:val="2F9F39A2"/>
    <w:rsid w:val="2FAD0853"/>
    <w:rsid w:val="2FB92D54"/>
    <w:rsid w:val="2FFD70E5"/>
    <w:rsid w:val="30071D11"/>
    <w:rsid w:val="30134B5A"/>
    <w:rsid w:val="30204B81"/>
    <w:rsid w:val="302D729E"/>
    <w:rsid w:val="30422D49"/>
    <w:rsid w:val="307A533B"/>
    <w:rsid w:val="3080315F"/>
    <w:rsid w:val="30803872"/>
    <w:rsid w:val="30824322"/>
    <w:rsid w:val="30C754E2"/>
    <w:rsid w:val="30C776F3"/>
    <w:rsid w:val="30D2231F"/>
    <w:rsid w:val="30D810DC"/>
    <w:rsid w:val="312B46A9"/>
    <w:rsid w:val="31646E22"/>
    <w:rsid w:val="31817CFA"/>
    <w:rsid w:val="31825E20"/>
    <w:rsid w:val="3195334D"/>
    <w:rsid w:val="31975317"/>
    <w:rsid w:val="31A16812"/>
    <w:rsid w:val="31AC5B70"/>
    <w:rsid w:val="31DC0F7C"/>
    <w:rsid w:val="32136364"/>
    <w:rsid w:val="321921D0"/>
    <w:rsid w:val="322C1F03"/>
    <w:rsid w:val="322D17D7"/>
    <w:rsid w:val="32397511"/>
    <w:rsid w:val="3253123E"/>
    <w:rsid w:val="326F3B9E"/>
    <w:rsid w:val="32803FFD"/>
    <w:rsid w:val="32892CAA"/>
    <w:rsid w:val="3293390D"/>
    <w:rsid w:val="32A61CB5"/>
    <w:rsid w:val="32B06690"/>
    <w:rsid w:val="32B31CDC"/>
    <w:rsid w:val="32BD0DAD"/>
    <w:rsid w:val="32CC4D58"/>
    <w:rsid w:val="32CD03A0"/>
    <w:rsid w:val="32D279D8"/>
    <w:rsid w:val="32ED1692"/>
    <w:rsid w:val="32F80037"/>
    <w:rsid w:val="331A1D5C"/>
    <w:rsid w:val="33233306"/>
    <w:rsid w:val="33354BFE"/>
    <w:rsid w:val="334C7BCC"/>
    <w:rsid w:val="334D3EDF"/>
    <w:rsid w:val="337221A0"/>
    <w:rsid w:val="33743B62"/>
    <w:rsid w:val="33833DA5"/>
    <w:rsid w:val="33836944"/>
    <w:rsid w:val="33884F17"/>
    <w:rsid w:val="33920868"/>
    <w:rsid w:val="33975B12"/>
    <w:rsid w:val="339C09C3"/>
    <w:rsid w:val="339D48A3"/>
    <w:rsid w:val="33AE35DC"/>
    <w:rsid w:val="33B210F4"/>
    <w:rsid w:val="33E96283"/>
    <w:rsid w:val="33F46A50"/>
    <w:rsid w:val="343230D5"/>
    <w:rsid w:val="347656B7"/>
    <w:rsid w:val="348E47AF"/>
    <w:rsid w:val="34904DE8"/>
    <w:rsid w:val="34AC3F6A"/>
    <w:rsid w:val="34BF2BBB"/>
    <w:rsid w:val="34DE0581"/>
    <w:rsid w:val="34ED6AD1"/>
    <w:rsid w:val="34F12F90"/>
    <w:rsid w:val="34F33F81"/>
    <w:rsid w:val="350031D3"/>
    <w:rsid w:val="351C000D"/>
    <w:rsid w:val="351D4096"/>
    <w:rsid w:val="351E3DC8"/>
    <w:rsid w:val="35700359"/>
    <w:rsid w:val="35B446E9"/>
    <w:rsid w:val="35D24EAB"/>
    <w:rsid w:val="35DA3A24"/>
    <w:rsid w:val="35E0307F"/>
    <w:rsid w:val="35E46651"/>
    <w:rsid w:val="35FF348B"/>
    <w:rsid w:val="364A0BAA"/>
    <w:rsid w:val="364A1AF1"/>
    <w:rsid w:val="36AA5801"/>
    <w:rsid w:val="36BA0204"/>
    <w:rsid w:val="36DE0128"/>
    <w:rsid w:val="36DE4763"/>
    <w:rsid w:val="36DF5796"/>
    <w:rsid w:val="371F5B92"/>
    <w:rsid w:val="373A0C1E"/>
    <w:rsid w:val="375D2B5F"/>
    <w:rsid w:val="37893094"/>
    <w:rsid w:val="37A44667"/>
    <w:rsid w:val="37A76F3D"/>
    <w:rsid w:val="37BA1D5F"/>
    <w:rsid w:val="37D921E5"/>
    <w:rsid w:val="380C199C"/>
    <w:rsid w:val="3830505E"/>
    <w:rsid w:val="383A69FC"/>
    <w:rsid w:val="38436D18"/>
    <w:rsid w:val="38547ABE"/>
    <w:rsid w:val="385846FD"/>
    <w:rsid w:val="38872B08"/>
    <w:rsid w:val="38C20ECB"/>
    <w:rsid w:val="38C7208E"/>
    <w:rsid w:val="38DB01DF"/>
    <w:rsid w:val="38DD3F57"/>
    <w:rsid w:val="38E20AE5"/>
    <w:rsid w:val="38F56F11"/>
    <w:rsid w:val="3924754A"/>
    <w:rsid w:val="393F251C"/>
    <w:rsid w:val="39A47ED7"/>
    <w:rsid w:val="39B27192"/>
    <w:rsid w:val="39C11183"/>
    <w:rsid w:val="3A091DAD"/>
    <w:rsid w:val="3A150583"/>
    <w:rsid w:val="3A287454"/>
    <w:rsid w:val="3A706705"/>
    <w:rsid w:val="3A7E0E22"/>
    <w:rsid w:val="3A824DB6"/>
    <w:rsid w:val="3A833E14"/>
    <w:rsid w:val="3A87390E"/>
    <w:rsid w:val="3A886145"/>
    <w:rsid w:val="3A900A73"/>
    <w:rsid w:val="3A955F0B"/>
    <w:rsid w:val="3A9C74FA"/>
    <w:rsid w:val="3A9D5440"/>
    <w:rsid w:val="3AB26D1E"/>
    <w:rsid w:val="3AB605BC"/>
    <w:rsid w:val="3AD13648"/>
    <w:rsid w:val="3AD62A0C"/>
    <w:rsid w:val="3AEC66D3"/>
    <w:rsid w:val="3B1B0D67"/>
    <w:rsid w:val="3B2714BA"/>
    <w:rsid w:val="3B3125C5"/>
    <w:rsid w:val="3B392AEF"/>
    <w:rsid w:val="3B3F08B6"/>
    <w:rsid w:val="3B3F2CA7"/>
    <w:rsid w:val="3B547DD5"/>
    <w:rsid w:val="3B5953EB"/>
    <w:rsid w:val="3B7641EF"/>
    <w:rsid w:val="3B985F13"/>
    <w:rsid w:val="3BC81A95"/>
    <w:rsid w:val="3BCE5DD9"/>
    <w:rsid w:val="3BF84C04"/>
    <w:rsid w:val="3BF8726A"/>
    <w:rsid w:val="3C137C90"/>
    <w:rsid w:val="3C1E28BD"/>
    <w:rsid w:val="3C2105FF"/>
    <w:rsid w:val="3C221C81"/>
    <w:rsid w:val="3C3324D5"/>
    <w:rsid w:val="3C4147FD"/>
    <w:rsid w:val="3C4F6F1A"/>
    <w:rsid w:val="3C5A766D"/>
    <w:rsid w:val="3C6978B0"/>
    <w:rsid w:val="3C78083A"/>
    <w:rsid w:val="3C893498"/>
    <w:rsid w:val="3C943045"/>
    <w:rsid w:val="3C980277"/>
    <w:rsid w:val="3C9E1C4F"/>
    <w:rsid w:val="3CA60B04"/>
    <w:rsid w:val="3CB37038"/>
    <w:rsid w:val="3CB65192"/>
    <w:rsid w:val="3CCA2A44"/>
    <w:rsid w:val="3CEB3E3A"/>
    <w:rsid w:val="3CF47F1B"/>
    <w:rsid w:val="3CF8135F"/>
    <w:rsid w:val="3D3659E4"/>
    <w:rsid w:val="3D721598"/>
    <w:rsid w:val="3D760447"/>
    <w:rsid w:val="3D983778"/>
    <w:rsid w:val="3DAF5796"/>
    <w:rsid w:val="3DB17E66"/>
    <w:rsid w:val="3DEB5975"/>
    <w:rsid w:val="3E310B90"/>
    <w:rsid w:val="3E3A59A8"/>
    <w:rsid w:val="3E407DA8"/>
    <w:rsid w:val="3E5F540E"/>
    <w:rsid w:val="3EA846BF"/>
    <w:rsid w:val="3EB76FF8"/>
    <w:rsid w:val="3ED656D0"/>
    <w:rsid w:val="3EE33949"/>
    <w:rsid w:val="3F087854"/>
    <w:rsid w:val="3F307FEE"/>
    <w:rsid w:val="3F6F78D3"/>
    <w:rsid w:val="3F710F55"/>
    <w:rsid w:val="3F7B0026"/>
    <w:rsid w:val="3FAB2584"/>
    <w:rsid w:val="3FB90E8B"/>
    <w:rsid w:val="3FC726BC"/>
    <w:rsid w:val="3FC829EB"/>
    <w:rsid w:val="3FCB2D5B"/>
    <w:rsid w:val="3FF87280"/>
    <w:rsid w:val="400E07FB"/>
    <w:rsid w:val="403F1053"/>
    <w:rsid w:val="40587A9D"/>
    <w:rsid w:val="407A652F"/>
    <w:rsid w:val="4084115C"/>
    <w:rsid w:val="40905D53"/>
    <w:rsid w:val="409F309C"/>
    <w:rsid w:val="40AA1C38"/>
    <w:rsid w:val="40F54BF5"/>
    <w:rsid w:val="41281AE7"/>
    <w:rsid w:val="4151103E"/>
    <w:rsid w:val="41635215"/>
    <w:rsid w:val="416F3BBA"/>
    <w:rsid w:val="418D5DEE"/>
    <w:rsid w:val="41943621"/>
    <w:rsid w:val="41BB295C"/>
    <w:rsid w:val="41BD4926"/>
    <w:rsid w:val="41CD42E5"/>
    <w:rsid w:val="41D043EB"/>
    <w:rsid w:val="41E53E7C"/>
    <w:rsid w:val="42010CB6"/>
    <w:rsid w:val="420B34BD"/>
    <w:rsid w:val="42117F79"/>
    <w:rsid w:val="422519D2"/>
    <w:rsid w:val="422624CB"/>
    <w:rsid w:val="42295EB2"/>
    <w:rsid w:val="423F17DF"/>
    <w:rsid w:val="42507548"/>
    <w:rsid w:val="4265677C"/>
    <w:rsid w:val="427A28DC"/>
    <w:rsid w:val="429851ED"/>
    <w:rsid w:val="4299572C"/>
    <w:rsid w:val="42A6360C"/>
    <w:rsid w:val="42D261AF"/>
    <w:rsid w:val="42F97BDF"/>
    <w:rsid w:val="43030A5E"/>
    <w:rsid w:val="431E31A2"/>
    <w:rsid w:val="43667586"/>
    <w:rsid w:val="437B05F4"/>
    <w:rsid w:val="43A36D53"/>
    <w:rsid w:val="43B34232"/>
    <w:rsid w:val="43FA7785"/>
    <w:rsid w:val="44095C00"/>
    <w:rsid w:val="44333A75"/>
    <w:rsid w:val="44456966"/>
    <w:rsid w:val="44831449"/>
    <w:rsid w:val="44894F93"/>
    <w:rsid w:val="44E10D91"/>
    <w:rsid w:val="44EE2EF8"/>
    <w:rsid w:val="44F20D8A"/>
    <w:rsid w:val="45010FCD"/>
    <w:rsid w:val="45105231"/>
    <w:rsid w:val="452A22D2"/>
    <w:rsid w:val="452D1DC2"/>
    <w:rsid w:val="45437530"/>
    <w:rsid w:val="45472279"/>
    <w:rsid w:val="456F1492"/>
    <w:rsid w:val="457572C5"/>
    <w:rsid w:val="459560D9"/>
    <w:rsid w:val="45AB2CE7"/>
    <w:rsid w:val="45EA7CB3"/>
    <w:rsid w:val="45ED50AE"/>
    <w:rsid w:val="45F61642"/>
    <w:rsid w:val="462036D5"/>
    <w:rsid w:val="46454EEA"/>
    <w:rsid w:val="46481094"/>
    <w:rsid w:val="46511AE0"/>
    <w:rsid w:val="4654222B"/>
    <w:rsid w:val="4654512D"/>
    <w:rsid w:val="4697128A"/>
    <w:rsid w:val="46BA2A7A"/>
    <w:rsid w:val="46C2653A"/>
    <w:rsid w:val="47094169"/>
    <w:rsid w:val="47412088"/>
    <w:rsid w:val="47486A40"/>
    <w:rsid w:val="475B145C"/>
    <w:rsid w:val="475B1C08"/>
    <w:rsid w:val="4773627F"/>
    <w:rsid w:val="479B1265"/>
    <w:rsid w:val="479F5147"/>
    <w:rsid w:val="47AF2F63"/>
    <w:rsid w:val="47C32F35"/>
    <w:rsid w:val="47D05677"/>
    <w:rsid w:val="47DB5B06"/>
    <w:rsid w:val="47E32C0C"/>
    <w:rsid w:val="48050DD4"/>
    <w:rsid w:val="480706A9"/>
    <w:rsid w:val="480F57AF"/>
    <w:rsid w:val="48117779"/>
    <w:rsid w:val="481A7723"/>
    <w:rsid w:val="481D7ECC"/>
    <w:rsid w:val="48221986"/>
    <w:rsid w:val="48222B86"/>
    <w:rsid w:val="483F2561"/>
    <w:rsid w:val="485922F6"/>
    <w:rsid w:val="48657AC5"/>
    <w:rsid w:val="48726804"/>
    <w:rsid w:val="487D1148"/>
    <w:rsid w:val="48853CC3"/>
    <w:rsid w:val="489932CB"/>
    <w:rsid w:val="48A95C04"/>
    <w:rsid w:val="48B325DE"/>
    <w:rsid w:val="48C74924"/>
    <w:rsid w:val="48C93BB0"/>
    <w:rsid w:val="48F86243"/>
    <w:rsid w:val="48FD39AE"/>
    <w:rsid w:val="490135A1"/>
    <w:rsid w:val="490177EE"/>
    <w:rsid w:val="490A71B6"/>
    <w:rsid w:val="491312CF"/>
    <w:rsid w:val="491A08B0"/>
    <w:rsid w:val="491F7ADF"/>
    <w:rsid w:val="4927637F"/>
    <w:rsid w:val="492E6109"/>
    <w:rsid w:val="493556E9"/>
    <w:rsid w:val="49831FB1"/>
    <w:rsid w:val="498D72D3"/>
    <w:rsid w:val="49A60395"/>
    <w:rsid w:val="49BA174B"/>
    <w:rsid w:val="49C448E8"/>
    <w:rsid w:val="49C92E0A"/>
    <w:rsid w:val="49E8206C"/>
    <w:rsid w:val="49F81187"/>
    <w:rsid w:val="49FD3C1B"/>
    <w:rsid w:val="4A3239D7"/>
    <w:rsid w:val="4A325785"/>
    <w:rsid w:val="4A4D25BF"/>
    <w:rsid w:val="4A5751EC"/>
    <w:rsid w:val="4A607E42"/>
    <w:rsid w:val="4A985B20"/>
    <w:rsid w:val="4A9D70A2"/>
    <w:rsid w:val="4AB158B1"/>
    <w:rsid w:val="4AD8457E"/>
    <w:rsid w:val="4AE24DF1"/>
    <w:rsid w:val="4AF72B59"/>
    <w:rsid w:val="4B117725"/>
    <w:rsid w:val="4B386DCB"/>
    <w:rsid w:val="4B7C13AE"/>
    <w:rsid w:val="4BAB1C93"/>
    <w:rsid w:val="4BB548C0"/>
    <w:rsid w:val="4BC72DC0"/>
    <w:rsid w:val="4BCA6707"/>
    <w:rsid w:val="4BCC1255"/>
    <w:rsid w:val="4C03387D"/>
    <w:rsid w:val="4C0B2731"/>
    <w:rsid w:val="4C1B2975"/>
    <w:rsid w:val="4C1B7FAF"/>
    <w:rsid w:val="4C1E06B7"/>
    <w:rsid w:val="4C312E09"/>
    <w:rsid w:val="4C4874E2"/>
    <w:rsid w:val="4C59524B"/>
    <w:rsid w:val="4C69696A"/>
    <w:rsid w:val="4C6C7D64"/>
    <w:rsid w:val="4C8147A2"/>
    <w:rsid w:val="4CEE62DB"/>
    <w:rsid w:val="4CF5766A"/>
    <w:rsid w:val="4CF92338"/>
    <w:rsid w:val="4CFB09F8"/>
    <w:rsid w:val="4D086A6A"/>
    <w:rsid w:val="4D16313C"/>
    <w:rsid w:val="4D3F739C"/>
    <w:rsid w:val="4DD23507"/>
    <w:rsid w:val="4DFA0726"/>
    <w:rsid w:val="4E032C72"/>
    <w:rsid w:val="4E074011"/>
    <w:rsid w:val="4E191136"/>
    <w:rsid w:val="4E265601"/>
    <w:rsid w:val="4E3C157A"/>
    <w:rsid w:val="4E573A0C"/>
    <w:rsid w:val="4E720846"/>
    <w:rsid w:val="4E920EE8"/>
    <w:rsid w:val="4EA2112B"/>
    <w:rsid w:val="4EAF3848"/>
    <w:rsid w:val="4EBE3A8B"/>
    <w:rsid w:val="4ECF5C98"/>
    <w:rsid w:val="4EFD2805"/>
    <w:rsid w:val="4EFE2699"/>
    <w:rsid w:val="4F170F7E"/>
    <w:rsid w:val="4F1A1ED7"/>
    <w:rsid w:val="4F382326"/>
    <w:rsid w:val="4F42290E"/>
    <w:rsid w:val="4F67404A"/>
    <w:rsid w:val="4F7505EE"/>
    <w:rsid w:val="4F7F2918"/>
    <w:rsid w:val="4F9A62A6"/>
    <w:rsid w:val="4FA30197"/>
    <w:rsid w:val="4FA42C81"/>
    <w:rsid w:val="4FB7772D"/>
    <w:rsid w:val="4FCF16CB"/>
    <w:rsid w:val="4FD277EE"/>
    <w:rsid w:val="4FD758EC"/>
    <w:rsid w:val="4FFE0BE5"/>
    <w:rsid w:val="502C1509"/>
    <w:rsid w:val="502E6752"/>
    <w:rsid w:val="504306EC"/>
    <w:rsid w:val="5043693E"/>
    <w:rsid w:val="50700DB5"/>
    <w:rsid w:val="50772173"/>
    <w:rsid w:val="508F1B83"/>
    <w:rsid w:val="50DB26D2"/>
    <w:rsid w:val="50E52F46"/>
    <w:rsid w:val="50E61077"/>
    <w:rsid w:val="50E83041"/>
    <w:rsid w:val="5116195C"/>
    <w:rsid w:val="51387B25"/>
    <w:rsid w:val="513B7615"/>
    <w:rsid w:val="514C537E"/>
    <w:rsid w:val="51514E61"/>
    <w:rsid w:val="51644DBE"/>
    <w:rsid w:val="518E5997"/>
    <w:rsid w:val="51BD282E"/>
    <w:rsid w:val="51EB67C6"/>
    <w:rsid w:val="51F404C8"/>
    <w:rsid w:val="51FF1DCF"/>
    <w:rsid w:val="52100AA2"/>
    <w:rsid w:val="521D6D1B"/>
    <w:rsid w:val="521E31BF"/>
    <w:rsid w:val="522D1654"/>
    <w:rsid w:val="52427315"/>
    <w:rsid w:val="525C1069"/>
    <w:rsid w:val="526037D7"/>
    <w:rsid w:val="52630BD1"/>
    <w:rsid w:val="52923265"/>
    <w:rsid w:val="529B480F"/>
    <w:rsid w:val="52C61160"/>
    <w:rsid w:val="52CB6777"/>
    <w:rsid w:val="532A4557"/>
    <w:rsid w:val="53430A03"/>
    <w:rsid w:val="536E12A3"/>
    <w:rsid w:val="536F35A6"/>
    <w:rsid w:val="537A2DD6"/>
    <w:rsid w:val="538B4884"/>
    <w:rsid w:val="53A76F4E"/>
    <w:rsid w:val="53A96AB8"/>
    <w:rsid w:val="541C372E"/>
    <w:rsid w:val="54495167"/>
    <w:rsid w:val="548D1D14"/>
    <w:rsid w:val="5496001D"/>
    <w:rsid w:val="54AF45A2"/>
    <w:rsid w:val="54BA64A6"/>
    <w:rsid w:val="54C149EE"/>
    <w:rsid w:val="54E34014"/>
    <w:rsid w:val="54FC0F06"/>
    <w:rsid w:val="552D209E"/>
    <w:rsid w:val="552F123F"/>
    <w:rsid w:val="553534A9"/>
    <w:rsid w:val="553C2F5E"/>
    <w:rsid w:val="553D0EA7"/>
    <w:rsid w:val="55456CB4"/>
    <w:rsid w:val="555250C2"/>
    <w:rsid w:val="55774994"/>
    <w:rsid w:val="557F21C6"/>
    <w:rsid w:val="55A44A45"/>
    <w:rsid w:val="55A51501"/>
    <w:rsid w:val="55C67DF5"/>
    <w:rsid w:val="55C71477"/>
    <w:rsid w:val="55DD1FDE"/>
    <w:rsid w:val="56075D18"/>
    <w:rsid w:val="56220DA3"/>
    <w:rsid w:val="562B5D33"/>
    <w:rsid w:val="562B7C58"/>
    <w:rsid w:val="56336B0D"/>
    <w:rsid w:val="56463CD1"/>
    <w:rsid w:val="56614CF5"/>
    <w:rsid w:val="566B26ED"/>
    <w:rsid w:val="567C6706"/>
    <w:rsid w:val="56811F6E"/>
    <w:rsid w:val="569275B4"/>
    <w:rsid w:val="56C105BC"/>
    <w:rsid w:val="56D26326"/>
    <w:rsid w:val="56D406D5"/>
    <w:rsid w:val="56EB388B"/>
    <w:rsid w:val="56ED315F"/>
    <w:rsid w:val="570D1A54"/>
    <w:rsid w:val="571A09EC"/>
    <w:rsid w:val="571B7CCD"/>
    <w:rsid w:val="57315742"/>
    <w:rsid w:val="57372573"/>
    <w:rsid w:val="573D690D"/>
    <w:rsid w:val="574C257C"/>
    <w:rsid w:val="574F4BD9"/>
    <w:rsid w:val="57B7551B"/>
    <w:rsid w:val="57B8376D"/>
    <w:rsid w:val="57CB7077"/>
    <w:rsid w:val="58005114"/>
    <w:rsid w:val="5814296E"/>
    <w:rsid w:val="581D5CC6"/>
    <w:rsid w:val="582726A1"/>
    <w:rsid w:val="582B03E3"/>
    <w:rsid w:val="585F008D"/>
    <w:rsid w:val="58825B29"/>
    <w:rsid w:val="589D0BB5"/>
    <w:rsid w:val="58A02F60"/>
    <w:rsid w:val="58B71C77"/>
    <w:rsid w:val="58DE05A2"/>
    <w:rsid w:val="58E42340"/>
    <w:rsid w:val="59246BE1"/>
    <w:rsid w:val="593C217C"/>
    <w:rsid w:val="5954396A"/>
    <w:rsid w:val="59611BE3"/>
    <w:rsid w:val="59684D1F"/>
    <w:rsid w:val="597162CA"/>
    <w:rsid w:val="59AA17DC"/>
    <w:rsid w:val="59DE1485"/>
    <w:rsid w:val="5A220000"/>
    <w:rsid w:val="5A292701"/>
    <w:rsid w:val="5A3317D1"/>
    <w:rsid w:val="5A4A2677"/>
    <w:rsid w:val="5A5D684E"/>
    <w:rsid w:val="5A710F00"/>
    <w:rsid w:val="5A7871E4"/>
    <w:rsid w:val="5A9976DE"/>
    <w:rsid w:val="5AA93841"/>
    <w:rsid w:val="5AA9633A"/>
    <w:rsid w:val="5AAB05EF"/>
    <w:rsid w:val="5AC32B55"/>
    <w:rsid w:val="5AD703AE"/>
    <w:rsid w:val="5AFF16B3"/>
    <w:rsid w:val="5B0A2301"/>
    <w:rsid w:val="5B0E5CF1"/>
    <w:rsid w:val="5B3A6B8F"/>
    <w:rsid w:val="5B793214"/>
    <w:rsid w:val="5B7F2FEC"/>
    <w:rsid w:val="5B8F6276"/>
    <w:rsid w:val="5BA26C0E"/>
    <w:rsid w:val="5BAA7871"/>
    <w:rsid w:val="5BAC4C40"/>
    <w:rsid w:val="5BB314D3"/>
    <w:rsid w:val="5BE31ADF"/>
    <w:rsid w:val="5BE663CF"/>
    <w:rsid w:val="5BE6785B"/>
    <w:rsid w:val="5BF1724E"/>
    <w:rsid w:val="5C2B334D"/>
    <w:rsid w:val="5C3E620B"/>
    <w:rsid w:val="5C5B0B6B"/>
    <w:rsid w:val="5C5D2B35"/>
    <w:rsid w:val="5C6914DA"/>
    <w:rsid w:val="5C7D4F86"/>
    <w:rsid w:val="5C8E0EFE"/>
    <w:rsid w:val="5CA42512"/>
    <w:rsid w:val="5CA51446"/>
    <w:rsid w:val="5CA70254"/>
    <w:rsid w:val="5CAC13C7"/>
    <w:rsid w:val="5CAE3391"/>
    <w:rsid w:val="5CB00EB7"/>
    <w:rsid w:val="5CBD35D4"/>
    <w:rsid w:val="5CC21EFA"/>
    <w:rsid w:val="5CD03307"/>
    <w:rsid w:val="5CD06429"/>
    <w:rsid w:val="5CD34BA6"/>
    <w:rsid w:val="5CE172C2"/>
    <w:rsid w:val="5CF0081C"/>
    <w:rsid w:val="5D1660DF"/>
    <w:rsid w:val="5D1B3BAA"/>
    <w:rsid w:val="5D292A17"/>
    <w:rsid w:val="5D3A69D3"/>
    <w:rsid w:val="5D3F2801"/>
    <w:rsid w:val="5D4635C9"/>
    <w:rsid w:val="5D537A94"/>
    <w:rsid w:val="5D55697E"/>
    <w:rsid w:val="5D6B3030"/>
    <w:rsid w:val="5D845EA0"/>
    <w:rsid w:val="5D853C9F"/>
    <w:rsid w:val="5D8A795A"/>
    <w:rsid w:val="5DA56542"/>
    <w:rsid w:val="5DD76917"/>
    <w:rsid w:val="5E196F30"/>
    <w:rsid w:val="5E2356B9"/>
    <w:rsid w:val="5E4A533B"/>
    <w:rsid w:val="5E8E347A"/>
    <w:rsid w:val="5E8E5228"/>
    <w:rsid w:val="5EA44A4C"/>
    <w:rsid w:val="5EA46A5A"/>
    <w:rsid w:val="5EB153BA"/>
    <w:rsid w:val="5ED20696"/>
    <w:rsid w:val="5EF378D7"/>
    <w:rsid w:val="5EFF6126"/>
    <w:rsid w:val="5F08322C"/>
    <w:rsid w:val="5F1D47FE"/>
    <w:rsid w:val="5F1F0576"/>
    <w:rsid w:val="5F220258"/>
    <w:rsid w:val="5F300538"/>
    <w:rsid w:val="5F427DC1"/>
    <w:rsid w:val="5F463F8B"/>
    <w:rsid w:val="5F697437"/>
    <w:rsid w:val="5F773F0E"/>
    <w:rsid w:val="5F775CBC"/>
    <w:rsid w:val="5FBC5DC5"/>
    <w:rsid w:val="5FC133DB"/>
    <w:rsid w:val="5FDE21DF"/>
    <w:rsid w:val="5FF76DFD"/>
    <w:rsid w:val="60255718"/>
    <w:rsid w:val="60271D3E"/>
    <w:rsid w:val="603D6F06"/>
    <w:rsid w:val="60536729"/>
    <w:rsid w:val="6062071A"/>
    <w:rsid w:val="606518EB"/>
    <w:rsid w:val="606D6417"/>
    <w:rsid w:val="60765F74"/>
    <w:rsid w:val="60773F33"/>
    <w:rsid w:val="60844B35"/>
    <w:rsid w:val="60997EB4"/>
    <w:rsid w:val="60CA62C0"/>
    <w:rsid w:val="60D509C3"/>
    <w:rsid w:val="61007F33"/>
    <w:rsid w:val="614C7896"/>
    <w:rsid w:val="61572249"/>
    <w:rsid w:val="615A3AE7"/>
    <w:rsid w:val="617F52FC"/>
    <w:rsid w:val="61903065"/>
    <w:rsid w:val="61AB60F1"/>
    <w:rsid w:val="61AD00BB"/>
    <w:rsid w:val="61E433B1"/>
    <w:rsid w:val="62265F59"/>
    <w:rsid w:val="62574BA5"/>
    <w:rsid w:val="62917095"/>
    <w:rsid w:val="629D3C8C"/>
    <w:rsid w:val="62A9003E"/>
    <w:rsid w:val="62B701D7"/>
    <w:rsid w:val="62B9335A"/>
    <w:rsid w:val="62E33669"/>
    <w:rsid w:val="62F13FD7"/>
    <w:rsid w:val="63041F5D"/>
    <w:rsid w:val="630C2BBF"/>
    <w:rsid w:val="635527B8"/>
    <w:rsid w:val="635C3B47"/>
    <w:rsid w:val="636B5B38"/>
    <w:rsid w:val="63780255"/>
    <w:rsid w:val="63B75221"/>
    <w:rsid w:val="63E91153"/>
    <w:rsid w:val="6406511A"/>
    <w:rsid w:val="641F066B"/>
    <w:rsid w:val="64216B3E"/>
    <w:rsid w:val="64462101"/>
    <w:rsid w:val="64485E79"/>
    <w:rsid w:val="64807391"/>
    <w:rsid w:val="64CF20F6"/>
    <w:rsid w:val="650D69AC"/>
    <w:rsid w:val="651D10B4"/>
    <w:rsid w:val="653F54CE"/>
    <w:rsid w:val="65427225"/>
    <w:rsid w:val="65A610A9"/>
    <w:rsid w:val="65BC6B1F"/>
    <w:rsid w:val="65BE7AE3"/>
    <w:rsid w:val="65BF660F"/>
    <w:rsid w:val="65C71020"/>
    <w:rsid w:val="65CE6852"/>
    <w:rsid w:val="65F10662"/>
    <w:rsid w:val="660C22DB"/>
    <w:rsid w:val="66140709"/>
    <w:rsid w:val="661F70AE"/>
    <w:rsid w:val="66386DC6"/>
    <w:rsid w:val="6639016F"/>
    <w:rsid w:val="66471690"/>
    <w:rsid w:val="66503F4E"/>
    <w:rsid w:val="6662756D"/>
    <w:rsid w:val="667E09AA"/>
    <w:rsid w:val="6686712D"/>
    <w:rsid w:val="66CC76B7"/>
    <w:rsid w:val="66DE4873"/>
    <w:rsid w:val="670C7632"/>
    <w:rsid w:val="672A7EB8"/>
    <w:rsid w:val="67636681"/>
    <w:rsid w:val="67A92B96"/>
    <w:rsid w:val="67BB4C0B"/>
    <w:rsid w:val="67D06451"/>
    <w:rsid w:val="67DB6951"/>
    <w:rsid w:val="68071BA7"/>
    <w:rsid w:val="68072170"/>
    <w:rsid w:val="68187227"/>
    <w:rsid w:val="682942CE"/>
    <w:rsid w:val="6841330B"/>
    <w:rsid w:val="68534DEC"/>
    <w:rsid w:val="685570B9"/>
    <w:rsid w:val="685B2695"/>
    <w:rsid w:val="687A681D"/>
    <w:rsid w:val="68A13DAA"/>
    <w:rsid w:val="68BE495C"/>
    <w:rsid w:val="68E11A3D"/>
    <w:rsid w:val="68F77E6E"/>
    <w:rsid w:val="692D3623"/>
    <w:rsid w:val="693764BC"/>
    <w:rsid w:val="69763488"/>
    <w:rsid w:val="69872FA0"/>
    <w:rsid w:val="698E432E"/>
    <w:rsid w:val="69961435"/>
    <w:rsid w:val="69AC2A06"/>
    <w:rsid w:val="69CA7330"/>
    <w:rsid w:val="69D34437"/>
    <w:rsid w:val="69D51C24"/>
    <w:rsid w:val="69D53205"/>
    <w:rsid w:val="69F543AD"/>
    <w:rsid w:val="6A0665BA"/>
    <w:rsid w:val="6A4964A7"/>
    <w:rsid w:val="6A597547"/>
    <w:rsid w:val="6A627569"/>
    <w:rsid w:val="6A792DC5"/>
    <w:rsid w:val="6A8676FB"/>
    <w:rsid w:val="6AAF5302"/>
    <w:rsid w:val="6AB51D8E"/>
    <w:rsid w:val="6AC21996"/>
    <w:rsid w:val="6ADA17F5"/>
    <w:rsid w:val="6AF84EC6"/>
    <w:rsid w:val="6B0A20DA"/>
    <w:rsid w:val="6B0B7C00"/>
    <w:rsid w:val="6B156DD8"/>
    <w:rsid w:val="6B19231D"/>
    <w:rsid w:val="6B5B46E4"/>
    <w:rsid w:val="6B6A4927"/>
    <w:rsid w:val="6B6C4B43"/>
    <w:rsid w:val="6B890365"/>
    <w:rsid w:val="6BC951B1"/>
    <w:rsid w:val="6BDE6514"/>
    <w:rsid w:val="6BEE5558"/>
    <w:rsid w:val="6BF6440D"/>
    <w:rsid w:val="6C1F1BB5"/>
    <w:rsid w:val="6C51279D"/>
    <w:rsid w:val="6C5A0E3F"/>
    <w:rsid w:val="6C635F46"/>
    <w:rsid w:val="6C736298"/>
    <w:rsid w:val="6C9B4ED0"/>
    <w:rsid w:val="6CAF2015"/>
    <w:rsid w:val="6CE32BE3"/>
    <w:rsid w:val="6CEF1588"/>
    <w:rsid w:val="6D367938"/>
    <w:rsid w:val="6D793547"/>
    <w:rsid w:val="6D875C64"/>
    <w:rsid w:val="6DDD3AD6"/>
    <w:rsid w:val="6DE96307"/>
    <w:rsid w:val="6DFE57FA"/>
    <w:rsid w:val="6E1D3DE5"/>
    <w:rsid w:val="6E4C0C5C"/>
    <w:rsid w:val="6E520749"/>
    <w:rsid w:val="6E8977BA"/>
    <w:rsid w:val="6EB365E5"/>
    <w:rsid w:val="6EDC4773"/>
    <w:rsid w:val="6EFF182A"/>
    <w:rsid w:val="6F0B01CF"/>
    <w:rsid w:val="6F35524C"/>
    <w:rsid w:val="6F5A2A4C"/>
    <w:rsid w:val="6F7A1FC6"/>
    <w:rsid w:val="6F855D9B"/>
    <w:rsid w:val="6F8D7DCD"/>
    <w:rsid w:val="6F9208F0"/>
    <w:rsid w:val="6F972ADE"/>
    <w:rsid w:val="6F9F2952"/>
    <w:rsid w:val="6FCA2502"/>
    <w:rsid w:val="700F5F2E"/>
    <w:rsid w:val="701B08E6"/>
    <w:rsid w:val="70360EB9"/>
    <w:rsid w:val="7037403B"/>
    <w:rsid w:val="70390D6C"/>
    <w:rsid w:val="70C96594"/>
    <w:rsid w:val="70CA2DBA"/>
    <w:rsid w:val="70D10D46"/>
    <w:rsid w:val="70F57389"/>
    <w:rsid w:val="711315BD"/>
    <w:rsid w:val="71214D20"/>
    <w:rsid w:val="712D6B22"/>
    <w:rsid w:val="7191441F"/>
    <w:rsid w:val="71A566B9"/>
    <w:rsid w:val="71BA4DAE"/>
    <w:rsid w:val="71C11019"/>
    <w:rsid w:val="71D13F1E"/>
    <w:rsid w:val="71D76A8E"/>
    <w:rsid w:val="72384D72"/>
    <w:rsid w:val="723F1E23"/>
    <w:rsid w:val="72883B9D"/>
    <w:rsid w:val="72916C3D"/>
    <w:rsid w:val="729C60B9"/>
    <w:rsid w:val="72AD15AC"/>
    <w:rsid w:val="72BB3CBA"/>
    <w:rsid w:val="72C7520C"/>
    <w:rsid w:val="72C8549B"/>
    <w:rsid w:val="72C963D7"/>
    <w:rsid w:val="72E0000C"/>
    <w:rsid w:val="72F83160"/>
    <w:rsid w:val="73012015"/>
    <w:rsid w:val="730E585E"/>
    <w:rsid w:val="7315786E"/>
    <w:rsid w:val="73385887"/>
    <w:rsid w:val="733A2BC6"/>
    <w:rsid w:val="73577E87"/>
    <w:rsid w:val="73661E78"/>
    <w:rsid w:val="737E3665"/>
    <w:rsid w:val="7397374C"/>
    <w:rsid w:val="73AF42D2"/>
    <w:rsid w:val="73CD639B"/>
    <w:rsid w:val="73F21832"/>
    <w:rsid w:val="73FE47A6"/>
    <w:rsid w:val="741B5DF6"/>
    <w:rsid w:val="74275AAB"/>
    <w:rsid w:val="746A24A2"/>
    <w:rsid w:val="74BD01BD"/>
    <w:rsid w:val="74C4779E"/>
    <w:rsid w:val="74DB1AC1"/>
    <w:rsid w:val="74F07886"/>
    <w:rsid w:val="74F3598D"/>
    <w:rsid w:val="74F5031E"/>
    <w:rsid w:val="750556C0"/>
    <w:rsid w:val="75071EAF"/>
    <w:rsid w:val="752F100B"/>
    <w:rsid w:val="753F5076"/>
    <w:rsid w:val="754F41F8"/>
    <w:rsid w:val="75546F0E"/>
    <w:rsid w:val="75596138"/>
    <w:rsid w:val="75610B49"/>
    <w:rsid w:val="757C64A0"/>
    <w:rsid w:val="75AF3FAA"/>
    <w:rsid w:val="75C17839"/>
    <w:rsid w:val="75D05CCE"/>
    <w:rsid w:val="75D25EEA"/>
    <w:rsid w:val="75ED4AD2"/>
    <w:rsid w:val="75F1062E"/>
    <w:rsid w:val="75FA2D4B"/>
    <w:rsid w:val="76200A04"/>
    <w:rsid w:val="769D02A6"/>
    <w:rsid w:val="76B8743F"/>
    <w:rsid w:val="77004391"/>
    <w:rsid w:val="772A140E"/>
    <w:rsid w:val="773076EC"/>
    <w:rsid w:val="774249AA"/>
    <w:rsid w:val="774C6181"/>
    <w:rsid w:val="77627640"/>
    <w:rsid w:val="776B3F01"/>
    <w:rsid w:val="777042D9"/>
    <w:rsid w:val="777B70B6"/>
    <w:rsid w:val="77807DE5"/>
    <w:rsid w:val="77836B84"/>
    <w:rsid w:val="77BA6C36"/>
    <w:rsid w:val="77CF01D2"/>
    <w:rsid w:val="77DC4145"/>
    <w:rsid w:val="77E141C3"/>
    <w:rsid w:val="782C7B34"/>
    <w:rsid w:val="78395DAD"/>
    <w:rsid w:val="783E1615"/>
    <w:rsid w:val="784D1858"/>
    <w:rsid w:val="78576D6B"/>
    <w:rsid w:val="789E0306"/>
    <w:rsid w:val="78A82F32"/>
    <w:rsid w:val="78C76676"/>
    <w:rsid w:val="78EC72C3"/>
    <w:rsid w:val="79251F6B"/>
    <w:rsid w:val="79396222"/>
    <w:rsid w:val="7956473D"/>
    <w:rsid w:val="79825532"/>
    <w:rsid w:val="798968C0"/>
    <w:rsid w:val="79AA714E"/>
    <w:rsid w:val="79AB2A59"/>
    <w:rsid w:val="79BA693A"/>
    <w:rsid w:val="79C11E37"/>
    <w:rsid w:val="79C67B14"/>
    <w:rsid w:val="79CE4C1B"/>
    <w:rsid w:val="79F64583"/>
    <w:rsid w:val="7A233544"/>
    <w:rsid w:val="7A505EDE"/>
    <w:rsid w:val="7A541F37"/>
    <w:rsid w:val="7A5C3FD5"/>
    <w:rsid w:val="7ACA7023"/>
    <w:rsid w:val="7AD973D3"/>
    <w:rsid w:val="7AFC2E4B"/>
    <w:rsid w:val="7B111E11"/>
    <w:rsid w:val="7B166087"/>
    <w:rsid w:val="7B272834"/>
    <w:rsid w:val="7B3677A4"/>
    <w:rsid w:val="7B3D3E06"/>
    <w:rsid w:val="7B476EF8"/>
    <w:rsid w:val="7B5F1FCE"/>
    <w:rsid w:val="7B601315"/>
    <w:rsid w:val="7B7D016E"/>
    <w:rsid w:val="7B9B0B2D"/>
    <w:rsid w:val="7BD7676A"/>
    <w:rsid w:val="7BE20509"/>
    <w:rsid w:val="7BF73FB5"/>
    <w:rsid w:val="7C183FD8"/>
    <w:rsid w:val="7C224DAA"/>
    <w:rsid w:val="7C30396B"/>
    <w:rsid w:val="7C5036C5"/>
    <w:rsid w:val="7C675EC4"/>
    <w:rsid w:val="7C703D67"/>
    <w:rsid w:val="7C765821"/>
    <w:rsid w:val="7C7970C0"/>
    <w:rsid w:val="7C7F3FAA"/>
    <w:rsid w:val="7C945CA8"/>
    <w:rsid w:val="7CB4667D"/>
    <w:rsid w:val="7CDC2D0B"/>
    <w:rsid w:val="7CEC5AE4"/>
    <w:rsid w:val="7CFD1593"/>
    <w:rsid w:val="7D032E2D"/>
    <w:rsid w:val="7D0A19B6"/>
    <w:rsid w:val="7D0D7808"/>
    <w:rsid w:val="7D592A4D"/>
    <w:rsid w:val="7D596888"/>
    <w:rsid w:val="7D6531A0"/>
    <w:rsid w:val="7D6A6A08"/>
    <w:rsid w:val="7D7A4E9D"/>
    <w:rsid w:val="7D99109C"/>
    <w:rsid w:val="7D9B4E14"/>
    <w:rsid w:val="7DA243F4"/>
    <w:rsid w:val="7DA43CC8"/>
    <w:rsid w:val="7DAA32A9"/>
    <w:rsid w:val="7E33504C"/>
    <w:rsid w:val="7E553215"/>
    <w:rsid w:val="7E6671D0"/>
    <w:rsid w:val="7E7C261C"/>
    <w:rsid w:val="7E9957F7"/>
    <w:rsid w:val="7E9E696A"/>
    <w:rsid w:val="7EDB10FE"/>
    <w:rsid w:val="7EE03B90"/>
    <w:rsid w:val="7EED7C04"/>
    <w:rsid w:val="7EF73CB1"/>
    <w:rsid w:val="7F2E23E3"/>
    <w:rsid w:val="7F482D79"/>
    <w:rsid w:val="7F6F47AA"/>
    <w:rsid w:val="7F75071C"/>
    <w:rsid w:val="7F8C2C66"/>
    <w:rsid w:val="7F9B10FB"/>
    <w:rsid w:val="7FAC3308"/>
    <w:rsid w:val="7FB4040F"/>
    <w:rsid w:val="7FC00B62"/>
    <w:rsid w:val="7FD212BB"/>
    <w:rsid w:val="7FE7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3">
    <w:name w:val="toc 7"/>
    <w:basedOn w:val="1"/>
    <w:next w:val="1"/>
    <w:unhideWhenUsed/>
    <w:qFormat/>
    <w:uiPriority w:val="39"/>
    <w:pPr>
      <w:ind w:left="2520" w:leftChars="1200"/>
    </w:pPr>
    <w:rPr>
      <w:rFonts w:asciiTheme="minorHAnsi" w:hAnsiTheme="minorHAnsi" w:eastAsiaTheme="minorEastAsia" w:cstheme="minorBidi"/>
      <w:szCs w:val="22"/>
      <w14:ligatures w14:val="standardContextual"/>
    </w:rPr>
  </w:style>
  <w:style w:type="paragraph" w:styleId="4">
    <w:name w:val="Normal Indent"/>
    <w:basedOn w:val="1"/>
    <w:qFormat/>
    <w:uiPriority w:val="0"/>
    <w:pPr>
      <w:spacing w:before="120" w:line="312" w:lineRule="auto"/>
      <w:ind w:firstLine="420" w:firstLineChars="200"/>
    </w:pPr>
    <w:rPr>
      <w:kern w:val="24"/>
      <w:sz w:val="28"/>
    </w:rPr>
  </w:style>
  <w:style w:type="paragraph" w:styleId="5">
    <w:name w:val="caption"/>
    <w:basedOn w:val="1"/>
    <w:next w:val="1"/>
    <w:qFormat/>
    <w:uiPriority w:val="99"/>
    <w:rPr>
      <w:rFonts w:ascii="Cambria" w:hAnsi="Cambria" w:eastAsia="黑体"/>
    </w:rPr>
  </w:style>
  <w:style w:type="paragraph" w:styleId="6">
    <w:name w:val="annotation text"/>
    <w:basedOn w:val="1"/>
    <w:link w:val="44"/>
    <w:semiHidden/>
    <w:qFormat/>
    <w:uiPriority w:val="0"/>
    <w:pPr>
      <w:jc w:val="left"/>
    </w:pPr>
    <w:rPr>
      <w:kern w:val="0"/>
      <w:sz w:val="24"/>
      <w:szCs w:val="20"/>
    </w:rPr>
  </w:style>
  <w:style w:type="paragraph" w:styleId="7">
    <w:name w:val="Body Text"/>
    <w:basedOn w:val="1"/>
    <w:next w:val="1"/>
    <w:link w:val="43"/>
    <w:qFormat/>
    <w:uiPriority w:val="0"/>
    <w:pPr>
      <w:widowControl/>
      <w:snapToGrid w:val="0"/>
      <w:spacing w:before="60" w:after="160" w:line="259" w:lineRule="auto"/>
      <w:ind w:right="113"/>
    </w:pPr>
    <w:rPr>
      <w:kern w:val="0"/>
      <w:sz w:val="18"/>
      <w:szCs w:val="20"/>
    </w:rPr>
  </w:style>
  <w:style w:type="paragraph" w:styleId="8">
    <w:name w:val="Body Text Indent"/>
    <w:basedOn w:val="1"/>
    <w:next w:val="9"/>
    <w:qFormat/>
    <w:uiPriority w:val="0"/>
    <w:pPr>
      <w:spacing w:after="120"/>
      <w:ind w:left="420" w:leftChars="200"/>
    </w:pPr>
    <w:rPr>
      <w:kern w:val="0"/>
      <w:sz w:val="24"/>
      <w:szCs w:val="20"/>
    </w:rPr>
  </w:style>
  <w:style w:type="paragraph" w:styleId="9">
    <w:name w:val="Body Text Indent 3"/>
    <w:basedOn w:val="1"/>
    <w:qFormat/>
    <w:uiPriority w:val="0"/>
    <w:pPr>
      <w:spacing w:after="120"/>
      <w:ind w:left="420" w:leftChars="200"/>
    </w:pPr>
    <w:rPr>
      <w:sz w:val="16"/>
    </w:rPr>
  </w:style>
  <w:style w:type="paragraph" w:styleId="10">
    <w:name w:val="toc 5"/>
    <w:basedOn w:val="1"/>
    <w:next w:val="1"/>
    <w:unhideWhenUsed/>
    <w:qFormat/>
    <w:uiPriority w:val="39"/>
    <w:pPr>
      <w:ind w:left="1680" w:leftChars="800"/>
    </w:pPr>
    <w:rPr>
      <w:rFonts w:asciiTheme="minorHAnsi" w:hAnsiTheme="minorHAnsi" w:eastAsiaTheme="minorEastAsia" w:cstheme="minorBidi"/>
      <w:szCs w:val="22"/>
      <w14:ligatures w14:val="standardContextual"/>
    </w:rPr>
  </w:style>
  <w:style w:type="paragraph" w:styleId="11">
    <w:name w:val="toc 3"/>
    <w:basedOn w:val="1"/>
    <w:next w:val="1"/>
    <w:unhideWhenUsed/>
    <w:qFormat/>
    <w:uiPriority w:val="39"/>
    <w:pPr>
      <w:ind w:left="840" w:leftChars="400"/>
    </w:pPr>
    <w:rPr>
      <w:rFonts w:asciiTheme="minorHAnsi" w:hAnsiTheme="minorHAnsi" w:eastAsiaTheme="minorEastAsia" w:cstheme="minorBidi"/>
      <w:szCs w:val="22"/>
      <w14:ligatures w14:val="standardContextual"/>
    </w:rPr>
  </w:style>
  <w:style w:type="paragraph" w:styleId="12">
    <w:name w:val="Plain Text"/>
    <w:basedOn w:val="1"/>
    <w:next w:val="13"/>
    <w:link w:val="48"/>
    <w:qFormat/>
    <w:uiPriority w:val="0"/>
    <w:rPr>
      <w:rFonts w:ascii="宋体" w:hAnsi="Courier New"/>
    </w:rPr>
  </w:style>
  <w:style w:type="paragraph" w:customStyle="1" w:styleId="1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4">
    <w:name w:val="toc 8"/>
    <w:basedOn w:val="1"/>
    <w:next w:val="1"/>
    <w:unhideWhenUsed/>
    <w:qFormat/>
    <w:uiPriority w:val="39"/>
    <w:pPr>
      <w:ind w:left="2940" w:leftChars="1400"/>
    </w:pPr>
    <w:rPr>
      <w:rFonts w:asciiTheme="minorHAnsi" w:hAnsiTheme="minorHAnsi" w:eastAsiaTheme="minorEastAsia" w:cstheme="minorBidi"/>
      <w:szCs w:val="22"/>
      <w14:ligatures w14:val="standardContextual"/>
    </w:rPr>
  </w:style>
  <w:style w:type="paragraph" w:styleId="15">
    <w:name w:val="Balloon Text"/>
    <w:basedOn w:val="1"/>
    <w:link w:val="47"/>
    <w:qFormat/>
    <w:uiPriority w:val="0"/>
    <w:rPr>
      <w:sz w:val="18"/>
      <w:szCs w:val="18"/>
    </w:rPr>
  </w:style>
  <w:style w:type="paragraph" w:styleId="16">
    <w:name w:val="footer"/>
    <w:basedOn w:val="1"/>
    <w:link w:val="50"/>
    <w:qFormat/>
    <w:uiPriority w:val="99"/>
    <w:pPr>
      <w:tabs>
        <w:tab w:val="center" w:pos="4153"/>
        <w:tab w:val="right" w:pos="8306"/>
      </w:tabs>
      <w:snapToGrid w:val="0"/>
      <w:jc w:val="left"/>
    </w:pPr>
    <w:rPr>
      <w:kern w:val="0"/>
      <w:sz w:val="18"/>
      <w:szCs w:val="20"/>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style>
  <w:style w:type="paragraph" w:styleId="19">
    <w:name w:val="toc 4"/>
    <w:basedOn w:val="1"/>
    <w:next w:val="1"/>
    <w:unhideWhenUsed/>
    <w:qFormat/>
    <w:uiPriority w:val="39"/>
    <w:pPr>
      <w:ind w:left="1260" w:leftChars="600"/>
    </w:pPr>
    <w:rPr>
      <w:rFonts w:asciiTheme="minorHAnsi" w:hAnsiTheme="minorHAnsi" w:eastAsiaTheme="minorEastAsia" w:cstheme="minorBidi"/>
      <w:szCs w:val="22"/>
      <w14:ligatures w14:val="standardContextual"/>
    </w:rPr>
  </w:style>
  <w:style w:type="paragraph" w:styleId="20">
    <w:name w:val="toc 6"/>
    <w:basedOn w:val="1"/>
    <w:next w:val="1"/>
    <w:unhideWhenUsed/>
    <w:qFormat/>
    <w:uiPriority w:val="39"/>
    <w:pPr>
      <w:ind w:left="2100" w:leftChars="1000"/>
    </w:pPr>
    <w:rPr>
      <w:rFonts w:asciiTheme="minorHAnsi" w:hAnsiTheme="minorHAnsi" w:eastAsiaTheme="minorEastAsia" w:cstheme="minorBidi"/>
      <w:szCs w:val="22"/>
      <w14:ligatures w14:val="standardContextual"/>
    </w:rPr>
  </w:style>
  <w:style w:type="paragraph" w:styleId="21">
    <w:name w:val="toc 2"/>
    <w:basedOn w:val="1"/>
    <w:next w:val="1"/>
    <w:unhideWhenUsed/>
    <w:qFormat/>
    <w:uiPriority w:val="39"/>
    <w:pPr>
      <w:ind w:left="420" w:leftChars="200"/>
    </w:pPr>
    <w:rPr>
      <w:rFonts w:asciiTheme="minorHAnsi" w:hAnsiTheme="minorHAnsi" w:eastAsiaTheme="minorEastAsia" w:cstheme="minorBidi"/>
      <w:szCs w:val="22"/>
      <w14:ligatures w14:val="standardContextual"/>
    </w:rPr>
  </w:style>
  <w:style w:type="paragraph" w:styleId="22">
    <w:name w:val="toc 9"/>
    <w:basedOn w:val="1"/>
    <w:next w:val="1"/>
    <w:unhideWhenUsed/>
    <w:qFormat/>
    <w:uiPriority w:val="39"/>
    <w:pPr>
      <w:ind w:left="3360" w:leftChars="1600"/>
    </w:pPr>
    <w:rPr>
      <w:rFonts w:asciiTheme="minorHAnsi" w:hAnsiTheme="minorHAnsi" w:eastAsiaTheme="minorEastAsia" w:cstheme="minorBidi"/>
      <w:szCs w:val="22"/>
      <w14:ligatures w14:val="standardContextual"/>
    </w:rPr>
  </w:style>
  <w:style w:type="paragraph" w:styleId="23">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24">
    <w:name w:val="annotation subject"/>
    <w:basedOn w:val="6"/>
    <w:next w:val="6"/>
    <w:link w:val="45"/>
    <w:qFormat/>
    <w:uiPriority w:val="0"/>
    <w:rPr>
      <w:b/>
      <w:bCs/>
      <w:kern w:val="2"/>
      <w:sz w:val="21"/>
      <w:szCs w:val="24"/>
    </w:rPr>
  </w:style>
  <w:style w:type="paragraph" w:styleId="25">
    <w:name w:val="Body Text First Indent"/>
    <w:basedOn w:val="7"/>
    <w:next w:val="1"/>
    <w:qFormat/>
    <w:uiPriority w:val="0"/>
    <w:pPr>
      <w:ind w:firstLine="420" w:firstLineChars="100"/>
    </w:pPr>
  </w:style>
  <w:style w:type="paragraph" w:styleId="26">
    <w:name w:val="Body Text First Indent 2"/>
    <w:basedOn w:val="8"/>
    <w:next w:val="25"/>
    <w:unhideWhenUsed/>
    <w:qFormat/>
    <w:uiPriority w:val="99"/>
    <w:pPr>
      <w:ind w:firstLine="420" w:firstLineChars="200"/>
    </w:p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qFormat/>
    <w:uiPriority w:val="0"/>
  </w:style>
  <w:style w:type="character" w:styleId="31">
    <w:name w:val="Hyperlink"/>
    <w:basedOn w:val="29"/>
    <w:qFormat/>
    <w:uiPriority w:val="99"/>
    <w:rPr>
      <w:color w:val="0000FF"/>
      <w:u w:val="single"/>
    </w:rPr>
  </w:style>
  <w:style w:type="character" w:styleId="32">
    <w:name w:val="annotation reference"/>
    <w:basedOn w:val="29"/>
    <w:semiHidden/>
    <w:qFormat/>
    <w:uiPriority w:val="0"/>
    <w:rPr>
      <w:sz w:val="21"/>
    </w:rPr>
  </w:style>
  <w:style w:type="paragraph" w:customStyle="1" w:styleId="33">
    <w:name w:val="Table Paragraph"/>
    <w:basedOn w:val="1"/>
    <w:unhideWhenUsed/>
    <w:qFormat/>
    <w:uiPriority w:val="1"/>
    <w:pPr>
      <w:spacing w:line="360" w:lineRule="auto"/>
    </w:pPr>
    <w:rPr>
      <w:sz w:val="24"/>
      <w:szCs w:val="22"/>
    </w:rPr>
  </w:style>
  <w:style w:type="paragraph" w:customStyle="1" w:styleId="34">
    <w:name w:val="表格文字"/>
    <w:basedOn w:val="1"/>
    <w:qFormat/>
    <w:uiPriority w:val="0"/>
    <w:pPr>
      <w:autoSpaceDE w:val="0"/>
      <w:autoSpaceDN w:val="0"/>
      <w:spacing w:before="60" w:after="60"/>
      <w:jc w:val="center"/>
      <w:textAlignment w:val="bottom"/>
    </w:pPr>
    <w:rPr>
      <w:rFonts w:eastAsia="仿宋_GB2312"/>
      <w:kern w:val="0"/>
      <w:sz w:val="24"/>
    </w:rPr>
  </w:style>
  <w:style w:type="paragraph" w:customStyle="1" w:styleId="35">
    <w:name w:val="xl24"/>
    <w:basedOn w:val="1"/>
    <w:qFormat/>
    <w:uiPriority w:val="0"/>
    <w:pPr>
      <w:widowControl/>
      <w:spacing w:before="100" w:beforeAutospacing="1" w:after="100" w:afterAutospacing="1"/>
      <w:jc w:val="center"/>
    </w:pPr>
    <w:rPr>
      <w:rFonts w:ascii="宋体" w:hAnsi="宋体"/>
      <w:kern w:val="0"/>
      <w:sz w:val="24"/>
    </w:rPr>
  </w:style>
  <w:style w:type="paragraph" w:customStyle="1" w:styleId="36">
    <w:name w:val="p0"/>
    <w:basedOn w:val="1"/>
    <w:qFormat/>
    <w:uiPriority w:val="0"/>
    <w:pPr>
      <w:widowControl/>
      <w:jc w:val="left"/>
    </w:pPr>
    <w:rPr>
      <w:kern w:val="0"/>
      <w:sz w:val="20"/>
      <w:szCs w:val="20"/>
    </w:rPr>
  </w:style>
  <w:style w:type="paragraph" w:customStyle="1" w:styleId="37">
    <w:name w:val="样式7"/>
    <w:basedOn w:val="1"/>
    <w:qFormat/>
    <w:uiPriority w:val="0"/>
    <w:pPr>
      <w:autoSpaceDE w:val="0"/>
      <w:autoSpaceDN w:val="0"/>
      <w:adjustRightInd w:val="0"/>
      <w:spacing w:line="360" w:lineRule="auto"/>
      <w:ind w:firstLine="480" w:firstLineChars="200"/>
      <w:jc w:val="left"/>
      <w:textAlignment w:val="baseline"/>
    </w:pPr>
    <w:rPr>
      <w:rFonts w:hAnsi="宋体"/>
      <w:kern w:val="0"/>
      <w:sz w:val="24"/>
    </w:rPr>
  </w:style>
  <w:style w:type="paragraph" w:customStyle="1" w:styleId="38">
    <w:name w:val="二级无标题条"/>
    <w:basedOn w:val="1"/>
    <w:qFormat/>
    <w:uiPriority w:val="0"/>
    <w:rPr>
      <w:szCs w:val="21"/>
    </w:rPr>
  </w:style>
  <w:style w:type="paragraph" w:customStyle="1" w:styleId="39">
    <w:name w:val="表格"/>
    <w:basedOn w:val="1"/>
    <w:next w:val="1"/>
    <w:qFormat/>
    <w:uiPriority w:val="0"/>
    <w:pPr>
      <w:adjustRightInd w:val="0"/>
      <w:snapToGrid w:val="0"/>
      <w:spacing w:beforeLines="10" w:afterLines="10" w:line="259" w:lineRule="auto"/>
      <w:jc w:val="center"/>
    </w:pPr>
    <w:rPr>
      <w:rFonts w:ascii="宋体"/>
      <w:kern w:val="0"/>
      <w:szCs w:val="20"/>
    </w:rPr>
  </w:style>
  <w:style w:type="paragraph" w:customStyle="1" w:styleId="40">
    <w:name w:val="WPSOffice手动目录 1"/>
    <w:qFormat/>
    <w:uiPriority w:val="0"/>
    <w:rPr>
      <w:rFonts w:ascii="Times New Roman" w:hAnsi="Times New Roman" w:eastAsia="宋体" w:cs="Times New Roman"/>
      <w:lang w:val="en-US" w:eastAsia="zh-CN" w:bidi="ar-SA"/>
    </w:rPr>
  </w:style>
  <w:style w:type="character" w:customStyle="1" w:styleId="41">
    <w:name w:val="font21"/>
    <w:basedOn w:val="29"/>
    <w:qFormat/>
    <w:uiPriority w:val="0"/>
    <w:rPr>
      <w:rFonts w:hint="default" w:ascii="Times New Roman" w:hAnsi="Times New Roman" w:cs="Times New Roman"/>
      <w:color w:val="000000"/>
      <w:sz w:val="24"/>
      <w:szCs w:val="24"/>
      <w:u w:val="none"/>
    </w:rPr>
  </w:style>
  <w:style w:type="character" w:customStyle="1" w:styleId="42">
    <w:name w:val="font31"/>
    <w:basedOn w:val="29"/>
    <w:qFormat/>
    <w:uiPriority w:val="0"/>
    <w:rPr>
      <w:rFonts w:hint="eastAsia" w:ascii="宋体" w:hAnsi="宋体" w:eastAsia="宋体" w:cs="宋体"/>
      <w:color w:val="000000"/>
      <w:sz w:val="24"/>
      <w:szCs w:val="24"/>
      <w:u w:val="none"/>
    </w:rPr>
  </w:style>
  <w:style w:type="character" w:customStyle="1" w:styleId="43">
    <w:name w:val="正文文本 字符"/>
    <w:link w:val="7"/>
    <w:qFormat/>
    <w:locked/>
    <w:uiPriority w:val="0"/>
    <w:rPr>
      <w:kern w:val="0"/>
      <w:sz w:val="18"/>
      <w:szCs w:val="20"/>
    </w:rPr>
  </w:style>
  <w:style w:type="character" w:customStyle="1" w:styleId="44">
    <w:name w:val="批注文字 字符"/>
    <w:basedOn w:val="29"/>
    <w:link w:val="6"/>
    <w:semiHidden/>
    <w:qFormat/>
    <w:uiPriority w:val="0"/>
    <w:rPr>
      <w:sz w:val="24"/>
    </w:rPr>
  </w:style>
  <w:style w:type="character" w:customStyle="1" w:styleId="45">
    <w:name w:val="批注主题 字符"/>
    <w:basedOn w:val="44"/>
    <w:link w:val="24"/>
    <w:qFormat/>
    <w:uiPriority w:val="0"/>
    <w:rPr>
      <w:b/>
      <w:bCs/>
      <w:kern w:val="2"/>
      <w:sz w:val="21"/>
      <w:szCs w:val="24"/>
    </w:rPr>
  </w:style>
  <w:style w:type="paragraph" w:styleId="46">
    <w:name w:val="List Paragraph"/>
    <w:basedOn w:val="1"/>
    <w:qFormat/>
    <w:uiPriority w:val="99"/>
    <w:pPr>
      <w:ind w:firstLine="420" w:firstLineChars="200"/>
    </w:pPr>
  </w:style>
  <w:style w:type="character" w:customStyle="1" w:styleId="47">
    <w:name w:val="批注框文本 字符"/>
    <w:basedOn w:val="29"/>
    <w:link w:val="15"/>
    <w:qFormat/>
    <w:uiPriority w:val="0"/>
    <w:rPr>
      <w:kern w:val="2"/>
      <w:sz w:val="18"/>
      <w:szCs w:val="18"/>
    </w:rPr>
  </w:style>
  <w:style w:type="character" w:customStyle="1" w:styleId="48">
    <w:name w:val="纯文本 字符"/>
    <w:basedOn w:val="29"/>
    <w:link w:val="12"/>
    <w:qFormat/>
    <w:uiPriority w:val="0"/>
    <w:rPr>
      <w:rFonts w:hint="eastAsia" w:ascii="宋体" w:hAnsi="Courier New" w:eastAsia="宋体" w:cs="宋体"/>
      <w:kern w:val="2"/>
      <w:sz w:val="21"/>
      <w:szCs w:val="24"/>
    </w:rPr>
  </w:style>
  <w:style w:type="character" w:customStyle="1" w:styleId="49">
    <w:name w:val="未处理的提及1"/>
    <w:basedOn w:val="29"/>
    <w:semiHidden/>
    <w:unhideWhenUsed/>
    <w:qFormat/>
    <w:uiPriority w:val="99"/>
    <w:rPr>
      <w:color w:val="605E5C"/>
      <w:shd w:val="clear" w:color="auto" w:fill="E1DFDD"/>
    </w:rPr>
  </w:style>
  <w:style w:type="character" w:customStyle="1" w:styleId="50">
    <w:name w:val="页脚 字符"/>
    <w:basedOn w:val="29"/>
    <w:link w:val="16"/>
    <w:qFormat/>
    <w:uiPriority w:val="99"/>
    <w:rPr>
      <w:sz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3.emf"/><Relationship Id="rId7" Type="http://schemas.openxmlformats.org/officeDocument/2006/relationships/oleObject" Target="embeddings/oleObject1.bin"/><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emf"/><Relationship Id="rId15" Type="http://schemas.openxmlformats.org/officeDocument/2006/relationships/oleObject" Target="embeddings/oleObject5.bin"/><Relationship Id="rId14" Type="http://schemas.openxmlformats.org/officeDocument/2006/relationships/image" Target="media/image6.emf"/><Relationship Id="rId13" Type="http://schemas.openxmlformats.org/officeDocument/2006/relationships/oleObject" Target="embeddings/oleObject4.bin"/><Relationship Id="rId12" Type="http://schemas.openxmlformats.org/officeDocument/2006/relationships/image" Target="media/image5.emf"/><Relationship Id="rId11" Type="http://schemas.openxmlformats.org/officeDocument/2006/relationships/oleObject" Target="embeddings/oleObject3.bin"/><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jQ5NDM1MjY2OTUxIiwKCSJHcm91cElkIiA6ICIyNDY2MTIzNjMiLAoJIkltYWdlIiA6ICJpVkJPUncwS0dnb0FBQUFOU1VoRVVnQUFBdkFBQUFHckNBWUFBQUNtQjZQVEFBQUFDWEJJV1hNQUFBc1RBQUFMRXdFQW1wd1lBQUFnQUVsRVFWUjRuT3pkZDNoVDFmOEg4UGROSjZXMExBVmtEMlY5R1Vrc3BRTVFCUVVFUkVBUkMwZ1pNcVZLWmNvR0VSQVFBUld3S3JOQ0tSc0ZaVU5wV1YxVUZNcVVVYUJBb2FWTlY1THorNlAyL3BxbWU2VnAzNi9uNmZNME4rZmU4MGx1VHZLNTU1NTdMa0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W9nNzIvejVvSWVMWHNTb3JBQUFBQUVsRlRrU3VRbUNDIiwKCSJUaGVtZSIgOiAiIiwKCSJUeXBlIiA6ICJmbG93IiwKCSJWZXJzaW9uIiA6ICIiCn0K"/>
    </extobj>
  </extobj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6BD0C6-F037-4F0D-8EBF-8F603063566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82</Pages>
  <Words>50530</Words>
  <Characters>57434</Characters>
  <Lines>555</Lines>
  <Paragraphs>156</Paragraphs>
  <TotalTime>101</TotalTime>
  <ScaleCrop>false</ScaleCrop>
  <LinksUpToDate>false</LinksUpToDate>
  <CharactersWithSpaces>58004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2023-02-20T01:03:00Z</dcterms:created>
  <dc:creator>ASUS</dc:creator>
  <cp:lastModifiedBy>Administrator</cp:lastModifiedBy>
  <cp:lastPrinted>2023-09-06T01:28:00Z</cp:lastPrinted>
  <dcterms:modified xsi:type="dcterms:W3CDTF">2024-01-29T03:04:30Z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2A5E811069194449AE11071DA4065596_13</vt:lpwstr>
  </property>
</Properties>
</file>