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446"/>
        <w:jc w:val="center"/>
        <w:rPr>
          <w:b/>
          <w:color w:val="auto"/>
          <w:sz w:val="72"/>
          <w:szCs w:val="72"/>
        </w:rPr>
      </w:pPr>
      <w:bookmarkStart w:id="127" w:name="_GoBack"/>
      <w:bookmarkEnd w:id="127"/>
    </w:p>
    <w:p>
      <w:pPr>
        <w:adjustRightInd w:val="0"/>
        <w:snapToGrid w:val="0"/>
        <w:spacing w:line="240" w:lineRule="auto"/>
        <w:ind w:firstLine="0" w:firstLineChars="0"/>
        <w:jc w:val="center"/>
        <w:outlineLvl w:val="0"/>
        <w:rPr>
          <w:rFonts w:ascii="方正小标宋_GBK" w:eastAsia="方正小标宋_GBK"/>
          <w:bCs/>
          <w:color w:val="auto"/>
          <w:sz w:val="72"/>
          <w:szCs w:val="72"/>
        </w:rPr>
      </w:pPr>
      <w:bookmarkStart w:id="0" w:name="_Toc1418"/>
      <w:bookmarkStart w:id="1" w:name="_Toc68101064"/>
      <w:bookmarkStart w:id="2" w:name="_Toc15405"/>
      <w:bookmarkStart w:id="3" w:name="_Toc15348"/>
      <w:r>
        <w:rPr>
          <w:rFonts w:hint="eastAsia" w:ascii="方正小标宋_GBK" w:eastAsia="方正小标宋_GBK"/>
          <w:bCs/>
          <w:color w:val="auto"/>
          <w:sz w:val="72"/>
          <w:szCs w:val="72"/>
        </w:rPr>
        <w:t>建设项目环境影响报告表</w:t>
      </w:r>
      <w:bookmarkEnd w:id="0"/>
      <w:bookmarkEnd w:id="1"/>
      <w:bookmarkEnd w:id="2"/>
      <w:bookmarkEnd w:id="3"/>
    </w:p>
    <w:p>
      <w:pPr>
        <w:adjustRightInd w:val="0"/>
        <w:snapToGrid w:val="0"/>
        <w:spacing w:before="249" w:beforeLines="80" w:line="240" w:lineRule="auto"/>
        <w:ind w:firstLine="0" w:firstLineChars="0"/>
        <w:jc w:val="center"/>
        <w:rPr>
          <w:rFonts w:ascii="楷体_GB2312" w:eastAsia="楷体_GB2312"/>
          <w:bCs/>
          <w:color w:val="auto"/>
          <w:sz w:val="48"/>
          <w:szCs w:val="48"/>
        </w:rPr>
      </w:pPr>
      <w:r>
        <w:rPr>
          <w:rFonts w:hint="eastAsia" w:ascii="楷体_GB2312" w:eastAsia="楷体_GB2312"/>
          <w:bCs/>
          <w:color w:val="auto"/>
          <w:sz w:val="48"/>
          <w:szCs w:val="48"/>
        </w:rPr>
        <w:t>（污染影响类）</w:t>
      </w:r>
    </w:p>
    <w:p>
      <w:pPr>
        <w:ind w:firstLine="643"/>
        <w:jc w:val="center"/>
        <w:rPr>
          <w:b/>
          <w:color w:val="auto"/>
          <w:sz w:val="32"/>
          <w:szCs w:val="32"/>
        </w:rPr>
      </w:pPr>
    </w:p>
    <w:p>
      <w:pPr>
        <w:ind w:firstLine="643"/>
        <w:jc w:val="center"/>
        <w:rPr>
          <w:b/>
          <w:color w:val="auto"/>
          <w:sz w:val="32"/>
          <w:szCs w:val="32"/>
        </w:rPr>
      </w:pPr>
    </w:p>
    <w:p>
      <w:pPr>
        <w:ind w:firstLine="643"/>
        <w:jc w:val="center"/>
        <w:rPr>
          <w:b/>
          <w:color w:val="auto"/>
          <w:sz w:val="32"/>
          <w:szCs w:val="32"/>
        </w:rPr>
      </w:pPr>
    </w:p>
    <w:p>
      <w:pPr>
        <w:ind w:firstLine="643"/>
        <w:jc w:val="center"/>
        <w:rPr>
          <w:b/>
          <w:color w:val="auto"/>
          <w:sz w:val="32"/>
          <w:szCs w:val="32"/>
        </w:rPr>
      </w:pPr>
    </w:p>
    <w:p>
      <w:pPr>
        <w:ind w:firstLine="0" w:firstLineChars="0"/>
        <w:rPr>
          <w:b/>
          <w:color w:val="auto"/>
          <w:sz w:val="32"/>
          <w:szCs w:val="32"/>
        </w:rPr>
      </w:pPr>
    </w:p>
    <w:p>
      <w:pPr>
        <w:adjustRightInd w:val="0"/>
        <w:snapToGrid w:val="0"/>
        <w:spacing w:line="288" w:lineRule="auto"/>
        <w:ind w:firstLine="720"/>
        <w:jc w:val="center"/>
        <w:rPr>
          <w:rFonts w:ascii="楷体_GB2312" w:eastAsia="楷体_GB2312"/>
          <w:color w:val="auto"/>
          <w:sz w:val="36"/>
          <w:szCs w:val="36"/>
        </w:rPr>
      </w:pPr>
    </w:p>
    <w:p>
      <w:pPr>
        <w:adjustRightInd w:val="0"/>
        <w:snapToGrid w:val="0"/>
        <w:spacing w:line="480" w:lineRule="auto"/>
        <w:ind w:firstLine="720"/>
        <w:jc w:val="both"/>
        <w:rPr>
          <w:rFonts w:hint="eastAsia" w:ascii="宋体" w:hAnsi="宋体" w:eastAsia="宋体" w:cs="宋体"/>
          <w:b w:val="0"/>
          <w:bCs w:val="0"/>
          <w:color w:val="auto"/>
          <w:sz w:val="36"/>
          <w:szCs w:val="36"/>
          <w:lang w:eastAsia="zh-CN"/>
        </w:rPr>
      </w:pPr>
      <w:r>
        <w:rPr>
          <w:rFonts w:hint="eastAsia" w:ascii="宋体" w:hAnsi="宋体" w:eastAsia="宋体" w:cs="宋体"/>
          <w:b w:val="0"/>
          <w:bCs w:val="0"/>
          <w:color w:val="auto"/>
          <w:sz w:val="36"/>
          <w:szCs w:val="36"/>
        </w:rPr>
        <w:t>项目名称</w:t>
      </w:r>
      <w:r>
        <w:rPr>
          <w:rFonts w:hint="eastAsia" w:ascii="宋体" w:hAnsi="宋体" w:eastAsia="宋体" w:cs="宋体"/>
          <w:b w:val="0"/>
          <w:bCs w:val="0"/>
          <w:color w:val="auto"/>
          <w:sz w:val="36"/>
          <w:szCs w:val="36"/>
          <w:lang w:eastAsia="zh-CN"/>
        </w:rPr>
        <w:t>：</w:t>
      </w:r>
      <w:r>
        <w:rPr>
          <w:rFonts w:hint="eastAsia" w:ascii="宋体" w:hAnsi="宋体" w:eastAsia="宋体" w:cs="宋体"/>
          <w:b w:val="0"/>
          <w:bCs w:val="0"/>
          <w:color w:val="auto"/>
          <w:sz w:val="36"/>
          <w:szCs w:val="36"/>
          <w:u w:val="single"/>
          <w:lang w:eastAsia="zh-CN"/>
        </w:rPr>
        <w:t>姚安县保健院妇婴医院住院综合楼建设项目</w:t>
      </w:r>
    </w:p>
    <w:p>
      <w:pPr>
        <w:adjustRightInd w:val="0"/>
        <w:snapToGrid w:val="0"/>
        <w:spacing w:line="480" w:lineRule="auto"/>
        <w:ind w:firstLine="720"/>
        <w:jc w:val="both"/>
        <w:rPr>
          <w:rFonts w:hint="eastAsia" w:ascii="宋体" w:hAnsi="宋体" w:eastAsia="宋体" w:cs="宋体"/>
          <w:b w:val="0"/>
          <w:bCs w:val="0"/>
          <w:color w:val="auto"/>
          <w:sz w:val="36"/>
          <w:szCs w:val="36"/>
          <w:u w:val="single"/>
        </w:rPr>
      </w:pPr>
      <w:r>
        <w:rPr>
          <w:rFonts w:hint="eastAsia" w:ascii="宋体" w:hAnsi="宋体" w:eastAsia="宋体" w:cs="宋体"/>
          <w:b w:val="0"/>
          <w:bCs w:val="0"/>
          <w:color w:val="auto"/>
          <w:sz w:val="36"/>
          <w:szCs w:val="36"/>
        </w:rPr>
        <w:t>建设单位：</w:t>
      </w:r>
      <w:r>
        <w:rPr>
          <w:rFonts w:hint="eastAsia" w:ascii="宋体" w:hAnsi="宋体" w:eastAsia="宋体" w:cs="宋体"/>
          <w:b w:val="0"/>
          <w:bCs w:val="0"/>
          <w:color w:val="auto"/>
          <w:sz w:val="36"/>
          <w:szCs w:val="36"/>
          <w:u w:val="single"/>
        </w:rPr>
        <w:t>姚安县妇幼保健计划生育服务中心</w:t>
      </w:r>
    </w:p>
    <w:p>
      <w:pPr>
        <w:adjustRightInd w:val="0"/>
        <w:snapToGrid w:val="0"/>
        <w:spacing w:line="480" w:lineRule="auto"/>
        <w:ind w:left="0" w:leftChars="0" w:right="0" w:rightChars="0" w:firstLine="0" w:firstLineChars="0"/>
        <w:jc w:val="center"/>
        <w:rPr>
          <w:rFonts w:hint="eastAsia" w:ascii="宋体" w:hAnsi="宋体" w:eastAsia="宋体" w:cs="宋体"/>
          <w:b w:val="0"/>
          <w:bCs w:val="0"/>
          <w:color w:val="auto"/>
          <w:sz w:val="36"/>
          <w:szCs w:val="36"/>
          <w:u w:val="single"/>
          <w:lang w:val="en-US" w:eastAsia="zh-CN"/>
        </w:rPr>
      </w:pPr>
      <w:r>
        <w:rPr>
          <w:rFonts w:hint="eastAsia" w:ascii="宋体" w:hAnsi="宋体" w:eastAsia="宋体" w:cs="宋体"/>
          <w:b w:val="0"/>
          <w:bCs w:val="0"/>
          <w:color w:val="auto"/>
          <w:sz w:val="36"/>
          <w:szCs w:val="36"/>
          <w:u w:val="single"/>
          <w:lang w:val="en-US" w:eastAsia="zh-CN"/>
        </w:rPr>
        <w:t>（姚安县妇幼保健院）</w:t>
      </w:r>
    </w:p>
    <w:p>
      <w:pPr>
        <w:adjustRightInd w:val="0"/>
        <w:snapToGrid w:val="0"/>
        <w:spacing w:line="288" w:lineRule="auto"/>
        <w:ind w:firstLine="720"/>
        <w:jc w:val="center"/>
        <w:rPr>
          <w:rFonts w:ascii="楷体_GB2312" w:eastAsia="楷体_GB2312"/>
          <w:color w:val="auto"/>
          <w:sz w:val="36"/>
          <w:szCs w:val="36"/>
        </w:rPr>
      </w:pPr>
    </w:p>
    <w:p>
      <w:pPr>
        <w:adjustRightInd w:val="0"/>
        <w:snapToGrid w:val="0"/>
        <w:spacing w:line="288" w:lineRule="auto"/>
        <w:ind w:firstLine="720"/>
        <w:jc w:val="center"/>
        <w:rPr>
          <w:rFonts w:ascii="楷体_GB2312" w:eastAsia="楷体_GB2312"/>
          <w:color w:val="auto"/>
          <w:sz w:val="36"/>
          <w:szCs w:val="36"/>
        </w:rPr>
      </w:pPr>
    </w:p>
    <w:p>
      <w:pPr>
        <w:adjustRightInd w:val="0"/>
        <w:snapToGrid w:val="0"/>
        <w:spacing w:line="288" w:lineRule="auto"/>
        <w:ind w:firstLine="720"/>
        <w:jc w:val="center"/>
        <w:rPr>
          <w:rFonts w:ascii="楷体_GB2312" w:eastAsia="楷体_GB2312"/>
          <w:color w:val="auto"/>
          <w:sz w:val="36"/>
          <w:szCs w:val="36"/>
        </w:rPr>
      </w:pPr>
    </w:p>
    <w:p>
      <w:pPr>
        <w:adjustRightInd w:val="0"/>
        <w:snapToGrid w:val="0"/>
        <w:spacing w:line="288" w:lineRule="auto"/>
        <w:ind w:firstLine="720"/>
        <w:jc w:val="center"/>
        <w:rPr>
          <w:rFonts w:hint="eastAsia" w:ascii="宋体" w:hAnsi="宋体" w:eastAsia="宋体" w:cs="宋体"/>
          <w:b/>
          <w:bCs/>
          <w:color w:val="auto"/>
          <w:sz w:val="36"/>
          <w:szCs w:val="36"/>
          <w:lang w:val="en-US" w:eastAsia="zh-CN"/>
        </w:rPr>
      </w:pPr>
      <w:r>
        <w:rPr>
          <w:rFonts w:hint="eastAsia" w:ascii="宋体" w:hAnsi="宋体" w:eastAsia="宋体" w:cs="宋体"/>
          <w:b/>
          <w:bCs/>
          <w:color w:val="auto"/>
          <w:sz w:val="36"/>
          <w:szCs w:val="36"/>
          <w:lang w:eastAsia="zh-CN"/>
        </w:rPr>
        <w:t>编制日期：</w:t>
      </w:r>
      <w:r>
        <w:rPr>
          <w:rFonts w:hint="eastAsia" w:ascii="宋体" w:hAnsi="宋体" w:eastAsia="宋体" w:cs="宋体"/>
          <w:b/>
          <w:bCs/>
          <w:color w:val="auto"/>
          <w:sz w:val="36"/>
          <w:szCs w:val="36"/>
          <w:lang w:val="en-US" w:eastAsia="zh-CN"/>
        </w:rPr>
        <w:t>2022年3月</w:t>
      </w:r>
    </w:p>
    <w:p>
      <w:pPr>
        <w:adjustRightInd w:val="0"/>
        <w:snapToGrid w:val="0"/>
        <w:spacing w:line="288" w:lineRule="auto"/>
        <w:ind w:firstLine="720"/>
        <w:jc w:val="center"/>
        <w:rPr>
          <w:rFonts w:ascii="楷体_GB2312" w:eastAsia="楷体_GB2312"/>
          <w:color w:val="auto"/>
          <w:sz w:val="36"/>
          <w:szCs w:val="36"/>
        </w:rPr>
      </w:pPr>
    </w:p>
    <w:p>
      <w:pPr>
        <w:adjustRightInd w:val="0"/>
        <w:snapToGrid w:val="0"/>
        <w:spacing w:line="288" w:lineRule="auto"/>
        <w:ind w:firstLine="720"/>
        <w:jc w:val="center"/>
        <w:rPr>
          <w:rFonts w:cs="Times New Roman" w:asciiTheme="minorEastAsia" w:hAnsiTheme="minorEastAsia"/>
          <w:b/>
          <w:color w:val="auto"/>
          <w:sz w:val="32"/>
          <w:szCs w:val="32"/>
        </w:rPr>
      </w:pPr>
      <w:r>
        <w:rPr>
          <w:rFonts w:hint="eastAsia" w:ascii="楷体_GB2312" w:eastAsia="楷体_GB2312"/>
          <w:color w:val="auto"/>
          <w:sz w:val="36"/>
          <w:szCs w:val="36"/>
        </w:rPr>
        <w:t>中华人民共和国生态环境部制</w:t>
      </w:r>
    </w:p>
    <w:p>
      <w:pPr>
        <w:ind w:firstLine="199" w:firstLineChars="83"/>
        <w:rPr>
          <w:rFonts w:cs="Times New Roman" w:asciiTheme="minorEastAsia" w:hAnsiTheme="minorEastAsia"/>
          <w:color w:val="auto"/>
          <w:szCs w:val="20"/>
        </w:rPr>
      </w:pPr>
    </w:p>
    <w:p>
      <w:pPr>
        <w:ind w:firstLine="199" w:firstLineChars="83"/>
        <w:rPr>
          <w:rFonts w:cs="Times New Roman" w:asciiTheme="minorEastAsia" w:hAnsiTheme="minorEastAsia"/>
          <w:color w:val="auto"/>
          <w:szCs w:val="20"/>
        </w:rPr>
        <w:sectPr>
          <w:headerReference r:id="rId7" w:type="first"/>
          <w:footerReference r:id="rId10" w:type="first"/>
          <w:headerReference r:id="rId5" w:type="default"/>
          <w:footerReference r:id="rId8" w:type="default"/>
          <w:headerReference r:id="rId6" w:type="even"/>
          <w:footerReference r:id="rId9" w:type="even"/>
          <w:pgSz w:w="11906" w:h="16838"/>
          <w:pgMar w:top="1361" w:right="1247" w:bottom="1361" w:left="1247" w:header="992" w:footer="833" w:gutter="0"/>
          <w:pgBorders>
            <w:top w:val="none" w:sz="0" w:space="0"/>
            <w:left w:val="none" w:sz="0" w:space="0"/>
            <w:bottom w:val="none" w:sz="0" w:space="0"/>
            <w:right w:val="none" w:sz="0" w:space="0"/>
          </w:pgBorders>
          <w:pgNumType w:fmt="decimal"/>
          <w:cols w:space="425" w:num="1"/>
          <w:docGrid w:type="linesAndChars" w:linePitch="312" w:charSpace="0"/>
        </w:sectPr>
      </w:pP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1"/>
        <w:gridCol w:w="4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46" w:type="dxa"/>
            <w:gridSpan w:val="2"/>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eastAsiaTheme="minorEastAsia"/>
                <w:color w:val="auto"/>
                <w:sz w:val="21"/>
                <w:szCs w:val="21"/>
                <w:vertAlign w:val="baseline"/>
                <w:lang w:eastAsia="zh-CN"/>
              </w:rPr>
            </w:pPr>
            <w:r>
              <w:rPr>
                <w:rFonts w:hint="eastAsia"/>
                <w:b/>
                <w:bCs/>
                <w:color w:val="auto"/>
                <w:sz w:val="21"/>
                <w:szCs w:val="21"/>
                <w:vertAlign w:val="baseline"/>
                <w:lang w:eastAsia="zh-CN"/>
              </w:rPr>
              <w:t>现场照片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1"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eastAsiaTheme="minorEastAsia"/>
                <w:color w:val="auto"/>
                <w:sz w:val="21"/>
                <w:szCs w:val="21"/>
                <w:vertAlign w:val="baseline"/>
                <w:lang w:eastAsia="zh-CN"/>
              </w:rPr>
            </w:pPr>
            <w:r>
              <w:rPr>
                <w:rFonts w:hint="eastAsia" w:eastAsiaTheme="minorEastAsia"/>
                <w:color w:val="auto"/>
                <w:sz w:val="21"/>
                <w:szCs w:val="21"/>
                <w:vertAlign w:val="baseline"/>
                <w:lang w:eastAsia="zh-CN"/>
              </w:rPr>
              <w:drawing>
                <wp:inline distT="0" distB="0" distL="114300" distR="114300">
                  <wp:extent cx="3060065" cy="2185035"/>
                  <wp:effectExtent l="0" t="0" r="6985" b="5715"/>
                  <wp:docPr id="1" name="图片 1" descr="8e40f04a23824664af02a20411d0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e40f04a23824664af02a20411d0577"/>
                          <pic:cNvPicPr>
                            <a:picLocks noChangeAspect="1"/>
                          </pic:cNvPicPr>
                        </pic:nvPicPr>
                        <pic:blipFill>
                          <a:blip r:embed="rId18"/>
                          <a:srcRect r="2113"/>
                          <a:stretch>
                            <a:fillRect/>
                          </a:stretch>
                        </pic:blipFill>
                        <pic:spPr>
                          <a:xfrm>
                            <a:off x="0" y="0"/>
                            <a:ext cx="3060065" cy="2185035"/>
                          </a:xfrm>
                          <a:prstGeom prst="rect">
                            <a:avLst/>
                          </a:prstGeom>
                        </pic:spPr>
                      </pic:pic>
                    </a:graphicData>
                  </a:graphic>
                </wp:inline>
              </w:drawing>
            </w:r>
          </w:p>
        </w:tc>
        <w:tc>
          <w:tcPr>
            <w:tcW w:w="4395"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eastAsiaTheme="minorEastAsia"/>
                <w:color w:val="auto"/>
                <w:sz w:val="21"/>
                <w:szCs w:val="21"/>
                <w:vertAlign w:val="baseline"/>
                <w:lang w:eastAsia="zh-CN"/>
              </w:rPr>
            </w:pPr>
            <w:r>
              <w:rPr>
                <w:rFonts w:hint="eastAsia" w:eastAsiaTheme="minorEastAsia"/>
                <w:color w:val="auto"/>
                <w:sz w:val="21"/>
                <w:szCs w:val="21"/>
                <w:vertAlign w:val="baseline"/>
                <w:lang w:eastAsia="zh-CN"/>
              </w:rPr>
              <w:drawing>
                <wp:inline distT="0" distB="0" distL="114300" distR="114300">
                  <wp:extent cx="2606675" cy="2266950"/>
                  <wp:effectExtent l="0" t="0" r="7620" b="11430"/>
                  <wp:docPr id="3" name="图片 3" descr="bf48af7cadb3187899bd0b3f15431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f48af7cadb3187899bd0b3f15431ca"/>
                          <pic:cNvPicPr>
                            <a:picLocks noChangeAspect="1"/>
                          </pic:cNvPicPr>
                        </pic:nvPicPr>
                        <pic:blipFill>
                          <a:blip r:embed="rId19"/>
                          <a:stretch>
                            <a:fillRect/>
                          </a:stretch>
                        </pic:blipFill>
                        <pic:spPr>
                          <a:xfrm>
                            <a:off x="0" y="0"/>
                            <a:ext cx="2606675" cy="22669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1"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eastAsiaTheme="minorEastAsia"/>
                <w:color w:val="auto"/>
                <w:sz w:val="21"/>
                <w:szCs w:val="21"/>
                <w:vertAlign w:val="baseline"/>
                <w:lang w:eastAsia="zh-CN"/>
              </w:rPr>
            </w:pPr>
            <w:r>
              <w:rPr>
                <w:rFonts w:hint="eastAsia"/>
                <w:color w:val="auto"/>
                <w:sz w:val="21"/>
                <w:szCs w:val="21"/>
                <w:vertAlign w:val="baseline"/>
                <w:lang w:eastAsia="zh-CN"/>
              </w:rPr>
              <w:t>项目北面农田</w:t>
            </w:r>
          </w:p>
        </w:tc>
        <w:tc>
          <w:tcPr>
            <w:tcW w:w="4395"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color w:val="auto"/>
                <w:sz w:val="21"/>
                <w:szCs w:val="21"/>
                <w:vertAlign w:val="baseline"/>
                <w:lang w:eastAsia="zh-CN"/>
              </w:rPr>
            </w:pPr>
            <w:r>
              <w:rPr>
                <w:rFonts w:hint="eastAsia"/>
                <w:color w:val="auto"/>
                <w:sz w:val="21"/>
                <w:szCs w:val="21"/>
                <w:vertAlign w:val="baseline"/>
                <w:lang w:eastAsia="zh-CN"/>
              </w:rPr>
              <w:t>南面：姚安县人民医院儿童医学病区</w:t>
            </w:r>
          </w:p>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eastAsiaTheme="minorEastAsia"/>
                <w:color w:val="auto"/>
                <w:sz w:val="21"/>
                <w:szCs w:val="21"/>
                <w:vertAlign w:val="baseline"/>
                <w:lang w:eastAsia="zh-CN"/>
              </w:rPr>
            </w:pPr>
            <w:r>
              <w:rPr>
                <w:rFonts w:hint="eastAsia"/>
                <w:color w:val="auto"/>
                <w:sz w:val="21"/>
                <w:szCs w:val="21"/>
                <w:vertAlign w:val="baseline"/>
                <w:lang w:eastAsia="zh-CN"/>
              </w:rPr>
              <w:t>（原姚安县妇幼保健院）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1"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eastAsiaTheme="minorEastAsia"/>
                <w:color w:val="auto"/>
                <w:sz w:val="21"/>
                <w:szCs w:val="21"/>
                <w:vertAlign w:val="baseline"/>
                <w:lang w:eastAsia="zh-CN"/>
              </w:rPr>
            </w:pPr>
            <w:r>
              <w:rPr>
                <w:rFonts w:hint="eastAsia" w:eastAsiaTheme="minorEastAsia"/>
                <w:color w:val="auto"/>
                <w:sz w:val="21"/>
                <w:szCs w:val="21"/>
                <w:vertAlign w:val="baseline"/>
                <w:lang w:eastAsia="zh-CN"/>
              </w:rPr>
              <w:drawing>
                <wp:inline distT="0" distB="0" distL="114300" distR="114300">
                  <wp:extent cx="3284220" cy="2404745"/>
                  <wp:effectExtent l="0" t="0" r="1905" b="5080"/>
                  <wp:docPr id="4" name="图片 4" descr="f0c2d9640087eb01a7d8ec961955c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0c2d9640087eb01a7d8ec961955c9e"/>
                          <pic:cNvPicPr>
                            <a:picLocks noChangeAspect="1"/>
                          </pic:cNvPicPr>
                        </pic:nvPicPr>
                        <pic:blipFill>
                          <a:blip r:embed="rId20"/>
                          <a:stretch>
                            <a:fillRect/>
                          </a:stretch>
                        </pic:blipFill>
                        <pic:spPr>
                          <a:xfrm>
                            <a:off x="0" y="0"/>
                            <a:ext cx="3284220" cy="2404745"/>
                          </a:xfrm>
                          <a:prstGeom prst="rect">
                            <a:avLst/>
                          </a:prstGeom>
                        </pic:spPr>
                      </pic:pic>
                    </a:graphicData>
                  </a:graphic>
                </wp:inline>
              </w:drawing>
            </w:r>
          </w:p>
        </w:tc>
        <w:tc>
          <w:tcPr>
            <w:tcW w:w="4395"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eastAsiaTheme="minorEastAsia"/>
                <w:color w:val="auto"/>
                <w:sz w:val="21"/>
                <w:szCs w:val="21"/>
                <w:vertAlign w:val="baseline"/>
                <w:lang w:eastAsia="zh-CN"/>
              </w:rPr>
            </w:pPr>
            <w:r>
              <w:rPr>
                <w:rFonts w:hint="eastAsia" w:eastAsiaTheme="minorEastAsia"/>
                <w:color w:val="auto"/>
                <w:sz w:val="21"/>
                <w:szCs w:val="21"/>
                <w:vertAlign w:val="baseline"/>
                <w:lang w:eastAsia="zh-CN"/>
              </w:rPr>
              <w:drawing>
                <wp:inline distT="0" distB="0" distL="114300" distR="114300">
                  <wp:extent cx="2606675" cy="2407285"/>
                  <wp:effectExtent l="0" t="0" r="7620" b="2540"/>
                  <wp:docPr id="10" name="图片 10" descr="8bbae23f76925ae1392fa640c8eac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bbae23f76925ae1392fa640c8eac55"/>
                          <pic:cNvPicPr>
                            <a:picLocks noChangeAspect="1"/>
                          </pic:cNvPicPr>
                        </pic:nvPicPr>
                        <pic:blipFill>
                          <a:blip r:embed="rId21"/>
                          <a:stretch>
                            <a:fillRect/>
                          </a:stretch>
                        </pic:blipFill>
                        <pic:spPr>
                          <a:xfrm>
                            <a:off x="0" y="0"/>
                            <a:ext cx="2606675" cy="24072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1"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color w:val="auto"/>
                <w:sz w:val="21"/>
                <w:szCs w:val="21"/>
                <w:vertAlign w:val="baseline"/>
              </w:rPr>
            </w:pPr>
            <w:r>
              <w:rPr>
                <w:rFonts w:hint="eastAsia"/>
                <w:color w:val="auto"/>
                <w:sz w:val="21"/>
                <w:szCs w:val="21"/>
                <w:vertAlign w:val="baseline"/>
                <w:lang w:eastAsia="zh-CN"/>
              </w:rPr>
              <w:t>东面：</w:t>
            </w:r>
            <w:r>
              <w:rPr>
                <w:rFonts w:hint="eastAsia"/>
                <w:color w:val="auto"/>
                <w:sz w:val="21"/>
                <w:szCs w:val="21"/>
                <w:vertAlign w:val="baseline"/>
              </w:rPr>
              <w:t>荷城印象新家园小区</w:t>
            </w:r>
          </w:p>
        </w:tc>
        <w:tc>
          <w:tcPr>
            <w:tcW w:w="4395"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eastAsiaTheme="minorEastAsia"/>
                <w:color w:val="auto"/>
                <w:sz w:val="21"/>
                <w:szCs w:val="21"/>
                <w:vertAlign w:val="baseline"/>
                <w:lang w:eastAsia="zh-CN"/>
              </w:rPr>
            </w:pPr>
            <w:r>
              <w:rPr>
                <w:rFonts w:hint="eastAsia"/>
                <w:color w:val="auto"/>
                <w:sz w:val="21"/>
                <w:szCs w:val="21"/>
                <w:vertAlign w:val="baseline"/>
                <w:lang w:eastAsia="zh-CN"/>
              </w:rPr>
              <w:t>东面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1"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eastAsiaTheme="minorEastAsia"/>
                <w:color w:val="auto"/>
                <w:sz w:val="21"/>
                <w:szCs w:val="21"/>
                <w:vertAlign w:val="baseline"/>
                <w:lang w:eastAsia="zh-CN"/>
              </w:rPr>
            </w:pPr>
            <w:r>
              <w:rPr>
                <w:rFonts w:hint="eastAsia" w:eastAsiaTheme="minorEastAsia"/>
                <w:color w:val="auto"/>
                <w:sz w:val="21"/>
                <w:szCs w:val="21"/>
                <w:vertAlign w:val="baseline"/>
                <w:lang w:eastAsia="zh-CN"/>
              </w:rPr>
              <w:drawing>
                <wp:inline distT="0" distB="0" distL="114300" distR="114300">
                  <wp:extent cx="3252470" cy="2113915"/>
                  <wp:effectExtent l="0" t="0" r="4445" b="3810"/>
                  <wp:docPr id="13" name="图片 13" descr="16472440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47244093(1)"/>
                          <pic:cNvPicPr>
                            <a:picLocks noChangeAspect="1"/>
                          </pic:cNvPicPr>
                        </pic:nvPicPr>
                        <pic:blipFill>
                          <a:blip r:embed="rId22"/>
                          <a:stretch>
                            <a:fillRect/>
                          </a:stretch>
                        </pic:blipFill>
                        <pic:spPr>
                          <a:xfrm>
                            <a:off x="0" y="0"/>
                            <a:ext cx="3252470" cy="2113915"/>
                          </a:xfrm>
                          <a:prstGeom prst="rect">
                            <a:avLst/>
                          </a:prstGeom>
                        </pic:spPr>
                      </pic:pic>
                    </a:graphicData>
                  </a:graphic>
                </wp:inline>
              </w:drawing>
            </w:r>
          </w:p>
        </w:tc>
        <w:tc>
          <w:tcPr>
            <w:tcW w:w="4395"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eastAsiaTheme="minorEastAsia"/>
                <w:color w:val="auto"/>
                <w:sz w:val="21"/>
                <w:szCs w:val="21"/>
                <w:vertAlign w:val="baseline"/>
                <w:lang w:eastAsia="zh-CN"/>
              </w:rPr>
            </w:pPr>
            <w:r>
              <w:rPr>
                <w:rFonts w:hint="eastAsia" w:eastAsiaTheme="minorEastAsia"/>
                <w:color w:val="auto"/>
                <w:sz w:val="21"/>
                <w:szCs w:val="21"/>
                <w:vertAlign w:val="baseline"/>
                <w:lang w:eastAsia="zh-CN"/>
              </w:rPr>
              <w:drawing>
                <wp:inline distT="0" distB="0" distL="114300" distR="114300">
                  <wp:extent cx="2576830" cy="2132965"/>
                  <wp:effectExtent l="0" t="0" r="8255" b="13970"/>
                  <wp:docPr id="12" name="图片 12" descr="d39d3cdf399962a6711958bef5e4e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39d3cdf399962a6711958bef5e4e2c"/>
                          <pic:cNvPicPr>
                            <a:picLocks noChangeAspect="1"/>
                          </pic:cNvPicPr>
                        </pic:nvPicPr>
                        <pic:blipFill>
                          <a:blip r:embed="rId23"/>
                          <a:stretch>
                            <a:fillRect/>
                          </a:stretch>
                        </pic:blipFill>
                        <pic:spPr>
                          <a:xfrm>
                            <a:off x="0" y="0"/>
                            <a:ext cx="2576830" cy="21329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1"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eastAsiaTheme="minorEastAsia"/>
                <w:color w:val="auto"/>
                <w:sz w:val="21"/>
                <w:szCs w:val="21"/>
                <w:vertAlign w:val="baseline"/>
                <w:lang w:eastAsia="zh-CN"/>
              </w:rPr>
            </w:pPr>
            <w:r>
              <w:rPr>
                <w:rFonts w:hint="eastAsia"/>
                <w:color w:val="auto"/>
                <w:sz w:val="21"/>
                <w:szCs w:val="21"/>
                <w:vertAlign w:val="baseline"/>
                <w:lang w:eastAsia="zh-CN"/>
              </w:rPr>
              <w:t>项目用地现状</w:t>
            </w:r>
          </w:p>
        </w:tc>
        <w:tc>
          <w:tcPr>
            <w:tcW w:w="4395"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eastAsiaTheme="minorEastAsia"/>
                <w:color w:val="auto"/>
                <w:sz w:val="21"/>
                <w:szCs w:val="21"/>
                <w:vertAlign w:val="baseline"/>
                <w:lang w:eastAsia="zh-CN"/>
              </w:rPr>
            </w:pPr>
            <w:r>
              <w:rPr>
                <w:rFonts w:hint="eastAsia"/>
                <w:color w:val="auto"/>
                <w:sz w:val="21"/>
                <w:szCs w:val="21"/>
                <w:vertAlign w:val="baseline"/>
                <w:lang w:eastAsia="zh-CN"/>
              </w:rPr>
              <w:t>项目周围道路现状</w:t>
            </w:r>
          </w:p>
        </w:tc>
      </w:tr>
    </w:tbl>
    <w:p>
      <w:pPr>
        <w:rPr>
          <w:color w:val="auto"/>
        </w:rPr>
      </w:pPr>
      <w:r>
        <w:rPr>
          <w:color w:val="auto"/>
        </w:rPr>
        <w:br w:type="page"/>
      </w:r>
    </w:p>
    <w:p>
      <w:pPr>
        <w:pStyle w:val="131"/>
        <w:ind w:firstLine="480"/>
        <w:jc w:val="center"/>
        <w:rPr>
          <w:color w:val="auto"/>
        </w:rPr>
      </w:pPr>
    </w:p>
    <w:p>
      <w:pPr>
        <w:pStyle w:val="131"/>
        <w:ind w:firstLine="0" w:firstLineChars="0"/>
        <w:jc w:val="center"/>
        <w:rPr>
          <w:b/>
          <w:color w:val="auto"/>
          <w:sz w:val="44"/>
          <w:szCs w:val="44"/>
        </w:rPr>
      </w:pPr>
      <w:r>
        <w:rPr>
          <w:b/>
          <w:color w:val="auto"/>
          <w:sz w:val="44"/>
          <w:szCs w:val="44"/>
        </w:rPr>
        <w:t>目录</w:t>
      </w:r>
    </w:p>
    <w:sdt>
      <w:sdtPr>
        <w:rPr>
          <w:rFonts w:ascii="宋体" w:hAnsi="宋体" w:eastAsia="宋体" w:cstheme="minorBidi"/>
          <w:kern w:val="2"/>
          <w:sz w:val="21"/>
          <w:szCs w:val="22"/>
          <w:lang w:val="en-US" w:eastAsia="zh-CN" w:bidi="ar-SA"/>
        </w:rPr>
        <w:id w:val="147465338"/>
        <w15:color w:val="DBDBDB"/>
        <w:docPartObj>
          <w:docPartGallery w:val="Table of Contents"/>
          <w:docPartUnique/>
        </w:docPartObj>
      </w:sdtPr>
      <w:sdtEndPr>
        <w:rPr>
          <w:rFonts w:ascii="宋体" w:hAnsi="宋体" w:eastAsia="宋体" w:cstheme="minorBidi"/>
          <w:kern w:val="2"/>
          <w:sz w:val="21"/>
          <w:szCs w:val="22"/>
          <w:lang w:val="en-US" w:eastAsia="zh-CN" w:bidi="ar-SA"/>
        </w:rPr>
      </w:sdtEndPr>
      <w:sdtContent>
        <w:p>
          <w:pPr>
            <w:spacing w:before="0" w:beforeLines="0" w:after="0" w:afterLines="0" w:line="240" w:lineRule="auto"/>
            <w:ind w:left="0" w:leftChars="0" w:right="0" w:rightChars="0" w:firstLine="0" w:firstLineChars="0"/>
            <w:jc w:val="center"/>
          </w:pPr>
          <w:bookmarkStart w:id="4" w:name="_Toc21261"/>
        </w:p>
        <w:p>
          <w:pPr>
            <w:pStyle w:val="185"/>
            <w:tabs>
              <w:tab w:val="right" w:leader="dot" w:pos="9412"/>
            </w:tabs>
          </w:pPr>
          <w:r>
            <w:fldChar w:fldCharType="begin"/>
          </w:r>
          <w:r>
            <w:instrText xml:space="preserve">TOC \o "1-1" \h \u </w:instrText>
          </w:r>
          <w:r>
            <w:fldChar w:fldCharType="separate"/>
          </w:r>
        </w:p>
        <w:p>
          <w:pPr>
            <w:pStyle w:val="185"/>
            <w:tabs>
              <w:tab w:val="right" w:leader="dot" w:pos="9412"/>
            </w:tabs>
            <w:rPr>
              <w:sz w:val="30"/>
              <w:szCs w:val="30"/>
            </w:rPr>
          </w:pPr>
          <w:r>
            <w:rPr>
              <w:sz w:val="30"/>
              <w:szCs w:val="30"/>
            </w:rPr>
            <w:fldChar w:fldCharType="begin"/>
          </w:r>
          <w:r>
            <w:rPr>
              <w:sz w:val="30"/>
              <w:szCs w:val="30"/>
            </w:rPr>
            <w:instrText xml:space="preserve"> HYPERLINK \l _Toc30403 </w:instrText>
          </w:r>
          <w:r>
            <w:rPr>
              <w:sz w:val="30"/>
              <w:szCs w:val="30"/>
            </w:rPr>
            <w:fldChar w:fldCharType="separate"/>
          </w:r>
          <w:r>
            <w:rPr>
              <w:sz w:val="30"/>
              <w:szCs w:val="30"/>
            </w:rPr>
            <w:t>一、建设项目基本情况</w:t>
          </w:r>
          <w:r>
            <w:rPr>
              <w:sz w:val="30"/>
              <w:szCs w:val="30"/>
            </w:rPr>
            <w:tab/>
          </w:r>
          <w:r>
            <w:rPr>
              <w:sz w:val="30"/>
              <w:szCs w:val="30"/>
            </w:rPr>
            <w:fldChar w:fldCharType="begin"/>
          </w:r>
          <w:r>
            <w:rPr>
              <w:sz w:val="30"/>
              <w:szCs w:val="30"/>
            </w:rPr>
            <w:instrText xml:space="preserve"> PAGEREF _Toc30403 </w:instrText>
          </w:r>
          <w:r>
            <w:rPr>
              <w:sz w:val="30"/>
              <w:szCs w:val="30"/>
            </w:rPr>
            <w:fldChar w:fldCharType="separate"/>
          </w:r>
          <w:r>
            <w:rPr>
              <w:sz w:val="30"/>
              <w:szCs w:val="30"/>
            </w:rPr>
            <w:t>1</w:t>
          </w:r>
          <w:r>
            <w:rPr>
              <w:sz w:val="30"/>
              <w:szCs w:val="30"/>
            </w:rPr>
            <w:fldChar w:fldCharType="end"/>
          </w:r>
          <w:r>
            <w:rPr>
              <w:sz w:val="30"/>
              <w:szCs w:val="30"/>
            </w:rPr>
            <w:fldChar w:fldCharType="end"/>
          </w:r>
        </w:p>
        <w:p>
          <w:pPr>
            <w:pStyle w:val="185"/>
            <w:tabs>
              <w:tab w:val="right" w:leader="dot" w:pos="9412"/>
            </w:tabs>
            <w:rPr>
              <w:sz w:val="30"/>
              <w:szCs w:val="30"/>
            </w:rPr>
          </w:pPr>
          <w:r>
            <w:rPr>
              <w:sz w:val="30"/>
              <w:szCs w:val="30"/>
            </w:rPr>
            <w:fldChar w:fldCharType="begin"/>
          </w:r>
          <w:r>
            <w:rPr>
              <w:sz w:val="30"/>
              <w:szCs w:val="30"/>
            </w:rPr>
            <w:instrText xml:space="preserve"> HYPERLINK \l _Toc32392 </w:instrText>
          </w:r>
          <w:r>
            <w:rPr>
              <w:sz w:val="30"/>
              <w:szCs w:val="30"/>
            </w:rPr>
            <w:fldChar w:fldCharType="separate"/>
          </w:r>
          <w:r>
            <w:rPr>
              <w:rFonts w:hint="eastAsia"/>
              <w:sz w:val="30"/>
              <w:szCs w:val="30"/>
            </w:rPr>
            <w:t>二、建设项目工程分析</w:t>
          </w:r>
          <w:r>
            <w:rPr>
              <w:sz w:val="30"/>
              <w:szCs w:val="30"/>
            </w:rPr>
            <w:tab/>
          </w:r>
          <w:r>
            <w:rPr>
              <w:sz w:val="30"/>
              <w:szCs w:val="30"/>
            </w:rPr>
            <w:fldChar w:fldCharType="begin"/>
          </w:r>
          <w:r>
            <w:rPr>
              <w:sz w:val="30"/>
              <w:szCs w:val="30"/>
            </w:rPr>
            <w:instrText xml:space="preserve"> PAGEREF _Toc32392 </w:instrText>
          </w:r>
          <w:r>
            <w:rPr>
              <w:sz w:val="30"/>
              <w:szCs w:val="30"/>
            </w:rPr>
            <w:fldChar w:fldCharType="separate"/>
          </w:r>
          <w:r>
            <w:rPr>
              <w:sz w:val="30"/>
              <w:szCs w:val="30"/>
            </w:rPr>
            <w:t>21</w:t>
          </w:r>
          <w:r>
            <w:rPr>
              <w:sz w:val="30"/>
              <w:szCs w:val="30"/>
            </w:rPr>
            <w:fldChar w:fldCharType="end"/>
          </w:r>
          <w:r>
            <w:rPr>
              <w:sz w:val="30"/>
              <w:szCs w:val="30"/>
            </w:rPr>
            <w:fldChar w:fldCharType="end"/>
          </w:r>
        </w:p>
        <w:p>
          <w:pPr>
            <w:pStyle w:val="185"/>
            <w:tabs>
              <w:tab w:val="right" w:leader="dot" w:pos="9412"/>
            </w:tabs>
            <w:rPr>
              <w:sz w:val="30"/>
              <w:szCs w:val="30"/>
            </w:rPr>
          </w:pPr>
          <w:r>
            <w:rPr>
              <w:sz w:val="30"/>
              <w:szCs w:val="30"/>
            </w:rPr>
            <w:fldChar w:fldCharType="begin"/>
          </w:r>
          <w:r>
            <w:rPr>
              <w:sz w:val="30"/>
              <w:szCs w:val="30"/>
            </w:rPr>
            <w:instrText xml:space="preserve"> HYPERLINK \l _Toc4990 </w:instrText>
          </w:r>
          <w:r>
            <w:rPr>
              <w:sz w:val="30"/>
              <w:szCs w:val="30"/>
            </w:rPr>
            <w:fldChar w:fldCharType="separate"/>
          </w:r>
          <w:r>
            <w:rPr>
              <w:rFonts w:hint="eastAsia"/>
              <w:sz w:val="30"/>
              <w:szCs w:val="30"/>
            </w:rPr>
            <w:t>三、区域环境质量现状、环境保护目标及评价标准</w:t>
          </w:r>
          <w:r>
            <w:rPr>
              <w:sz w:val="30"/>
              <w:szCs w:val="30"/>
            </w:rPr>
            <w:tab/>
          </w:r>
          <w:r>
            <w:rPr>
              <w:sz w:val="30"/>
              <w:szCs w:val="30"/>
            </w:rPr>
            <w:fldChar w:fldCharType="begin"/>
          </w:r>
          <w:r>
            <w:rPr>
              <w:sz w:val="30"/>
              <w:szCs w:val="30"/>
            </w:rPr>
            <w:instrText xml:space="preserve"> PAGEREF _Toc4990 </w:instrText>
          </w:r>
          <w:r>
            <w:rPr>
              <w:sz w:val="30"/>
              <w:szCs w:val="30"/>
            </w:rPr>
            <w:fldChar w:fldCharType="separate"/>
          </w:r>
          <w:r>
            <w:rPr>
              <w:sz w:val="30"/>
              <w:szCs w:val="30"/>
            </w:rPr>
            <w:t>30</w:t>
          </w:r>
          <w:r>
            <w:rPr>
              <w:sz w:val="30"/>
              <w:szCs w:val="30"/>
            </w:rPr>
            <w:fldChar w:fldCharType="end"/>
          </w:r>
          <w:r>
            <w:rPr>
              <w:sz w:val="30"/>
              <w:szCs w:val="30"/>
            </w:rPr>
            <w:fldChar w:fldCharType="end"/>
          </w:r>
        </w:p>
        <w:p>
          <w:pPr>
            <w:pStyle w:val="185"/>
            <w:tabs>
              <w:tab w:val="right" w:leader="dot" w:pos="9412"/>
            </w:tabs>
            <w:rPr>
              <w:sz w:val="30"/>
              <w:szCs w:val="30"/>
            </w:rPr>
          </w:pPr>
          <w:r>
            <w:rPr>
              <w:sz w:val="30"/>
              <w:szCs w:val="30"/>
            </w:rPr>
            <w:fldChar w:fldCharType="begin"/>
          </w:r>
          <w:r>
            <w:rPr>
              <w:sz w:val="30"/>
              <w:szCs w:val="30"/>
            </w:rPr>
            <w:instrText xml:space="preserve"> HYPERLINK \l _Toc22527 </w:instrText>
          </w:r>
          <w:r>
            <w:rPr>
              <w:sz w:val="30"/>
              <w:szCs w:val="30"/>
            </w:rPr>
            <w:fldChar w:fldCharType="separate"/>
          </w:r>
          <w:r>
            <w:rPr>
              <w:rFonts w:hint="eastAsia"/>
              <w:sz w:val="30"/>
              <w:szCs w:val="30"/>
            </w:rPr>
            <w:t>四、主要环境影响和保护措施</w:t>
          </w:r>
          <w:r>
            <w:rPr>
              <w:sz w:val="30"/>
              <w:szCs w:val="30"/>
            </w:rPr>
            <w:tab/>
          </w:r>
          <w:r>
            <w:rPr>
              <w:sz w:val="30"/>
              <w:szCs w:val="30"/>
            </w:rPr>
            <w:fldChar w:fldCharType="begin"/>
          </w:r>
          <w:r>
            <w:rPr>
              <w:sz w:val="30"/>
              <w:szCs w:val="30"/>
            </w:rPr>
            <w:instrText xml:space="preserve"> PAGEREF _Toc22527 </w:instrText>
          </w:r>
          <w:r>
            <w:rPr>
              <w:sz w:val="30"/>
              <w:szCs w:val="30"/>
            </w:rPr>
            <w:fldChar w:fldCharType="separate"/>
          </w:r>
          <w:r>
            <w:rPr>
              <w:sz w:val="30"/>
              <w:szCs w:val="30"/>
            </w:rPr>
            <w:t>35</w:t>
          </w:r>
          <w:r>
            <w:rPr>
              <w:sz w:val="30"/>
              <w:szCs w:val="30"/>
            </w:rPr>
            <w:fldChar w:fldCharType="end"/>
          </w:r>
          <w:r>
            <w:rPr>
              <w:sz w:val="30"/>
              <w:szCs w:val="30"/>
            </w:rPr>
            <w:fldChar w:fldCharType="end"/>
          </w:r>
        </w:p>
        <w:p>
          <w:pPr>
            <w:pStyle w:val="185"/>
            <w:tabs>
              <w:tab w:val="right" w:leader="dot" w:pos="9412"/>
            </w:tabs>
            <w:rPr>
              <w:sz w:val="30"/>
              <w:szCs w:val="30"/>
            </w:rPr>
          </w:pPr>
          <w:r>
            <w:rPr>
              <w:sz w:val="30"/>
              <w:szCs w:val="30"/>
            </w:rPr>
            <w:fldChar w:fldCharType="begin"/>
          </w:r>
          <w:r>
            <w:rPr>
              <w:sz w:val="30"/>
              <w:szCs w:val="30"/>
            </w:rPr>
            <w:instrText xml:space="preserve"> HYPERLINK \l _Toc10178 </w:instrText>
          </w:r>
          <w:r>
            <w:rPr>
              <w:sz w:val="30"/>
              <w:szCs w:val="30"/>
            </w:rPr>
            <w:fldChar w:fldCharType="separate"/>
          </w:r>
          <w:r>
            <w:rPr>
              <w:rFonts w:hint="eastAsia"/>
              <w:sz w:val="30"/>
              <w:szCs w:val="30"/>
            </w:rPr>
            <w:t>五、环境保护措施监督检查清单</w:t>
          </w:r>
          <w:r>
            <w:rPr>
              <w:sz w:val="30"/>
              <w:szCs w:val="30"/>
            </w:rPr>
            <w:tab/>
          </w:r>
          <w:r>
            <w:rPr>
              <w:sz w:val="30"/>
              <w:szCs w:val="30"/>
            </w:rPr>
            <w:fldChar w:fldCharType="begin"/>
          </w:r>
          <w:r>
            <w:rPr>
              <w:sz w:val="30"/>
              <w:szCs w:val="30"/>
            </w:rPr>
            <w:instrText xml:space="preserve"> PAGEREF _Toc10178 </w:instrText>
          </w:r>
          <w:r>
            <w:rPr>
              <w:sz w:val="30"/>
              <w:szCs w:val="30"/>
            </w:rPr>
            <w:fldChar w:fldCharType="separate"/>
          </w:r>
          <w:r>
            <w:rPr>
              <w:sz w:val="30"/>
              <w:szCs w:val="30"/>
            </w:rPr>
            <w:t>68</w:t>
          </w:r>
          <w:r>
            <w:rPr>
              <w:sz w:val="30"/>
              <w:szCs w:val="30"/>
            </w:rPr>
            <w:fldChar w:fldCharType="end"/>
          </w:r>
          <w:r>
            <w:rPr>
              <w:sz w:val="30"/>
              <w:szCs w:val="30"/>
            </w:rPr>
            <w:fldChar w:fldCharType="end"/>
          </w:r>
        </w:p>
        <w:p>
          <w:pPr>
            <w:pStyle w:val="185"/>
            <w:tabs>
              <w:tab w:val="right" w:leader="dot" w:pos="9412"/>
            </w:tabs>
          </w:pPr>
          <w:r>
            <w:rPr>
              <w:sz w:val="30"/>
              <w:szCs w:val="30"/>
            </w:rPr>
            <w:fldChar w:fldCharType="begin"/>
          </w:r>
          <w:r>
            <w:rPr>
              <w:sz w:val="30"/>
              <w:szCs w:val="30"/>
            </w:rPr>
            <w:instrText xml:space="preserve"> HYPERLINK \l _Toc10838 </w:instrText>
          </w:r>
          <w:r>
            <w:rPr>
              <w:sz w:val="30"/>
              <w:szCs w:val="30"/>
            </w:rPr>
            <w:fldChar w:fldCharType="separate"/>
          </w:r>
          <w:r>
            <w:rPr>
              <w:rFonts w:hint="eastAsia"/>
              <w:sz w:val="30"/>
              <w:szCs w:val="30"/>
            </w:rPr>
            <w:t>六、结论</w:t>
          </w:r>
          <w:r>
            <w:rPr>
              <w:sz w:val="30"/>
              <w:szCs w:val="30"/>
            </w:rPr>
            <w:tab/>
          </w:r>
          <w:r>
            <w:rPr>
              <w:sz w:val="30"/>
              <w:szCs w:val="30"/>
            </w:rPr>
            <w:fldChar w:fldCharType="begin"/>
          </w:r>
          <w:r>
            <w:rPr>
              <w:sz w:val="30"/>
              <w:szCs w:val="30"/>
            </w:rPr>
            <w:instrText xml:space="preserve"> PAGEREF _Toc10838 </w:instrText>
          </w:r>
          <w:r>
            <w:rPr>
              <w:sz w:val="30"/>
              <w:szCs w:val="30"/>
            </w:rPr>
            <w:fldChar w:fldCharType="separate"/>
          </w:r>
          <w:r>
            <w:rPr>
              <w:sz w:val="30"/>
              <w:szCs w:val="30"/>
            </w:rPr>
            <w:t>74</w:t>
          </w:r>
          <w:r>
            <w:rPr>
              <w:sz w:val="30"/>
              <w:szCs w:val="30"/>
            </w:rPr>
            <w:fldChar w:fldCharType="end"/>
          </w:r>
          <w:r>
            <w:rPr>
              <w:sz w:val="30"/>
              <w:szCs w:val="30"/>
            </w:rPr>
            <w:fldChar w:fldCharType="end"/>
          </w:r>
        </w:p>
        <w:p>
          <w:r>
            <w:fldChar w:fldCharType="end"/>
          </w:r>
        </w:p>
      </w:sdtContent>
    </w:sdt>
    <w:p>
      <w:pPr>
        <w:pStyle w:val="131"/>
        <w:ind w:firstLine="0" w:firstLineChars="0"/>
        <w:jc w:val="left"/>
        <w:outlineLvl w:val="0"/>
        <w:rPr>
          <w:color w:val="auto"/>
          <w:szCs w:val="24"/>
        </w:rPr>
      </w:pPr>
      <w:bookmarkStart w:id="5" w:name="_Toc8776"/>
      <w:r>
        <w:rPr>
          <w:rFonts w:hint="eastAsia"/>
          <w:b/>
          <w:color w:val="auto"/>
          <w:szCs w:val="24"/>
        </w:rPr>
        <w:t>附表：</w:t>
      </w:r>
      <w:r>
        <w:rPr>
          <w:rFonts w:hint="eastAsia"/>
          <w:color w:val="auto"/>
          <w:szCs w:val="24"/>
        </w:rPr>
        <w:t>建设项目污染物排放量汇总表</w:t>
      </w:r>
      <w:bookmarkEnd w:id="4"/>
      <w:bookmarkEnd w:id="5"/>
    </w:p>
    <w:p>
      <w:pPr>
        <w:pStyle w:val="131"/>
        <w:ind w:firstLine="0" w:firstLineChars="0"/>
        <w:jc w:val="left"/>
        <w:rPr>
          <w:rFonts w:hint="eastAsia"/>
          <w:b/>
          <w:color w:val="auto"/>
          <w:kern w:val="0"/>
          <w:szCs w:val="24"/>
        </w:rPr>
      </w:pPr>
    </w:p>
    <w:p>
      <w:pPr>
        <w:pStyle w:val="131"/>
        <w:ind w:firstLine="0" w:firstLineChars="0"/>
        <w:jc w:val="both"/>
        <w:outlineLvl w:val="0"/>
        <w:rPr>
          <w:b/>
          <w:color w:val="auto"/>
          <w:kern w:val="0"/>
          <w:szCs w:val="24"/>
          <w:highlight w:val="none"/>
        </w:rPr>
      </w:pPr>
      <w:bookmarkStart w:id="6" w:name="_Toc8833"/>
      <w:bookmarkStart w:id="7" w:name="_Toc2784"/>
      <w:bookmarkStart w:id="8" w:name="_Toc16620"/>
      <w:r>
        <w:rPr>
          <w:rFonts w:hint="eastAsia"/>
          <w:b/>
          <w:color w:val="auto"/>
          <w:kern w:val="0"/>
          <w:szCs w:val="24"/>
          <w:highlight w:val="none"/>
        </w:rPr>
        <w:t>附件</w:t>
      </w:r>
      <w:bookmarkEnd w:id="6"/>
      <w:bookmarkEnd w:id="7"/>
      <w:bookmarkEnd w:id="8"/>
    </w:p>
    <w:p>
      <w:pPr>
        <w:ind w:firstLine="480"/>
        <w:outlineLvl w:val="0"/>
        <w:rPr>
          <w:color w:val="auto"/>
        </w:rPr>
      </w:pPr>
      <w:bookmarkStart w:id="9" w:name="_Toc22488"/>
      <w:bookmarkStart w:id="10" w:name="_Toc3600"/>
      <w:bookmarkStart w:id="11" w:name="_Toc4807"/>
      <w:r>
        <w:rPr>
          <w:rFonts w:hint="eastAsia"/>
          <w:color w:val="auto"/>
        </w:rPr>
        <w:t>附件1：委托书；</w:t>
      </w:r>
      <w:bookmarkEnd w:id="9"/>
      <w:bookmarkEnd w:id="10"/>
      <w:bookmarkEnd w:id="11"/>
    </w:p>
    <w:p>
      <w:pPr>
        <w:ind w:firstLine="480"/>
        <w:outlineLvl w:val="0"/>
        <w:rPr>
          <w:color w:val="auto"/>
        </w:rPr>
      </w:pPr>
      <w:bookmarkStart w:id="12" w:name="_Toc27614"/>
      <w:bookmarkStart w:id="13" w:name="_Toc10669"/>
      <w:bookmarkStart w:id="14" w:name="_Toc25735"/>
      <w:r>
        <w:rPr>
          <w:rFonts w:hint="eastAsia"/>
          <w:color w:val="auto"/>
        </w:rPr>
        <w:t>附件2：事业单位法人证书；</w:t>
      </w:r>
      <w:bookmarkEnd w:id="12"/>
      <w:bookmarkEnd w:id="13"/>
      <w:bookmarkEnd w:id="14"/>
    </w:p>
    <w:p>
      <w:pPr>
        <w:ind w:firstLine="480"/>
        <w:outlineLvl w:val="0"/>
        <w:rPr>
          <w:rFonts w:hint="eastAsia"/>
          <w:color w:val="auto"/>
          <w:lang w:val="en-US" w:eastAsia="zh-CN"/>
        </w:rPr>
      </w:pPr>
      <w:bookmarkStart w:id="15" w:name="_Toc2005"/>
      <w:bookmarkStart w:id="16" w:name="_Toc1939"/>
      <w:bookmarkStart w:id="17" w:name="_Toc15426"/>
      <w:r>
        <w:rPr>
          <w:rFonts w:hint="eastAsia"/>
          <w:color w:val="auto"/>
        </w:rPr>
        <w:t>附件3：</w:t>
      </w:r>
      <w:r>
        <w:rPr>
          <w:rFonts w:hint="eastAsia"/>
          <w:color w:val="auto"/>
          <w:lang w:val="en-US" w:eastAsia="zh-CN"/>
        </w:rPr>
        <w:t>医疗执业许可证；</w:t>
      </w:r>
      <w:bookmarkEnd w:id="15"/>
      <w:bookmarkEnd w:id="16"/>
      <w:bookmarkEnd w:id="17"/>
    </w:p>
    <w:p>
      <w:pPr>
        <w:ind w:firstLine="480"/>
        <w:outlineLvl w:val="0"/>
        <w:rPr>
          <w:rFonts w:hint="eastAsia"/>
          <w:color w:val="auto"/>
          <w:lang w:val="en-US" w:eastAsia="zh-CN"/>
        </w:rPr>
      </w:pPr>
      <w:bookmarkStart w:id="18" w:name="_Toc29214"/>
      <w:bookmarkStart w:id="19" w:name="_Toc18108"/>
      <w:bookmarkStart w:id="20" w:name="_Toc14040"/>
      <w:r>
        <w:rPr>
          <w:rFonts w:hint="eastAsia"/>
          <w:color w:val="auto"/>
          <w:lang w:val="en-US" w:eastAsia="zh-CN"/>
        </w:rPr>
        <w:t>附件4：妇婴医院项目用地预审意见；</w:t>
      </w:r>
      <w:bookmarkEnd w:id="18"/>
      <w:bookmarkEnd w:id="19"/>
      <w:bookmarkEnd w:id="20"/>
    </w:p>
    <w:p>
      <w:pPr>
        <w:ind w:firstLine="480"/>
        <w:outlineLvl w:val="0"/>
        <w:rPr>
          <w:rFonts w:hint="eastAsia"/>
          <w:color w:val="auto"/>
          <w:lang w:val="en-US" w:eastAsia="zh-CN"/>
        </w:rPr>
      </w:pPr>
      <w:bookmarkStart w:id="21" w:name="_Toc16391"/>
      <w:bookmarkStart w:id="22" w:name="_Toc31960"/>
      <w:bookmarkStart w:id="23" w:name="_Toc28178"/>
      <w:r>
        <w:rPr>
          <w:rFonts w:hint="eastAsia"/>
          <w:color w:val="auto"/>
          <w:lang w:val="en-US" w:eastAsia="zh-CN"/>
        </w:rPr>
        <w:t>附件5：保健院妇婴医院住院综合楼建设项目许可证；</w:t>
      </w:r>
      <w:bookmarkEnd w:id="21"/>
      <w:bookmarkEnd w:id="22"/>
      <w:bookmarkEnd w:id="23"/>
    </w:p>
    <w:p>
      <w:pPr>
        <w:ind w:firstLine="480"/>
        <w:outlineLvl w:val="0"/>
        <w:rPr>
          <w:rFonts w:hint="eastAsia"/>
          <w:color w:val="auto"/>
          <w:lang w:val="en-US" w:eastAsia="zh-CN"/>
        </w:rPr>
      </w:pPr>
      <w:bookmarkStart w:id="24" w:name="_Toc18879"/>
      <w:bookmarkStart w:id="25" w:name="_Toc25487"/>
      <w:bookmarkStart w:id="26" w:name="_Toc16490"/>
      <w:r>
        <w:rPr>
          <w:rFonts w:hint="eastAsia"/>
          <w:color w:val="auto"/>
          <w:lang w:val="en-US" w:eastAsia="zh-CN"/>
        </w:rPr>
        <w:t>附件6：姚安县保健院妇婴医院住院综合楼建设项可研批复</w:t>
      </w:r>
      <w:bookmarkEnd w:id="24"/>
      <w:bookmarkEnd w:id="25"/>
      <w:bookmarkEnd w:id="26"/>
      <w:r>
        <w:rPr>
          <w:rFonts w:hint="eastAsia"/>
          <w:color w:val="auto"/>
          <w:lang w:val="en-US" w:eastAsia="zh-CN"/>
        </w:rPr>
        <w:t>；</w:t>
      </w:r>
    </w:p>
    <w:p>
      <w:pPr>
        <w:ind w:firstLine="480"/>
        <w:outlineLvl w:val="0"/>
        <w:rPr>
          <w:rFonts w:hint="default"/>
          <w:color w:val="auto"/>
          <w:lang w:val="en-US" w:eastAsia="zh-CN"/>
        </w:rPr>
      </w:pPr>
      <w:r>
        <w:rPr>
          <w:rFonts w:hint="eastAsia"/>
          <w:color w:val="auto"/>
          <w:lang w:val="en-US" w:eastAsia="zh-CN"/>
        </w:rPr>
        <w:t>附件7：监测报告。</w:t>
      </w:r>
    </w:p>
    <w:p>
      <w:pPr>
        <w:ind w:firstLine="0" w:firstLineChars="0"/>
        <w:rPr>
          <w:rFonts w:hint="eastAsia"/>
          <w:b/>
          <w:color w:val="auto"/>
          <w:szCs w:val="24"/>
        </w:rPr>
      </w:pPr>
    </w:p>
    <w:p>
      <w:pPr>
        <w:ind w:firstLine="0" w:firstLineChars="0"/>
        <w:rPr>
          <w:b/>
          <w:color w:val="auto"/>
          <w:szCs w:val="24"/>
        </w:rPr>
      </w:pPr>
      <w:r>
        <w:rPr>
          <w:rFonts w:hint="eastAsia"/>
          <w:b/>
          <w:color w:val="auto"/>
          <w:szCs w:val="24"/>
        </w:rPr>
        <w:t>附图</w:t>
      </w:r>
    </w:p>
    <w:p>
      <w:pPr>
        <w:ind w:firstLine="480"/>
        <w:outlineLvl w:val="0"/>
        <w:rPr>
          <w:color w:val="auto"/>
          <w:szCs w:val="24"/>
        </w:rPr>
      </w:pPr>
      <w:bookmarkStart w:id="27" w:name="_Toc17660"/>
      <w:bookmarkStart w:id="28" w:name="_Toc16702"/>
      <w:bookmarkStart w:id="29" w:name="_Toc7895"/>
      <w:r>
        <w:rPr>
          <w:rFonts w:hint="eastAsia"/>
          <w:color w:val="auto"/>
          <w:szCs w:val="24"/>
        </w:rPr>
        <w:t>附图1：项目地理位置图；</w:t>
      </w:r>
      <w:bookmarkEnd w:id="27"/>
      <w:bookmarkEnd w:id="28"/>
      <w:bookmarkEnd w:id="29"/>
    </w:p>
    <w:p>
      <w:pPr>
        <w:ind w:firstLine="480"/>
        <w:outlineLvl w:val="0"/>
        <w:rPr>
          <w:color w:val="auto"/>
          <w:szCs w:val="24"/>
        </w:rPr>
      </w:pPr>
      <w:bookmarkStart w:id="30" w:name="_Toc20768"/>
      <w:bookmarkStart w:id="31" w:name="_Toc12682"/>
      <w:bookmarkStart w:id="32" w:name="_Toc16175"/>
      <w:r>
        <w:rPr>
          <w:rFonts w:hint="eastAsia"/>
          <w:color w:val="auto"/>
          <w:szCs w:val="24"/>
        </w:rPr>
        <w:t>附图2：项目周边</w:t>
      </w:r>
      <w:r>
        <w:rPr>
          <w:rFonts w:hint="eastAsia"/>
          <w:color w:val="auto"/>
          <w:szCs w:val="24"/>
          <w:lang w:eastAsia="zh-CN"/>
        </w:rPr>
        <w:t>环境</w:t>
      </w:r>
      <w:r>
        <w:rPr>
          <w:rFonts w:hint="eastAsia"/>
          <w:color w:val="auto"/>
          <w:szCs w:val="24"/>
        </w:rPr>
        <w:t>示意图；</w:t>
      </w:r>
      <w:bookmarkEnd w:id="30"/>
      <w:bookmarkEnd w:id="31"/>
      <w:bookmarkEnd w:id="32"/>
    </w:p>
    <w:p>
      <w:pPr>
        <w:ind w:firstLine="480"/>
        <w:outlineLvl w:val="0"/>
        <w:rPr>
          <w:color w:val="auto"/>
          <w:szCs w:val="24"/>
        </w:rPr>
      </w:pPr>
      <w:bookmarkStart w:id="33" w:name="_Toc6845"/>
      <w:bookmarkStart w:id="34" w:name="_Toc19471"/>
      <w:bookmarkStart w:id="35" w:name="_Toc22279"/>
      <w:r>
        <w:rPr>
          <w:rFonts w:hint="eastAsia"/>
          <w:color w:val="auto"/>
          <w:szCs w:val="24"/>
        </w:rPr>
        <w:t>附图3：项目总平面布置图；</w:t>
      </w:r>
      <w:bookmarkEnd w:id="33"/>
      <w:bookmarkEnd w:id="34"/>
      <w:bookmarkEnd w:id="35"/>
    </w:p>
    <w:p>
      <w:pPr>
        <w:ind w:firstLine="480"/>
        <w:outlineLvl w:val="0"/>
        <w:rPr>
          <w:rFonts w:hint="eastAsia" w:eastAsiaTheme="minorEastAsia"/>
          <w:color w:val="auto"/>
          <w:szCs w:val="24"/>
          <w:lang w:eastAsia="zh-CN"/>
        </w:rPr>
      </w:pPr>
      <w:bookmarkStart w:id="36" w:name="_Toc18430"/>
      <w:bookmarkStart w:id="37" w:name="_Toc13696"/>
      <w:bookmarkStart w:id="38" w:name="_Toc28231"/>
      <w:r>
        <w:rPr>
          <w:rFonts w:hint="eastAsia"/>
          <w:color w:val="auto"/>
          <w:szCs w:val="24"/>
        </w:rPr>
        <w:t>附图4：项目区水系图</w:t>
      </w:r>
      <w:bookmarkEnd w:id="36"/>
      <w:r>
        <w:rPr>
          <w:rFonts w:hint="eastAsia"/>
          <w:color w:val="auto"/>
          <w:szCs w:val="24"/>
          <w:lang w:eastAsia="zh-CN"/>
        </w:rPr>
        <w:t>；</w:t>
      </w:r>
      <w:bookmarkEnd w:id="37"/>
      <w:bookmarkEnd w:id="38"/>
    </w:p>
    <w:p>
      <w:pPr>
        <w:ind w:firstLine="480"/>
        <w:outlineLvl w:val="0"/>
        <w:rPr>
          <w:rFonts w:hint="default" w:eastAsiaTheme="minorEastAsia"/>
          <w:color w:val="auto"/>
          <w:szCs w:val="24"/>
          <w:lang w:val="en-US" w:eastAsia="zh-CN"/>
        </w:rPr>
      </w:pPr>
      <w:bookmarkStart w:id="39" w:name="_Toc31058"/>
      <w:bookmarkStart w:id="40" w:name="_Toc22087"/>
      <w:r>
        <w:rPr>
          <w:rFonts w:hint="eastAsia"/>
          <w:color w:val="auto"/>
          <w:szCs w:val="24"/>
          <w:lang w:val="en-US" w:eastAsia="zh-CN"/>
        </w:rPr>
        <w:t>附图5：地下一层平面布置图。</w:t>
      </w:r>
      <w:bookmarkEnd w:id="39"/>
      <w:bookmarkEnd w:id="40"/>
    </w:p>
    <w:p>
      <w:pPr>
        <w:ind w:firstLine="199" w:firstLineChars="83"/>
        <w:rPr>
          <w:rFonts w:cs="Times New Roman" w:asciiTheme="minorEastAsia" w:hAnsiTheme="minorEastAsia"/>
          <w:color w:val="auto"/>
          <w:szCs w:val="20"/>
        </w:rPr>
        <w:sectPr>
          <w:headerReference r:id="rId11" w:type="default"/>
          <w:footerReference r:id="rId12" w:type="default"/>
          <w:pgSz w:w="11906" w:h="16838"/>
          <w:pgMar w:top="1361" w:right="1247" w:bottom="1361" w:left="1247" w:header="992" w:footer="833" w:gutter="0"/>
          <w:pgBorders>
            <w:top w:val="none" w:sz="0" w:space="0"/>
            <w:left w:val="none" w:sz="0" w:space="0"/>
            <w:bottom w:val="none" w:sz="0" w:space="0"/>
            <w:right w:val="none" w:sz="0" w:space="0"/>
          </w:pgBorders>
          <w:pgNumType w:fmt="decimal"/>
          <w:cols w:space="425" w:num="1"/>
          <w:docGrid w:type="linesAndChars" w:linePitch="312" w:charSpace="0"/>
        </w:sectPr>
      </w:pPr>
    </w:p>
    <w:p>
      <w:pPr>
        <w:pStyle w:val="4"/>
        <w:rPr>
          <w:color w:val="auto"/>
        </w:rPr>
      </w:pPr>
      <w:bookmarkStart w:id="41" w:name="_Toc376855812"/>
      <w:bookmarkStart w:id="42" w:name="_Toc458883638"/>
      <w:bookmarkStart w:id="43" w:name="_Toc68101065"/>
      <w:bookmarkStart w:id="44" w:name="_Toc30403"/>
      <w:r>
        <w:rPr>
          <w:color w:val="auto"/>
        </w:rPr>
        <w:t>一、建设项目基本情况</w:t>
      </w:r>
      <w:bookmarkEnd w:id="41"/>
      <w:bookmarkEnd w:id="42"/>
      <w:bookmarkEnd w:id="43"/>
      <w:bookmarkEnd w:id="44"/>
    </w:p>
    <w:tbl>
      <w:tblPr>
        <w:tblStyle w:val="37"/>
        <w:tblW w:w="95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29"/>
        <w:gridCol w:w="1936"/>
        <w:gridCol w:w="847"/>
        <w:gridCol w:w="1279"/>
        <w:gridCol w:w="670"/>
        <w:gridCol w:w="25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229" w:type="dxa"/>
            <w:vAlign w:val="center"/>
          </w:tcPr>
          <w:p>
            <w:pPr>
              <w:spacing w:line="360" w:lineRule="auto"/>
              <w:ind w:firstLine="0" w:firstLineChars="0"/>
              <w:jc w:val="center"/>
              <w:rPr>
                <w:rFonts w:hint="default" w:ascii="Times New Roman" w:hAnsi="Times New Roman" w:cs="Times New Roman"/>
                <w:b/>
                <w:color w:val="auto"/>
                <w:spacing w:val="0"/>
                <w:kern w:val="2"/>
                <w:szCs w:val="24"/>
              </w:rPr>
            </w:pPr>
            <w:r>
              <w:rPr>
                <w:rFonts w:hint="default" w:ascii="Times New Roman" w:hAnsi="Times New Roman" w:cs="Times New Roman"/>
                <w:b/>
                <w:color w:val="auto"/>
                <w:spacing w:val="0"/>
                <w:kern w:val="2"/>
                <w:szCs w:val="24"/>
              </w:rPr>
              <w:t>项目名称</w:t>
            </w:r>
          </w:p>
        </w:tc>
        <w:tc>
          <w:tcPr>
            <w:tcW w:w="7291" w:type="dxa"/>
            <w:gridSpan w:val="5"/>
            <w:vAlign w:val="center"/>
          </w:tcPr>
          <w:p>
            <w:pPr>
              <w:spacing w:line="360" w:lineRule="auto"/>
              <w:ind w:firstLine="0" w:firstLineChars="0"/>
              <w:jc w:val="center"/>
              <w:rPr>
                <w:rFonts w:hint="default" w:ascii="Times New Roman" w:hAnsi="Times New Roman" w:cs="Times New Roman"/>
                <w:color w:val="auto"/>
                <w:spacing w:val="0"/>
                <w:kern w:val="2"/>
                <w:szCs w:val="24"/>
              </w:rPr>
            </w:pPr>
            <w:r>
              <w:rPr>
                <w:rFonts w:hint="default" w:ascii="Times New Roman" w:hAnsi="Times New Roman" w:cs="Times New Roman"/>
                <w:color w:val="auto"/>
                <w:spacing w:val="0"/>
                <w:kern w:val="2"/>
                <w:szCs w:val="24"/>
                <w:lang w:eastAsia="zh-CN"/>
              </w:rPr>
              <w:t>姚安县保健院妇婴医院住院综合楼建设项目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229" w:type="dxa"/>
            <w:vAlign w:val="center"/>
          </w:tcPr>
          <w:p>
            <w:pPr>
              <w:spacing w:line="360" w:lineRule="auto"/>
              <w:ind w:firstLine="0" w:firstLineChars="0"/>
              <w:jc w:val="center"/>
              <w:rPr>
                <w:rFonts w:hint="default" w:ascii="Times New Roman" w:hAnsi="Times New Roman" w:cs="Times New Roman"/>
                <w:b/>
                <w:color w:val="auto"/>
                <w:spacing w:val="0"/>
                <w:kern w:val="2"/>
                <w:szCs w:val="24"/>
              </w:rPr>
            </w:pPr>
            <w:r>
              <w:rPr>
                <w:rFonts w:hint="default" w:ascii="Times New Roman" w:hAnsi="Times New Roman" w:cs="Times New Roman"/>
                <w:b/>
                <w:color w:val="auto"/>
                <w:spacing w:val="0"/>
                <w:kern w:val="2"/>
                <w:szCs w:val="24"/>
              </w:rPr>
              <w:t>项目代码</w:t>
            </w:r>
          </w:p>
        </w:tc>
        <w:tc>
          <w:tcPr>
            <w:tcW w:w="7291" w:type="dxa"/>
            <w:gridSpan w:val="5"/>
            <w:vAlign w:val="center"/>
          </w:tcPr>
          <w:p>
            <w:pPr>
              <w:spacing w:line="360" w:lineRule="auto"/>
              <w:ind w:firstLine="0" w:firstLineChars="0"/>
              <w:jc w:val="center"/>
              <w:rPr>
                <w:rFonts w:hint="default" w:ascii="Times New Roman" w:hAnsi="Times New Roman" w:cs="Times New Roman"/>
                <w:color w:val="auto"/>
                <w:spacing w:val="0"/>
                <w:kern w:val="2"/>
                <w:szCs w:val="20"/>
              </w:rPr>
            </w:pPr>
            <w:r>
              <w:rPr>
                <w:rFonts w:hint="default" w:ascii="Times New Roman" w:hAnsi="Times New Roman" w:cs="Times New Roman"/>
                <w:color w:val="auto"/>
                <w:spacing w:val="0"/>
                <w:kern w:val="2"/>
                <w:szCs w:val="20"/>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229" w:type="dxa"/>
            <w:vAlign w:val="center"/>
          </w:tcPr>
          <w:p>
            <w:pPr>
              <w:spacing w:line="360" w:lineRule="auto"/>
              <w:ind w:firstLine="0" w:firstLineChars="0"/>
              <w:jc w:val="center"/>
              <w:rPr>
                <w:rFonts w:hint="default" w:ascii="Times New Roman" w:hAnsi="Times New Roman" w:cs="Times New Roman"/>
                <w:b/>
                <w:color w:val="auto"/>
                <w:spacing w:val="0"/>
                <w:kern w:val="2"/>
                <w:szCs w:val="24"/>
              </w:rPr>
            </w:pPr>
            <w:r>
              <w:rPr>
                <w:rFonts w:hint="default" w:ascii="Times New Roman" w:hAnsi="Times New Roman" w:cs="Times New Roman"/>
                <w:b/>
                <w:color w:val="auto"/>
                <w:spacing w:val="0"/>
                <w:kern w:val="2"/>
                <w:szCs w:val="24"/>
              </w:rPr>
              <w:t>建设单位联系人</w:t>
            </w:r>
          </w:p>
        </w:tc>
        <w:tc>
          <w:tcPr>
            <w:tcW w:w="2783" w:type="dxa"/>
            <w:gridSpan w:val="2"/>
            <w:vAlign w:val="center"/>
          </w:tcPr>
          <w:p>
            <w:pPr>
              <w:spacing w:line="360" w:lineRule="auto"/>
              <w:ind w:firstLine="0" w:firstLineChars="0"/>
              <w:jc w:val="center"/>
              <w:rPr>
                <w:rFonts w:hint="default" w:ascii="Times New Roman" w:hAnsi="Times New Roman" w:cs="Times New Roman" w:eastAsiaTheme="minorEastAsia"/>
                <w:color w:val="auto"/>
                <w:spacing w:val="0"/>
                <w:kern w:val="2"/>
                <w:szCs w:val="24"/>
                <w:lang w:eastAsia="zh-CN"/>
              </w:rPr>
            </w:pPr>
            <w:r>
              <w:rPr>
                <w:rFonts w:hint="default" w:ascii="Times New Roman" w:hAnsi="Times New Roman" w:cs="Times New Roman"/>
                <w:color w:val="auto"/>
                <w:spacing w:val="0"/>
                <w:kern w:val="2"/>
                <w:szCs w:val="24"/>
                <w:lang w:val="en-US" w:eastAsia="zh-CN"/>
              </w:rPr>
              <w:t>魏宏</w:t>
            </w:r>
          </w:p>
        </w:tc>
        <w:tc>
          <w:tcPr>
            <w:tcW w:w="1949" w:type="dxa"/>
            <w:gridSpan w:val="2"/>
            <w:vAlign w:val="center"/>
          </w:tcPr>
          <w:p>
            <w:pPr>
              <w:spacing w:line="360" w:lineRule="auto"/>
              <w:ind w:firstLine="0" w:firstLineChars="0"/>
              <w:jc w:val="center"/>
              <w:rPr>
                <w:rFonts w:hint="default" w:ascii="Times New Roman" w:hAnsi="Times New Roman" w:cs="Times New Roman"/>
                <w:b/>
                <w:color w:val="auto"/>
                <w:spacing w:val="0"/>
                <w:kern w:val="2"/>
                <w:szCs w:val="24"/>
              </w:rPr>
            </w:pPr>
            <w:r>
              <w:rPr>
                <w:rFonts w:hint="default" w:ascii="Times New Roman" w:hAnsi="Times New Roman" w:cs="Times New Roman"/>
                <w:b/>
                <w:color w:val="auto"/>
                <w:spacing w:val="0"/>
                <w:kern w:val="2"/>
                <w:szCs w:val="24"/>
              </w:rPr>
              <w:t>联系方式</w:t>
            </w:r>
          </w:p>
        </w:tc>
        <w:tc>
          <w:tcPr>
            <w:tcW w:w="2559" w:type="dxa"/>
            <w:vAlign w:val="center"/>
          </w:tcPr>
          <w:p>
            <w:pPr>
              <w:spacing w:line="360" w:lineRule="auto"/>
              <w:ind w:firstLine="0" w:firstLineChars="0"/>
              <w:jc w:val="center"/>
              <w:rPr>
                <w:rFonts w:hint="default" w:ascii="Times New Roman" w:hAnsi="Times New Roman" w:cs="Times New Roman" w:eastAsiaTheme="minorEastAsia"/>
                <w:color w:val="auto"/>
                <w:spacing w:val="0"/>
                <w:kern w:val="2"/>
                <w:szCs w:val="24"/>
                <w:lang w:val="en-US" w:eastAsia="zh-CN"/>
              </w:rPr>
            </w:pPr>
            <w:r>
              <w:rPr>
                <w:rFonts w:hint="default" w:ascii="Times New Roman" w:hAnsi="Times New Roman" w:cs="Times New Roman"/>
                <w:color w:val="auto"/>
                <w:spacing w:val="0"/>
                <w:kern w:val="2"/>
                <w:szCs w:val="24"/>
                <w:lang w:val="en-US" w:eastAsia="zh-CN"/>
              </w:rPr>
              <w:t>15987241146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8" w:hRule="atLeast"/>
          <w:jc w:val="center"/>
        </w:trPr>
        <w:tc>
          <w:tcPr>
            <w:tcW w:w="2229" w:type="dxa"/>
            <w:vAlign w:val="center"/>
          </w:tcPr>
          <w:p>
            <w:pPr>
              <w:spacing w:line="360" w:lineRule="auto"/>
              <w:ind w:firstLine="0" w:firstLineChars="0"/>
              <w:jc w:val="center"/>
              <w:rPr>
                <w:rFonts w:hint="default" w:ascii="Times New Roman" w:hAnsi="Times New Roman" w:cs="Times New Roman"/>
                <w:b/>
                <w:color w:val="auto"/>
                <w:spacing w:val="0"/>
                <w:kern w:val="2"/>
                <w:szCs w:val="24"/>
              </w:rPr>
            </w:pPr>
            <w:r>
              <w:rPr>
                <w:rFonts w:hint="default" w:ascii="Times New Roman" w:hAnsi="Times New Roman" w:cs="Times New Roman"/>
                <w:b/>
                <w:color w:val="auto"/>
                <w:spacing w:val="0"/>
                <w:kern w:val="2"/>
                <w:szCs w:val="24"/>
              </w:rPr>
              <w:t>建设地点</w:t>
            </w:r>
          </w:p>
        </w:tc>
        <w:tc>
          <w:tcPr>
            <w:tcW w:w="7291" w:type="dxa"/>
            <w:gridSpan w:val="5"/>
            <w:vAlign w:val="center"/>
          </w:tcPr>
          <w:p>
            <w:pPr>
              <w:spacing w:line="360" w:lineRule="auto"/>
              <w:ind w:firstLine="0" w:firstLineChars="0"/>
              <w:jc w:val="center"/>
              <w:rPr>
                <w:rFonts w:hint="default" w:ascii="Times New Roman" w:hAnsi="Times New Roman" w:cs="Times New Roman"/>
                <w:color w:val="auto"/>
                <w:spacing w:val="0"/>
                <w:kern w:val="2"/>
                <w:szCs w:val="24"/>
              </w:rPr>
            </w:pPr>
            <w:r>
              <w:rPr>
                <w:rFonts w:hint="default" w:ascii="Times New Roman" w:hAnsi="Times New Roman" w:cs="Times New Roman"/>
                <w:color w:val="auto"/>
                <w:spacing w:val="0"/>
                <w:kern w:val="2"/>
                <w:szCs w:val="21"/>
                <w:u w:val="single"/>
              </w:rPr>
              <w:t xml:space="preserve">云南 </w:t>
            </w:r>
            <w:r>
              <w:rPr>
                <w:rFonts w:hint="default" w:ascii="Times New Roman" w:hAnsi="Times New Roman" w:cs="Times New Roman"/>
                <w:color w:val="auto"/>
                <w:spacing w:val="0"/>
                <w:kern w:val="2"/>
                <w:szCs w:val="21"/>
              </w:rPr>
              <w:t>省</w:t>
            </w:r>
            <w:r>
              <w:rPr>
                <w:rFonts w:hint="default" w:ascii="Times New Roman" w:hAnsi="Times New Roman" w:cs="Times New Roman"/>
                <w:color w:val="auto"/>
                <w:spacing w:val="0"/>
                <w:kern w:val="2"/>
                <w:szCs w:val="21"/>
                <w:u w:val="single"/>
              </w:rPr>
              <w:t xml:space="preserve"> 楚雄 </w:t>
            </w:r>
            <w:r>
              <w:rPr>
                <w:rFonts w:hint="default" w:ascii="Times New Roman" w:hAnsi="Times New Roman" w:cs="Times New Roman"/>
                <w:color w:val="auto"/>
                <w:spacing w:val="0"/>
                <w:kern w:val="2"/>
                <w:szCs w:val="21"/>
              </w:rPr>
              <w:t>州</w:t>
            </w:r>
            <w:r>
              <w:rPr>
                <w:rFonts w:hint="default" w:ascii="Times New Roman" w:hAnsi="Times New Roman" w:cs="Times New Roman"/>
                <w:color w:val="auto"/>
                <w:spacing w:val="0"/>
                <w:kern w:val="2"/>
                <w:szCs w:val="21"/>
                <w:u w:val="single"/>
              </w:rPr>
              <w:t xml:space="preserve"> </w:t>
            </w:r>
            <w:r>
              <w:rPr>
                <w:rFonts w:hint="default" w:ascii="Times New Roman" w:hAnsi="Times New Roman" w:cs="Times New Roman"/>
                <w:color w:val="auto"/>
                <w:spacing w:val="0"/>
                <w:kern w:val="2"/>
                <w:szCs w:val="21"/>
                <w:u w:val="single"/>
                <w:lang w:val="en-US" w:eastAsia="zh-CN"/>
              </w:rPr>
              <w:t>姚安</w:t>
            </w:r>
            <w:r>
              <w:rPr>
                <w:rFonts w:hint="default" w:ascii="Times New Roman" w:hAnsi="Times New Roman" w:cs="Times New Roman"/>
                <w:color w:val="auto"/>
                <w:spacing w:val="0"/>
                <w:kern w:val="2"/>
                <w:szCs w:val="21"/>
                <w:u w:val="single"/>
              </w:rPr>
              <w:t xml:space="preserve"> </w:t>
            </w:r>
            <w:r>
              <w:rPr>
                <w:rFonts w:hint="default" w:ascii="Times New Roman" w:hAnsi="Times New Roman" w:cs="Times New Roman"/>
                <w:color w:val="auto"/>
                <w:spacing w:val="0"/>
                <w:kern w:val="2"/>
                <w:szCs w:val="21"/>
              </w:rPr>
              <w:t>县</w:t>
            </w:r>
            <w:r>
              <w:rPr>
                <w:rFonts w:hint="default" w:ascii="Times New Roman" w:hAnsi="Times New Roman" w:cs="Times New Roman"/>
                <w:color w:val="auto"/>
                <w:spacing w:val="0"/>
                <w:kern w:val="2"/>
                <w:szCs w:val="21"/>
                <w:u w:val="single"/>
              </w:rPr>
              <w:t xml:space="preserve"> </w:t>
            </w:r>
            <w:r>
              <w:rPr>
                <w:rFonts w:hint="default" w:ascii="Times New Roman" w:hAnsi="Times New Roman" w:cs="Times New Roman"/>
                <w:color w:val="auto"/>
                <w:spacing w:val="0"/>
                <w:kern w:val="2"/>
                <w:szCs w:val="21"/>
                <w:u w:val="single"/>
                <w:lang w:val="en-US" w:eastAsia="zh-CN"/>
              </w:rPr>
              <w:t>栋川</w:t>
            </w:r>
            <w:r>
              <w:rPr>
                <w:rFonts w:hint="default" w:ascii="Times New Roman" w:hAnsi="Times New Roman" w:cs="Times New Roman"/>
                <w:color w:val="auto"/>
                <w:spacing w:val="0"/>
                <w:kern w:val="2"/>
                <w:szCs w:val="21"/>
              </w:rPr>
              <w:t>镇</w:t>
            </w:r>
            <w:r>
              <w:rPr>
                <w:rFonts w:hint="default" w:ascii="Times New Roman" w:hAnsi="Times New Roman" w:cs="Times New Roman"/>
                <w:color w:val="auto"/>
                <w:spacing w:val="0"/>
                <w:kern w:val="2"/>
                <w:szCs w:val="21"/>
                <w:u w:val="single"/>
                <w:lang w:val="en-US" w:eastAsia="zh-CN"/>
              </w:rPr>
              <w:t>下栖霞路与</w:t>
            </w:r>
            <w:r>
              <w:rPr>
                <w:rFonts w:hint="eastAsia" w:cs="Times New Roman"/>
                <w:color w:val="auto"/>
                <w:spacing w:val="0"/>
                <w:kern w:val="2"/>
                <w:szCs w:val="21"/>
                <w:u w:val="single"/>
                <w:lang w:val="en-US" w:eastAsia="zh-CN"/>
              </w:rPr>
              <w:t>春晖路</w:t>
            </w:r>
            <w:r>
              <w:rPr>
                <w:rFonts w:hint="default" w:ascii="Times New Roman" w:hAnsi="Times New Roman" w:cs="Times New Roman"/>
                <w:color w:val="auto"/>
                <w:spacing w:val="0"/>
                <w:kern w:val="2"/>
                <w:szCs w:val="21"/>
                <w:u w:val="single"/>
                <w:lang w:val="en-US" w:eastAsia="zh-CN"/>
              </w:rPr>
              <w:t>交汇口西处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0" w:hRule="atLeast"/>
          <w:jc w:val="center"/>
        </w:trPr>
        <w:tc>
          <w:tcPr>
            <w:tcW w:w="2229" w:type="dxa"/>
            <w:vAlign w:val="center"/>
          </w:tcPr>
          <w:p>
            <w:pPr>
              <w:spacing w:line="360" w:lineRule="auto"/>
              <w:ind w:firstLine="0" w:firstLineChars="0"/>
              <w:jc w:val="center"/>
              <w:rPr>
                <w:rFonts w:hint="default" w:ascii="Times New Roman" w:hAnsi="Times New Roman" w:cs="Times New Roman"/>
                <w:b/>
                <w:color w:val="auto"/>
                <w:spacing w:val="0"/>
                <w:kern w:val="2"/>
                <w:szCs w:val="24"/>
              </w:rPr>
            </w:pPr>
            <w:r>
              <w:rPr>
                <w:rFonts w:hint="default" w:ascii="Times New Roman" w:hAnsi="Times New Roman" w:cs="Times New Roman"/>
                <w:b/>
                <w:color w:val="auto"/>
                <w:spacing w:val="0"/>
                <w:kern w:val="2"/>
                <w:szCs w:val="24"/>
              </w:rPr>
              <w:t>地理坐标</w:t>
            </w:r>
          </w:p>
        </w:tc>
        <w:tc>
          <w:tcPr>
            <w:tcW w:w="7291" w:type="dxa"/>
            <w:gridSpan w:val="5"/>
            <w:vAlign w:val="center"/>
          </w:tcPr>
          <w:p>
            <w:pPr>
              <w:spacing w:line="360" w:lineRule="auto"/>
              <w:ind w:firstLine="0" w:firstLineChars="0"/>
              <w:jc w:val="center"/>
              <w:rPr>
                <w:rFonts w:hint="default" w:ascii="Times New Roman" w:hAnsi="Times New Roman" w:cs="Times New Roman"/>
                <w:color w:val="auto"/>
                <w:spacing w:val="0"/>
                <w:kern w:val="2"/>
                <w:szCs w:val="21"/>
                <w:u w:val="single"/>
              </w:rPr>
            </w:pPr>
            <w:r>
              <w:rPr>
                <w:rFonts w:hint="default" w:ascii="Times New Roman" w:hAnsi="Times New Roman" w:cs="Times New Roman"/>
                <w:color w:val="auto"/>
                <w:spacing w:val="0"/>
                <w:kern w:val="2"/>
                <w:szCs w:val="21"/>
              </w:rPr>
              <w:t>（</w:t>
            </w:r>
            <w:r>
              <w:rPr>
                <w:rFonts w:hint="default" w:ascii="Times New Roman" w:hAnsi="Times New Roman" w:cs="Times New Roman"/>
                <w:color w:val="auto"/>
                <w:spacing w:val="0"/>
                <w:kern w:val="2"/>
                <w:szCs w:val="21"/>
                <w:u w:val="single"/>
              </w:rPr>
              <w:t xml:space="preserve"> 101 </w:t>
            </w:r>
            <w:r>
              <w:rPr>
                <w:rFonts w:hint="default" w:ascii="Times New Roman" w:hAnsi="Times New Roman" w:cs="Times New Roman"/>
                <w:color w:val="auto"/>
                <w:spacing w:val="0"/>
                <w:kern w:val="2"/>
                <w:szCs w:val="21"/>
              </w:rPr>
              <w:t>度</w:t>
            </w:r>
            <w:r>
              <w:rPr>
                <w:rFonts w:hint="default" w:ascii="Times New Roman" w:hAnsi="Times New Roman" w:cs="Times New Roman"/>
                <w:color w:val="auto"/>
                <w:spacing w:val="0"/>
                <w:kern w:val="2"/>
                <w:szCs w:val="21"/>
                <w:u w:val="single"/>
              </w:rPr>
              <w:t xml:space="preserve"> 1</w:t>
            </w:r>
            <w:r>
              <w:rPr>
                <w:rFonts w:hint="default" w:ascii="Times New Roman" w:hAnsi="Times New Roman" w:cs="Times New Roman"/>
                <w:color w:val="auto"/>
                <w:spacing w:val="0"/>
                <w:kern w:val="2"/>
                <w:szCs w:val="21"/>
                <w:u w:val="single"/>
                <w:lang w:val="en-US" w:eastAsia="zh-CN"/>
              </w:rPr>
              <w:t>3</w:t>
            </w:r>
            <w:r>
              <w:rPr>
                <w:rFonts w:hint="default" w:ascii="Times New Roman" w:hAnsi="Times New Roman" w:cs="Times New Roman"/>
                <w:color w:val="auto"/>
                <w:spacing w:val="0"/>
                <w:kern w:val="2"/>
                <w:szCs w:val="21"/>
                <w:u w:val="single"/>
              </w:rPr>
              <w:t xml:space="preserve"> </w:t>
            </w:r>
            <w:r>
              <w:rPr>
                <w:rFonts w:hint="default" w:ascii="Times New Roman" w:hAnsi="Times New Roman" w:cs="Times New Roman"/>
                <w:color w:val="auto"/>
                <w:spacing w:val="0"/>
                <w:kern w:val="2"/>
                <w:szCs w:val="21"/>
              </w:rPr>
              <w:t>分</w:t>
            </w:r>
            <w:r>
              <w:rPr>
                <w:rFonts w:hint="default" w:ascii="Times New Roman" w:hAnsi="Times New Roman" w:cs="Times New Roman"/>
                <w:color w:val="auto"/>
                <w:spacing w:val="0"/>
                <w:kern w:val="2"/>
                <w:szCs w:val="21"/>
                <w:u w:val="single"/>
              </w:rPr>
              <w:t xml:space="preserve"> </w:t>
            </w:r>
            <w:r>
              <w:rPr>
                <w:rFonts w:hint="default" w:ascii="Times New Roman" w:hAnsi="Times New Roman" w:cs="Times New Roman"/>
                <w:color w:val="auto"/>
                <w:spacing w:val="0"/>
                <w:kern w:val="2"/>
                <w:szCs w:val="21"/>
                <w:u w:val="single"/>
                <w:lang w:val="en-US" w:eastAsia="zh-CN"/>
              </w:rPr>
              <w:t>43.748</w:t>
            </w:r>
            <w:r>
              <w:rPr>
                <w:rFonts w:hint="default" w:ascii="Times New Roman" w:hAnsi="Times New Roman" w:cs="Times New Roman"/>
                <w:color w:val="auto"/>
                <w:spacing w:val="0"/>
                <w:kern w:val="2"/>
                <w:szCs w:val="21"/>
              </w:rPr>
              <w:t>秒，</w:t>
            </w:r>
            <w:r>
              <w:rPr>
                <w:rFonts w:hint="default" w:ascii="Times New Roman" w:hAnsi="Times New Roman" w:cs="Times New Roman"/>
                <w:color w:val="auto"/>
                <w:spacing w:val="0"/>
                <w:kern w:val="2"/>
                <w:szCs w:val="21"/>
                <w:u w:val="single"/>
              </w:rPr>
              <w:t xml:space="preserve"> 25 </w:t>
            </w:r>
            <w:r>
              <w:rPr>
                <w:rFonts w:hint="default" w:ascii="Times New Roman" w:hAnsi="Times New Roman" w:cs="Times New Roman"/>
                <w:color w:val="auto"/>
                <w:spacing w:val="0"/>
                <w:kern w:val="2"/>
                <w:szCs w:val="21"/>
              </w:rPr>
              <w:t>度</w:t>
            </w:r>
            <w:r>
              <w:rPr>
                <w:rFonts w:hint="default" w:ascii="Times New Roman" w:hAnsi="Times New Roman" w:cs="Times New Roman"/>
                <w:color w:val="auto"/>
                <w:spacing w:val="0"/>
                <w:kern w:val="2"/>
                <w:szCs w:val="21"/>
                <w:u w:val="single"/>
              </w:rPr>
              <w:t xml:space="preserve"> </w:t>
            </w:r>
            <w:r>
              <w:rPr>
                <w:rFonts w:hint="default" w:ascii="Times New Roman" w:hAnsi="Times New Roman" w:cs="Times New Roman"/>
                <w:color w:val="auto"/>
                <w:spacing w:val="0"/>
                <w:kern w:val="2"/>
                <w:szCs w:val="21"/>
                <w:u w:val="single"/>
                <w:lang w:val="en-US" w:eastAsia="zh-CN"/>
              </w:rPr>
              <w:t>30</w:t>
            </w:r>
            <w:r>
              <w:rPr>
                <w:rFonts w:hint="default" w:ascii="Times New Roman" w:hAnsi="Times New Roman" w:cs="Times New Roman"/>
                <w:color w:val="auto"/>
                <w:spacing w:val="0"/>
                <w:kern w:val="2"/>
                <w:szCs w:val="21"/>
                <w:u w:val="single"/>
              </w:rPr>
              <w:t xml:space="preserve"> </w:t>
            </w:r>
            <w:r>
              <w:rPr>
                <w:rFonts w:hint="default" w:ascii="Times New Roman" w:hAnsi="Times New Roman" w:cs="Times New Roman"/>
                <w:color w:val="auto"/>
                <w:spacing w:val="0"/>
                <w:kern w:val="2"/>
                <w:szCs w:val="21"/>
              </w:rPr>
              <w:t>分</w:t>
            </w:r>
            <w:r>
              <w:rPr>
                <w:rFonts w:hint="default" w:ascii="Times New Roman" w:hAnsi="Times New Roman" w:cs="Times New Roman"/>
                <w:color w:val="auto"/>
                <w:spacing w:val="0"/>
                <w:kern w:val="2"/>
                <w:szCs w:val="21"/>
                <w:u w:val="single"/>
                <w:lang w:val="en-US" w:eastAsia="zh-CN"/>
              </w:rPr>
              <w:t>34.174</w:t>
            </w:r>
            <w:r>
              <w:rPr>
                <w:rFonts w:hint="default" w:ascii="Times New Roman" w:hAnsi="Times New Roman" w:cs="Times New Roman"/>
                <w:color w:val="auto"/>
                <w:spacing w:val="0"/>
                <w:kern w:val="2"/>
                <w:szCs w:val="21"/>
              </w:rPr>
              <w:t>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229" w:type="dxa"/>
            <w:vAlign w:val="center"/>
          </w:tcPr>
          <w:p>
            <w:pPr>
              <w:spacing w:line="360" w:lineRule="auto"/>
              <w:ind w:firstLine="0" w:firstLineChars="0"/>
              <w:jc w:val="center"/>
              <w:rPr>
                <w:rFonts w:hint="default" w:ascii="Times New Roman" w:hAnsi="Times New Roman" w:cs="Times New Roman"/>
                <w:b/>
                <w:color w:val="auto"/>
                <w:spacing w:val="0"/>
                <w:kern w:val="2"/>
                <w:szCs w:val="24"/>
              </w:rPr>
            </w:pPr>
            <w:r>
              <w:rPr>
                <w:rFonts w:hint="default" w:ascii="Times New Roman" w:hAnsi="Times New Roman" w:cs="Times New Roman"/>
                <w:b/>
                <w:color w:val="auto"/>
                <w:spacing w:val="0"/>
                <w:kern w:val="2"/>
                <w:szCs w:val="24"/>
              </w:rPr>
              <w:t>国民经济</w:t>
            </w:r>
          </w:p>
          <w:p>
            <w:pPr>
              <w:spacing w:line="360" w:lineRule="auto"/>
              <w:ind w:firstLine="0" w:firstLineChars="0"/>
              <w:jc w:val="center"/>
              <w:rPr>
                <w:rFonts w:hint="default" w:ascii="Times New Roman" w:hAnsi="Times New Roman" w:cs="Times New Roman"/>
                <w:b/>
                <w:color w:val="auto"/>
                <w:spacing w:val="0"/>
                <w:kern w:val="2"/>
                <w:szCs w:val="24"/>
              </w:rPr>
            </w:pPr>
            <w:r>
              <w:rPr>
                <w:rFonts w:hint="default" w:ascii="Times New Roman" w:hAnsi="Times New Roman" w:cs="Times New Roman"/>
                <w:b/>
                <w:color w:val="auto"/>
                <w:spacing w:val="0"/>
                <w:kern w:val="2"/>
                <w:szCs w:val="24"/>
              </w:rPr>
              <w:t>行业类别</w:t>
            </w:r>
          </w:p>
        </w:tc>
        <w:tc>
          <w:tcPr>
            <w:tcW w:w="1936" w:type="dxa"/>
            <w:vAlign w:val="center"/>
          </w:tcPr>
          <w:p>
            <w:pPr>
              <w:spacing w:line="360" w:lineRule="auto"/>
              <w:ind w:firstLine="0" w:firstLineChars="0"/>
              <w:jc w:val="both"/>
              <w:rPr>
                <w:rFonts w:hint="default" w:ascii="Times New Roman" w:hAnsi="Times New Roman" w:cs="Times New Roman"/>
                <w:color w:val="auto"/>
                <w:spacing w:val="0"/>
                <w:kern w:val="2"/>
                <w:szCs w:val="24"/>
              </w:rPr>
            </w:pPr>
            <w:r>
              <w:rPr>
                <w:rFonts w:hint="default" w:ascii="Times New Roman" w:hAnsi="Times New Roman" w:cs="Times New Roman"/>
                <w:color w:val="auto"/>
                <w:spacing w:val="0"/>
                <w:kern w:val="2"/>
                <w:szCs w:val="24"/>
                <w:highlight w:val="none"/>
                <w:lang w:val="en-US" w:eastAsia="zh-CN"/>
              </w:rPr>
              <w:t>妇幼保健院（所、站）</w:t>
            </w:r>
            <w:r>
              <w:rPr>
                <w:rFonts w:hint="default" w:ascii="Times New Roman" w:hAnsi="Times New Roman" w:cs="Times New Roman"/>
                <w:color w:val="auto"/>
                <w:spacing w:val="0"/>
                <w:kern w:val="2"/>
                <w:szCs w:val="24"/>
                <w:highlight w:val="none"/>
              </w:rPr>
              <w:t>（Q84</w:t>
            </w:r>
            <w:r>
              <w:rPr>
                <w:rFonts w:hint="default" w:ascii="Times New Roman" w:hAnsi="Times New Roman" w:cs="Times New Roman"/>
                <w:color w:val="auto"/>
                <w:spacing w:val="0"/>
                <w:kern w:val="2"/>
                <w:szCs w:val="24"/>
                <w:highlight w:val="none"/>
                <w:lang w:val="en-US" w:eastAsia="zh-CN"/>
              </w:rPr>
              <w:t>33</w:t>
            </w:r>
            <w:r>
              <w:rPr>
                <w:rFonts w:hint="default" w:ascii="Times New Roman" w:hAnsi="Times New Roman" w:cs="Times New Roman"/>
                <w:color w:val="auto"/>
                <w:spacing w:val="0"/>
                <w:kern w:val="2"/>
                <w:szCs w:val="24"/>
                <w:highlight w:val="none"/>
              </w:rPr>
              <w:t>）</w:t>
            </w:r>
          </w:p>
        </w:tc>
        <w:tc>
          <w:tcPr>
            <w:tcW w:w="2126" w:type="dxa"/>
            <w:gridSpan w:val="2"/>
            <w:vAlign w:val="center"/>
          </w:tcPr>
          <w:p>
            <w:pPr>
              <w:spacing w:line="360" w:lineRule="auto"/>
              <w:ind w:firstLine="0" w:firstLineChars="0"/>
              <w:jc w:val="center"/>
              <w:rPr>
                <w:rFonts w:hint="default" w:ascii="Times New Roman" w:hAnsi="Times New Roman" w:cs="Times New Roman"/>
                <w:b/>
                <w:color w:val="auto"/>
                <w:spacing w:val="0"/>
                <w:kern w:val="2"/>
                <w:szCs w:val="24"/>
              </w:rPr>
            </w:pPr>
            <w:r>
              <w:rPr>
                <w:rFonts w:hint="default" w:ascii="Times New Roman" w:hAnsi="Times New Roman" w:cs="Times New Roman"/>
                <w:b/>
                <w:color w:val="auto"/>
                <w:spacing w:val="0"/>
                <w:kern w:val="2"/>
                <w:szCs w:val="24"/>
              </w:rPr>
              <w:t>建设项目</w:t>
            </w:r>
          </w:p>
          <w:p>
            <w:pPr>
              <w:spacing w:line="360" w:lineRule="auto"/>
              <w:ind w:firstLine="0" w:firstLineChars="0"/>
              <w:jc w:val="center"/>
              <w:rPr>
                <w:rFonts w:hint="default" w:ascii="Times New Roman" w:hAnsi="Times New Roman" w:cs="Times New Roman"/>
                <w:b/>
                <w:color w:val="auto"/>
                <w:spacing w:val="0"/>
                <w:kern w:val="2"/>
                <w:szCs w:val="24"/>
              </w:rPr>
            </w:pPr>
            <w:r>
              <w:rPr>
                <w:rFonts w:hint="default" w:ascii="Times New Roman" w:hAnsi="Times New Roman" w:cs="Times New Roman"/>
                <w:b/>
                <w:color w:val="auto"/>
                <w:spacing w:val="0"/>
                <w:kern w:val="2"/>
                <w:szCs w:val="24"/>
              </w:rPr>
              <w:t>行业类别</w:t>
            </w:r>
          </w:p>
        </w:tc>
        <w:tc>
          <w:tcPr>
            <w:tcW w:w="3229" w:type="dxa"/>
            <w:gridSpan w:val="2"/>
            <w:vAlign w:val="center"/>
          </w:tcPr>
          <w:p>
            <w:pPr>
              <w:pStyle w:val="146"/>
              <w:spacing w:line="360" w:lineRule="auto"/>
              <w:jc w:val="both"/>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highlight w:val="none"/>
              </w:rPr>
              <w:t>第四十九项“卫生”第108条“</w:t>
            </w:r>
            <w:r>
              <w:rPr>
                <w:rFonts w:hint="default" w:ascii="Times New Roman" w:hAnsi="Times New Roman" w:cs="Times New Roman"/>
                <w:color w:val="auto"/>
                <w:spacing w:val="0"/>
                <w:kern w:val="2"/>
                <w:sz w:val="24"/>
                <w:szCs w:val="24"/>
                <w:highlight w:val="none"/>
                <w:lang w:val="en-US" w:eastAsia="zh-CN"/>
              </w:rPr>
              <w:t>妇幼保健院（所、站）</w:t>
            </w:r>
            <w:r>
              <w:rPr>
                <w:rFonts w:hint="default" w:ascii="Times New Roman" w:hAnsi="Times New Roman" w:cs="Times New Roman"/>
                <w:color w:val="auto"/>
                <w:spacing w:val="0"/>
                <w:kern w:val="2"/>
                <w:sz w:val="24"/>
                <w:szCs w:val="24"/>
                <w:highlight w:val="none"/>
              </w:rPr>
              <w:t>”中的“其他（住院床位20张以下的除外）”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229" w:type="dxa"/>
            <w:vAlign w:val="center"/>
          </w:tcPr>
          <w:p>
            <w:pPr>
              <w:spacing w:line="360" w:lineRule="auto"/>
              <w:ind w:firstLine="0" w:firstLineChars="0"/>
              <w:jc w:val="center"/>
              <w:rPr>
                <w:rFonts w:hint="default" w:ascii="Times New Roman" w:hAnsi="Times New Roman" w:cs="Times New Roman"/>
                <w:b/>
                <w:color w:val="auto"/>
                <w:spacing w:val="0"/>
                <w:kern w:val="2"/>
                <w:szCs w:val="24"/>
              </w:rPr>
            </w:pPr>
            <w:r>
              <w:rPr>
                <w:rFonts w:hint="default" w:ascii="Times New Roman" w:hAnsi="Times New Roman" w:cs="Times New Roman"/>
                <w:b/>
                <w:color w:val="auto"/>
                <w:spacing w:val="0"/>
                <w:kern w:val="2"/>
                <w:szCs w:val="24"/>
              </w:rPr>
              <w:t>建设性质</w:t>
            </w:r>
          </w:p>
        </w:tc>
        <w:tc>
          <w:tcPr>
            <w:tcW w:w="1936" w:type="dxa"/>
            <w:vAlign w:val="center"/>
          </w:tcPr>
          <w:p>
            <w:pPr>
              <w:spacing w:line="360" w:lineRule="auto"/>
              <w:ind w:firstLine="0" w:firstLineChars="0"/>
              <w:jc w:val="left"/>
              <w:rPr>
                <w:rFonts w:hint="default" w:ascii="Times New Roman" w:hAnsi="Times New Roman" w:cs="Times New Roman"/>
                <w:color w:val="auto"/>
                <w:spacing w:val="0"/>
                <w:kern w:val="2"/>
                <w:szCs w:val="24"/>
              </w:rPr>
            </w:pPr>
            <w:r>
              <w:rPr>
                <w:rFonts w:hint="default" w:ascii="Times New Roman" w:hAnsi="Times New Roman" w:cs="Times New Roman"/>
                <w:color w:val="auto"/>
                <w:spacing w:val="0"/>
                <w:kern w:val="2"/>
                <w:szCs w:val="24"/>
              </w:rPr>
              <w:sym w:font="Wingdings 2" w:char="F052"/>
            </w:r>
            <w:r>
              <w:rPr>
                <w:rFonts w:hint="default" w:ascii="Times New Roman" w:hAnsi="Times New Roman" w:cs="Times New Roman"/>
                <w:color w:val="auto"/>
                <w:spacing w:val="0"/>
                <w:kern w:val="2"/>
                <w:szCs w:val="24"/>
              </w:rPr>
              <w:t>新建</w:t>
            </w:r>
          </w:p>
          <w:p>
            <w:pPr>
              <w:spacing w:line="360" w:lineRule="auto"/>
              <w:ind w:firstLine="0" w:firstLineChars="0"/>
              <w:jc w:val="left"/>
              <w:rPr>
                <w:rFonts w:hint="default" w:ascii="Times New Roman" w:hAnsi="Times New Roman" w:cs="Times New Roman"/>
                <w:color w:val="auto"/>
                <w:spacing w:val="0"/>
                <w:kern w:val="2"/>
                <w:szCs w:val="24"/>
              </w:rPr>
            </w:pPr>
            <w:r>
              <w:rPr>
                <w:rFonts w:hint="default" w:ascii="Times New Roman" w:hAnsi="Times New Roman" w:cs="Times New Roman"/>
                <w:color w:val="auto"/>
                <w:spacing w:val="0"/>
                <w:kern w:val="2"/>
                <w:szCs w:val="24"/>
              </w:rPr>
              <w:t>□改建</w:t>
            </w:r>
          </w:p>
          <w:p>
            <w:pPr>
              <w:spacing w:line="360" w:lineRule="auto"/>
              <w:ind w:firstLine="0" w:firstLineChars="0"/>
              <w:jc w:val="left"/>
              <w:rPr>
                <w:rFonts w:hint="default" w:ascii="Times New Roman" w:hAnsi="Times New Roman" w:cs="Times New Roman"/>
                <w:color w:val="auto"/>
                <w:spacing w:val="0"/>
                <w:kern w:val="2"/>
                <w:szCs w:val="24"/>
              </w:rPr>
            </w:pPr>
            <w:r>
              <w:rPr>
                <w:rFonts w:hint="default" w:ascii="Times New Roman" w:hAnsi="Times New Roman" w:cs="Times New Roman"/>
                <w:color w:val="auto"/>
                <w:spacing w:val="0"/>
                <w:kern w:val="2"/>
                <w:szCs w:val="24"/>
              </w:rPr>
              <w:t>□扩建</w:t>
            </w:r>
          </w:p>
          <w:p>
            <w:pPr>
              <w:spacing w:line="360" w:lineRule="auto"/>
              <w:ind w:firstLine="0" w:firstLineChars="0"/>
              <w:jc w:val="left"/>
              <w:rPr>
                <w:rFonts w:hint="default" w:ascii="Times New Roman" w:hAnsi="Times New Roman" w:cs="Times New Roman"/>
                <w:color w:val="auto"/>
                <w:spacing w:val="0"/>
                <w:kern w:val="2"/>
                <w:szCs w:val="24"/>
              </w:rPr>
            </w:pPr>
            <w:r>
              <w:rPr>
                <w:rFonts w:hint="default" w:ascii="Times New Roman" w:hAnsi="Times New Roman" w:cs="Times New Roman"/>
                <w:color w:val="auto"/>
                <w:spacing w:val="0"/>
                <w:kern w:val="2"/>
                <w:szCs w:val="24"/>
              </w:rPr>
              <w:t>□技术改造</w:t>
            </w:r>
          </w:p>
        </w:tc>
        <w:tc>
          <w:tcPr>
            <w:tcW w:w="2126" w:type="dxa"/>
            <w:gridSpan w:val="2"/>
            <w:vAlign w:val="center"/>
          </w:tcPr>
          <w:p>
            <w:pPr>
              <w:spacing w:line="360" w:lineRule="auto"/>
              <w:ind w:firstLine="0" w:firstLineChars="0"/>
              <w:jc w:val="center"/>
              <w:rPr>
                <w:rFonts w:hint="default" w:ascii="Times New Roman" w:hAnsi="Times New Roman" w:cs="Times New Roman"/>
                <w:b/>
                <w:color w:val="auto"/>
                <w:spacing w:val="0"/>
                <w:kern w:val="2"/>
                <w:szCs w:val="24"/>
              </w:rPr>
            </w:pPr>
            <w:r>
              <w:rPr>
                <w:rFonts w:hint="default" w:ascii="Times New Roman" w:hAnsi="Times New Roman" w:cs="Times New Roman"/>
                <w:b/>
                <w:color w:val="auto"/>
                <w:spacing w:val="0"/>
                <w:kern w:val="2"/>
                <w:szCs w:val="24"/>
              </w:rPr>
              <w:t>建设项目</w:t>
            </w:r>
          </w:p>
          <w:p>
            <w:pPr>
              <w:spacing w:line="360" w:lineRule="auto"/>
              <w:ind w:firstLine="0" w:firstLineChars="0"/>
              <w:jc w:val="center"/>
              <w:rPr>
                <w:rFonts w:hint="default" w:ascii="Times New Roman" w:hAnsi="Times New Roman" w:cs="Times New Roman"/>
                <w:b/>
                <w:color w:val="auto"/>
                <w:spacing w:val="0"/>
                <w:kern w:val="2"/>
                <w:szCs w:val="24"/>
              </w:rPr>
            </w:pPr>
            <w:r>
              <w:rPr>
                <w:rFonts w:hint="default" w:ascii="Times New Roman" w:hAnsi="Times New Roman" w:cs="Times New Roman"/>
                <w:b/>
                <w:color w:val="auto"/>
                <w:spacing w:val="0"/>
                <w:kern w:val="2"/>
                <w:szCs w:val="24"/>
              </w:rPr>
              <w:t>申报情形</w:t>
            </w:r>
          </w:p>
        </w:tc>
        <w:tc>
          <w:tcPr>
            <w:tcW w:w="3229" w:type="dxa"/>
            <w:gridSpan w:val="2"/>
            <w:vAlign w:val="center"/>
          </w:tcPr>
          <w:p>
            <w:pPr>
              <w:spacing w:line="360" w:lineRule="auto"/>
              <w:ind w:firstLine="0" w:firstLineChars="0"/>
              <w:jc w:val="left"/>
              <w:rPr>
                <w:rFonts w:hint="default" w:ascii="Times New Roman" w:hAnsi="Times New Roman" w:eastAsia="宋体" w:cs="Times New Roman"/>
                <w:color w:val="auto"/>
                <w:spacing w:val="0"/>
                <w:kern w:val="2"/>
              </w:rPr>
            </w:pPr>
            <w:r>
              <w:rPr>
                <w:rFonts w:hint="default" w:ascii="Times New Roman" w:hAnsi="Times New Roman" w:eastAsia="宋体" w:cs="Times New Roman"/>
                <w:color w:val="auto"/>
                <w:spacing w:val="0"/>
                <w:kern w:val="2"/>
              </w:rPr>
              <w:sym w:font="Wingdings 2" w:char="F052"/>
            </w:r>
            <w:r>
              <w:rPr>
                <w:rFonts w:hint="default" w:ascii="Times New Roman" w:hAnsi="Times New Roman" w:eastAsia="宋体" w:cs="Times New Roman"/>
                <w:color w:val="auto"/>
                <w:spacing w:val="0"/>
                <w:kern w:val="2"/>
              </w:rPr>
              <w:t>首次申报项目</w:t>
            </w:r>
          </w:p>
          <w:p>
            <w:pPr>
              <w:spacing w:line="360" w:lineRule="auto"/>
              <w:ind w:firstLine="0" w:firstLineChars="0"/>
              <w:jc w:val="left"/>
              <w:rPr>
                <w:rFonts w:hint="default" w:ascii="Times New Roman" w:hAnsi="Times New Roman" w:eastAsia="宋体" w:cs="Times New Roman"/>
                <w:color w:val="auto"/>
                <w:spacing w:val="0"/>
                <w:kern w:val="2"/>
              </w:rPr>
            </w:pPr>
            <w:r>
              <w:rPr>
                <w:rFonts w:hint="default" w:ascii="Times New Roman" w:hAnsi="Times New Roman" w:eastAsia="宋体" w:cs="Times New Roman"/>
                <w:color w:val="auto"/>
                <w:spacing w:val="0"/>
                <w:kern w:val="2"/>
              </w:rPr>
              <w:t>□不予批准后再次申报项目</w:t>
            </w:r>
          </w:p>
          <w:p>
            <w:pPr>
              <w:spacing w:line="360" w:lineRule="auto"/>
              <w:ind w:firstLine="0" w:firstLineChars="0"/>
              <w:jc w:val="left"/>
              <w:rPr>
                <w:rFonts w:hint="default" w:ascii="Times New Roman" w:hAnsi="Times New Roman" w:eastAsia="宋体" w:cs="Times New Roman"/>
                <w:color w:val="auto"/>
                <w:spacing w:val="0"/>
                <w:kern w:val="2"/>
              </w:rPr>
            </w:pPr>
            <w:r>
              <w:rPr>
                <w:rFonts w:hint="default" w:ascii="Times New Roman" w:hAnsi="Times New Roman" w:cs="Times New Roman"/>
                <w:color w:val="auto"/>
                <w:spacing w:val="0"/>
                <w:kern w:val="2"/>
                <w:szCs w:val="24"/>
              </w:rPr>
              <w:t>□</w:t>
            </w:r>
            <w:r>
              <w:rPr>
                <w:rFonts w:hint="default" w:ascii="Times New Roman" w:hAnsi="Times New Roman" w:eastAsia="宋体" w:cs="Times New Roman"/>
                <w:color w:val="auto"/>
                <w:spacing w:val="0"/>
                <w:kern w:val="2"/>
              </w:rPr>
              <w:t>超五年重新审核项目</w:t>
            </w:r>
          </w:p>
          <w:p>
            <w:pPr>
              <w:spacing w:line="360" w:lineRule="auto"/>
              <w:ind w:firstLine="0" w:firstLineChars="0"/>
              <w:jc w:val="left"/>
              <w:rPr>
                <w:rFonts w:hint="default" w:ascii="Times New Roman" w:hAnsi="Times New Roman" w:cs="Times New Roman"/>
                <w:color w:val="auto"/>
                <w:spacing w:val="0"/>
                <w:kern w:val="2"/>
                <w:szCs w:val="24"/>
              </w:rPr>
            </w:pPr>
            <w:r>
              <w:rPr>
                <w:rFonts w:hint="default" w:ascii="Times New Roman" w:hAnsi="Times New Roman" w:eastAsia="宋体" w:cs="Times New Roman"/>
                <w:color w:val="auto"/>
                <w:spacing w:val="0"/>
                <w:kern w:val="2"/>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229" w:type="dxa"/>
            <w:vAlign w:val="center"/>
          </w:tcPr>
          <w:p>
            <w:pPr>
              <w:spacing w:line="360" w:lineRule="auto"/>
              <w:ind w:firstLine="0" w:firstLineChars="0"/>
              <w:jc w:val="center"/>
              <w:rPr>
                <w:rFonts w:hint="default" w:ascii="Times New Roman" w:hAnsi="Times New Roman" w:cs="Times New Roman"/>
                <w:b/>
                <w:color w:val="auto"/>
                <w:spacing w:val="0"/>
                <w:kern w:val="2"/>
                <w:szCs w:val="24"/>
              </w:rPr>
            </w:pPr>
            <w:r>
              <w:rPr>
                <w:rFonts w:hint="default" w:ascii="Times New Roman" w:hAnsi="Times New Roman" w:cs="Times New Roman"/>
                <w:b/>
                <w:color w:val="auto"/>
                <w:spacing w:val="0"/>
                <w:kern w:val="2"/>
                <w:szCs w:val="24"/>
              </w:rPr>
              <w:t>项目审批（核准/备案）部门（选填）</w:t>
            </w:r>
          </w:p>
        </w:tc>
        <w:tc>
          <w:tcPr>
            <w:tcW w:w="1936" w:type="dxa"/>
            <w:vAlign w:val="center"/>
          </w:tcPr>
          <w:p>
            <w:pPr>
              <w:spacing w:line="360" w:lineRule="auto"/>
              <w:ind w:left="0" w:leftChars="0" w:right="0" w:rightChars="0" w:firstLine="0" w:firstLineChars="0"/>
              <w:jc w:val="center"/>
              <w:rPr>
                <w:rFonts w:hint="default" w:ascii="Times New Roman" w:hAnsi="Times New Roman" w:cs="Times New Roman" w:eastAsiaTheme="minorEastAsia"/>
                <w:color w:val="auto"/>
                <w:spacing w:val="0"/>
                <w:kern w:val="2"/>
                <w:szCs w:val="24"/>
                <w:lang w:val="en-US" w:eastAsia="zh-CN"/>
              </w:rPr>
            </w:pPr>
            <w:r>
              <w:rPr>
                <w:rFonts w:hint="default" w:ascii="Times New Roman" w:hAnsi="Times New Roman" w:cs="Times New Roman"/>
                <w:color w:val="auto"/>
                <w:spacing w:val="0"/>
                <w:kern w:val="2"/>
                <w:szCs w:val="24"/>
                <w:lang w:val="en-US" w:eastAsia="zh-CN"/>
              </w:rPr>
              <w:t>姚安县发展和改革局</w:t>
            </w:r>
          </w:p>
        </w:tc>
        <w:tc>
          <w:tcPr>
            <w:tcW w:w="2126" w:type="dxa"/>
            <w:gridSpan w:val="2"/>
            <w:vAlign w:val="center"/>
          </w:tcPr>
          <w:p>
            <w:pPr>
              <w:spacing w:line="360" w:lineRule="auto"/>
              <w:ind w:firstLine="0" w:firstLineChars="0"/>
              <w:jc w:val="center"/>
              <w:rPr>
                <w:rFonts w:hint="default" w:ascii="Times New Roman" w:hAnsi="Times New Roman" w:cs="Times New Roman"/>
                <w:b/>
                <w:color w:val="auto"/>
                <w:spacing w:val="0"/>
                <w:kern w:val="2"/>
                <w:szCs w:val="24"/>
              </w:rPr>
            </w:pPr>
            <w:r>
              <w:rPr>
                <w:rFonts w:hint="default" w:ascii="Times New Roman" w:hAnsi="Times New Roman" w:cs="Times New Roman"/>
                <w:b/>
                <w:color w:val="auto"/>
                <w:spacing w:val="0"/>
                <w:kern w:val="2"/>
                <w:szCs w:val="24"/>
              </w:rPr>
              <w:t>项目审批（核准/</w:t>
            </w:r>
          </w:p>
          <w:p>
            <w:pPr>
              <w:spacing w:line="360" w:lineRule="auto"/>
              <w:ind w:firstLine="0" w:firstLineChars="0"/>
              <w:jc w:val="center"/>
              <w:rPr>
                <w:rFonts w:hint="default" w:ascii="Times New Roman" w:hAnsi="Times New Roman" w:cs="Times New Roman"/>
                <w:b/>
                <w:color w:val="auto"/>
                <w:spacing w:val="0"/>
                <w:kern w:val="2"/>
                <w:szCs w:val="24"/>
              </w:rPr>
            </w:pPr>
            <w:r>
              <w:rPr>
                <w:rFonts w:hint="default" w:ascii="Times New Roman" w:hAnsi="Times New Roman" w:cs="Times New Roman"/>
                <w:b/>
                <w:color w:val="auto"/>
                <w:spacing w:val="0"/>
                <w:kern w:val="2"/>
                <w:szCs w:val="24"/>
              </w:rPr>
              <w:t>备案）文号（选填）</w:t>
            </w:r>
          </w:p>
        </w:tc>
        <w:tc>
          <w:tcPr>
            <w:tcW w:w="3229" w:type="dxa"/>
            <w:gridSpan w:val="2"/>
            <w:vAlign w:val="center"/>
          </w:tcPr>
          <w:p>
            <w:pPr>
              <w:spacing w:line="360" w:lineRule="auto"/>
              <w:ind w:firstLine="0" w:firstLineChars="0"/>
              <w:jc w:val="center"/>
              <w:rPr>
                <w:rFonts w:hint="default" w:ascii="Times New Roman" w:hAnsi="Times New Roman" w:eastAsia="宋体" w:cs="Times New Roman"/>
                <w:color w:val="auto"/>
                <w:spacing w:val="0"/>
                <w:kern w:val="2"/>
              </w:rPr>
            </w:pPr>
            <w:r>
              <w:rPr>
                <w:rFonts w:hint="default" w:ascii="Times New Roman" w:hAnsi="Times New Roman" w:eastAsia="宋体" w:cs="Times New Roman"/>
                <w:color w:val="auto"/>
                <w:spacing w:val="0"/>
                <w:kern w:val="2"/>
              </w:rPr>
              <w:t>姚发改〔2020〕</w:t>
            </w:r>
            <w:r>
              <w:rPr>
                <w:rFonts w:hint="default" w:ascii="Times New Roman" w:hAnsi="Times New Roman" w:eastAsia="宋体" w:cs="Times New Roman"/>
                <w:color w:val="auto"/>
                <w:spacing w:val="0"/>
                <w:kern w:val="2"/>
                <w:lang w:val="en-US" w:eastAsia="zh-CN"/>
              </w:rPr>
              <w:t>13</w:t>
            </w:r>
            <w:r>
              <w:rPr>
                <w:rFonts w:hint="eastAsia" w:eastAsia="宋体" w:cs="Times New Roman"/>
                <w:color w:val="auto"/>
                <w:spacing w:val="0"/>
                <w:kern w:val="2"/>
                <w:lang w:val="en-US" w:eastAsia="zh-CN"/>
              </w:rPr>
              <w:t>6</w:t>
            </w:r>
            <w:r>
              <w:rPr>
                <w:rFonts w:hint="default" w:ascii="Times New Roman" w:hAnsi="Times New Roman" w:eastAsia="宋体" w:cs="Times New Roman"/>
                <w:color w:val="auto"/>
                <w:spacing w:val="0"/>
                <w:kern w:val="2"/>
              </w:rPr>
              <w:t>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229" w:type="dxa"/>
            <w:vAlign w:val="center"/>
          </w:tcPr>
          <w:p>
            <w:pPr>
              <w:spacing w:line="360" w:lineRule="auto"/>
              <w:ind w:firstLine="0" w:firstLineChars="0"/>
              <w:jc w:val="center"/>
              <w:rPr>
                <w:rFonts w:hint="default" w:ascii="Times New Roman" w:hAnsi="Times New Roman" w:cs="Times New Roman"/>
                <w:b/>
                <w:color w:val="auto"/>
                <w:spacing w:val="0"/>
                <w:kern w:val="2"/>
                <w:szCs w:val="24"/>
              </w:rPr>
            </w:pPr>
            <w:r>
              <w:rPr>
                <w:rFonts w:hint="default" w:ascii="Times New Roman" w:hAnsi="Times New Roman" w:cs="Times New Roman"/>
                <w:b/>
                <w:color w:val="auto"/>
                <w:spacing w:val="0"/>
                <w:kern w:val="2"/>
                <w:szCs w:val="24"/>
              </w:rPr>
              <w:t>总投资(万元)</w:t>
            </w:r>
          </w:p>
        </w:tc>
        <w:tc>
          <w:tcPr>
            <w:tcW w:w="1936" w:type="dxa"/>
            <w:vAlign w:val="center"/>
          </w:tcPr>
          <w:p>
            <w:pPr>
              <w:spacing w:line="360" w:lineRule="auto"/>
              <w:ind w:left="0" w:leftChars="0" w:right="0" w:rightChars="0" w:firstLine="0" w:firstLineChars="0"/>
              <w:jc w:val="center"/>
              <w:rPr>
                <w:rFonts w:hint="default" w:ascii="Times New Roman" w:hAnsi="Times New Roman" w:cs="Times New Roman"/>
                <w:color w:val="auto"/>
                <w:spacing w:val="0"/>
                <w:kern w:val="2"/>
                <w:lang w:val="en-US"/>
              </w:rPr>
            </w:pPr>
            <w:r>
              <w:rPr>
                <w:rFonts w:hint="default" w:ascii="Times New Roman" w:hAnsi="Times New Roman" w:cs="Times New Roman"/>
                <w:color w:val="auto"/>
                <w:spacing w:val="0"/>
                <w:kern w:val="2"/>
                <w:lang w:val="en-US" w:eastAsia="zh-CN"/>
              </w:rPr>
              <w:t>20500</w:t>
            </w:r>
          </w:p>
        </w:tc>
        <w:tc>
          <w:tcPr>
            <w:tcW w:w="2126" w:type="dxa"/>
            <w:gridSpan w:val="2"/>
            <w:vAlign w:val="center"/>
          </w:tcPr>
          <w:p>
            <w:pPr>
              <w:spacing w:line="360" w:lineRule="auto"/>
              <w:ind w:firstLine="0" w:firstLineChars="0"/>
              <w:rPr>
                <w:rFonts w:hint="default" w:ascii="Times New Roman" w:hAnsi="Times New Roman" w:cs="Times New Roman"/>
                <w:b/>
                <w:color w:val="auto"/>
                <w:spacing w:val="0"/>
                <w:kern w:val="2"/>
                <w:highlight w:val="none"/>
              </w:rPr>
            </w:pPr>
            <w:r>
              <w:rPr>
                <w:rFonts w:hint="default" w:ascii="Times New Roman" w:hAnsi="Times New Roman" w:cs="Times New Roman"/>
                <w:b/>
                <w:color w:val="auto"/>
                <w:spacing w:val="0"/>
                <w:kern w:val="2"/>
                <w:highlight w:val="none"/>
              </w:rPr>
              <w:t>环保投资（万元）</w:t>
            </w:r>
          </w:p>
        </w:tc>
        <w:tc>
          <w:tcPr>
            <w:tcW w:w="3229" w:type="dxa"/>
            <w:gridSpan w:val="2"/>
            <w:vAlign w:val="center"/>
          </w:tcPr>
          <w:p>
            <w:pPr>
              <w:spacing w:line="360" w:lineRule="auto"/>
              <w:ind w:left="0" w:leftChars="0" w:right="0" w:rightChars="0" w:firstLine="0" w:firstLineChars="0"/>
              <w:jc w:val="center"/>
              <w:rPr>
                <w:rFonts w:hint="default" w:ascii="Times New Roman" w:hAnsi="Times New Roman" w:cs="Times New Roman" w:eastAsiaTheme="minorEastAsia"/>
                <w:color w:val="auto"/>
                <w:spacing w:val="0"/>
                <w:kern w:val="2"/>
                <w:highlight w:val="none"/>
                <w:lang w:eastAsia="zh-CN"/>
              </w:rPr>
            </w:pPr>
            <w:r>
              <w:rPr>
                <w:rFonts w:hint="eastAsia" w:cs="Times New Roman"/>
                <w:color w:val="auto"/>
                <w:spacing w:val="0"/>
                <w:kern w:val="2"/>
                <w:highlight w:val="none"/>
                <w:lang w:eastAsia="zh-CN"/>
              </w:rPr>
              <w:t>154.2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229" w:type="dxa"/>
            <w:vAlign w:val="center"/>
          </w:tcPr>
          <w:p>
            <w:pPr>
              <w:spacing w:line="360" w:lineRule="auto"/>
              <w:ind w:firstLine="0" w:firstLineChars="0"/>
              <w:jc w:val="center"/>
              <w:rPr>
                <w:rFonts w:hint="default" w:ascii="Times New Roman" w:hAnsi="Times New Roman" w:cs="Times New Roman"/>
                <w:b/>
                <w:color w:val="auto"/>
                <w:spacing w:val="0"/>
                <w:kern w:val="2"/>
                <w:szCs w:val="24"/>
              </w:rPr>
            </w:pPr>
            <w:r>
              <w:rPr>
                <w:rFonts w:hint="default" w:ascii="Times New Roman" w:hAnsi="Times New Roman" w:cs="Times New Roman"/>
                <w:b/>
                <w:color w:val="auto"/>
                <w:spacing w:val="0"/>
                <w:kern w:val="2"/>
                <w:szCs w:val="24"/>
              </w:rPr>
              <w:t>环保投资占比（%）</w:t>
            </w:r>
          </w:p>
        </w:tc>
        <w:tc>
          <w:tcPr>
            <w:tcW w:w="1936" w:type="dxa"/>
            <w:vAlign w:val="center"/>
          </w:tcPr>
          <w:p>
            <w:pPr>
              <w:spacing w:line="360" w:lineRule="auto"/>
              <w:ind w:left="0" w:leftChars="0" w:right="0" w:rightChars="0" w:firstLine="0" w:firstLineChars="0"/>
              <w:jc w:val="center"/>
              <w:rPr>
                <w:rFonts w:hint="default" w:ascii="Times New Roman" w:hAnsi="Times New Roman" w:cs="Times New Roman" w:eastAsiaTheme="minorEastAsia"/>
                <w:color w:val="auto"/>
                <w:spacing w:val="0"/>
                <w:kern w:val="2"/>
                <w:szCs w:val="24"/>
                <w:lang w:eastAsia="zh-CN"/>
              </w:rPr>
            </w:pPr>
            <w:r>
              <w:rPr>
                <w:rFonts w:hint="eastAsia" w:cs="Times New Roman"/>
                <w:color w:val="auto"/>
                <w:spacing w:val="0"/>
                <w:kern w:val="2"/>
                <w:szCs w:val="24"/>
                <w:highlight w:val="none"/>
                <w:lang w:eastAsia="zh-CN"/>
              </w:rPr>
              <w:t>0.75</w:t>
            </w:r>
          </w:p>
        </w:tc>
        <w:tc>
          <w:tcPr>
            <w:tcW w:w="2126" w:type="dxa"/>
            <w:gridSpan w:val="2"/>
            <w:vAlign w:val="center"/>
          </w:tcPr>
          <w:p>
            <w:pPr>
              <w:spacing w:line="360" w:lineRule="auto"/>
              <w:ind w:firstLine="0" w:firstLineChars="0"/>
              <w:jc w:val="center"/>
              <w:rPr>
                <w:rFonts w:hint="default" w:ascii="Times New Roman" w:hAnsi="Times New Roman" w:cs="Times New Roman"/>
                <w:b/>
                <w:color w:val="auto"/>
                <w:spacing w:val="0"/>
                <w:kern w:val="2"/>
              </w:rPr>
            </w:pPr>
            <w:r>
              <w:rPr>
                <w:rFonts w:hint="default" w:ascii="Times New Roman" w:hAnsi="Times New Roman" w:cs="Times New Roman"/>
                <w:b/>
                <w:color w:val="auto"/>
                <w:spacing w:val="0"/>
                <w:kern w:val="2"/>
              </w:rPr>
              <w:t>施工工期</w:t>
            </w:r>
          </w:p>
        </w:tc>
        <w:tc>
          <w:tcPr>
            <w:tcW w:w="3229" w:type="dxa"/>
            <w:gridSpan w:val="2"/>
            <w:vAlign w:val="center"/>
          </w:tcPr>
          <w:p>
            <w:pPr>
              <w:spacing w:line="360" w:lineRule="auto"/>
              <w:ind w:left="0" w:leftChars="0" w:right="0" w:rightChars="0" w:firstLine="0" w:firstLineChars="0"/>
              <w:jc w:val="center"/>
              <w:rPr>
                <w:rFonts w:hint="default" w:ascii="Times New Roman" w:hAnsi="Times New Roman" w:cs="Times New Roman"/>
                <w:color w:val="auto"/>
                <w:spacing w:val="0"/>
                <w:kern w:val="2"/>
              </w:rPr>
            </w:pPr>
            <w:r>
              <w:rPr>
                <w:rFonts w:hint="default" w:ascii="Times New Roman" w:hAnsi="Times New Roman" w:cs="Times New Roman"/>
                <w:color w:val="auto"/>
                <w:spacing w:val="0"/>
                <w:kern w:val="2"/>
                <w:lang w:val="en-US" w:eastAsia="zh-CN"/>
              </w:rPr>
              <w:t>30</w:t>
            </w:r>
            <w:r>
              <w:rPr>
                <w:rFonts w:hint="default" w:ascii="Times New Roman" w:hAnsi="Times New Roman" w:cs="Times New Roman"/>
                <w:color w:val="auto"/>
                <w:spacing w:val="0"/>
                <w:kern w:val="2"/>
              </w:rPr>
              <w:t>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229" w:type="dxa"/>
            <w:vAlign w:val="center"/>
          </w:tcPr>
          <w:p>
            <w:pPr>
              <w:spacing w:line="360" w:lineRule="auto"/>
              <w:ind w:firstLine="0" w:firstLineChars="0"/>
              <w:jc w:val="center"/>
              <w:rPr>
                <w:rFonts w:hint="default" w:ascii="Times New Roman" w:hAnsi="Times New Roman" w:cs="Times New Roman"/>
                <w:b/>
                <w:color w:val="auto"/>
                <w:spacing w:val="0"/>
                <w:kern w:val="2"/>
                <w:szCs w:val="24"/>
              </w:rPr>
            </w:pPr>
            <w:r>
              <w:rPr>
                <w:rFonts w:hint="default" w:ascii="Times New Roman" w:hAnsi="Times New Roman" w:cs="Times New Roman"/>
                <w:b/>
                <w:color w:val="auto"/>
                <w:spacing w:val="0"/>
                <w:kern w:val="2"/>
                <w:szCs w:val="24"/>
              </w:rPr>
              <w:t>是否开工建</w:t>
            </w:r>
          </w:p>
        </w:tc>
        <w:tc>
          <w:tcPr>
            <w:tcW w:w="1936" w:type="dxa"/>
            <w:vAlign w:val="center"/>
          </w:tcPr>
          <w:p>
            <w:pPr>
              <w:spacing w:line="360" w:lineRule="auto"/>
              <w:ind w:firstLine="0" w:firstLineChars="0"/>
              <w:jc w:val="left"/>
              <w:rPr>
                <w:rFonts w:hint="default" w:ascii="Times New Roman" w:hAnsi="Times New Roman" w:cs="Times New Roman"/>
                <w:color w:val="auto"/>
                <w:spacing w:val="0"/>
                <w:kern w:val="2"/>
                <w:szCs w:val="24"/>
              </w:rPr>
            </w:pPr>
            <w:r>
              <w:rPr>
                <w:rFonts w:hint="default" w:ascii="Times New Roman" w:hAnsi="Times New Roman" w:cs="Times New Roman"/>
                <w:color w:val="auto"/>
                <w:spacing w:val="0"/>
                <w:kern w:val="2"/>
                <w:szCs w:val="24"/>
              </w:rPr>
              <w:sym w:font="Wingdings 2" w:char="0052"/>
            </w:r>
            <w:r>
              <w:rPr>
                <w:rFonts w:hint="default" w:ascii="Times New Roman" w:hAnsi="Times New Roman" w:cs="Times New Roman"/>
                <w:color w:val="auto"/>
                <w:spacing w:val="0"/>
                <w:kern w:val="2"/>
                <w:szCs w:val="24"/>
              </w:rPr>
              <w:t>否</w:t>
            </w:r>
          </w:p>
          <w:p>
            <w:pPr>
              <w:spacing w:line="360" w:lineRule="auto"/>
              <w:ind w:firstLine="0" w:firstLineChars="0"/>
              <w:jc w:val="left"/>
              <w:rPr>
                <w:rFonts w:hint="default" w:ascii="Times New Roman" w:hAnsi="Times New Roman" w:cs="Times New Roman"/>
                <w:color w:val="auto"/>
                <w:spacing w:val="0"/>
                <w:kern w:val="2"/>
                <w:szCs w:val="24"/>
              </w:rPr>
            </w:pPr>
            <w:r>
              <w:rPr>
                <w:rFonts w:hint="default" w:ascii="Times New Roman" w:hAnsi="Times New Roman" w:cs="Times New Roman"/>
                <w:color w:val="auto"/>
                <w:spacing w:val="0"/>
                <w:kern w:val="2"/>
                <w:szCs w:val="24"/>
              </w:rPr>
              <w:sym w:font="Wingdings 2" w:char="00A3"/>
            </w:r>
            <w:r>
              <w:rPr>
                <w:rFonts w:hint="default" w:ascii="Times New Roman" w:hAnsi="Times New Roman" w:cs="Times New Roman"/>
                <w:color w:val="auto"/>
                <w:spacing w:val="0"/>
                <w:kern w:val="2"/>
                <w:szCs w:val="24"/>
              </w:rPr>
              <w:t>是</w:t>
            </w:r>
          </w:p>
        </w:tc>
        <w:tc>
          <w:tcPr>
            <w:tcW w:w="2126" w:type="dxa"/>
            <w:gridSpan w:val="2"/>
            <w:vAlign w:val="center"/>
          </w:tcPr>
          <w:p>
            <w:pPr>
              <w:spacing w:line="360" w:lineRule="auto"/>
              <w:ind w:firstLine="0" w:firstLineChars="0"/>
              <w:jc w:val="center"/>
              <w:rPr>
                <w:rFonts w:hint="default" w:ascii="Times New Roman" w:hAnsi="Times New Roman" w:cs="Times New Roman"/>
                <w:b/>
                <w:color w:val="auto"/>
                <w:spacing w:val="0"/>
                <w:kern w:val="2"/>
                <w:szCs w:val="24"/>
              </w:rPr>
            </w:pPr>
            <w:r>
              <w:rPr>
                <w:rFonts w:hint="default" w:ascii="Times New Roman" w:hAnsi="Times New Roman" w:cs="Times New Roman"/>
                <w:b/>
                <w:color w:val="auto"/>
                <w:spacing w:val="0"/>
                <w:kern w:val="2"/>
                <w:szCs w:val="24"/>
              </w:rPr>
              <w:t>用地（用海）</w:t>
            </w:r>
          </w:p>
          <w:p>
            <w:pPr>
              <w:spacing w:line="360" w:lineRule="auto"/>
              <w:ind w:firstLine="0" w:firstLineChars="0"/>
              <w:jc w:val="center"/>
              <w:rPr>
                <w:rFonts w:hint="default" w:ascii="Times New Roman" w:hAnsi="Times New Roman" w:cs="Times New Roman"/>
                <w:b/>
                <w:color w:val="auto"/>
                <w:spacing w:val="0"/>
                <w:kern w:val="2"/>
                <w:szCs w:val="24"/>
              </w:rPr>
            </w:pPr>
            <w:r>
              <w:rPr>
                <w:rFonts w:hint="default" w:ascii="Times New Roman" w:hAnsi="Times New Roman" w:cs="Times New Roman"/>
                <w:b/>
                <w:color w:val="auto"/>
                <w:spacing w:val="0"/>
                <w:kern w:val="2"/>
                <w:szCs w:val="24"/>
              </w:rPr>
              <w:t>面积（m</w:t>
            </w:r>
            <w:r>
              <w:rPr>
                <w:rFonts w:hint="default" w:ascii="Times New Roman" w:hAnsi="Times New Roman" w:cs="Times New Roman"/>
                <w:b/>
                <w:color w:val="auto"/>
                <w:spacing w:val="0"/>
                <w:kern w:val="2"/>
                <w:szCs w:val="24"/>
                <w:vertAlign w:val="superscript"/>
              </w:rPr>
              <w:t>2</w:t>
            </w:r>
            <w:r>
              <w:rPr>
                <w:rFonts w:hint="default" w:ascii="Times New Roman" w:hAnsi="Times New Roman" w:cs="Times New Roman"/>
                <w:b/>
                <w:color w:val="auto"/>
                <w:spacing w:val="0"/>
                <w:kern w:val="2"/>
                <w:szCs w:val="24"/>
              </w:rPr>
              <w:t>）</w:t>
            </w:r>
          </w:p>
        </w:tc>
        <w:tc>
          <w:tcPr>
            <w:tcW w:w="3229" w:type="dxa"/>
            <w:gridSpan w:val="2"/>
            <w:vAlign w:val="center"/>
          </w:tcPr>
          <w:p>
            <w:pPr>
              <w:spacing w:line="360" w:lineRule="auto"/>
              <w:ind w:left="0" w:leftChars="0" w:right="0" w:rightChars="0" w:firstLine="0" w:firstLineChars="0"/>
              <w:jc w:val="center"/>
              <w:rPr>
                <w:rFonts w:hint="default" w:ascii="Times New Roman" w:hAnsi="Times New Roman" w:cs="Times New Roman" w:eastAsiaTheme="minorEastAsia"/>
                <w:color w:val="auto"/>
                <w:spacing w:val="0"/>
                <w:kern w:val="2"/>
                <w:lang w:val="en-US" w:eastAsia="zh-CN"/>
              </w:rPr>
            </w:pPr>
            <w:r>
              <w:rPr>
                <w:rFonts w:hint="default" w:ascii="Times New Roman" w:hAnsi="Times New Roman" w:cs="Times New Roman"/>
                <w:color w:val="auto"/>
                <w:spacing w:val="0"/>
                <w:kern w:val="2"/>
              </w:rPr>
              <w:t>11534.99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2229" w:type="dxa"/>
            <w:vAlign w:val="center"/>
          </w:tcPr>
          <w:p>
            <w:pPr>
              <w:adjustRightInd w:val="0"/>
              <w:snapToGrid w:val="0"/>
              <w:spacing w:line="360" w:lineRule="auto"/>
              <w:ind w:firstLine="0" w:firstLineChars="0"/>
              <w:jc w:val="center"/>
              <w:rPr>
                <w:rFonts w:hint="default" w:ascii="Times New Roman" w:hAnsi="Times New Roman" w:cs="Times New Roman"/>
                <w:b/>
                <w:bCs/>
                <w:color w:val="auto"/>
                <w:spacing w:val="0"/>
                <w:kern w:val="2"/>
                <w:szCs w:val="24"/>
              </w:rPr>
            </w:pPr>
            <w:r>
              <w:rPr>
                <w:rFonts w:hint="default" w:ascii="Times New Roman" w:hAnsi="Times New Roman" w:cs="Times New Roman"/>
                <w:b/>
                <w:bCs/>
                <w:color w:val="auto"/>
                <w:spacing w:val="0"/>
                <w:kern w:val="2"/>
                <w:szCs w:val="24"/>
              </w:rPr>
              <w:t>专项评价设置情况</w:t>
            </w:r>
          </w:p>
        </w:tc>
        <w:tc>
          <w:tcPr>
            <w:tcW w:w="7291" w:type="dxa"/>
            <w:gridSpan w:val="5"/>
            <w:vAlign w:val="center"/>
          </w:tcPr>
          <w:p>
            <w:pPr>
              <w:keepNext w:val="0"/>
              <w:keepLines w:val="0"/>
              <w:pageBreakBefore w:val="0"/>
              <w:widowControl w:val="0"/>
              <w:kinsoku/>
              <w:wordWrap/>
              <w:overflowPunct/>
              <w:topLinePunct w:val="0"/>
              <w:autoSpaceDE/>
              <w:autoSpaceDN/>
              <w:bidi w:val="0"/>
              <w:adjustRightInd w:val="0"/>
              <w:snapToGrid w:val="0"/>
              <w:spacing w:before="164" w:beforeLines="50" w:line="360" w:lineRule="auto"/>
              <w:ind w:firstLine="480" w:firstLineChars="200"/>
              <w:textAlignment w:val="auto"/>
              <w:rPr>
                <w:rFonts w:hint="default" w:ascii="Times New Roman" w:hAnsi="Times New Roman" w:cs="Times New Roman"/>
                <w:color w:val="auto"/>
                <w:spacing w:val="0"/>
                <w:kern w:val="2"/>
                <w:lang w:val="en-US" w:eastAsia="zh-CN"/>
              </w:rPr>
            </w:pPr>
            <w:r>
              <w:rPr>
                <w:rFonts w:hint="default" w:ascii="Times New Roman" w:hAnsi="Times New Roman" w:cs="Times New Roman"/>
                <w:color w:val="auto"/>
                <w:spacing w:val="0"/>
                <w:kern w:val="2"/>
                <w:lang w:val="en-US" w:eastAsia="zh-CN"/>
              </w:rPr>
              <w:t>根据《建设项目环境影响报告表编制技术指南（污染影响类）》：</w:t>
            </w:r>
          </w:p>
          <w:p>
            <w:pPr>
              <w:adjustRightInd w:val="0"/>
              <w:snapToGrid w:val="0"/>
              <w:spacing w:line="360" w:lineRule="auto"/>
              <w:ind w:left="0" w:leftChars="0" w:right="0" w:rightChars="0" w:firstLine="0" w:firstLineChars="0"/>
              <w:jc w:val="center"/>
              <w:rPr>
                <w:rFonts w:hint="default" w:ascii="Times New Roman" w:hAnsi="Times New Roman" w:eastAsia="宋体" w:cs="Times New Roman"/>
                <w:b/>
                <w:bCs w:val="0"/>
                <w:color w:val="auto"/>
                <w:spacing w:val="0"/>
                <w:kern w:val="2"/>
                <w:sz w:val="21"/>
                <w:szCs w:val="21"/>
              </w:rPr>
            </w:pPr>
            <w:r>
              <w:rPr>
                <w:rFonts w:hint="default" w:ascii="Times New Roman" w:hAnsi="Times New Roman" w:eastAsia="宋体" w:cs="Times New Roman"/>
                <w:b/>
                <w:bCs w:val="0"/>
                <w:color w:val="auto"/>
                <w:spacing w:val="0"/>
                <w:kern w:val="2"/>
                <w:sz w:val="21"/>
                <w:szCs w:val="21"/>
              </w:rPr>
              <w:t>表1-1  专项评价设置原则表</w:t>
            </w:r>
          </w:p>
          <w:tbl>
            <w:tblPr>
              <w:tblStyle w:val="37"/>
              <w:tblW w:w="71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3034"/>
              <w:gridCol w:w="3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89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spacing w:after="0" w:line="360" w:lineRule="auto"/>
                    <w:ind w:firstLine="0" w:firstLineChars="0"/>
                    <w:jc w:val="center"/>
                    <w:rPr>
                      <w:rFonts w:hint="default" w:ascii="Times New Roman" w:hAnsi="Times New Roman" w:cs="Times New Roman"/>
                      <w:b/>
                      <w:color w:val="auto"/>
                      <w:spacing w:val="0"/>
                      <w:kern w:val="2"/>
                      <w:sz w:val="21"/>
                    </w:rPr>
                  </w:pPr>
                  <w:r>
                    <w:rPr>
                      <w:rFonts w:hint="default" w:ascii="Times New Roman" w:hAnsi="Times New Roman" w:cs="Times New Roman"/>
                      <w:b/>
                      <w:color w:val="auto"/>
                      <w:spacing w:val="0"/>
                      <w:kern w:val="2"/>
                      <w:sz w:val="21"/>
                    </w:rPr>
                    <w:t>专项评价的原则</w:t>
                  </w:r>
                </w:p>
              </w:tc>
              <w:tc>
                <w:tcPr>
                  <w:tcW w:w="303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spacing w:after="0" w:line="360" w:lineRule="auto"/>
                    <w:ind w:firstLine="0" w:firstLineChars="0"/>
                    <w:jc w:val="center"/>
                    <w:rPr>
                      <w:rFonts w:hint="default" w:ascii="Times New Roman" w:hAnsi="Times New Roman" w:cs="Times New Roman"/>
                      <w:b/>
                      <w:color w:val="auto"/>
                      <w:spacing w:val="0"/>
                      <w:kern w:val="2"/>
                      <w:sz w:val="21"/>
                    </w:rPr>
                  </w:pPr>
                  <w:r>
                    <w:rPr>
                      <w:rFonts w:hint="default" w:ascii="Times New Roman" w:hAnsi="Times New Roman" w:cs="Times New Roman"/>
                      <w:b/>
                      <w:color w:val="auto"/>
                      <w:spacing w:val="0"/>
                      <w:kern w:val="2"/>
                      <w:sz w:val="21"/>
                    </w:rPr>
                    <w:t>设置原则</w:t>
                  </w:r>
                </w:p>
              </w:tc>
              <w:tc>
                <w:tcPr>
                  <w:tcW w:w="319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spacing w:after="0" w:line="360" w:lineRule="auto"/>
                    <w:ind w:firstLine="0" w:firstLineChars="0"/>
                    <w:jc w:val="center"/>
                    <w:rPr>
                      <w:rFonts w:hint="default" w:ascii="Times New Roman" w:hAnsi="Times New Roman" w:cs="Times New Roman"/>
                      <w:b/>
                      <w:color w:val="auto"/>
                      <w:spacing w:val="0"/>
                      <w:kern w:val="2"/>
                      <w:sz w:val="21"/>
                    </w:rPr>
                  </w:pPr>
                  <w:r>
                    <w:rPr>
                      <w:rFonts w:hint="default" w:ascii="Times New Roman" w:hAnsi="Times New Roman" w:cs="Times New Roman"/>
                      <w:b/>
                      <w:color w:val="auto"/>
                      <w:spacing w:val="0"/>
                      <w:kern w:val="2"/>
                      <w:sz w:val="21"/>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jc w:val="center"/>
              </w:trPr>
              <w:tc>
                <w:tcPr>
                  <w:tcW w:w="89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spacing w:after="0" w:line="360" w:lineRule="auto"/>
                    <w:ind w:firstLine="0" w:firstLineChars="0"/>
                    <w:jc w:val="center"/>
                    <w:rPr>
                      <w:rFonts w:hint="default" w:ascii="Times New Roman" w:hAnsi="Times New Roman" w:cs="Times New Roman"/>
                      <w:color w:val="auto"/>
                      <w:spacing w:val="0"/>
                      <w:kern w:val="2"/>
                      <w:sz w:val="21"/>
                    </w:rPr>
                  </w:pPr>
                  <w:r>
                    <w:rPr>
                      <w:rFonts w:hint="default" w:ascii="Times New Roman" w:hAnsi="Times New Roman" w:cs="Times New Roman"/>
                      <w:color w:val="auto"/>
                      <w:spacing w:val="0"/>
                      <w:kern w:val="2"/>
                      <w:sz w:val="21"/>
                    </w:rPr>
                    <w:t>大气</w:t>
                  </w:r>
                </w:p>
              </w:tc>
              <w:tc>
                <w:tcPr>
                  <w:tcW w:w="303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spacing w:line="360" w:lineRule="auto"/>
                    <w:ind w:firstLine="0" w:firstLineChars="0"/>
                    <w:rPr>
                      <w:rFonts w:hint="default" w:ascii="Times New Roman" w:hAnsi="Times New Roman" w:cs="Times New Roman"/>
                      <w:color w:val="auto"/>
                      <w:spacing w:val="0"/>
                      <w:kern w:val="2"/>
                      <w:sz w:val="21"/>
                    </w:rPr>
                  </w:pPr>
                  <w:r>
                    <w:rPr>
                      <w:rFonts w:hint="default" w:ascii="Times New Roman" w:hAnsi="Times New Roman" w:cs="Times New Roman"/>
                      <w:color w:val="auto"/>
                      <w:spacing w:val="0"/>
                      <w:kern w:val="2"/>
                      <w:sz w:val="21"/>
                    </w:rPr>
                    <w:t>排放废气含有毒有害污染物</w:t>
                  </w:r>
                  <w:r>
                    <w:rPr>
                      <w:rFonts w:hint="default" w:ascii="Times New Roman" w:hAnsi="Times New Roman" w:cs="Times New Roman"/>
                      <w:color w:val="auto"/>
                      <w:spacing w:val="0"/>
                      <w:kern w:val="2"/>
                      <w:sz w:val="21"/>
                      <w:vertAlign w:val="superscript"/>
                    </w:rPr>
                    <w:t>1</w:t>
                  </w:r>
                  <w:r>
                    <w:rPr>
                      <w:rFonts w:hint="default" w:ascii="Times New Roman" w:hAnsi="Times New Roman" w:cs="Times New Roman"/>
                      <w:color w:val="auto"/>
                      <w:spacing w:val="0"/>
                      <w:kern w:val="2"/>
                      <w:sz w:val="21"/>
                    </w:rPr>
                    <w:t>、二噁英、苯并[a]芘、氰化物、氯气且厂界外500米范围内有环境空气保护目标</w:t>
                  </w:r>
                  <w:r>
                    <w:rPr>
                      <w:rFonts w:hint="default" w:ascii="Times New Roman" w:hAnsi="Times New Roman" w:cs="Times New Roman"/>
                      <w:color w:val="auto"/>
                      <w:spacing w:val="0"/>
                      <w:kern w:val="2"/>
                      <w:sz w:val="21"/>
                      <w:vertAlign w:val="superscript"/>
                    </w:rPr>
                    <w:t>2</w:t>
                  </w:r>
                  <w:r>
                    <w:rPr>
                      <w:rFonts w:hint="default" w:ascii="Times New Roman" w:hAnsi="Times New Roman" w:cs="Times New Roman"/>
                      <w:color w:val="auto"/>
                      <w:spacing w:val="0"/>
                      <w:kern w:val="2"/>
                      <w:sz w:val="21"/>
                    </w:rPr>
                    <w:t>的建设项目</w:t>
                  </w:r>
                </w:p>
              </w:tc>
              <w:tc>
                <w:tcPr>
                  <w:tcW w:w="319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spacing w:after="0" w:line="360" w:lineRule="auto"/>
                    <w:ind w:firstLine="0" w:firstLineChars="0"/>
                    <w:rPr>
                      <w:rFonts w:hint="default" w:ascii="Times New Roman" w:hAnsi="Times New Roman" w:cs="Times New Roman"/>
                      <w:color w:val="auto"/>
                      <w:spacing w:val="0"/>
                      <w:kern w:val="2"/>
                      <w:sz w:val="21"/>
                    </w:rPr>
                  </w:pPr>
                  <w:r>
                    <w:rPr>
                      <w:rFonts w:hint="default" w:ascii="Times New Roman" w:hAnsi="Times New Roman" w:cs="Times New Roman"/>
                      <w:color w:val="auto"/>
                      <w:spacing w:val="0"/>
                      <w:kern w:val="2"/>
                      <w:sz w:val="21"/>
                    </w:rPr>
                    <w:t>项目为姚安县保健院妇婴医院住院综合楼建设项目</w:t>
                  </w:r>
                  <w:r>
                    <w:rPr>
                      <w:rFonts w:hint="default" w:ascii="Times New Roman" w:hAnsi="Times New Roman" w:cs="Times New Roman"/>
                      <w:color w:val="auto"/>
                      <w:spacing w:val="0"/>
                      <w:kern w:val="2"/>
                      <w:sz w:val="21"/>
                      <w:lang w:eastAsia="zh-CN"/>
                    </w:rPr>
                    <w:t>，</w:t>
                  </w:r>
                  <w:r>
                    <w:rPr>
                      <w:rFonts w:hint="default" w:ascii="Times New Roman" w:hAnsi="Times New Roman" w:cs="Times New Roman"/>
                      <w:color w:val="auto"/>
                      <w:spacing w:val="0"/>
                      <w:kern w:val="2"/>
                      <w:sz w:val="21"/>
                    </w:rPr>
                    <w:t>不涉及有毒有害污染物，因此无需开展大气专项评价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89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spacing w:after="0" w:line="360" w:lineRule="auto"/>
                    <w:ind w:firstLine="0" w:firstLineChars="0"/>
                    <w:jc w:val="center"/>
                    <w:rPr>
                      <w:rFonts w:hint="default" w:ascii="Times New Roman" w:hAnsi="Times New Roman" w:cs="Times New Roman"/>
                      <w:color w:val="auto"/>
                      <w:spacing w:val="0"/>
                      <w:kern w:val="2"/>
                      <w:sz w:val="21"/>
                    </w:rPr>
                  </w:pPr>
                  <w:r>
                    <w:rPr>
                      <w:rFonts w:hint="default" w:ascii="Times New Roman" w:hAnsi="Times New Roman" w:cs="Times New Roman"/>
                      <w:color w:val="auto"/>
                      <w:spacing w:val="0"/>
                      <w:kern w:val="2"/>
                      <w:sz w:val="21"/>
                    </w:rPr>
                    <w:t>地表水</w:t>
                  </w:r>
                </w:p>
              </w:tc>
              <w:tc>
                <w:tcPr>
                  <w:tcW w:w="303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spacing w:line="360" w:lineRule="auto"/>
                    <w:ind w:firstLine="0" w:firstLineChars="0"/>
                    <w:rPr>
                      <w:rFonts w:hint="default" w:ascii="Times New Roman" w:hAnsi="Times New Roman" w:cs="Times New Roman"/>
                      <w:color w:val="auto"/>
                      <w:spacing w:val="0"/>
                      <w:kern w:val="2"/>
                      <w:sz w:val="21"/>
                    </w:rPr>
                  </w:pPr>
                  <w:r>
                    <w:rPr>
                      <w:rFonts w:hint="default" w:ascii="Times New Roman" w:hAnsi="Times New Roman" w:cs="Times New Roman"/>
                      <w:color w:val="auto"/>
                      <w:spacing w:val="0"/>
                      <w:kern w:val="2"/>
                      <w:sz w:val="21"/>
                    </w:rPr>
                    <w:t>新增工业废水直排建设项目（槽罐车外送污水处理厂的除外）； 新增废水直排的污水集中处理厂</w:t>
                  </w:r>
                </w:p>
              </w:tc>
              <w:tc>
                <w:tcPr>
                  <w:tcW w:w="319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spacing w:after="0" w:line="360" w:lineRule="auto"/>
                    <w:ind w:firstLine="0" w:firstLineChars="0"/>
                    <w:rPr>
                      <w:rFonts w:hint="default" w:ascii="Times New Roman" w:hAnsi="Times New Roman" w:cs="Times New Roman"/>
                      <w:color w:val="auto"/>
                      <w:spacing w:val="0"/>
                      <w:kern w:val="2"/>
                      <w:sz w:val="21"/>
                    </w:rPr>
                  </w:pPr>
                  <w:r>
                    <w:rPr>
                      <w:rFonts w:hint="default" w:ascii="Times New Roman" w:hAnsi="Times New Roman" w:cs="Times New Roman"/>
                      <w:color w:val="auto"/>
                      <w:spacing w:val="0"/>
                      <w:kern w:val="2"/>
                      <w:sz w:val="21"/>
                    </w:rPr>
                    <w:t>项目为姚安县保健院妇婴医院住院综合楼建设项目，不属于新增工业废水直排</w:t>
                  </w:r>
                  <w:r>
                    <w:rPr>
                      <w:rFonts w:hint="default" w:ascii="Times New Roman" w:hAnsi="Times New Roman" w:cs="Times New Roman"/>
                      <w:color w:val="auto"/>
                      <w:spacing w:val="0"/>
                      <w:kern w:val="2"/>
                      <w:sz w:val="21"/>
                      <w:lang w:eastAsia="zh-CN"/>
                    </w:rPr>
                    <w:t>口</w:t>
                  </w:r>
                  <w:r>
                    <w:rPr>
                      <w:rFonts w:hint="default" w:ascii="Times New Roman" w:hAnsi="Times New Roman" w:cs="Times New Roman"/>
                      <w:color w:val="auto"/>
                      <w:spacing w:val="0"/>
                      <w:kern w:val="2"/>
                      <w:sz w:val="21"/>
                    </w:rPr>
                    <w:t>，</w:t>
                  </w:r>
                  <w:r>
                    <w:rPr>
                      <w:rFonts w:hint="default" w:ascii="Times New Roman" w:hAnsi="Times New Roman" w:cs="Times New Roman"/>
                      <w:color w:val="auto"/>
                      <w:spacing w:val="0"/>
                      <w:kern w:val="2"/>
                      <w:sz w:val="21"/>
                      <w:lang w:eastAsia="zh-CN"/>
                    </w:rPr>
                    <w:t>不属于新增废水直排的污水集中处理厂，</w:t>
                  </w:r>
                  <w:r>
                    <w:rPr>
                      <w:rFonts w:hint="default" w:ascii="Times New Roman" w:hAnsi="Times New Roman" w:cs="Times New Roman"/>
                      <w:color w:val="auto"/>
                      <w:spacing w:val="0"/>
                      <w:kern w:val="2"/>
                      <w:sz w:val="21"/>
                    </w:rPr>
                    <w:t>故本评价不设置地表水专项评价；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jc w:val="center"/>
              </w:trPr>
              <w:tc>
                <w:tcPr>
                  <w:tcW w:w="89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spacing w:after="0" w:line="360" w:lineRule="auto"/>
                    <w:ind w:firstLine="0" w:firstLineChars="0"/>
                    <w:jc w:val="center"/>
                    <w:rPr>
                      <w:rFonts w:hint="default" w:ascii="Times New Roman" w:hAnsi="Times New Roman" w:cs="Times New Roman"/>
                      <w:color w:val="auto"/>
                      <w:spacing w:val="0"/>
                      <w:kern w:val="2"/>
                      <w:sz w:val="21"/>
                    </w:rPr>
                  </w:pPr>
                  <w:r>
                    <w:rPr>
                      <w:rFonts w:hint="default" w:ascii="Times New Roman" w:hAnsi="Times New Roman" w:cs="Times New Roman"/>
                      <w:color w:val="auto"/>
                      <w:spacing w:val="0"/>
                      <w:kern w:val="2"/>
                      <w:sz w:val="21"/>
                    </w:rPr>
                    <w:t>环境风险</w:t>
                  </w:r>
                </w:p>
              </w:tc>
              <w:tc>
                <w:tcPr>
                  <w:tcW w:w="303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spacing w:line="360" w:lineRule="auto"/>
                    <w:ind w:firstLine="0" w:firstLineChars="0"/>
                    <w:rPr>
                      <w:rFonts w:hint="default" w:ascii="Times New Roman" w:hAnsi="Times New Roman" w:cs="Times New Roman"/>
                      <w:color w:val="auto"/>
                      <w:spacing w:val="0"/>
                      <w:kern w:val="2"/>
                      <w:sz w:val="21"/>
                    </w:rPr>
                  </w:pPr>
                  <w:r>
                    <w:rPr>
                      <w:rFonts w:hint="default" w:ascii="Times New Roman" w:hAnsi="Times New Roman" w:cs="Times New Roman"/>
                      <w:color w:val="auto"/>
                      <w:spacing w:val="0"/>
                      <w:kern w:val="2"/>
                      <w:sz w:val="21"/>
                    </w:rPr>
                    <w:t>有毒有害和易燃易爆危险物质存储量超过临界量</w:t>
                  </w:r>
                  <w:r>
                    <w:rPr>
                      <w:rFonts w:hint="default" w:ascii="Times New Roman" w:hAnsi="Times New Roman" w:cs="Times New Roman"/>
                      <w:color w:val="auto"/>
                      <w:spacing w:val="0"/>
                      <w:kern w:val="2"/>
                      <w:sz w:val="21"/>
                      <w:vertAlign w:val="superscript"/>
                    </w:rPr>
                    <w:t>3</w:t>
                  </w:r>
                  <w:r>
                    <w:rPr>
                      <w:rFonts w:hint="default" w:ascii="Times New Roman" w:hAnsi="Times New Roman" w:cs="Times New Roman"/>
                      <w:color w:val="auto"/>
                      <w:spacing w:val="0"/>
                      <w:kern w:val="2"/>
                      <w:sz w:val="21"/>
                    </w:rPr>
                    <w:t>的建设项目</w:t>
                  </w:r>
                </w:p>
              </w:tc>
              <w:tc>
                <w:tcPr>
                  <w:tcW w:w="319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spacing w:after="0" w:line="360" w:lineRule="auto"/>
                    <w:ind w:firstLine="0" w:firstLineChars="0"/>
                    <w:rPr>
                      <w:rFonts w:hint="default" w:ascii="Times New Roman" w:hAnsi="Times New Roman" w:cs="Times New Roman"/>
                      <w:color w:val="auto"/>
                      <w:spacing w:val="0"/>
                      <w:kern w:val="2"/>
                      <w:sz w:val="21"/>
                    </w:rPr>
                  </w:pPr>
                  <w:r>
                    <w:rPr>
                      <w:rFonts w:hint="default" w:ascii="Times New Roman" w:hAnsi="Times New Roman" w:cs="Times New Roman"/>
                      <w:color w:val="auto"/>
                      <w:spacing w:val="0"/>
                      <w:kern w:val="2"/>
                      <w:sz w:val="21"/>
                    </w:rPr>
                    <w:t>本项目涉及的风险物质为酒精、次氯酸钠及</w:t>
                  </w:r>
                  <w:r>
                    <w:rPr>
                      <w:rFonts w:hint="eastAsia" w:cs="Times New Roman"/>
                      <w:color w:val="auto"/>
                      <w:spacing w:val="0"/>
                      <w:kern w:val="2"/>
                      <w:sz w:val="21"/>
                      <w:lang w:eastAsia="zh-CN"/>
                    </w:rPr>
                    <w:t>柴油</w:t>
                  </w:r>
                  <w:r>
                    <w:rPr>
                      <w:rFonts w:hint="default" w:ascii="Times New Roman" w:hAnsi="Times New Roman" w:cs="Times New Roman"/>
                      <w:color w:val="auto"/>
                      <w:spacing w:val="0"/>
                      <w:kern w:val="2"/>
                      <w:sz w:val="21"/>
                    </w:rPr>
                    <w:t>，其储存量较小，未达到物质储存临界量，故本评价不设置环境风险专项评价，因此无需开展环境风险专项评价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jc w:val="center"/>
              </w:trPr>
              <w:tc>
                <w:tcPr>
                  <w:tcW w:w="89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spacing w:after="0" w:line="360" w:lineRule="auto"/>
                    <w:ind w:firstLine="0" w:firstLineChars="0"/>
                    <w:jc w:val="center"/>
                    <w:rPr>
                      <w:rFonts w:hint="default" w:ascii="Times New Roman" w:hAnsi="Times New Roman" w:cs="Times New Roman"/>
                      <w:color w:val="auto"/>
                      <w:spacing w:val="0"/>
                      <w:kern w:val="2"/>
                      <w:sz w:val="21"/>
                    </w:rPr>
                  </w:pPr>
                  <w:r>
                    <w:rPr>
                      <w:rFonts w:hint="default" w:ascii="Times New Roman" w:hAnsi="Times New Roman" w:cs="Times New Roman"/>
                      <w:color w:val="auto"/>
                      <w:spacing w:val="0"/>
                      <w:kern w:val="2"/>
                      <w:sz w:val="21"/>
                    </w:rPr>
                    <w:t>生态</w:t>
                  </w:r>
                </w:p>
              </w:tc>
              <w:tc>
                <w:tcPr>
                  <w:tcW w:w="303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spacing w:line="360" w:lineRule="auto"/>
                    <w:ind w:firstLine="0" w:firstLineChars="0"/>
                    <w:rPr>
                      <w:rFonts w:hint="default" w:ascii="Times New Roman" w:hAnsi="Times New Roman" w:cs="Times New Roman"/>
                      <w:color w:val="auto"/>
                      <w:spacing w:val="0"/>
                      <w:kern w:val="2"/>
                      <w:sz w:val="21"/>
                    </w:rPr>
                  </w:pPr>
                  <w:r>
                    <w:rPr>
                      <w:rFonts w:hint="default" w:ascii="Times New Roman" w:hAnsi="Times New Roman" w:cs="Times New Roman"/>
                      <w:color w:val="auto"/>
                      <w:spacing w:val="0"/>
                      <w:kern w:val="2"/>
                      <w:sz w:val="21"/>
                    </w:rPr>
                    <w:t>取水口下游500米范围内有重要水生生物的自然产卵场、索饵场、越冬场和洄游通道的新增河道取水的污染类建设项目</w:t>
                  </w:r>
                </w:p>
              </w:tc>
              <w:tc>
                <w:tcPr>
                  <w:tcW w:w="319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spacing w:after="0" w:line="360" w:lineRule="auto"/>
                    <w:ind w:firstLine="0" w:firstLineChars="0"/>
                    <w:rPr>
                      <w:rFonts w:hint="default" w:ascii="Times New Roman" w:hAnsi="Times New Roman" w:cs="Times New Roman"/>
                      <w:color w:val="auto"/>
                      <w:spacing w:val="0"/>
                      <w:kern w:val="2"/>
                      <w:sz w:val="21"/>
                    </w:rPr>
                  </w:pPr>
                  <w:r>
                    <w:rPr>
                      <w:rFonts w:hint="default" w:ascii="Times New Roman" w:hAnsi="Times New Roman" w:cs="Times New Roman"/>
                      <w:color w:val="auto"/>
                      <w:spacing w:val="0"/>
                      <w:kern w:val="2"/>
                      <w:sz w:val="21"/>
                    </w:rPr>
                    <w:t>本项目属于城镇建成区，项目使用自来水，不涉及取水口，且不属于重要水生生物的自然产卵场、索饵场、越冬场和洄游通道的河道取水的污染类建设项目，故本评价不设置生态专项评价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89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spacing w:after="0" w:line="360" w:lineRule="auto"/>
                    <w:ind w:firstLine="0" w:firstLineChars="0"/>
                    <w:jc w:val="center"/>
                    <w:rPr>
                      <w:rFonts w:hint="default" w:ascii="Times New Roman" w:hAnsi="Times New Roman" w:cs="Times New Roman"/>
                      <w:color w:val="auto"/>
                      <w:spacing w:val="0"/>
                      <w:kern w:val="2"/>
                      <w:sz w:val="21"/>
                    </w:rPr>
                  </w:pPr>
                  <w:r>
                    <w:rPr>
                      <w:rFonts w:hint="default" w:ascii="Times New Roman" w:hAnsi="Times New Roman" w:cs="Times New Roman"/>
                      <w:color w:val="auto"/>
                      <w:spacing w:val="0"/>
                      <w:kern w:val="2"/>
                      <w:sz w:val="21"/>
                    </w:rPr>
                    <w:t>海洋</w:t>
                  </w:r>
                </w:p>
              </w:tc>
              <w:tc>
                <w:tcPr>
                  <w:tcW w:w="3034" w:type="dxa"/>
                  <w:tcBorders>
                    <w:top w:val="single" w:color="auto" w:sz="4" w:space="0"/>
                    <w:left w:val="single" w:color="auto" w:sz="4" w:space="0"/>
                    <w:bottom w:val="single" w:color="auto" w:sz="4" w:space="0"/>
                    <w:right w:val="single" w:color="auto" w:sz="4" w:space="0"/>
                    <w:tl2br w:val="nil"/>
                    <w:tr2bl w:val="nil"/>
                  </w:tcBorders>
                  <w:noWrap w:val="0"/>
                  <w:vAlign w:val="center"/>
                </w:tcPr>
                <w:p>
                  <w:pPr>
                    <w:autoSpaceDE w:val="0"/>
                    <w:autoSpaceDN w:val="0"/>
                    <w:spacing w:line="360" w:lineRule="auto"/>
                    <w:ind w:firstLine="0" w:firstLineChars="0"/>
                    <w:rPr>
                      <w:rFonts w:hint="default" w:ascii="Times New Roman" w:hAnsi="Times New Roman" w:cs="Times New Roman"/>
                      <w:color w:val="auto"/>
                      <w:spacing w:val="0"/>
                      <w:kern w:val="2"/>
                      <w:sz w:val="21"/>
                    </w:rPr>
                  </w:pPr>
                  <w:r>
                    <w:rPr>
                      <w:rFonts w:hint="default" w:ascii="Times New Roman" w:hAnsi="Times New Roman" w:cs="Times New Roman"/>
                      <w:color w:val="auto"/>
                      <w:spacing w:val="0"/>
                      <w:kern w:val="2"/>
                      <w:sz w:val="21"/>
                    </w:rPr>
                    <w:t>直接向海排放污染物的海洋工程建设项目</w:t>
                  </w:r>
                </w:p>
              </w:tc>
              <w:tc>
                <w:tcPr>
                  <w:tcW w:w="319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8"/>
                    <w:spacing w:after="0" w:line="360" w:lineRule="auto"/>
                    <w:ind w:firstLine="0" w:firstLineChars="0"/>
                    <w:rPr>
                      <w:rFonts w:hint="default" w:ascii="Times New Roman" w:hAnsi="Times New Roman" w:cs="Times New Roman"/>
                      <w:color w:val="auto"/>
                      <w:spacing w:val="0"/>
                      <w:kern w:val="2"/>
                      <w:sz w:val="21"/>
                    </w:rPr>
                  </w:pPr>
                  <w:r>
                    <w:rPr>
                      <w:rFonts w:hint="default" w:ascii="Times New Roman" w:hAnsi="Times New Roman" w:cs="Times New Roman"/>
                      <w:color w:val="auto"/>
                      <w:spacing w:val="0"/>
                      <w:kern w:val="2"/>
                      <w:sz w:val="21"/>
                    </w:rPr>
                    <w:t>本项目属于内陆城镇建成区，不涉及直接向海洋排放污染物的海洋工程建设项目，故本评价不设置海洋专项评价。</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cs="Times New Roman"/>
                <w:color w:val="auto"/>
                <w:spacing w:val="0"/>
                <w:kern w:val="2"/>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3" w:hRule="atLeast"/>
          <w:jc w:val="center"/>
        </w:trPr>
        <w:tc>
          <w:tcPr>
            <w:tcW w:w="2229" w:type="dxa"/>
            <w:vAlign w:val="center"/>
          </w:tcPr>
          <w:p>
            <w:pPr>
              <w:adjustRightInd w:val="0"/>
              <w:snapToGrid w:val="0"/>
              <w:spacing w:line="360" w:lineRule="auto"/>
              <w:ind w:firstLine="0" w:firstLineChars="0"/>
              <w:jc w:val="center"/>
              <w:rPr>
                <w:rFonts w:hint="default" w:ascii="Times New Roman" w:hAnsi="Times New Roman" w:cs="Times New Roman"/>
                <w:b/>
                <w:bCs/>
                <w:color w:val="auto"/>
                <w:spacing w:val="0"/>
                <w:kern w:val="2"/>
                <w:szCs w:val="24"/>
              </w:rPr>
            </w:pPr>
            <w:r>
              <w:rPr>
                <w:rFonts w:hint="default" w:ascii="Times New Roman" w:hAnsi="Times New Roman" w:cs="Times New Roman"/>
                <w:b/>
                <w:bCs/>
                <w:color w:val="auto"/>
                <w:spacing w:val="0"/>
                <w:kern w:val="2"/>
                <w:szCs w:val="24"/>
              </w:rPr>
              <w:t>规划情况</w:t>
            </w:r>
          </w:p>
        </w:tc>
        <w:tc>
          <w:tcPr>
            <w:tcW w:w="7291" w:type="dxa"/>
            <w:gridSpan w:val="5"/>
            <w:vAlign w:val="center"/>
          </w:tcPr>
          <w:p>
            <w:pPr>
              <w:adjustRightInd w:val="0"/>
              <w:snapToGrid w:val="0"/>
              <w:spacing w:line="360" w:lineRule="auto"/>
              <w:ind w:left="0" w:leftChars="0" w:right="0" w:rightChars="0" w:firstLine="0" w:firstLineChars="0"/>
              <w:jc w:val="center"/>
              <w:rPr>
                <w:rFonts w:hint="default" w:ascii="Times New Roman" w:hAnsi="Times New Roman" w:cs="Times New Roman"/>
                <w:bCs/>
                <w:color w:val="auto"/>
                <w:spacing w:val="0"/>
                <w:kern w:val="2"/>
                <w:szCs w:val="24"/>
              </w:rPr>
            </w:pPr>
            <w:r>
              <w:rPr>
                <w:rFonts w:hint="default" w:ascii="Times New Roman" w:hAnsi="Times New Roman" w:cs="Times New Roman"/>
                <w:bCs/>
                <w:color w:val="auto"/>
                <w:spacing w:val="0"/>
                <w:kern w:val="2"/>
                <w:szCs w:val="24"/>
              </w:rPr>
              <w:t>《云南省姚安县城总体规划修改(2015-2030)》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229" w:type="dxa"/>
            <w:vAlign w:val="center"/>
          </w:tcPr>
          <w:p>
            <w:pPr>
              <w:adjustRightInd w:val="0"/>
              <w:snapToGrid w:val="0"/>
              <w:spacing w:line="360" w:lineRule="auto"/>
              <w:ind w:firstLine="0" w:firstLineChars="0"/>
              <w:jc w:val="center"/>
              <w:rPr>
                <w:rFonts w:hint="default" w:ascii="Times New Roman" w:hAnsi="Times New Roman" w:cs="Times New Roman"/>
                <w:b/>
                <w:bCs/>
                <w:color w:val="auto"/>
                <w:spacing w:val="0"/>
                <w:kern w:val="2"/>
                <w:szCs w:val="24"/>
              </w:rPr>
            </w:pPr>
            <w:r>
              <w:rPr>
                <w:rFonts w:hint="default" w:ascii="Times New Roman" w:hAnsi="Times New Roman" w:cs="Times New Roman"/>
                <w:b/>
                <w:bCs/>
                <w:color w:val="auto"/>
                <w:spacing w:val="0"/>
                <w:kern w:val="2"/>
                <w:szCs w:val="24"/>
              </w:rPr>
              <w:t>规划环境影响评价情况</w:t>
            </w:r>
          </w:p>
        </w:tc>
        <w:tc>
          <w:tcPr>
            <w:tcW w:w="7291"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cs="Times New Roman"/>
                <w:bCs/>
                <w:color w:val="auto"/>
                <w:spacing w:val="0"/>
                <w:kern w:val="2"/>
                <w:szCs w:val="24"/>
              </w:rPr>
            </w:pPr>
            <w:r>
              <w:rPr>
                <w:rFonts w:hint="default" w:ascii="Times New Roman" w:hAnsi="Times New Roman" w:cs="Times New Roman" w:eastAsiaTheme="minorEastAsia"/>
                <w:bCs/>
                <w:color w:val="auto"/>
                <w:spacing w:val="0"/>
                <w:kern w:val="2"/>
                <w:szCs w:val="24"/>
              </w:rPr>
              <w:t>本项目根据《云南省姚安县城总体规划修改(2015-2030)》纲要，栋川城区土地利用规划图2030，项目用地土地使用性质为</w:t>
            </w:r>
            <w:r>
              <w:rPr>
                <w:rFonts w:hint="eastAsia" w:ascii="Times New Roman" w:hAnsi="Times New Roman" w:cs="Times New Roman"/>
                <w:bCs/>
                <w:color w:val="auto"/>
                <w:spacing w:val="0"/>
                <w:kern w:val="2"/>
                <w:szCs w:val="24"/>
                <w:lang w:eastAsia="zh-CN"/>
              </w:rPr>
              <w:t>医院用地（类别代号</w:t>
            </w:r>
            <w:r>
              <w:rPr>
                <w:rFonts w:hint="eastAsia" w:ascii="Times New Roman" w:hAnsi="Times New Roman" w:cs="Times New Roman"/>
                <w:bCs/>
                <w:color w:val="auto"/>
                <w:spacing w:val="0"/>
                <w:kern w:val="2"/>
                <w:szCs w:val="24"/>
                <w:lang w:val="en-US" w:eastAsia="zh-CN"/>
              </w:rPr>
              <w:t>A5</w:t>
            </w:r>
            <w:r>
              <w:rPr>
                <w:rFonts w:hint="eastAsia" w:ascii="Times New Roman" w:hAnsi="Times New Roman" w:cs="Times New Roman"/>
                <w:bCs/>
                <w:color w:val="auto"/>
                <w:spacing w:val="0"/>
                <w:kern w:val="2"/>
                <w:szCs w:val="24"/>
                <w:lang w:eastAsia="zh-CN"/>
              </w:rPr>
              <w:t>）</w:t>
            </w:r>
            <w:r>
              <w:rPr>
                <w:rFonts w:hint="default" w:ascii="Times New Roman" w:hAnsi="Times New Roman" w:cs="Times New Roman" w:eastAsiaTheme="minorEastAsia"/>
                <w:bCs/>
                <w:color w:val="auto"/>
                <w:spacing w:val="0"/>
                <w:kern w:val="2"/>
                <w:szCs w:val="24"/>
              </w:rPr>
              <w:t>，根据《建设用地规划许可证》（地字第532325</w:t>
            </w:r>
            <w:r>
              <w:rPr>
                <w:rFonts w:hint="eastAsia" w:ascii="Times New Roman" w:hAnsi="Times New Roman" w:cs="Times New Roman"/>
                <w:bCs/>
                <w:color w:val="auto"/>
                <w:spacing w:val="0"/>
                <w:kern w:val="2"/>
                <w:szCs w:val="24"/>
                <w:lang w:val="en-US" w:eastAsia="zh-CN"/>
              </w:rPr>
              <w:t>202072</w:t>
            </w:r>
            <w:r>
              <w:rPr>
                <w:rFonts w:hint="default" w:ascii="Times New Roman" w:hAnsi="Times New Roman" w:cs="Times New Roman" w:eastAsiaTheme="minorEastAsia"/>
                <w:bCs/>
                <w:color w:val="auto"/>
                <w:spacing w:val="0"/>
                <w:kern w:val="2"/>
                <w:szCs w:val="24"/>
              </w:rPr>
              <w:t>号）等资料可知，项目用地与总体规划相符。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6" w:hRule="atLeast"/>
          <w:jc w:val="center"/>
        </w:trPr>
        <w:tc>
          <w:tcPr>
            <w:tcW w:w="2229" w:type="dxa"/>
            <w:vAlign w:val="center"/>
          </w:tcPr>
          <w:p>
            <w:pPr>
              <w:adjustRightInd w:val="0"/>
              <w:snapToGrid w:val="0"/>
              <w:spacing w:line="360" w:lineRule="auto"/>
              <w:ind w:firstLine="0" w:firstLineChars="0"/>
              <w:jc w:val="center"/>
              <w:rPr>
                <w:rFonts w:hint="default" w:ascii="Times New Roman" w:hAnsi="Times New Roman" w:cs="Times New Roman"/>
                <w:b/>
                <w:bCs/>
                <w:color w:val="auto"/>
                <w:spacing w:val="0"/>
                <w:kern w:val="2"/>
                <w:szCs w:val="24"/>
              </w:rPr>
            </w:pPr>
            <w:r>
              <w:rPr>
                <w:rFonts w:hint="default" w:ascii="Times New Roman" w:hAnsi="Times New Roman" w:cs="Times New Roman"/>
                <w:b/>
                <w:bCs/>
                <w:color w:val="auto"/>
                <w:spacing w:val="0"/>
                <w:kern w:val="2"/>
                <w:szCs w:val="24"/>
              </w:rPr>
              <w:t>规划及规划环境影响评价符合性分析</w:t>
            </w:r>
          </w:p>
        </w:tc>
        <w:tc>
          <w:tcPr>
            <w:tcW w:w="7291" w:type="dxa"/>
            <w:gridSpan w:val="5"/>
            <w:vAlign w:val="center"/>
          </w:tcPr>
          <w:p>
            <w:pPr>
              <w:adjustRightInd w:val="0"/>
              <w:snapToGrid w:val="0"/>
              <w:spacing w:line="360" w:lineRule="auto"/>
              <w:ind w:left="0" w:leftChars="0" w:right="0" w:rightChars="0" w:firstLine="0" w:firstLineChars="0"/>
              <w:jc w:val="center"/>
              <w:rPr>
                <w:rFonts w:hint="default" w:ascii="Times New Roman" w:hAnsi="Times New Roman" w:cs="Times New Roman"/>
                <w:bCs/>
                <w:color w:val="auto"/>
                <w:spacing w:val="0"/>
                <w:kern w:val="2"/>
                <w:szCs w:val="24"/>
              </w:rPr>
            </w:pPr>
            <w:r>
              <w:rPr>
                <w:rFonts w:hint="default" w:ascii="Times New Roman" w:hAnsi="Times New Roman" w:cs="Times New Roman"/>
                <w:bCs/>
                <w:color w:val="auto"/>
                <w:spacing w:val="0"/>
                <w:kern w:val="2"/>
                <w:szCs w:val="24"/>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9" w:hRule="atLeast"/>
          <w:jc w:val="center"/>
        </w:trPr>
        <w:tc>
          <w:tcPr>
            <w:tcW w:w="2229" w:type="dxa"/>
            <w:vAlign w:val="center"/>
          </w:tcPr>
          <w:p>
            <w:pPr>
              <w:adjustRightInd w:val="0"/>
              <w:snapToGrid w:val="0"/>
              <w:spacing w:line="360" w:lineRule="auto"/>
              <w:ind w:firstLine="0" w:firstLineChars="0"/>
              <w:jc w:val="center"/>
              <w:rPr>
                <w:rFonts w:hint="default" w:ascii="Times New Roman" w:hAnsi="Times New Roman" w:cs="Times New Roman"/>
                <w:b/>
                <w:bCs/>
                <w:color w:val="auto"/>
                <w:spacing w:val="0"/>
                <w:kern w:val="2"/>
                <w:szCs w:val="24"/>
              </w:rPr>
            </w:pPr>
            <w:r>
              <w:rPr>
                <w:rFonts w:hint="default" w:ascii="Times New Roman" w:hAnsi="Times New Roman" w:cs="Times New Roman"/>
                <w:b/>
                <w:bCs/>
                <w:color w:val="auto"/>
                <w:spacing w:val="0"/>
                <w:kern w:val="2"/>
                <w:szCs w:val="24"/>
              </w:rPr>
              <w:t>其他符合性分析</w:t>
            </w:r>
          </w:p>
        </w:tc>
        <w:tc>
          <w:tcPr>
            <w:tcW w:w="7291" w:type="dxa"/>
            <w:gridSpan w:val="5"/>
            <w:vAlign w:val="center"/>
          </w:tcPr>
          <w:p>
            <w:pPr>
              <w:spacing w:line="360" w:lineRule="auto"/>
              <w:ind w:firstLine="482"/>
              <w:rPr>
                <w:rFonts w:hint="default" w:ascii="Times New Roman" w:hAnsi="Times New Roman" w:cs="Times New Roman"/>
                <w:b/>
                <w:color w:val="auto"/>
                <w:spacing w:val="0"/>
                <w:kern w:val="2"/>
              </w:rPr>
            </w:pPr>
            <w:r>
              <w:rPr>
                <w:rFonts w:hint="default" w:ascii="Times New Roman" w:hAnsi="Times New Roman" w:cs="Times New Roman"/>
                <w:b/>
                <w:color w:val="auto"/>
                <w:spacing w:val="0"/>
                <w:kern w:val="2"/>
              </w:rPr>
              <w:t>1、项目与《楚雄州“三线一单”生态环境分区管控实施方案》的符合性分析</w:t>
            </w:r>
          </w:p>
          <w:p>
            <w:pPr>
              <w:spacing w:line="360" w:lineRule="auto"/>
              <w:ind w:firstLine="480"/>
              <w:rPr>
                <w:rFonts w:hint="default" w:ascii="Times New Roman" w:hAnsi="Times New Roman" w:cs="Times New Roman"/>
                <w:color w:val="auto"/>
                <w:spacing w:val="0"/>
                <w:kern w:val="2"/>
              </w:rPr>
            </w:pPr>
            <w:r>
              <w:rPr>
                <w:rFonts w:hint="default" w:ascii="Times New Roman" w:hAnsi="Times New Roman" w:cs="Times New Roman"/>
                <w:color w:val="auto"/>
                <w:spacing w:val="0"/>
                <w:kern w:val="2"/>
              </w:rPr>
              <w:t>（1）生态保护红线</w:t>
            </w:r>
          </w:p>
          <w:p>
            <w:pPr>
              <w:keepNext w:val="0"/>
              <w:keepLines w:val="0"/>
              <w:widowControl/>
              <w:suppressLineNumbers w:val="0"/>
              <w:spacing w:line="360" w:lineRule="auto"/>
              <w:jc w:val="both"/>
              <w:rPr>
                <w:rFonts w:hint="default" w:ascii="Times New Roman" w:hAnsi="Times New Roman" w:eastAsia="宋体" w:cs="Times New Roman"/>
                <w:color w:val="auto"/>
                <w:spacing w:val="0"/>
                <w:kern w:val="2"/>
                <w:sz w:val="24"/>
                <w:szCs w:val="24"/>
                <w:lang w:val="en-US" w:eastAsia="zh-CN" w:bidi="ar"/>
              </w:rPr>
            </w:pPr>
            <w:r>
              <w:rPr>
                <w:rFonts w:hint="default" w:ascii="Times New Roman" w:hAnsi="Times New Roman" w:eastAsia="宋体" w:cs="Times New Roman"/>
                <w:color w:val="auto"/>
                <w:spacing w:val="0"/>
                <w:kern w:val="2"/>
                <w:sz w:val="24"/>
                <w:szCs w:val="24"/>
                <w:lang w:val="en-US" w:eastAsia="zh-CN" w:bidi="ar"/>
              </w:rPr>
              <w:t>姚安县保健院妇婴医院住院综合楼建设项目，位于姚安县栋川镇下栖霞路与</w:t>
            </w:r>
            <w:r>
              <w:rPr>
                <w:rFonts w:hint="eastAsia" w:eastAsia="宋体" w:cs="Times New Roman"/>
                <w:color w:val="auto"/>
                <w:spacing w:val="0"/>
                <w:kern w:val="2"/>
                <w:sz w:val="24"/>
                <w:szCs w:val="24"/>
                <w:lang w:val="en-US" w:eastAsia="zh-CN" w:bidi="ar"/>
              </w:rPr>
              <w:t>春晖路</w:t>
            </w:r>
            <w:r>
              <w:rPr>
                <w:rFonts w:hint="default" w:ascii="Times New Roman" w:hAnsi="Times New Roman" w:eastAsia="宋体" w:cs="Times New Roman"/>
                <w:color w:val="auto"/>
                <w:spacing w:val="0"/>
                <w:kern w:val="2"/>
                <w:sz w:val="24"/>
                <w:szCs w:val="24"/>
                <w:lang w:val="en-US" w:eastAsia="zh-CN" w:bidi="ar"/>
              </w:rPr>
              <w:t>交汇口西处，项目区不涉及文物保护单位、自然保护区、风景名胜区、森林公园等环境敏感区和特殊功能生态区。根据楚雄彝族自治州人民政府文件《楚雄州人民政府关于印发楚雄州“三线一单”生态环境分区管控实施方案的通知》（楚政通（2021）22号）：执行省人民政府发布的《云南省生态保护红线》，将未划入生态保护红线的自然保护地、饮用水水源保护区、重要湿地、基本草原、生态公益林、天然林等生态功能重要、生态环境敏感区域划为一般生态空间。结合《云南省人民政府关于发布云南省生态保护红线的通知》（云政发[2018]32 号）中生态保护红线的划定对象要求，项目区不在《云南省生态保护红线》功能区范围内。</w:t>
            </w:r>
          </w:p>
          <w:p>
            <w:pPr>
              <w:keepNext w:val="0"/>
              <w:keepLines w:val="0"/>
              <w:widowControl/>
              <w:suppressLineNumbers w:val="0"/>
              <w:spacing w:line="360" w:lineRule="auto"/>
              <w:jc w:val="both"/>
              <w:rPr>
                <w:rFonts w:hint="default" w:ascii="Times New Roman" w:hAnsi="Times New Roman" w:cs="Times New Roman"/>
                <w:color w:val="auto"/>
                <w:spacing w:val="0"/>
                <w:kern w:val="2"/>
              </w:rPr>
            </w:pPr>
            <w:r>
              <w:rPr>
                <w:rFonts w:hint="default" w:ascii="Times New Roman" w:hAnsi="Times New Roman" w:eastAsia="宋体" w:cs="Times New Roman"/>
                <w:color w:val="auto"/>
                <w:spacing w:val="0"/>
                <w:kern w:val="2"/>
                <w:sz w:val="24"/>
                <w:szCs w:val="24"/>
                <w:lang w:val="en-US" w:eastAsia="zh-CN" w:bidi="ar"/>
              </w:rPr>
              <w:t>本项目位于云南省楚雄州</w:t>
            </w:r>
            <w:r>
              <w:rPr>
                <w:rFonts w:hint="default" w:ascii="Times New Roman" w:hAnsi="Times New Roman" w:eastAsia="宋体" w:cs="Times New Roman"/>
                <w:color w:val="auto"/>
                <w:spacing w:val="0"/>
                <w:kern w:val="2"/>
                <w:szCs w:val="24"/>
                <w:lang w:eastAsia="zh-CN"/>
              </w:rPr>
              <w:t>姚安县栋川镇下栖霞路与</w:t>
            </w:r>
            <w:r>
              <w:rPr>
                <w:rFonts w:hint="eastAsia" w:eastAsia="宋体" w:cs="Times New Roman"/>
                <w:color w:val="auto"/>
                <w:spacing w:val="0"/>
                <w:kern w:val="2"/>
                <w:szCs w:val="24"/>
                <w:lang w:eastAsia="zh-CN"/>
              </w:rPr>
              <w:t>春晖路</w:t>
            </w:r>
            <w:r>
              <w:rPr>
                <w:rFonts w:hint="default" w:ascii="Times New Roman" w:hAnsi="Times New Roman" w:eastAsia="宋体" w:cs="Times New Roman"/>
                <w:color w:val="auto"/>
                <w:spacing w:val="0"/>
                <w:kern w:val="2"/>
                <w:szCs w:val="24"/>
                <w:lang w:eastAsia="zh-CN"/>
              </w:rPr>
              <w:t>交汇口西处</w:t>
            </w:r>
            <w:r>
              <w:rPr>
                <w:rFonts w:hint="default" w:ascii="Times New Roman" w:hAnsi="Times New Roman" w:eastAsia="宋体" w:cs="Times New Roman"/>
                <w:color w:val="auto"/>
                <w:spacing w:val="0"/>
                <w:kern w:val="2"/>
                <w:sz w:val="24"/>
                <w:szCs w:val="24"/>
                <w:lang w:val="en-US" w:eastAsia="zh-CN" w:bidi="ar"/>
              </w:rPr>
              <w:t>，属于城镇建成区，项目区不涉及占用生态保护红线，即不在《生态保护红线》确定的生态红线范围之内，因此项目建设符合生态红线要求。</w:t>
            </w:r>
          </w:p>
          <w:p>
            <w:pPr>
              <w:spacing w:line="360" w:lineRule="auto"/>
              <w:ind w:firstLine="480"/>
              <w:rPr>
                <w:rFonts w:hint="default" w:ascii="Times New Roman" w:hAnsi="Times New Roman" w:cs="Times New Roman"/>
                <w:color w:val="auto"/>
                <w:spacing w:val="0"/>
                <w:kern w:val="2"/>
              </w:rPr>
            </w:pPr>
            <w:r>
              <w:rPr>
                <w:rFonts w:hint="default" w:ascii="Times New Roman" w:hAnsi="Times New Roman" w:cs="Times New Roman"/>
                <w:color w:val="auto"/>
                <w:spacing w:val="0"/>
                <w:kern w:val="2"/>
              </w:rPr>
              <w:t>（2）环境质量底线</w:t>
            </w:r>
          </w:p>
          <w:p>
            <w:pPr>
              <w:spacing w:line="360" w:lineRule="auto"/>
              <w:ind w:firstLine="480"/>
              <w:rPr>
                <w:rFonts w:hint="default" w:ascii="Times New Roman" w:hAnsi="Times New Roman" w:cs="Times New Roman"/>
                <w:color w:val="auto"/>
                <w:spacing w:val="0"/>
                <w:kern w:val="2"/>
                <w:lang w:val="en-US" w:eastAsia="zh-CN"/>
              </w:rPr>
            </w:pPr>
            <w:r>
              <w:rPr>
                <w:rFonts w:hint="default" w:ascii="Times New Roman" w:hAnsi="Times New Roman" w:cs="Times New Roman"/>
                <w:color w:val="auto"/>
                <w:spacing w:val="0"/>
                <w:kern w:val="2"/>
                <w:lang w:val="en-US" w:eastAsia="zh-CN"/>
              </w:rPr>
              <w:t>根据楚雄彝族自治州人民政府文件《楚雄州人民政府关于印发楚雄州“三线一单”生态环境分区管控实施方案的通知》（楚政通（2021）22号）环境质量底线：</w:t>
            </w:r>
          </w:p>
          <w:p>
            <w:pPr>
              <w:spacing w:line="360" w:lineRule="auto"/>
              <w:ind w:firstLine="480"/>
              <w:rPr>
                <w:rFonts w:hint="default" w:ascii="Times New Roman" w:hAnsi="Times New Roman" w:cs="Times New Roman"/>
                <w:color w:val="auto"/>
                <w:spacing w:val="0"/>
                <w:kern w:val="2"/>
                <w:lang w:val="en-US" w:eastAsia="zh-CN"/>
              </w:rPr>
            </w:pPr>
            <w:r>
              <w:rPr>
                <w:rFonts w:hint="default" w:ascii="Times New Roman" w:hAnsi="Times New Roman" w:cs="Times New Roman"/>
                <w:color w:val="auto"/>
                <w:spacing w:val="0"/>
                <w:kern w:val="2"/>
                <w:lang w:val="en-US" w:eastAsia="zh-CN"/>
              </w:rPr>
              <w:t>①</w:t>
            </w:r>
            <w:r>
              <w:rPr>
                <w:rFonts w:hint="default" w:ascii="Times New Roman" w:hAnsi="Times New Roman" w:cs="Times New Roman"/>
                <w:color w:val="auto"/>
                <w:spacing w:val="0"/>
                <w:kern w:val="2"/>
              </w:rPr>
              <w:t>水环境质量底线。到2025年，国控、省控地表水监测断面水质优良率高于全国全省平均水平，重点区域、流域水环境质量进一步改善，全面消除劣Ⅴ类水体，集中式饮用水水源水质巩固改善。到2035年，地表水体水质优良率全面提升，各监测断面水质达到水环境功能要求，全面消除Ⅴ类及以下水体，集中式饮用水水源水质稳定达标。</w:t>
            </w:r>
          </w:p>
          <w:p>
            <w:pPr>
              <w:spacing w:line="360" w:lineRule="auto"/>
              <w:ind w:firstLine="480"/>
              <w:rPr>
                <w:rFonts w:hint="default" w:ascii="Times New Roman" w:hAnsi="Times New Roman" w:cs="Times New Roman"/>
                <w:color w:val="auto"/>
                <w:spacing w:val="0"/>
                <w:kern w:val="2"/>
              </w:rPr>
            </w:pPr>
            <w:r>
              <w:rPr>
                <w:rFonts w:hint="default" w:ascii="Times New Roman" w:hAnsi="Times New Roman" w:cs="Times New Roman"/>
                <w:color w:val="auto"/>
                <w:spacing w:val="0"/>
                <w:kern w:val="2"/>
              </w:rPr>
              <w:t>②大气环境质量底线。到2025年，环境空气质量稳中向好，10县市城市环境空气质量稳定达到国家二级标准。到2035年，环境空气质量全面改善，10县市城市环境空气质量优于国家一级标准天数逐步提高。</w:t>
            </w:r>
          </w:p>
          <w:p>
            <w:pPr>
              <w:spacing w:line="360" w:lineRule="auto"/>
              <w:ind w:firstLine="480"/>
              <w:rPr>
                <w:rFonts w:hint="default" w:ascii="Times New Roman" w:hAnsi="Times New Roman" w:cs="Times New Roman"/>
                <w:color w:val="auto"/>
                <w:spacing w:val="0"/>
                <w:kern w:val="2"/>
                <w:lang w:val="en-US" w:eastAsia="zh-CN"/>
              </w:rPr>
            </w:pPr>
            <w:r>
              <w:rPr>
                <w:rFonts w:hint="default" w:ascii="Times New Roman" w:hAnsi="Times New Roman" w:cs="Times New Roman"/>
                <w:color w:val="auto"/>
                <w:spacing w:val="0"/>
                <w:kern w:val="2"/>
              </w:rPr>
              <w:t>③土壤环境风险防控底线。到2025年，土壤环境风险防范体系进一步完善，受污染耕地安全利用率和污染地块安全利用率进一步提高。到2035年，土壤环境质量稳中向好，农用地和建设用地土壤环境安全得到有效保障，土壤环境风险得到全面管控。</w:t>
            </w:r>
          </w:p>
          <w:p>
            <w:pPr>
              <w:keepNext w:val="0"/>
              <w:keepLines w:val="0"/>
              <w:widowControl/>
              <w:suppressLineNumbers w:val="0"/>
              <w:spacing w:line="360" w:lineRule="auto"/>
              <w:jc w:val="left"/>
              <w:rPr>
                <w:rFonts w:hint="default" w:ascii="Times New Roman" w:hAnsi="Times New Roman" w:cs="Times New Roman"/>
                <w:color w:val="auto"/>
                <w:spacing w:val="0"/>
                <w:kern w:val="2"/>
              </w:rPr>
            </w:pPr>
            <w:r>
              <w:rPr>
                <w:rFonts w:hint="default" w:ascii="Times New Roman" w:hAnsi="Times New Roman" w:eastAsia="宋体" w:cs="Times New Roman"/>
                <w:color w:val="auto"/>
                <w:spacing w:val="0"/>
                <w:kern w:val="2"/>
                <w:sz w:val="24"/>
                <w:szCs w:val="24"/>
                <w:lang w:val="en-US" w:eastAsia="zh-CN" w:bidi="ar"/>
              </w:rPr>
              <w:t>项目所在区域的环境空气、地表水、声环境等环境现状均能满足相应的标准要求。企业在严格采取设计及本环评所提措施后，项目施工及运营期对外环境的影响较小，不会改变区域环境功能，符合环境质量底线要求，因此项目所在区域环境质量良好，未超出环境质量底线。</w:t>
            </w:r>
          </w:p>
          <w:p>
            <w:pPr>
              <w:spacing w:line="360" w:lineRule="auto"/>
              <w:ind w:firstLine="480"/>
              <w:rPr>
                <w:rFonts w:hint="default" w:ascii="Times New Roman" w:hAnsi="Times New Roman" w:cs="Times New Roman"/>
                <w:color w:val="auto"/>
                <w:spacing w:val="0"/>
                <w:kern w:val="2"/>
              </w:rPr>
            </w:pPr>
            <w:r>
              <w:rPr>
                <w:rFonts w:hint="default" w:ascii="Times New Roman" w:hAnsi="Times New Roman" w:cs="Times New Roman"/>
                <w:color w:val="auto"/>
                <w:spacing w:val="0"/>
                <w:kern w:val="2"/>
              </w:rPr>
              <w:t>（3）资源利用上线</w:t>
            </w:r>
          </w:p>
          <w:p>
            <w:pPr>
              <w:spacing w:line="360" w:lineRule="auto"/>
              <w:ind w:firstLine="480"/>
              <w:jc w:val="both"/>
              <w:rPr>
                <w:rFonts w:hint="default" w:ascii="Times New Roman" w:hAnsi="Times New Roman" w:cs="Times New Roman"/>
                <w:color w:val="auto"/>
                <w:spacing w:val="0"/>
                <w:kern w:val="2"/>
                <w:lang w:val="en-US" w:eastAsia="zh-CN"/>
              </w:rPr>
            </w:pPr>
            <w:r>
              <w:rPr>
                <w:rFonts w:hint="default" w:ascii="Times New Roman" w:hAnsi="Times New Roman" w:cs="Times New Roman"/>
                <w:color w:val="auto"/>
                <w:spacing w:val="0"/>
                <w:kern w:val="2"/>
                <w:lang w:val="en-US" w:eastAsia="zh-CN"/>
              </w:rPr>
              <w:t>根据楚雄彝族自治州人民政府文件《楚雄州人民政府关于印发楚雄州“三线一单”生态环境分区管控实施方案的通知》（楚政通（2021）22号）</w:t>
            </w:r>
            <w:r>
              <w:rPr>
                <w:rFonts w:hint="default" w:ascii="Times New Roman" w:hAnsi="Times New Roman" w:cs="Times New Roman"/>
                <w:color w:val="auto"/>
                <w:spacing w:val="0"/>
                <w:kern w:val="2"/>
              </w:rPr>
              <w:t>资源利用上线</w:t>
            </w:r>
            <w:r>
              <w:rPr>
                <w:rFonts w:hint="default" w:ascii="Times New Roman" w:hAnsi="Times New Roman" w:cs="Times New Roman"/>
                <w:color w:val="auto"/>
                <w:spacing w:val="0"/>
                <w:kern w:val="2"/>
                <w:lang w:val="en-US" w:eastAsia="zh-CN"/>
              </w:rPr>
              <w:t>：</w:t>
            </w:r>
          </w:p>
          <w:p>
            <w:pPr>
              <w:keepNext w:val="0"/>
              <w:keepLines w:val="0"/>
              <w:widowControl/>
              <w:suppressLineNumbers w:val="0"/>
              <w:spacing w:line="360" w:lineRule="auto"/>
              <w:jc w:val="both"/>
              <w:rPr>
                <w:rFonts w:hint="default" w:ascii="Times New Roman" w:hAnsi="Times New Roman" w:eastAsia="宋体" w:cs="Times New Roman"/>
                <w:color w:val="auto"/>
                <w:spacing w:val="0"/>
                <w:kern w:val="2"/>
                <w:sz w:val="24"/>
                <w:szCs w:val="24"/>
                <w:lang w:val="en-US" w:eastAsia="zh-CN" w:bidi="ar"/>
              </w:rPr>
            </w:pPr>
            <w:r>
              <w:rPr>
                <w:rFonts w:hint="default" w:ascii="Times New Roman" w:hAnsi="Times New Roman" w:eastAsia="宋体" w:cs="Times New Roman"/>
                <w:color w:val="auto"/>
                <w:spacing w:val="0"/>
                <w:kern w:val="2"/>
                <w:sz w:val="24"/>
                <w:szCs w:val="24"/>
                <w:lang w:val="en-US" w:eastAsia="zh-CN" w:bidi="ar"/>
              </w:rPr>
              <w:t>①水资源利用上线。落实最严格水资源管理制度，稳定达到水资源利用“ 三条红线” 控制指标考核要求。2025年，各县市用水总量、用水效率（万元GDP用水量、万元工业增加值用水量、农田灌溉水有效利用系数）、重要江河湖泊水功能区水质达标率满足水资源利用上线的管控要求。</w:t>
            </w:r>
          </w:p>
          <w:p>
            <w:pPr>
              <w:keepNext w:val="0"/>
              <w:keepLines w:val="0"/>
              <w:widowControl/>
              <w:suppressLineNumbers w:val="0"/>
              <w:spacing w:line="360" w:lineRule="auto"/>
              <w:jc w:val="both"/>
              <w:rPr>
                <w:rFonts w:hint="default" w:ascii="Times New Roman" w:hAnsi="Times New Roman" w:eastAsia="宋体" w:cs="Times New Roman"/>
                <w:color w:val="auto"/>
                <w:spacing w:val="0"/>
                <w:kern w:val="2"/>
                <w:sz w:val="24"/>
                <w:szCs w:val="24"/>
                <w:lang w:val="en-US" w:eastAsia="zh-CN" w:bidi="ar"/>
              </w:rPr>
            </w:pPr>
            <w:r>
              <w:rPr>
                <w:rFonts w:hint="default" w:ascii="Times New Roman" w:hAnsi="Times New Roman" w:eastAsia="宋体" w:cs="Times New Roman"/>
                <w:color w:val="auto"/>
                <w:spacing w:val="0"/>
                <w:kern w:val="2"/>
                <w:sz w:val="24"/>
                <w:szCs w:val="24"/>
                <w:lang w:val="en-US" w:eastAsia="zh-CN" w:bidi="ar"/>
              </w:rPr>
              <w:t>②土地资源利用上线。落实最严格的耕地保护制度。2025年，各县市土地利用达到自然资源和规划、住建等部门对土地资源开发利用总量及强度的土地资源利用上线管控要求。</w:t>
            </w:r>
          </w:p>
          <w:p>
            <w:pPr>
              <w:keepNext w:val="0"/>
              <w:keepLines w:val="0"/>
              <w:widowControl/>
              <w:suppressLineNumbers w:val="0"/>
              <w:spacing w:line="360" w:lineRule="auto"/>
              <w:jc w:val="both"/>
              <w:rPr>
                <w:rFonts w:hint="default" w:ascii="Times New Roman" w:hAnsi="Times New Roman" w:eastAsia="宋体" w:cs="Times New Roman"/>
                <w:color w:val="auto"/>
                <w:spacing w:val="0"/>
                <w:kern w:val="2"/>
                <w:sz w:val="24"/>
                <w:szCs w:val="24"/>
                <w:lang w:val="en-US" w:eastAsia="zh-CN" w:bidi="ar"/>
              </w:rPr>
            </w:pPr>
            <w:r>
              <w:rPr>
                <w:rFonts w:hint="default" w:ascii="Times New Roman" w:hAnsi="Times New Roman" w:eastAsia="宋体" w:cs="Times New Roman"/>
                <w:color w:val="auto"/>
                <w:spacing w:val="0"/>
                <w:kern w:val="2"/>
                <w:sz w:val="24"/>
                <w:szCs w:val="24"/>
                <w:lang w:val="en-US" w:eastAsia="zh-CN" w:bidi="ar"/>
              </w:rPr>
              <w:t>③能源利用上线。严格落实能耗“ 双控” 制度。2025年全州单位GDP能耗、能源消耗总量等满足能源利用上线的管控要求。</w:t>
            </w:r>
          </w:p>
          <w:p>
            <w:pPr>
              <w:keepNext w:val="0"/>
              <w:keepLines w:val="0"/>
              <w:widowControl/>
              <w:suppressLineNumbers w:val="0"/>
              <w:spacing w:line="360" w:lineRule="auto"/>
              <w:jc w:val="both"/>
              <w:rPr>
                <w:rFonts w:hint="default" w:ascii="Times New Roman" w:hAnsi="Times New Roman" w:cs="Times New Roman"/>
                <w:color w:val="auto"/>
                <w:spacing w:val="0"/>
                <w:kern w:val="2"/>
              </w:rPr>
            </w:pPr>
            <w:r>
              <w:rPr>
                <w:rFonts w:hint="default" w:ascii="Times New Roman" w:hAnsi="Times New Roman" w:eastAsia="宋体" w:cs="Times New Roman"/>
                <w:color w:val="auto"/>
                <w:spacing w:val="0"/>
                <w:kern w:val="2"/>
                <w:sz w:val="24"/>
                <w:szCs w:val="24"/>
                <w:lang w:val="en-US" w:eastAsia="zh-CN" w:bidi="ar"/>
              </w:rPr>
              <w:t>本项目运营过程中消耗一定量的电能、水资源等资源，项目资源的消耗量相对区域资源利用总量较少，符合资源利用上线的要求</w:t>
            </w:r>
            <w:r>
              <w:rPr>
                <w:rFonts w:hint="default" w:ascii="Times New Roman" w:hAnsi="Times New Roman" w:cs="Times New Roman"/>
                <w:color w:val="auto"/>
                <w:spacing w:val="0"/>
                <w:kern w:val="2"/>
              </w:rPr>
              <w:t>。</w:t>
            </w:r>
          </w:p>
          <w:p>
            <w:pPr>
              <w:spacing w:line="360" w:lineRule="auto"/>
              <w:ind w:firstLine="480"/>
              <w:rPr>
                <w:rFonts w:hint="default" w:ascii="Times New Roman" w:hAnsi="Times New Roman" w:cs="Times New Roman"/>
                <w:color w:val="auto"/>
                <w:spacing w:val="0"/>
                <w:kern w:val="2"/>
              </w:rPr>
            </w:pPr>
            <w:r>
              <w:rPr>
                <w:rFonts w:hint="default" w:ascii="Times New Roman" w:hAnsi="Times New Roman" w:cs="Times New Roman"/>
                <w:color w:val="auto"/>
                <w:spacing w:val="0"/>
                <w:kern w:val="2"/>
              </w:rPr>
              <w:t>（4）生态环境准入清单</w:t>
            </w:r>
          </w:p>
          <w:p>
            <w:pPr>
              <w:keepNext w:val="0"/>
              <w:keepLines w:val="0"/>
              <w:widowControl/>
              <w:suppressLineNumbers w:val="0"/>
              <w:spacing w:line="360" w:lineRule="auto"/>
              <w:jc w:val="left"/>
              <w:rPr>
                <w:rFonts w:hint="default" w:ascii="Times New Roman" w:hAnsi="Times New Roman" w:cs="Times New Roman" w:eastAsiaTheme="minorEastAsia"/>
                <w:color w:val="auto"/>
                <w:spacing w:val="0"/>
                <w:kern w:val="2"/>
                <w:lang w:val="en-US" w:eastAsia="zh-CN"/>
              </w:rPr>
            </w:pPr>
            <w:r>
              <w:rPr>
                <w:rFonts w:hint="default" w:ascii="Times New Roman" w:hAnsi="Times New Roman" w:cs="Times New Roman"/>
                <w:color w:val="auto"/>
                <w:spacing w:val="0"/>
                <w:kern w:val="2"/>
                <w:lang w:val="en-US" w:eastAsia="zh-CN"/>
              </w:rPr>
              <w:t>根据楚雄彝族自治州人民政府文件《楚雄州人民政府关于印发楚雄州“三线一单”生态环境分区管控实施方案的通知》（楚政通（2021）22号），楚雄州</w:t>
            </w:r>
            <w:r>
              <w:rPr>
                <w:rFonts w:hint="default" w:ascii="Times New Roman" w:hAnsi="Times New Roman" w:cs="Times New Roman"/>
                <w:color w:val="auto"/>
                <w:spacing w:val="0"/>
                <w:kern w:val="2"/>
              </w:rPr>
              <w:t>生态环境</w:t>
            </w:r>
            <w:r>
              <w:rPr>
                <w:rFonts w:hint="default" w:ascii="Times New Roman" w:hAnsi="Times New Roman" w:cs="Times New Roman"/>
                <w:color w:val="auto"/>
                <w:spacing w:val="0"/>
                <w:kern w:val="2"/>
                <w:lang w:val="en-US" w:eastAsia="zh-CN"/>
              </w:rPr>
              <w:t>管控总体要求见表1-2，楚雄州优先保护单元、一般保护单元</w:t>
            </w:r>
            <w:r>
              <w:rPr>
                <w:rFonts w:hint="default" w:ascii="Times New Roman" w:hAnsi="Times New Roman" w:cs="Times New Roman"/>
                <w:color w:val="auto"/>
                <w:spacing w:val="0"/>
                <w:kern w:val="2"/>
              </w:rPr>
              <w:t>生态环境准入清单</w:t>
            </w:r>
            <w:r>
              <w:rPr>
                <w:rFonts w:hint="default" w:ascii="Times New Roman" w:hAnsi="Times New Roman" w:cs="Times New Roman"/>
                <w:color w:val="auto"/>
                <w:spacing w:val="0"/>
                <w:kern w:val="2"/>
                <w:lang w:val="en-US" w:eastAsia="zh-CN"/>
              </w:rPr>
              <w:t>详见表1-2。</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pacing w:val="0"/>
                <w:kern w:val="2"/>
                <w:sz w:val="21"/>
                <w:szCs w:val="21"/>
                <w:lang w:val="en-US" w:eastAsia="zh-CN" w:bidi="ar"/>
              </w:rPr>
            </w:pPr>
            <w:r>
              <w:rPr>
                <w:rFonts w:hint="default" w:ascii="Times New Roman" w:hAnsi="Times New Roman" w:eastAsia="宋体" w:cs="Times New Roman"/>
                <w:b/>
                <w:bCs/>
                <w:color w:val="auto"/>
                <w:spacing w:val="0"/>
                <w:kern w:val="2"/>
                <w:sz w:val="21"/>
                <w:szCs w:val="21"/>
                <w:lang w:val="en-US" w:eastAsia="zh-CN" w:bidi="ar"/>
              </w:rPr>
              <w:t>表1-2  楚雄州生态环境管控总体要求</w:t>
            </w:r>
          </w:p>
          <w:tbl>
            <w:tblPr>
              <w:tblStyle w:val="38"/>
              <w:tblW w:w="7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3664"/>
              <w:gridCol w:w="2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管控领域</w:t>
                  </w:r>
                </w:p>
              </w:tc>
              <w:tc>
                <w:tcPr>
                  <w:tcW w:w="366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准入要求</w:t>
                  </w:r>
                </w:p>
              </w:tc>
              <w:tc>
                <w:tcPr>
                  <w:tcW w:w="254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本项目符合性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空间布局约束</w:t>
                  </w:r>
                </w:p>
              </w:tc>
              <w:tc>
                <w:tcPr>
                  <w:tcW w:w="366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1）严格落实国家产业政策。将资源承载能力、生态环境容量作为承接产业转移的基础和前提，合理确定承接产业转移重点，禁止引进环境污染大、资源消耗高、技术落后的生产能力。严禁以任何名义、任何方式核准或备案产能严重过剩行业的增加产能项目。</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（2）严格按照《云南省长江经济带发展负面清单指南实施细则》（试行）要求，禁止在金沙江、长江一级支流（南广河、赤水河）岸线边界 1 公里范围内新建、扩建化工园区和化工项目。禁止在合规园区外新建、扩建钢铁、石化、化工、焦化、建材、有色等高污染项目。</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（3）禁止在金沙江、长江一级支流（南广河、赤水河）建设除党中央、国务院、国家投资主管部门、省级有关部门批复同意以外的过江基础设施项目。禁止在金沙江岸线 3 公里、长江一级支流岸线（南广河、赤水河）1 公里范围内新建、改建、扩建尾矿库。</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（4）在永久基本农田集中区域，不得新建可能造成土壤污染的建设项目；已建成的应当限期关闭拆除。拟开发为农用地的未利用地，要开展土壤环境质量状况评估，不符合相应标准的，不得种植食用农产品。</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5）在天然气干、支线可以覆盖的地区原则上不再新建、改建、扩建以煤（油）为燃料的项目。全州产业聚集区集中建设热电联产机组或大型集中供热设施，逐步淘汰分散燃煤锅炉。在不具备热电联产集中供热条件的地区，现有多台燃煤小锅炉的，可按照等容量替代原则建设大容量燃煤锅炉。</w:t>
                  </w:r>
                </w:p>
              </w:tc>
              <w:tc>
                <w:tcPr>
                  <w:tcW w:w="254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（1）本项</w:t>
                  </w:r>
                  <w:r>
                    <w:rPr>
                      <w:rFonts w:hint="default" w:ascii="Times New Roman" w:hAnsi="Times New Roman" w:eastAsia="宋体" w:cs="Times New Roman"/>
                      <w:color w:val="auto"/>
                      <w:spacing w:val="0"/>
                      <w:kern w:val="2"/>
                      <w:sz w:val="21"/>
                      <w:szCs w:val="21"/>
                      <w:lang w:val="en-US" w:eastAsia="zh-CN" w:bidi="ar"/>
                    </w:rPr>
                    <w:t>属于《产业结构调整指导目录（2019 年本）》规定中鼓励类项目（第三十七款“卫生健康”中第 5 条医疗卫生服务设施建设）。因此，本项目的建设符合国家有关产业政策.</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color w:val="auto"/>
                      <w:spacing w:val="0"/>
                      <w:kern w:val="2"/>
                      <w:sz w:val="21"/>
                      <w:szCs w:val="21"/>
                    </w:rPr>
                  </w:pPr>
                  <w:r>
                    <w:rPr>
                      <w:rFonts w:hint="default" w:ascii="Times New Roman" w:hAnsi="Times New Roman" w:cs="Times New Roman"/>
                      <w:color w:val="auto"/>
                      <w:spacing w:val="0"/>
                      <w:kern w:val="2"/>
                      <w:sz w:val="21"/>
                      <w:szCs w:val="21"/>
                      <w:lang w:eastAsia="zh-CN"/>
                    </w:rPr>
                    <w:t>（</w:t>
                  </w:r>
                  <w:r>
                    <w:rPr>
                      <w:rFonts w:hint="default" w:ascii="Times New Roman" w:hAnsi="Times New Roman" w:cs="Times New Roman"/>
                      <w:color w:val="auto"/>
                      <w:spacing w:val="0"/>
                      <w:kern w:val="2"/>
                      <w:sz w:val="21"/>
                      <w:szCs w:val="21"/>
                      <w:lang w:val="en-US" w:eastAsia="zh-CN"/>
                    </w:rPr>
                    <w:t>2</w:t>
                  </w:r>
                  <w:r>
                    <w:rPr>
                      <w:rFonts w:hint="default" w:ascii="Times New Roman" w:hAnsi="Times New Roman" w:cs="Times New Roman"/>
                      <w:color w:val="auto"/>
                      <w:spacing w:val="0"/>
                      <w:kern w:val="2"/>
                      <w:sz w:val="21"/>
                      <w:szCs w:val="21"/>
                      <w:lang w:eastAsia="zh-CN"/>
                    </w:rPr>
                    <w:t>）</w:t>
                  </w:r>
                  <w:r>
                    <w:rPr>
                      <w:rFonts w:hint="default" w:ascii="Times New Roman" w:hAnsi="Times New Roman" w:cs="Times New Roman"/>
                      <w:color w:val="auto"/>
                      <w:spacing w:val="0"/>
                      <w:kern w:val="2"/>
                      <w:sz w:val="21"/>
                      <w:szCs w:val="21"/>
                    </w:rPr>
                    <w:t>本项目与《云南省长江经济带发展负面清单指南（试行）》符合。</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color w:val="auto"/>
                      <w:spacing w:val="0"/>
                      <w:kern w:val="2"/>
                      <w:sz w:val="21"/>
                      <w:szCs w:val="21"/>
                      <w:lang w:eastAsia="zh-CN"/>
                    </w:rPr>
                    <w:t>（</w:t>
                  </w:r>
                  <w:r>
                    <w:rPr>
                      <w:rFonts w:hint="default" w:ascii="Times New Roman" w:hAnsi="Times New Roman" w:eastAsia="宋体" w:cs="Times New Roman"/>
                      <w:color w:val="auto"/>
                      <w:spacing w:val="0"/>
                      <w:kern w:val="2"/>
                      <w:sz w:val="21"/>
                      <w:szCs w:val="21"/>
                      <w:lang w:val="en-US" w:eastAsia="zh-CN"/>
                    </w:rPr>
                    <w:t>3</w:t>
                  </w:r>
                  <w:r>
                    <w:rPr>
                      <w:rFonts w:hint="default" w:ascii="Times New Roman" w:hAnsi="Times New Roman" w:eastAsia="宋体" w:cs="Times New Roman"/>
                      <w:color w:val="auto"/>
                      <w:spacing w:val="0"/>
                      <w:kern w:val="2"/>
                      <w:sz w:val="21"/>
                      <w:szCs w:val="21"/>
                      <w:lang w:eastAsia="zh-CN"/>
                    </w:rPr>
                    <w:t>）姚安县保健院妇婴医院住院综合楼建设项目</w:t>
                  </w:r>
                  <w:r>
                    <w:rPr>
                      <w:rFonts w:hint="default" w:ascii="Times New Roman" w:hAnsi="Times New Roman" w:cs="Times New Roman"/>
                      <w:color w:val="auto"/>
                      <w:spacing w:val="0"/>
                      <w:kern w:val="2"/>
                      <w:sz w:val="21"/>
                      <w:szCs w:val="21"/>
                    </w:rPr>
                    <w:t>，位于姚安县栋川镇</w:t>
                  </w:r>
                  <w:r>
                    <w:rPr>
                      <w:rFonts w:hint="default" w:ascii="Times New Roman" w:hAnsi="Times New Roman" w:cs="Times New Roman"/>
                      <w:color w:val="auto"/>
                      <w:spacing w:val="0"/>
                      <w:kern w:val="2"/>
                      <w:sz w:val="21"/>
                      <w:szCs w:val="21"/>
                      <w:lang w:eastAsia="zh-CN"/>
                    </w:rPr>
                    <w:t>下栖霞路与</w:t>
                  </w:r>
                  <w:r>
                    <w:rPr>
                      <w:rFonts w:hint="eastAsia" w:cs="Times New Roman"/>
                      <w:color w:val="auto"/>
                      <w:spacing w:val="0"/>
                      <w:kern w:val="2"/>
                      <w:sz w:val="21"/>
                      <w:szCs w:val="21"/>
                      <w:lang w:eastAsia="zh-CN"/>
                    </w:rPr>
                    <w:t>春晖路</w:t>
                  </w:r>
                  <w:r>
                    <w:rPr>
                      <w:rFonts w:hint="default" w:ascii="Times New Roman" w:hAnsi="Times New Roman" w:cs="Times New Roman"/>
                      <w:color w:val="auto"/>
                      <w:spacing w:val="0"/>
                      <w:kern w:val="2"/>
                      <w:sz w:val="21"/>
                      <w:szCs w:val="21"/>
                      <w:lang w:eastAsia="zh-CN"/>
                    </w:rPr>
                    <w:t>交汇口西处</w:t>
                  </w:r>
                  <w:r>
                    <w:rPr>
                      <w:rFonts w:hint="default" w:ascii="Times New Roman" w:hAnsi="Times New Roman" w:cs="Times New Roman"/>
                      <w:color w:val="auto"/>
                      <w:spacing w:val="0"/>
                      <w:kern w:val="2"/>
                      <w:sz w:val="21"/>
                      <w:szCs w:val="21"/>
                    </w:rPr>
                    <w:t>，</w:t>
                  </w:r>
                  <w:r>
                    <w:rPr>
                      <w:rFonts w:hint="default" w:ascii="Times New Roman" w:hAnsi="Times New Roman" w:cs="Times New Roman"/>
                      <w:color w:val="auto"/>
                      <w:spacing w:val="0"/>
                      <w:kern w:val="2"/>
                      <w:sz w:val="21"/>
                      <w:szCs w:val="21"/>
                      <w:lang w:val="en-US" w:eastAsia="zh-CN"/>
                    </w:rPr>
                    <w:t>不</w:t>
                  </w:r>
                  <w:r>
                    <w:rPr>
                      <w:rFonts w:hint="default" w:ascii="Times New Roman" w:hAnsi="Times New Roman" w:eastAsia="宋体" w:cs="Times New Roman"/>
                      <w:b w:val="0"/>
                      <w:bCs w:val="0"/>
                      <w:color w:val="auto"/>
                      <w:spacing w:val="0"/>
                      <w:kern w:val="2"/>
                      <w:sz w:val="21"/>
                      <w:szCs w:val="21"/>
                      <w:lang w:val="en-US" w:eastAsia="zh-CN" w:bidi="ar"/>
                    </w:rPr>
                    <w:t>在金沙江、长江3公里范围内。</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auto"/>
                      <w:spacing w:val="0"/>
                      <w:kern w:val="2"/>
                      <w:sz w:val="21"/>
                      <w:szCs w:val="21"/>
                      <w:lang w:eastAsia="zh-CN" w:bidi="ar"/>
                    </w:rPr>
                  </w:pPr>
                  <w:r>
                    <w:rPr>
                      <w:rFonts w:hint="default" w:ascii="Times New Roman" w:hAnsi="Times New Roman" w:eastAsia="宋体" w:cs="Times New Roman"/>
                      <w:b w:val="0"/>
                      <w:bCs w:val="0"/>
                      <w:color w:val="auto"/>
                      <w:spacing w:val="0"/>
                      <w:kern w:val="2"/>
                      <w:sz w:val="21"/>
                      <w:szCs w:val="21"/>
                      <w:lang w:val="en-US" w:eastAsia="zh-CN" w:bidi="ar"/>
                    </w:rPr>
                    <w:t>（4）</w:t>
                  </w:r>
                  <w:r>
                    <w:rPr>
                      <w:rFonts w:hint="default" w:ascii="Times New Roman" w:hAnsi="Times New Roman" w:eastAsia="宋体" w:cs="Times New Roman"/>
                      <w:color w:val="auto"/>
                      <w:spacing w:val="0"/>
                      <w:kern w:val="2"/>
                      <w:sz w:val="21"/>
                      <w:szCs w:val="21"/>
                      <w:lang w:eastAsia="zh-CN"/>
                    </w:rPr>
                    <w:t>姚安县保健院妇婴医院住院综合楼建设项目</w:t>
                  </w:r>
                  <w:r>
                    <w:rPr>
                      <w:rFonts w:hint="default" w:ascii="Times New Roman" w:hAnsi="Times New Roman" w:cs="Times New Roman"/>
                      <w:color w:val="auto"/>
                      <w:spacing w:val="0"/>
                      <w:kern w:val="2"/>
                      <w:sz w:val="21"/>
                      <w:szCs w:val="21"/>
                    </w:rPr>
                    <w:t>，位于</w:t>
                  </w:r>
                  <w:r>
                    <w:rPr>
                      <w:rFonts w:hint="default" w:ascii="Times New Roman" w:hAnsi="Times New Roman" w:cs="Times New Roman"/>
                      <w:color w:val="auto"/>
                      <w:spacing w:val="0"/>
                      <w:kern w:val="2"/>
                      <w:sz w:val="21"/>
                      <w:szCs w:val="21"/>
                      <w:lang w:eastAsia="zh-CN"/>
                    </w:rPr>
                    <w:t>姚安县栋川镇下栖霞路与</w:t>
                  </w:r>
                  <w:r>
                    <w:rPr>
                      <w:rFonts w:hint="eastAsia" w:cs="Times New Roman"/>
                      <w:color w:val="auto"/>
                      <w:spacing w:val="0"/>
                      <w:kern w:val="2"/>
                      <w:sz w:val="21"/>
                      <w:szCs w:val="21"/>
                      <w:lang w:eastAsia="zh-CN"/>
                    </w:rPr>
                    <w:t>春晖路</w:t>
                  </w:r>
                  <w:r>
                    <w:rPr>
                      <w:rFonts w:hint="default" w:ascii="Times New Roman" w:hAnsi="Times New Roman" w:cs="Times New Roman"/>
                      <w:color w:val="auto"/>
                      <w:spacing w:val="0"/>
                      <w:kern w:val="2"/>
                      <w:sz w:val="21"/>
                      <w:szCs w:val="21"/>
                      <w:lang w:eastAsia="zh-CN"/>
                    </w:rPr>
                    <w:t>交汇口西处</w:t>
                  </w:r>
                  <w:r>
                    <w:rPr>
                      <w:rFonts w:hint="default" w:ascii="Times New Roman" w:hAnsi="Times New Roman" w:cs="Times New Roman"/>
                      <w:color w:val="auto"/>
                      <w:spacing w:val="0"/>
                      <w:kern w:val="2"/>
                      <w:sz w:val="21"/>
                      <w:szCs w:val="21"/>
                    </w:rPr>
                    <w:t>，</w:t>
                  </w:r>
                  <w:r>
                    <w:rPr>
                      <w:rFonts w:hint="default" w:ascii="Times New Roman" w:hAnsi="Times New Roman" w:cs="Times New Roman"/>
                      <w:color w:val="auto"/>
                      <w:spacing w:val="0"/>
                      <w:kern w:val="2"/>
                      <w:sz w:val="21"/>
                      <w:szCs w:val="21"/>
                      <w:lang w:val="en-US" w:eastAsia="zh-CN"/>
                    </w:rPr>
                    <w:t>属于城镇建成区，</w:t>
                  </w:r>
                  <w:r>
                    <w:rPr>
                      <w:rFonts w:hint="default" w:ascii="Times New Roman" w:hAnsi="Times New Roman" w:eastAsia="宋体" w:cs="Times New Roman"/>
                      <w:color w:val="auto"/>
                      <w:spacing w:val="0"/>
                      <w:kern w:val="2"/>
                      <w:sz w:val="21"/>
                      <w:szCs w:val="21"/>
                      <w:lang w:bidi="ar"/>
                    </w:rPr>
                    <w:t>本项目不占用基本农田</w:t>
                  </w:r>
                  <w:r>
                    <w:rPr>
                      <w:rFonts w:hint="default" w:ascii="Times New Roman" w:hAnsi="Times New Roman" w:eastAsia="宋体" w:cs="Times New Roman"/>
                      <w:color w:val="auto"/>
                      <w:spacing w:val="0"/>
                      <w:kern w:val="2"/>
                      <w:sz w:val="21"/>
                      <w:szCs w:val="21"/>
                      <w:lang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color w:val="auto"/>
                      <w:spacing w:val="0"/>
                      <w:kern w:val="2"/>
                      <w:sz w:val="21"/>
                      <w:szCs w:val="21"/>
                      <w:lang w:eastAsia="zh-CN" w:bidi="ar"/>
                    </w:rPr>
                    <w:t>（</w:t>
                  </w:r>
                  <w:r>
                    <w:rPr>
                      <w:rFonts w:hint="default" w:ascii="Times New Roman" w:hAnsi="Times New Roman" w:eastAsia="宋体" w:cs="Times New Roman"/>
                      <w:color w:val="auto"/>
                      <w:spacing w:val="0"/>
                      <w:kern w:val="2"/>
                      <w:sz w:val="21"/>
                      <w:szCs w:val="21"/>
                      <w:lang w:val="en-US" w:eastAsia="zh-CN" w:bidi="ar"/>
                    </w:rPr>
                    <w:t>5</w:t>
                  </w:r>
                  <w:r>
                    <w:rPr>
                      <w:rFonts w:hint="default" w:ascii="Times New Roman" w:hAnsi="Times New Roman" w:eastAsia="宋体" w:cs="Times New Roman"/>
                      <w:color w:val="auto"/>
                      <w:spacing w:val="0"/>
                      <w:kern w:val="2"/>
                      <w:sz w:val="21"/>
                      <w:szCs w:val="21"/>
                      <w:lang w:eastAsia="zh-CN" w:bidi="ar"/>
                    </w:rPr>
                    <w:t>）</w:t>
                  </w:r>
                  <w:r>
                    <w:rPr>
                      <w:rFonts w:hint="default" w:ascii="Times New Roman" w:hAnsi="Times New Roman" w:eastAsia="宋体" w:cs="Times New Roman"/>
                      <w:color w:val="auto"/>
                      <w:spacing w:val="0"/>
                      <w:kern w:val="2"/>
                      <w:sz w:val="21"/>
                      <w:szCs w:val="21"/>
                      <w:lang w:val="en-US" w:eastAsia="zh-CN" w:bidi="ar"/>
                    </w:rPr>
                    <w:t>本项目不涉及锅炉建设。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污染物排放管控</w:t>
                  </w:r>
                </w:p>
              </w:tc>
              <w:tc>
                <w:tcPr>
                  <w:tcW w:w="366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（1）严格控制缺水地区、水污染严重地区和敏感区域高耗水、高污染行业发展，新建、改建、扩建重点行业建设项目实行主要水污染物排放减量置换。</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2）严格保护城乡饮用水水源地，整治饮用水源保护区内的污染源，确保饮水安全。实现城镇生活污水、生活垃圾处理设施全覆盖和稳定运行。推进农村面源污染治理。对入驻企业较少，主要产生生活污水，工业污水中不含有毒有害物质的工业集中区，其污水可就近依托城镇污水处理厂进行处理；对工业污水排放量较小的工业集中区，可依托工业企业治污设施处理后达标排放。新建冶金、电镀、有色金属、化工、印染、制革、原料药制造等企业，原则上布局在符合产业定位的园区，其排放的污水由园区污水处理厂集中处理。</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（3）加大 VOCs 减排力度，扎实推动 PM2.5 和臭氧协同控制，有效巩固环境空气质量优良天数比例。在持续推进氮氧化物减排的基础上，重点加大石化、化工及含挥发性有机化合物产品制造企业和喷漆、制鞋、印刷、电子、服装干洗等行业清洁生产和污染治理力度，逐步淘汰挥发性有机化合物含量高的产品生产和使用，严控生产过程中逃逸性有机气体的排放。</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4）加强土壤污染防治，对农用地实施分类管理，对重点行业企业建设用地实行环境准入管理，进入各使用环节（储备、转让、收回以及改变用途）之前应按照规定进行土壤污染状况调查，动态更新土壤环境污染重点监管企业名单，实施土壤污染环境风险管控和修复名录制度，对污染地块开发利用实行联动监管。</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（5）提高钢铁、水泥等高耗能产业减量置换比例，把高能效和低碳排放纳入产能减量置换门槛，明确重点行业二氧化碳排放达峰目标，控制工业、交通、建筑等行业温室气体排放。</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（6）全州主要污染物总量控制目标达到省级考核要求。</w:t>
                  </w:r>
                </w:p>
              </w:tc>
              <w:tc>
                <w:tcPr>
                  <w:tcW w:w="254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（1）本项目为姚安县保健院妇婴医院住院综合楼建设项目，属于民生建设工程，不属于高耗水、高污染行业。</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（2）</w:t>
                  </w:r>
                  <w:r>
                    <w:rPr>
                      <w:rFonts w:hint="default" w:ascii="Times New Roman" w:hAnsi="Times New Roman" w:eastAsia="宋体" w:cs="Times New Roman"/>
                      <w:color w:val="auto"/>
                      <w:spacing w:val="0"/>
                      <w:kern w:val="2"/>
                      <w:sz w:val="21"/>
                      <w:szCs w:val="21"/>
                      <w:lang w:eastAsia="zh-CN"/>
                    </w:rPr>
                    <w:t>姚安县保健院妇婴医院住院综合楼建设项目</w:t>
                  </w:r>
                  <w:r>
                    <w:rPr>
                      <w:rFonts w:hint="default" w:ascii="Times New Roman" w:hAnsi="Times New Roman" w:cs="Times New Roman"/>
                      <w:color w:val="auto"/>
                      <w:spacing w:val="0"/>
                      <w:kern w:val="2"/>
                      <w:sz w:val="21"/>
                      <w:szCs w:val="21"/>
                    </w:rPr>
                    <w:t>，位于</w:t>
                  </w:r>
                  <w:r>
                    <w:rPr>
                      <w:rFonts w:hint="default" w:ascii="Times New Roman" w:hAnsi="Times New Roman" w:cs="Times New Roman"/>
                      <w:color w:val="auto"/>
                      <w:spacing w:val="0"/>
                      <w:kern w:val="2"/>
                      <w:sz w:val="21"/>
                      <w:szCs w:val="21"/>
                      <w:lang w:eastAsia="zh-CN"/>
                    </w:rPr>
                    <w:t>姚安县栋川镇下栖霞路与</w:t>
                  </w:r>
                  <w:r>
                    <w:rPr>
                      <w:rFonts w:hint="eastAsia" w:cs="Times New Roman"/>
                      <w:color w:val="auto"/>
                      <w:spacing w:val="0"/>
                      <w:kern w:val="2"/>
                      <w:sz w:val="21"/>
                      <w:szCs w:val="21"/>
                      <w:lang w:eastAsia="zh-CN"/>
                    </w:rPr>
                    <w:t>春晖路</w:t>
                  </w:r>
                  <w:r>
                    <w:rPr>
                      <w:rFonts w:hint="default" w:ascii="Times New Roman" w:hAnsi="Times New Roman" w:cs="Times New Roman"/>
                      <w:color w:val="auto"/>
                      <w:spacing w:val="0"/>
                      <w:kern w:val="2"/>
                      <w:sz w:val="21"/>
                      <w:szCs w:val="21"/>
                      <w:lang w:eastAsia="zh-CN"/>
                    </w:rPr>
                    <w:t>交汇口西处</w:t>
                  </w:r>
                  <w:r>
                    <w:rPr>
                      <w:rFonts w:hint="default" w:ascii="Times New Roman" w:hAnsi="Times New Roman" w:cs="Times New Roman"/>
                      <w:color w:val="auto"/>
                      <w:spacing w:val="0"/>
                      <w:kern w:val="2"/>
                      <w:sz w:val="21"/>
                      <w:szCs w:val="21"/>
                    </w:rPr>
                    <w:t>，</w:t>
                  </w:r>
                  <w:r>
                    <w:rPr>
                      <w:rFonts w:hint="default" w:ascii="Times New Roman" w:hAnsi="Times New Roman" w:cs="Times New Roman"/>
                      <w:color w:val="auto"/>
                      <w:spacing w:val="0"/>
                      <w:kern w:val="2"/>
                      <w:sz w:val="21"/>
                      <w:szCs w:val="21"/>
                      <w:lang w:val="en-US" w:eastAsia="zh-CN"/>
                    </w:rPr>
                    <w:t>属于城镇建成区，不属于</w:t>
                  </w:r>
                  <w:r>
                    <w:rPr>
                      <w:rFonts w:hint="default" w:ascii="Times New Roman" w:hAnsi="Times New Roman" w:eastAsia="宋体" w:cs="Times New Roman"/>
                      <w:b w:val="0"/>
                      <w:bCs w:val="0"/>
                      <w:color w:val="auto"/>
                      <w:spacing w:val="0"/>
                      <w:kern w:val="2"/>
                      <w:sz w:val="21"/>
                      <w:szCs w:val="21"/>
                      <w:lang w:val="en-US" w:eastAsia="zh-CN" w:bidi="ar"/>
                    </w:rPr>
                    <w:t>城乡饮用水水源地保护区。</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（3）本项目为姚安县保健院妇婴医院住院综合楼建设项目，不涉及VOCs产排。</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color w:val="auto"/>
                      <w:spacing w:val="0"/>
                      <w:kern w:val="2"/>
                      <w:sz w:val="21"/>
                      <w:szCs w:val="21"/>
                      <w:lang w:val="en-US" w:eastAsia="zh-CN"/>
                    </w:rPr>
                  </w:pPr>
                  <w:r>
                    <w:rPr>
                      <w:rFonts w:hint="default" w:ascii="Times New Roman" w:hAnsi="Times New Roman" w:eastAsia="宋体" w:cs="Times New Roman"/>
                      <w:b w:val="0"/>
                      <w:bCs w:val="0"/>
                      <w:color w:val="auto"/>
                      <w:spacing w:val="0"/>
                      <w:kern w:val="2"/>
                      <w:sz w:val="21"/>
                      <w:szCs w:val="21"/>
                      <w:lang w:val="en-US" w:eastAsia="zh-CN" w:bidi="ar"/>
                    </w:rPr>
                    <w:t>（4）</w:t>
                  </w:r>
                  <w:r>
                    <w:rPr>
                      <w:rFonts w:hint="default" w:ascii="Times New Roman" w:hAnsi="Times New Roman" w:eastAsia="宋体" w:cs="Times New Roman"/>
                      <w:color w:val="auto"/>
                      <w:spacing w:val="0"/>
                      <w:kern w:val="2"/>
                      <w:sz w:val="21"/>
                      <w:szCs w:val="21"/>
                      <w:lang w:eastAsia="zh-CN"/>
                    </w:rPr>
                    <w:t>姚安县保健院妇婴医院住院综合楼建设项目</w:t>
                  </w:r>
                  <w:r>
                    <w:rPr>
                      <w:rFonts w:hint="default" w:ascii="Times New Roman" w:hAnsi="Times New Roman" w:cs="Times New Roman"/>
                      <w:color w:val="auto"/>
                      <w:spacing w:val="0"/>
                      <w:kern w:val="2"/>
                      <w:sz w:val="21"/>
                      <w:szCs w:val="21"/>
                    </w:rPr>
                    <w:t>，位于</w:t>
                  </w:r>
                  <w:r>
                    <w:rPr>
                      <w:rFonts w:hint="default" w:ascii="Times New Roman" w:hAnsi="Times New Roman" w:cs="Times New Roman"/>
                      <w:color w:val="auto"/>
                      <w:spacing w:val="0"/>
                      <w:kern w:val="2"/>
                      <w:sz w:val="21"/>
                      <w:szCs w:val="21"/>
                      <w:lang w:eastAsia="zh-CN"/>
                    </w:rPr>
                    <w:t>姚安县栋川镇下栖霞路与</w:t>
                  </w:r>
                  <w:r>
                    <w:rPr>
                      <w:rFonts w:hint="eastAsia" w:cs="Times New Roman"/>
                      <w:color w:val="auto"/>
                      <w:spacing w:val="0"/>
                      <w:kern w:val="2"/>
                      <w:sz w:val="21"/>
                      <w:szCs w:val="21"/>
                      <w:lang w:eastAsia="zh-CN"/>
                    </w:rPr>
                    <w:t>春晖路</w:t>
                  </w:r>
                  <w:r>
                    <w:rPr>
                      <w:rFonts w:hint="default" w:ascii="Times New Roman" w:hAnsi="Times New Roman" w:cs="Times New Roman"/>
                      <w:color w:val="auto"/>
                      <w:spacing w:val="0"/>
                      <w:kern w:val="2"/>
                      <w:sz w:val="21"/>
                      <w:szCs w:val="21"/>
                      <w:lang w:eastAsia="zh-CN"/>
                    </w:rPr>
                    <w:t>交汇口西处</w:t>
                  </w:r>
                  <w:r>
                    <w:rPr>
                      <w:rFonts w:hint="default" w:ascii="Times New Roman" w:hAnsi="Times New Roman" w:cs="Times New Roman"/>
                      <w:color w:val="auto"/>
                      <w:spacing w:val="0"/>
                      <w:kern w:val="2"/>
                      <w:sz w:val="21"/>
                      <w:szCs w:val="21"/>
                    </w:rPr>
                    <w:t>，</w:t>
                  </w:r>
                  <w:r>
                    <w:rPr>
                      <w:rFonts w:hint="default" w:ascii="Times New Roman" w:hAnsi="Times New Roman" w:cs="Times New Roman"/>
                      <w:color w:val="auto"/>
                      <w:spacing w:val="0"/>
                      <w:kern w:val="2"/>
                      <w:sz w:val="21"/>
                      <w:szCs w:val="21"/>
                      <w:lang w:val="en-US" w:eastAsia="zh-CN"/>
                    </w:rPr>
                    <w:t>属于城镇建成区，项目建设对土壤影响较小。</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cs="Times New Roman"/>
                      <w:color w:val="auto"/>
                      <w:spacing w:val="0"/>
                      <w:kern w:val="2"/>
                      <w:sz w:val="21"/>
                      <w:szCs w:val="21"/>
                      <w:lang w:val="en-US" w:eastAsia="zh-CN"/>
                    </w:rPr>
                    <w:t>（5）</w:t>
                  </w:r>
                  <w:r>
                    <w:rPr>
                      <w:rFonts w:hint="default" w:ascii="Times New Roman" w:hAnsi="Times New Roman" w:eastAsia="宋体" w:cs="Times New Roman"/>
                      <w:b w:val="0"/>
                      <w:bCs w:val="0"/>
                      <w:color w:val="auto"/>
                      <w:spacing w:val="0"/>
                      <w:kern w:val="2"/>
                      <w:sz w:val="21"/>
                      <w:szCs w:val="21"/>
                      <w:lang w:val="en-US" w:eastAsia="zh-CN" w:bidi="ar"/>
                    </w:rPr>
                    <w:t>本项目为姚安县保健院妇婴医院住院综合楼建设项目，属于民生建设工程，不属于高耗水、高污染行业。</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highlight w:val="none"/>
                      <w:lang w:val="en-US" w:eastAsia="zh-CN" w:bidi="ar"/>
                    </w:rPr>
                    <w:t>（6）项目建成后，根据提出的污染物防治措施，污染物可达到《医疗机构水污染物排放标准》（GB18466-2005）标准。固体废物可得到妥善处置。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环境风险管控</w:t>
                  </w:r>
                </w:p>
              </w:tc>
              <w:tc>
                <w:tcPr>
                  <w:tcW w:w="366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1）以金沙江楚雄段为重点，研究建立环境风险评估体系，定期评估沿江河湖库工业企业、工业集中区环境风险，落实防控措施。重点开展长江流域金沙江楚雄段生态隐患和环境风险调查评估，划定高风险区域。</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（2）强化全州与其他滇中城市的大气污染防治联防联控协作机制，加强区域内重污染天气应急联动。</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3）禁止在环境风险防控重点区域如城乡建设规划区、居民集中区、医院和学校附近、重要水源涵养生态功能区等，以及因环境污染导致环境质量不能稳定达标的区域内新建或扩建可能引发环境风险的项目，如冶金、化工、造纸、危险品生产和储运等。</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4）垃圾处理场、垃圾中转站、污水处理厂、生物发酵、规模化畜禽养殖、屠宰等产生恶臭气体的单位应当科学选址，与机关、学校、医院、居民住宅区等人口集中地区和其他依法需要特殊保护的区域保持符合规定的防护距离。</w:t>
                  </w:r>
                </w:p>
              </w:tc>
              <w:tc>
                <w:tcPr>
                  <w:tcW w:w="254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（1）</w:t>
                  </w:r>
                  <w:r>
                    <w:rPr>
                      <w:rFonts w:hint="default" w:ascii="Times New Roman" w:hAnsi="Times New Roman" w:cs="Times New Roman"/>
                      <w:color w:val="auto"/>
                      <w:spacing w:val="0"/>
                      <w:kern w:val="2"/>
                      <w:sz w:val="21"/>
                      <w:szCs w:val="21"/>
                      <w:lang w:val="en-US" w:eastAsia="zh-CN"/>
                    </w:rPr>
                    <w:t>项目为姚安县保健院妇婴医院住院综合楼建设项目，涉及的风险物质为酒精、次氯酸钠，其储存量较小，未达到物质储存临界量，不属于</w:t>
                  </w:r>
                  <w:r>
                    <w:rPr>
                      <w:rFonts w:hint="default" w:ascii="Times New Roman" w:hAnsi="Times New Roman" w:eastAsia="宋体" w:cs="Times New Roman"/>
                      <w:b w:val="0"/>
                      <w:bCs w:val="0"/>
                      <w:color w:val="auto"/>
                      <w:spacing w:val="0"/>
                      <w:kern w:val="2"/>
                      <w:sz w:val="21"/>
                      <w:szCs w:val="21"/>
                      <w:lang w:val="en-US" w:eastAsia="zh-CN" w:bidi="ar"/>
                    </w:rPr>
                    <w:t>长江流域金沙江楚雄段生态隐患和环境风险划定高风险区域。</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color w:val="auto"/>
                      <w:spacing w:val="0"/>
                      <w:kern w:val="2"/>
                      <w:sz w:val="21"/>
                      <w:szCs w:val="21"/>
                      <w:lang w:val="en-US" w:eastAsia="zh-CN"/>
                    </w:rPr>
                  </w:pPr>
                  <w:r>
                    <w:rPr>
                      <w:rFonts w:hint="default" w:ascii="Times New Roman" w:hAnsi="Times New Roman" w:eastAsia="宋体" w:cs="Times New Roman"/>
                      <w:b w:val="0"/>
                      <w:bCs w:val="0"/>
                      <w:color w:val="auto"/>
                      <w:spacing w:val="0"/>
                      <w:kern w:val="2"/>
                      <w:sz w:val="21"/>
                      <w:szCs w:val="21"/>
                      <w:lang w:val="en-US" w:eastAsia="zh-CN" w:bidi="ar"/>
                    </w:rPr>
                    <w:t>（2）</w:t>
                  </w:r>
                  <w:r>
                    <w:rPr>
                      <w:rFonts w:hint="default" w:ascii="Times New Roman" w:hAnsi="Times New Roman" w:cs="Times New Roman"/>
                      <w:color w:val="auto"/>
                      <w:spacing w:val="0"/>
                      <w:kern w:val="2"/>
                      <w:sz w:val="21"/>
                      <w:szCs w:val="21"/>
                      <w:lang w:val="en-US" w:eastAsia="zh-CN"/>
                    </w:rPr>
                    <w:t>项目为姚安县保健院妇婴医院住院综合楼建设项目，不属于环境空气重污染项目。</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cs="Times New Roman"/>
                      <w:color w:val="auto"/>
                      <w:spacing w:val="0"/>
                      <w:kern w:val="2"/>
                      <w:sz w:val="21"/>
                      <w:szCs w:val="21"/>
                      <w:lang w:val="en-US" w:eastAsia="zh-CN"/>
                    </w:rPr>
                    <w:t>（3）</w:t>
                  </w:r>
                  <w:r>
                    <w:rPr>
                      <w:rFonts w:hint="default" w:ascii="Times New Roman" w:hAnsi="Times New Roman" w:cs="Times New Roman"/>
                      <w:color w:val="auto"/>
                      <w:spacing w:val="0"/>
                      <w:kern w:val="2"/>
                      <w:sz w:val="21"/>
                      <w:szCs w:val="21"/>
                      <w:lang w:eastAsia="zh-CN"/>
                    </w:rPr>
                    <w:t>姚安县保健院妇婴医院住院综合楼建设项目</w:t>
                  </w:r>
                  <w:r>
                    <w:rPr>
                      <w:rFonts w:hint="default" w:ascii="Times New Roman" w:hAnsi="Times New Roman" w:cs="Times New Roman"/>
                      <w:color w:val="auto"/>
                      <w:spacing w:val="0"/>
                      <w:kern w:val="2"/>
                      <w:sz w:val="21"/>
                      <w:szCs w:val="21"/>
                    </w:rPr>
                    <w:t>，位于</w:t>
                  </w:r>
                  <w:r>
                    <w:rPr>
                      <w:rFonts w:hint="default" w:ascii="Times New Roman" w:hAnsi="Times New Roman" w:cs="Times New Roman"/>
                      <w:color w:val="auto"/>
                      <w:spacing w:val="0"/>
                      <w:kern w:val="2"/>
                      <w:sz w:val="21"/>
                      <w:szCs w:val="21"/>
                      <w:lang w:eastAsia="zh-CN"/>
                    </w:rPr>
                    <w:t>姚安县栋川镇下栖霞路与</w:t>
                  </w:r>
                  <w:r>
                    <w:rPr>
                      <w:rFonts w:hint="eastAsia" w:cs="Times New Roman"/>
                      <w:color w:val="auto"/>
                      <w:spacing w:val="0"/>
                      <w:kern w:val="2"/>
                      <w:sz w:val="21"/>
                      <w:szCs w:val="21"/>
                      <w:lang w:eastAsia="zh-CN"/>
                    </w:rPr>
                    <w:t>春晖路</w:t>
                  </w:r>
                  <w:r>
                    <w:rPr>
                      <w:rFonts w:hint="default" w:ascii="Times New Roman" w:hAnsi="Times New Roman" w:cs="Times New Roman"/>
                      <w:color w:val="auto"/>
                      <w:spacing w:val="0"/>
                      <w:kern w:val="2"/>
                      <w:sz w:val="21"/>
                      <w:szCs w:val="21"/>
                      <w:lang w:eastAsia="zh-CN"/>
                    </w:rPr>
                    <w:t>交汇口西处</w:t>
                  </w:r>
                  <w:r>
                    <w:rPr>
                      <w:rFonts w:hint="default" w:ascii="Times New Roman" w:hAnsi="Times New Roman" w:cs="Times New Roman"/>
                      <w:color w:val="auto"/>
                      <w:spacing w:val="0"/>
                      <w:kern w:val="2"/>
                      <w:sz w:val="21"/>
                      <w:szCs w:val="21"/>
                    </w:rPr>
                    <w:t>，</w:t>
                  </w:r>
                  <w:r>
                    <w:rPr>
                      <w:rFonts w:hint="default" w:ascii="Times New Roman" w:hAnsi="Times New Roman" w:cs="Times New Roman"/>
                      <w:color w:val="auto"/>
                      <w:spacing w:val="0"/>
                      <w:kern w:val="2"/>
                      <w:sz w:val="21"/>
                      <w:szCs w:val="21"/>
                      <w:lang w:val="en-US" w:eastAsia="zh-CN"/>
                    </w:rPr>
                    <w:t>不属于</w:t>
                  </w:r>
                  <w:r>
                    <w:rPr>
                      <w:rFonts w:hint="default" w:ascii="Times New Roman" w:hAnsi="Times New Roman" w:eastAsia="宋体" w:cs="Times New Roman"/>
                      <w:b w:val="0"/>
                      <w:bCs w:val="0"/>
                      <w:color w:val="auto"/>
                      <w:spacing w:val="0"/>
                      <w:kern w:val="2"/>
                      <w:sz w:val="21"/>
                      <w:szCs w:val="21"/>
                      <w:lang w:val="en-US" w:eastAsia="zh-CN" w:bidi="ar"/>
                    </w:rPr>
                    <w:t>环境风险防控重点区域，项目建设不会引发环境风险。</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（4）</w:t>
                  </w:r>
                  <w:r>
                    <w:rPr>
                      <w:rFonts w:hint="default" w:ascii="Times New Roman" w:hAnsi="Times New Roman" w:eastAsia="宋体" w:cs="Times New Roman"/>
                      <w:color w:val="auto"/>
                      <w:spacing w:val="0"/>
                      <w:kern w:val="2"/>
                      <w:sz w:val="21"/>
                      <w:szCs w:val="21"/>
                      <w:lang w:bidi="ar"/>
                    </w:rPr>
                    <w:t>本项目为</w:t>
                  </w:r>
                  <w:r>
                    <w:rPr>
                      <w:rFonts w:hint="default" w:ascii="Times New Roman" w:hAnsi="Times New Roman" w:eastAsia="宋体" w:cs="Times New Roman"/>
                      <w:color w:val="auto"/>
                      <w:spacing w:val="0"/>
                      <w:kern w:val="2"/>
                      <w:sz w:val="21"/>
                      <w:szCs w:val="21"/>
                      <w:lang w:eastAsia="zh-CN" w:bidi="ar"/>
                    </w:rPr>
                    <w:t>姚安县保健院妇婴医院住院综合楼建设项目</w:t>
                  </w:r>
                  <w:r>
                    <w:rPr>
                      <w:rFonts w:hint="default" w:ascii="Times New Roman" w:hAnsi="Times New Roman" w:eastAsia="宋体" w:cs="Times New Roman"/>
                      <w:color w:val="auto"/>
                      <w:spacing w:val="0"/>
                      <w:kern w:val="2"/>
                      <w:sz w:val="21"/>
                      <w:szCs w:val="21"/>
                      <w:lang w:bidi="ar"/>
                    </w:rPr>
                    <w:t>，不属于限制准入类别</w:t>
                  </w:r>
                  <w:r>
                    <w:rPr>
                      <w:rFonts w:hint="default" w:ascii="Times New Roman" w:hAnsi="Times New Roman" w:eastAsia="宋体" w:cs="Times New Roman"/>
                      <w:b w:val="0"/>
                      <w:bCs w:val="0"/>
                      <w:color w:val="auto"/>
                      <w:spacing w:val="0"/>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资源利用效率</w:t>
                  </w:r>
                </w:p>
              </w:tc>
              <w:tc>
                <w:tcPr>
                  <w:tcW w:w="366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（1）降低水、土地、矿产资源消耗强度，强化约束性指标管理。</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2）实行最严格的水资源管理制度，严格用水总量、强度指标管理，严格取水管控，建立重点监控取水单位名录，强化重点监控取水单位管理。全州年用水总量、万元工业增加值用水量降幅等指标达到省考核要求。</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（3）坚持最严格的耕地保护制度，守住耕地保护红线。坚持节约用地，严格执行耕地占补平衡等制度，提高土地投资强度和单位面积产出水平。</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（4）全州单位GDP能耗持续下降，能耗增量控制目标达到省考核要求。</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（5）鼓励全州石化、化工、有色金属冶炼等行业运用工业节水、技术和装备，促进企业废水深度处理回用。</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（6）实施金沙江龙川江等重点流域水库群联合调度，增加枯水期下泄流量，确保生态用水比例只增不降。</w:t>
                  </w:r>
                </w:p>
              </w:tc>
              <w:tc>
                <w:tcPr>
                  <w:tcW w:w="2544"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（1）本项目为姚安县保健院妇婴医院住院综合楼建设项目，项目建设不会提高水、土地、矿产资源消耗强度。</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（2）本项目为卫姚安县保健院妇婴医院住院综合楼建设项目，项目建设不会提高水资源消耗强度。</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（3）本项目为姚安县保健院妇婴医院住院综合楼建设项目，项目建设新增占地为姚安县自然资源局划拨的医院用地。</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（4）本项目为姚安县保健院妇婴医院住院综合楼建设项目，项目建设不增加能耗。</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（5）本项目为姚安县保健院妇婴医院住院综合楼建设项目，不属于石化、化工、有色金属冶炼等行业。</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（6）本项目为姚安县保健院妇婴医院住院综合楼建设项目，不涉及流域生态用水。</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pacing w:val="0"/>
                <w:kern w:val="2"/>
                <w:sz w:val="24"/>
                <w:szCs w:val="24"/>
                <w:lang w:val="en-US" w:eastAsia="zh-CN" w:bidi="ar"/>
              </w:rPr>
            </w:pPr>
            <w:r>
              <w:rPr>
                <w:rFonts w:hint="default" w:ascii="Times New Roman" w:hAnsi="Times New Roman" w:eastAsia="宋体" w:cs="Times New Roman"/>
                <w:b/>
                <w:bCs/>
                <w:color w:val="auto"/>
                <w:spacing w:val="0"/>
                <w:kern w:val="2"/>
                <w:sz w:val="21"/>
                <w:szCs w:val="21"/>
                <w:lang w:val="en-US" w:eastAsia="zh-CN" w:bidi="ar"/>
              </w:rPr>
              <w:t>表1-3  楚雄州优先保护单元、一般管控单元生态环境准入清单</w:t>
            </w:r>
          </w:p>
          <w:tbl>
            <w:tblPr>
              <w:tblStyle w:val="38"/>
              <w:tblW w:w="71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916"/>
              <w:gridCol w:w="2931"/>
              <w:gridCol w:w="2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市县</w:t>
                  </w:r>
                </w:p>
              </w:tc>
              <w:tc>
                <w:tcPr>
                  <w:tcW w:w="91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单元名称</w:t>
                  </w:r>
                </w:p>
              </w:tc>
              <w:tc>
                <w:tcPr>
                  <w:tcW w:w="293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管控要求</w:t>
                  </w:r>
                </w:p>
              </w:tc>
              <w:tc>
                <w:tcPr>
                  <w:tcW w:w="267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本项目符合性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各市县优先保护单元</w:t>
                  </w:r>
                </w:p>
              </w:tc>
              <w:tc>
                <w:tcPr>
                  <w:tcW w:w="91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生态保护红线优先保护单元</w:t>
                  </w:r>
                </w:p>
              </w:tc>
              <w:tc>
                <w:tcPr>
                  <w:tcW w:w="293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原则上按照禁止开发区进行管理，生态保护红线相关管控办法出台后，依据其管理规定执行。</w:t>
                  </w:r>
                </w:p>
              </w:tc>
              <w:tc>
                <w:tcPr>
                  <w:tcW w:w="267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本项目为姚安县保健院妇婴医院住院综合楼建设项目，项目符合生态保护红线相关管控办法</w:t>
                  </w:r>
                  <w:r>
                    <w:rPr>
                      <w:rFonts w:hint="eastAsia" w:eastAsia="宋体" w:cs="Times New Roman"/>
                      <w:b w:val="0"/>
                      <w:bCs w:val="0"/>
                      <w:color w:val="auto"/>
                      <w:spacing w:val="0"/>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p>
              </w:tc>
              <w:tc>
                <w:tcPr>
                  <w:tcW w:w="91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一般生态空间优先保护单元</w:t>
                  </w:r>
                </w:p>
              </w:tc>
              <w:tc>
                <w:tcPr>
                  <w:tcW w:w="293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（1）执行《云南省人民政府关于实施“ 三线一单”生态环境分区管控的意见》。原则上按照限制开发区域的要求进行管理，严格限制大规模开发建设活动。以保护和修复生态环境、提供生态产品为首要任务，因地制宜地发展不影响主体功能定位的产业。</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2）未纳入生态保护红线的各类自然保护地按照相关法律法规规定进行管控；重要湿地依据《湿地保护管理规定》、《国务院办公厅关于印发湿地保护修复制度方案的通知》、《云南省湿地保护条例》、《云南省人民政府关于加强湿地保护工作的意见》等进行管理；生态公益林依据《国家级公益林管理办法》、《云南省地方公益林管理办法》进行管理；天然林依据《国家林业局关于严格保护天然林的通知》（林资发〔2015〕181 号）、《天然林保护修复制度方案》的通知（厅字〔2019〕39 号）等进行管理；基本草原依据《中华人民共和国草原法》进行管理。</w:t>
                  </w:r>
                </w:p>
              </w:tc>
              <w:tc>
                <w:tcPr>
                  <w:tcW w:w="267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（1）本项目为姚安县保健院妇婴医院住院综合楼建设项目，项目符合生态保护红线相关管控办法。</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（2）项目</w:t>
                  </w:r>
                  <w:r>
                    <w:rPr>
                      <w:rFonts w:hint="default" w:ascii="Times New Roman" w:hAnsi="Times New Roman" w:cs="Times New Roman"/>
                      <w:color w:val="auto"/>
                      <w:spacing w:val="0"/>
                      <w:kern w:val="2"/>
                      <w:sz w:val="21"/>
                      <w:szCs w:val="21"/>
                    </w:rPr>
                    <w:t>位于</w:t>
                  </w:r>
                  <w:r>
                    <w:rPr>
                      <w:rFonts w:hint="default" w:ascii="Times New Roman" w:hAnsi="Times New Roman" w:cs="Times New Roman"/>
                      <w:color w:val="auto"/>
                      <w:spacing w:val="0"/>
                      <w:kern w:val="2"/>
                      <w:sz w:val="21"/>
                      <w:szCs w:val="21"/>
                      <w:lang w:eastAsia="zh-CN"/>
                    </w:rPr>
                    <w:t>姚安县栋川镇下栖霞路与</w:t>
                  </w:r>
                  <w:r>
                    <w:rPr>
                      <w:rFonts w:hint="eastAsia" w:cs="Times New Roman"/>
                      <w:color w:val="auto"/>
                      <w:spacing w:val="0"/>
                      <w:kern w:val="2"/>
                      <w:sz w:val="21"/>
                      <w:szCs w:val="21"/>
                      <w:lang w:eastAsia="zh-CN"/>
                    </w:rPr>
                    <w:t>春晖路</w:t>
                  </w:r>
                  <w:r>
                    <w:rPr>
                      <w:rFonts w:hint="default" w:ascii="Times New Roman" w:hAnsi="Times New Roman" w:cs="Times New Roman"/>
                      <w:color w:val="auto"/>
                      <w:spacing w:val="0"/>
                      <w:kern w:val="2"/>
                      <w:sz w:val="21"/>
                      <w:szCs w:val="21"/>
                      <w:lang w:eastAsia="zh-CN"/>
                    </w:rPr>
                    <w:t>交汇口西处</w:t>
                  </w:r>
                  <w:r>
                    <w:rPr>
                      <w:rFonts w:hint="default" w:ascii="Times New Roman" w:hAnsi="Times New Roman" w:cs="Times New Roman"/>
                      <w:color w:val="auto"/>
                      <w:spacing w:val="0"/>
                      <w:kern w:val="2"/>
                      <w:sz w:val="21"/>
                      <w:szCs w:val="21"/>
                    </w:rPr>
                    <w:t>，</w:t>
                  </w:r>
                  <w:r>
                    <w:rPr>
                      <w:rFonts w:hint="default" w:ascii="Times New Roman" w:hAnsi="Times New Roman" w:cs="Times New Roman"/>
                      <w:color w:val="auto"/>
                      <w:spacing w:val="0"/>
                      <w:kern w:val="2"/>
                      <w:sz w:val="21"/>
                      <w:szCs w:val="21"/>
                      <w:lang w:val="en-US" w:eastAsia="zh-CN"/>
                    </w:rPr>
                    <w:t>不属于</w:t>
                  </w:r>
                  <w:r>
                    <w:rPr>
                      <w:rFonts w:hint="default" w:ascii="Times New Roman" w:hAnsi="Times New Roman" w:eastAsia="宋体" w:cs="Times New Roman"/>
                      <w:b w:val="0"/>
                      <w:bCs w:val="0"/>
                      <w:color w:val="auto"/>
                      <w:spacing w:val="0"/>
                      <w:kern w:val="2"/>
                      <w:sz w:val="21"/>
                      <w:szCs w:val="21"/>
                      <w:lang w:val="en-US" w:eastAsia="zh-CN" w:bidi="ar"/>
                    </w:rPr>
                    <w:t>自然保护地、重要湿地、生态公益林及基本草原范围内。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p>
              </w:tc>
              <w:tc>
                <w:tcPr>
                  <w:tcW w:w="91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饮用水源地优先保护单元</w:t>
                  </w:r>
                </w:p>
              </w:tc>
              <w:tc>
                <w:tcPr>
                  <w:tcW w:w="293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依据《中华人民共和国水污染防治法》、《饮用水水源保护区污染防治管理规定》进行管理。</w:t>
                  </w:r>
                </w:p>
              </w:tc>
              <w:tc>
                <w:tcPr>
                  <w:tcW w:w="267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eastAsiaTheme="minorEastAsia"/>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项目</w:t>
                  </w:r>
                  <w:r>
                    <w:rPr>
                      <w:rFonts w:hint="default" w:ascii="Times New Roman" w:hAnsi="Times New Roman" w:cs="Times New Roman"/>
                      <w:color w:val="auto"/>
                      <w:spacing w:val="0"/>
                      <w:kern w:val="2"/>
                      <w:sz w:val="21"/>
                      <w:szCs w:val="21"/>
                    </w:rPr>
                    <w:t>位于</w:t>
                  </w:r>
                  <w:r>
                    <w:rPr>
                      <w:rFonts w:hint="default" w:ascii="Times New Roman" w:hAnsi="Times New Roman" w:cs="Times New Roman"/>
                      <w:color w:val="auto"/>
                      <w:spacing w:val="0"/>
                      <w:kern w:val="2"/>
                      <w:sz w:val="21"/>
                      <w:szCs w:val="21"/>
                      <w:lang w:eastAsia="zh-CN"/>
                    </w:rPr>
                    <w:t>姚安县栋川镇下栖霞路与</w:t>
                  </w:r>
                  <w:r>
                    <w:rPr>
                      <w:rFonts w:hint="eastAsia" w:cs="Times New Roman"/>
                      <w:color w:val="auto"/>
                      <w:spacing w:val="0"/>
                      <w:kern w:val="2"/>
                      <w:sz w:val="21"/>
                      <w:szCs w:val="21"/>
                      <w:lang w:eastAsia="zh-CN"/>
                    </w:rPr>
                    <w:t>春晖路</w:t>
                  </w:r>
                  <w:r>
                    <w:rPr>
                      <w:rFonts w:hint="default" w:ascii="Times New Roman" w:hAnsi="Times New Roman" w:cs="Times New Roman"/>
                      <w:color w:val="auto"/>
                      <w:spacing w:val="0"/>
                      <w:kern w:val="2"/>
                      <w:sz w:val="21"/>
                      <w:szCs w:val="21"/>
                      <w:lang w:eastAsia="zh-CN"/>
                    </w:rPr>
                    <w:t>交汇口西处</w:t>
                  </w:r>
                  <w:r>
                    <w:rPr>
                      <w:rFonts w:hint="default" w:ascii="Times New Roman" w:hAnsi="Times New Roman" w:cs="Times New Roman"/>
                      <w:color w:val="auto"/>
                      <w:spacing w:val="0"/>
                      <w:kern w:val="2"/>
                      <w:sz w:val="21"/>
                      <w:szCs w:val="21"/>
                    </w:rPr>
                    <w:t>，</w:t>
                  </w:r>
                  <w:r>
                    <w:rPr>
                      <w:rFonts w:hint="default" w:ascii="Times New Roman" w:hAnsi="Times New Roman" w:cs="Times New Roman"/>
                      <w:color w:val="auto"/>
                      <w:spacing w:val="0"/>
                      <w:kern w:val="2"/>
                      <w:sz w:val="21"/>
                      <w:szCs w:val="21"/>
                      <w:lang w:val="en-US" w:eastAsia="zh-CN"/>
                    </w:rPr>
                    <w:t>不在饮用水源地保护范围内。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各市县一般保护单元</w:t>
                  </w:r>
                </w:p>
              </w:tc>
              <w:tc>
                <w:tcPr>
                  <w:tcW w:w="91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空间布局约束</w:t>
                  </w:r>
                </w:p>
              </w:tc>
              <w:tc>
                <w:tcPr>
                  <w:tcW w:w="2931"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落实生态环境保护基本要求，项目建设和运行应满足产业准入、总量控制、排放标准等管理规定和国家法律法规要求。</w:t>
                  </w:r>
                </w:p>
              </w:tc>
              <w:tc>
                <w:tcPr>
                  <w:tcW w:w="267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cs="Times New Roman"/>
                      <w:color w:val="auto"/>
                      <w:spacing w:val="0"/>
                      <w:kern w:val="2"/>
                      <w:sz w:val="21"/>
                      <w:szCs w:val="21"/>
                      <w:u w:val="none"/>
                      <w:lang w:val="en-US" w:eastAsia="zh-CN"/>
                    </w:rPr>
                    <w:t>项目建设和运行符合</w:t>
                  </w:r>
                  <w:r>
                    <w:rPr>
                      <w:rFonts w:hint="default" w:ascii="Times New Roman" w:hAnsi="Times New Roman" w:eastAsia="宋体" w:cs="Times New Roman"/>
                      <w:b w:val="0"/>
                      <w:bCs w:val="0"/>
                      <w:color w:val="auto"/>
                      <w:spacing w:val="0"/>
                      <w:kern w:val="2"/>
                      <w:sz w:val="21"/>
                      <w:szCs w:val="21"/>
                      <w:lang w:val="en-US" w:eastAsia="zh-CN" w:bidi="ar"/>
                    </w:rPr>
                    <w:t>产业准入、总量控制、排放标准等管理规定和国家法律法规要求。</w:t>
                  </w:r>
                </w:p>
              </w:tc>
            </w:tr>
          </w:tbl>
          <w:p>
            <w:pPr>
              <w:keepNext w:val="0"/>
              <w:keepLines w:val="0"/>
              <w:widowControl/>
              <w:suppressLineNumbers w:val="0"/>
              <w:spacing w:line="360" w:lineRule="auto"/>
              <w:jc w:val="both"/>
              <w:rPr>
                <w:rFonts w:hint="default" w:ascii="Times New Roman" w:hAnsi="Times New Roman" w:eastAsia="宋体" w:cs="Times New Roman"/>
                <w:color w:val="auto"/>
                <w:spacing w:val="0"/>
                <w:kern w:val="2"/>
                <w:sz w:val="24"/>
                <w:szCs w:val="24"/>
                <w:lang w:val="en-US" w:eastAsia="zh-CN" w:bidi="ar"/>
              </w:rPr>
            </w:pPr>
            <w:r>
              <w:rPr>
                <w:rFonts w:hint="default" w:ascii="Times New Roman" w:hAnsi="Times New Roman" w:eastAsia="宋体" w:cs="Times New Roman"/>
                <w:color w:val="auto"/>
                <w:spacing w:val="0"/>
                <w:kern w:val="2"/>
                <w:sz w:val="24"/>
                <w:szCs w:val="24"/>
                <w:lang w:val="en-US" w:eastAsia="zh-CN" w:bidi="ar"/>
              </w:rPr>
              <w:t>本项目不属于高污染、高能耗和资源型的产业类型。根据国家发展改革委、商务部关于印发《市场准入负面清单（2019 年版）》的通知，本项目不在《市场准入负面清单（2019 年版）》范围内。属于《产业结构调整指导目录（2019 年本）》规定中鼓励类项目（第三十七款“卫生健康”中第5条医疗卫生服务设施建设）。因此，本项目的建设符合国家有关产业政策。</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pacing w:val="0"/>
                <w:kern w:val="2"/>
                <w:sz w:val="21"/>
                <w:szCs w:val="21"/>
                <w:lang w:val="en-US" w:eastAsia="zh-CN" w:bidi="ar"/>
              </w:rPr>
            </w:pPr>
            <w:r>
              <w:rPr>
                <w:rFonts w:hint="default" w:ascii="Times New Roman" w:hAnsi="Times New Roman" w:eastAsia="宋体" w:cs="Times New Roman"/>
                <w:b/>
                <w:bCs/>
                <w:color w:val="auto"/>
                <w:spacing w:val="0"/>
                <w:kern w:val="2"/>
                <w:sz w:val="21"/>
                <w:szCs w:val="21"/>
                <w:lang w:val="en-US" w:eastAsia="zh-CN" w:bidi="ar"/>
              </w:rPr>
              <w:t>表1-4  产业政策禁止准入清单</w:t>
            </w:r>
          </w:p>
          <w:tbl>
            <w:tblPr>
              <w:tblStyle w:val="38"/>
              <w:tblW w:w="7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3848"/>
              <w:gridCol w:w="2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禁止准入类别</w:t>
                  </w:r>
                </w:p>
              </w:tc>
              <w:tc>
                <w:tcPr>
                  <w:tcW w:w="384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禁止或限制措施描述</w:t>
                  </w:r>
                </w:p>
              </w:tc>
              <w:tc>
                <w:tcPr>
                  <w:tcW w:w="239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本项目符合性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不符合产业政策类</w:t>
                  </w:r>
                </w:p>
              </w:tc>
              <w:tc>
                <w:tcPr>
                  <w:tcW w:w="384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禁止新建、扩建国家或云南省淘汰类和限制类产业，禁止新建、扩建企业使用淘汰类和限制类工艺或设备，禁止生产、进口、销售不符合产业政策、生态环保标准的产品</w:t>
                  </w:r>
                </w:p>
              </w:tc>
              <w:tc>
                <w:tcPr>
                  <w:tcW w:w="239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本项目符合国家产业政策，生产设备和工艺均不是淘汰和限制类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不符合用地政策类</w:t>
                  </w:r>
                </w:p>
              </w:tc>
              <w:tc>
                <w:tcPr>
                  <w:tcW w:w="384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禁止建设《禁止用地项目目录》中的产业或项目；禁止建设不符合土地利用规划的项目</w:t>
                  </w:r>
                </w:p>
              </w:tc>
              <w:tc>
                <w:tcPr>
                  <w:tcW w:w="239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本项目不属于《禁止用地项目目录》中的项目，用地为建设用地，符合土地利用规划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不符合规划类</w:t>
                  </w:r>
                </w:p>
              </w:tc>
              <w:tc>
                <w:tcPr>
                  <w:tcW w:w="384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禁止发展不符园区产业规划的产业，禁止不符合园产业局的项目，禁止不符合园区环境保护目标的产业</w:t>
                  </w:r>
                </w:p>
              </w:tc>
              <w:tc>
                <w:tcPr>
                  <w:tcW w:w="239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pacing w:val="0"/>
                <w:kern w:val="2"/>
                <w:sz w:val="24"/>
                <w:szCs w:val="24"/>
                <w:lang w:val="en-US" w:eastAsia="zh-CN" w:bidi="ar"/>
              </w:rPr>
            </w:pPr>
            <w:r>
              <w:rPr>
                <w:rFonts w:hint="default" w:ascii="Times New Roman" w:hAnsi="Times New Roman" w:eastAsia="宋体" w:cs="Times New Roman"/>
                <w:b/>
                <w:bCs/>
                <w:color w:val="auto"/>
                <w:spacing w:val="0"/>
                <w:kern w:val="2"/>
                <w:sz w:val="21"/>
                <w:szCs w:val="21"/>
                <w:lang w:val="en-US" w:eastAsia="zh-CN" w:bidi="ar"/>
              </w:rPr>
              <w:t>表1-5  资源环境条件禁止准入清单</w:t>
            </w:r>
          </w:p>
          <w:tbl>
            <w:tblPr>
              <w:tblStyle w:val="38"/>
              <w:tblW w:w="70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4160"/>
              <w:gridCol w:w="2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禁止准入类别</w:t>
                  </w:r>
                </w:p>
              </w:tc>
              <w:tc>
                <w:tcPr>
                  <w:tcW w:w="416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禁止或限制措施描述</w:t>
                  </w:r>
                </w:p>
              </w:tc>
              <w:tc>
                <w:tcPr>
                  <w:tcW w:w="205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本项目符合性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资源限制类</w:t>
                  </w:r>
                </w:p>
              </w:tc>
              <w:tc>
                <w:tcPr>
                  <w:tcW w:w="416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禁止占用基本农田；禁止不符合国家水资源利用政策的产业；禁止占用大量森林资源</w:t>
                  </w:r>
                </w:p>
              </w:tc>
              <w:tc>
                <w:tcPr>
                  <w:tcW w:w="205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本项目不占用基本农田，用水为自来水，不占用森林资源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环境制约类</w:t>
                  </w:r>
                </w:p>
              </w:tc>
              <w:tc>
                <w:tcPr>
                  <w:tcW w:w="416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禁止污染物放总量突破区域环境质量底线；禁止不符合环境保护可行性技术的产业；禁止污物超标排放</w:t>
                  </w:r>
                </w:p>
              </w:tc>
              <w:tc>
                <w:tcPr>
                  <w:tcW w:w="205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本项目污染物经采取治理措施后均能达标排放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p>
              </w:tc>
              <w:tc>
                <w:tcPr>
                  <w:tcW w:w="416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石油炼化、石化下游产业用地周边1.5km和钢铁冶金用地周边1.2km的绿化隔离带内，禁止布局长期居住居民和对环境要求较高的制药、食品、生物等产业，限制农业种植和养殖业发展</w:t>
                  </w:r>
                </w:p>
              </w:tc>
              <w:tc>
                <w:tcPr>
                  <w:tcW w:w="205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本项目不属于石油炼化及钢铁冶金业</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inorEastAsia"/>
                <w:color w:val="auto"/>
                <w:spacing w:val="0"/>
                <w:kern w:val="2"/>
                <w:lang w:val="en-US" w:eastAsia="zh-CN"/>
              </w:rPr>
            </w:pPr>
            <w:r>
              <w:rPr>
                <w:rFonts w:hint="default" w:ascii="Times New Roman" w:hAnsi="Times New Roman" w:cs="Times New Roman"/>
                <w:color w:val="auto"/>
                <w:spacing w:val="0"/>
                <w:kern w:val="2"/>
                <w:lang w:eastAsia="zh-CN"/>
              </w:rPr>
              <w:t>（</w:t>
            </w:r>
            <w:r>
              <w:rPr>
                <w:rFonts w:hint="default" w:ascii="Times New Roman" w:hAnsi="Times New Roman" w:cs="Times New Roman"/>
                <w:color w:val="auto"/>
                <w:spacing w:val="0"/>
                <w:kern w:val="2"/>
                <w:lang w:val="en-US" w:eastAsia="zh-CN"/>
              </w:rPr>
              <w:t>5</w:t>
            </w:r>
            <w:r>
              <w:rPr>
                <w:rFonts w:hint="default" w:ascii="Times New Roman" w:hAnsi="Times New Roman" w:cs="Times New Roman"/>
                <w:color w:val="auto"/>
                <w:spacing w:val="0"/>
                <w:kern w:val="2"/>
                <w:lang w:eastAsia="zh-CN"/>
              </w:rPr>
              <w:t>）</w:t>
            </w:r>
            <w:r>
              <w:rPr>
                <w:rFonts w:hint="default" w:ascii="Times New Roman" w:hAnsi="Times New Roman" w:cs="Times New Roman"/>
                <w:color w:val="auto"/>
                <w:spacing w:val="0"/>
                <w:kern w:val="2"/>
                <w:lang w:val="en-US" w:eastAsia="zh-CN"/>
              </w:rPr>
              <w:t>限制准入清单</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pacing w:val="0"/>
                <w:kern w:val="2"/>
                <w:sz w:val="21"/>
                <w:szCs w:val="21"/>
                <w:lang w:val="en-US" w:eastAsia="zh-CN" w:bidi="ar"/>
              </w:rPr>
            </w:pPr>
            <w:r>
              <w:rPr>
                <w:rFonts w:hint="default" w:ascii="Times New Roman" w:hAnsi="Times New Roman" w:eastAsia="宋体" w:cs="Times New Roman"/>
                <w:b/>
                <w:bCs/>
                <w:color w:val="auto"/>
                <w:spacing w:val="0"/>
                <w:kern w:val="2"/>
                <w:sz w:val="21"/>
                <w:szCs w:val="21"/>
                <w:lang w:val="en-US" w:eastAsia="zh-CN" w:bidi="ar"/>
              </w:rPr>
              <w:t>表1-6  生态保护红线限制准入清单</w:t>
            </w:r>
          </w:p>
          <w:tbl>
            <w:tblPr>
              <w:tblStyle w:val="38"/>
              <w:tblW w:w="69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2"/>
              <w:gridCol w:w="2455"/>
              <w:gridCol w:w="2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禁止准入类别</w:t>
                  </w:r>
                </w:p>
              </w:tc>
              <w:tc>
                <w:tcPr>
                  <w:tcW w:w="245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禁止或限制措施描述</w:t>
                  </w:r>
                </w:p>
              </w:tc>
              <w:tc>
                <w:tcPr>
                  <w:tcW w:w="253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本项目符合性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国家生态公益林</w:t>
                  </w:r>
                </w:p>
              </w:tc>
              <w:tc>
                <w:tcPr>
                  <w:tcW w:w="2455"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除家和省的重点建设项目、管理与服务设施外，其他建设项目须避让前述区域，严禁进行</w:t>
                  </w:r>
                </w:p>
              </w:tc>
              <w:tc>
                <w:tcPr>
                  <w:tcW w:w="2537"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本项目位于云南省楚雄州姚安县栋川镇下栖霞路与</w:t>
                  </w:r>
                  <w:r>
                    <w:rPr>
                      <w:rFonts w:hint="eastAsia" w:eastAsia="宋体" w:cs="Times New Roman"/>
                      <w:b w:val="0"/>
                      <w:bCs w:val="0"/>
                      <w:color w:val="auto"/>
                      <w:spacing w:val="0"/>
                      <w:kern w:val="2"/>
                      <w:sz w:val="21"/>
                      <w:szCs w:val="21"/>
                      <w:lang w:val="en-US" w:eastAsia="zh-CN" w:bidi="ar"/>
                    </w:rPr>
                    <w:t>春晖路</w:t>
                  </w:r>
                  <w:r>
                    <w:rPr>
                      <w:rFonts w:hint="default" w:ascii="Times New Roman" w:hAnsi="Times New Roman" w:eastAsia="宋体" w:cs="Times New Roman"/>
                      <w:b w:val="0"/>
                      <w:bCs w:val="0"/>
                      <w:color w:val="auto"/>
                      <w:spacing w:val="0"/>
                      <w:kern w:val="2"/>
                      <w:sz w:val="21"/>
                      <w:szCs w:val="21"/>
                      <w:lang w:val="en-US" w:eastAsia="zh-CN" w:bidi="ar"/>
                    </w:rPr>
                    <w:t>交汇口西处，属于城镇建成区，不在限制准入区内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国有林</w:t>
                  </w:r>
                </w:p>
              </w:tc>
              <w:tc>
                <w:tcPr>
                  <w:tcW w:w="2455"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p>
              </w:tc>
              <w:tc>
                <w:tcPr>
                  <w:tcW w:w="2537"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螳螂川、禄裱河、九龙河、九渡河等 河流滨岸带</w:t>
                  </w:r>
                </w:p>
              </w:tc>
              <w:tc>
                <w:tcPr>
                  <w:tcW w:w="2455" w:type="dxa"/>
                  <w:vMerge w:val="continue"/>
                  <w:vAlign w:val="center"/>
                </w:tcPr>
                <w:p>
                  <w:pPr>
                    <w:keepNext w:val="0"/>
                    <w:keepLines w:val="0"/>
                    <w:widowControl/>
                    <w:suppressLineNumbers w:val="0"/>
                    <w:spacing w:line="360" w:lineRule="auto"/>
                    <w:ind w:left="0" w:leftChars="0" w:firstLine="0" w:firstLineChars="0"/>
                    <w:jc w:val="left"/>
                    <w:rPr>
                      <w:rFonts w:hint="default" w:ascii="Times New Roman" w:hAnsi="Times New Roman" w:eastAsia="宋体" w:cs="Times New Roman"/>
                      <w:b w:val="0"/>
                      <w:bCs w:val="0"/>
                      <w:color w:val="auto"/>
                      <w:spacing w:val="0"/>
                      <w:kern w:val="2"/>
                      <w:sz w:val="21"/>
                      <w:szCs w:val="21"/>
                      <w:vertAlign w:val="baseline"/>
                      <w:lang w:val="en-US" w:eastAsia="zh-CN" w:bidi="ar"/>
                    </w:rPr>
                  </w:pPr>
                </w:p>
              </w:tc>
              <w:tc>
                <w:tcPr>
                  <w:tcW w:w="2537"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未来省、市划定的其他限制准入生态保护红线区</w:t>
                  </w:r>
                </w:p>
              </w:tc>
              <w:tc>
                <w:tcPr>
                  <w:tcW w:w="245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禁止建设与生态保护红线区保护目标不一致的工程</w:t>
                  </w:r>
                </w:p>
              </w:tc>
              <w:tc>
                <w:tcPr>
                  <w:tcW w:w="2537"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pacing w:val="0"/>
                <w:kern w:val="2"/>
                <w:sz w:val="24"/>
                <w:szCs w:val="24"/>
                <w:lang w:val="en-US" w:eastAsia="zh-CN" w:bidi="ar"/>
              </w:rPr>
            </w:pPr>
            <w:r>
              <w:rPr>
                <w:rFonts w:hint="default" w:ascii="Times New Roman" w:hAnsi="Times New Roman" w:eastAsia="宋体" w:cs="Times New Roman"/>
                <w:b/>
                <w:bCs/>
                <w:color w:val="auto"/>
                <w:spacing w:val="0"/>
                <w:kern w:val="2"/>
                <w:sz w:val="21"/>
                <w:szCs w:val="21"/>
                <w:lang w:val="en-US" w:eastAsia="zh-CN" w:bidi="ar"/>
              </w:rPr>
              <w:t>表1-7 产业政策限制准入清单</w:t>
            </w:r>
          </w:p>
          <w:tbl>
            <w:tblPr>
              <w:tblStyle w:val="38"/>
              <w:tblW w:w="71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3859"/>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禁止准入类别</w:t>
                  </w:r>
                </w:p>
              </w:tc>
              <w:tc>
                <w:tcPr>
                  <w:tcW w:w="385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禁止或限制措施描述</w:t>
                  </w:r>
                </w:p>
              </w:tc>
              <w:tc>
                <w:tcPr>
                  <w:tcW w:w="226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vertAlign w:val="baseline"/>
                      <w:lang w:val="en-US" w:eastAsia="zh-CN" w:bidi="ar"/>
                    </w:rPr>
                  </w:pPr>
                  <w:r>
                    <w:rPr>
                      <w:rFonts w:hint="default" w:ascii="Times New Roman" w:hAnsi="Times New Roman" w:eastAsia="宋体" w:cs="Times New Roman"/>
                      <w:b w:val="0"/>
                      <w:bCs w:val="0"/>
                      <w:color w:val="auto"/>
                      <w:spacing w:val="0"/>
                      <w:kern w:val="2"/>
                      <w:sz w:val="21"/>
                      <w:szCs w:val="21"/>
                      <w:vertAlign w:val="baseline"/>
                      <w:lang w:val="en-US" w:eastAsia="zh-CN" w:bidi="ar"/>
                    </w:rPr>
                    <w:t>本项目符合性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jc w:val="center"/>
              </w:trPr>
              <w:tc>
                <w:tcPr>
                  <w:tcW w:w="100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石化及其下游产业</w:t>
                  </w:r>
                </w:p>
              </w:tc>
              <w:tc>
                <w:tcPr>
                  <w:tcW w:w="385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color w:val="auto"/>
                      <w:spacing w:val="0"/>
                      <w:kern w:val="2"/>
                      <w:sz w:val="21"/>
                      <w:szCs w:val="21"/>
                      <w:lang w:val="en-US" w:eastAsia="zh-CN" w:bidi="ar"/>
                    </w:rPr>
                    <w:t>根据石化下游产业项目环境影响评价结果，控制石油炼化及下游产业发展规模，优化石化下游产业布局；严格控制产业SO</w:t>
                  </w:r>
                  <w:r>
                    <w:rPr>
                      <w:rFonts w:hint="default" w:ascii="Times New Roman" w:hAnsi="Times New Roman" w:eastAsia="宋体" w:cs="Times New Roman"/>
                      <w:color w:val="auto"/>
                      <w:spacing w:val="0"/>
                      <w:kern w:val="2"/>
                      <w:sz w:val="21"/>
                      <w:szCs w:val="21"/>
                      <w:vertAlign w:val="subscript"/>
                      <w:lang w:val="en-US" w:eastAsia="zh-CN" w:bidi="ar"/>
                    </w:rPr>
                    <w:t>2</w:t>
                  </w:r>
                  <w:r>
                    <w:rPr>
                      <w:rFonts w:hint="default" w:ascii="Times New Roman" w:hAnsi="Times New Roman" w:eastAsia="宋体" w:cs="Times New Roman"/>
                      <w:color w:val="auto"/>
                      <w:spacing w:val="0"/>
                      <w:kern w:val="2"/>
                      <w:sz w:val="21"/>
                      <w:szCs w:val="21"/>
                      <w:lang w:val="en-US" w:eastAsia="zh-CN" w:bidi="ar"/>
                    </w:rPr>
                    <w:t>、NOx、硫化氢、苯系物、非甲烷总等污染物排放总量</w:t>
                  </w:r>
                </w:p>
              </w:tc>
              <w:tc>
                <w:tcPr>
                  <w:tcW w:w="226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color w:val="auto"/>
                      <w:spacing w:val="0"/>
                      <w:kern w:val="2"/>
                      <w:sz w:val="21"/>
                      <w:szCs w:val="21"/>
                      <w:lang w:val="en-US" w:eastAsia="zh-CN" w:bidi="ar"/>
                    </w:rPr>
                    <w:t>本项目为姚安县保健院妇婴医院住院综合楼建设项目，不属于限制准入类别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鏻盐化工产业</w:t>
                  </w:r>
                </w:p>
              </w:tc>
              <w:tc>
                <w:tcPr>
                  <w:tcW w:w="385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color w:val="auto"/>
                      <w:spacing w:val="0"/>
                      <w:kern w:val="2"/>
                      <w:sz w:val="21"/>
                      <w:szCs w:val="21"/>
                      <w:lang w:val="en-US" w:eastAsia="zh-CN" w:bidi="ar"/>
                    </w:rPr>
                  </w:pPr>
                  <w:r>
                    <w:rPr>
                      <w:rFonts w:hint="default" w:ascii="Times New Roman" w:hAnsi="Times New Roman" w:eastAsia="宋体" w:cs="Times New Roman"/>
                      <w:color w:val="auto"/>
                      <w:spacing w:val="0"/>
                      <w:kern w:val="2"/>
                      <w:sz w:val="21"/>
                      <w:szCs w:val="21"/>
                      <w:lang w:val="en-US" w:eastAsia="zh-CN" w:bidi="ar"/>
                    </w:rPr>
                    <w:t>控制磷化工产业发展规模，新增产能需做到增产不增污；严格控制企业废水COD、氨氮、总磷、氟化物等排放总量</w:t>
                  </w:r>
                </w:p>
              </w:tc>
              <w:tc>
                <w:tcPr>
                  <w:tcW w:w="226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pacing w:val="0"/>
                      <w:kern w:val="2"/>
                      <w:sz w:val="21"/>
                      <w:szCs w:val="21"/>
                      <w:lang w:val="en-US" w:eastAsia="zh-CN" w:bidi="ar"/>
                    </w:rPr>
                  </w:pPr>
                  <w:r>
                    <w:rPr>
                      <w:rFonts w:hint="default" w:ascii="Times New Roman" w:hAnsi="Times New Roman" w:eastAsia="宋体" w:cs="Times New Roman"/>
                      <w:color w:val="auto"/>
                      <w:spacing w:val="0"/>
                      <w:kern w:val="2"/>
                      <w:sz w:val="21"/>
                      <w:szCs w:val="21"/>
                      <w:lang w:val="en-US" w:eastAsia="zh-CN" w:bidi="ar"/>
                    </w:rPr>
                    <w:t>项目为姚安县保健院妇婴医院住院综合楼建设项目，不属于限制准入类别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钢铁产业</w:t>
                  </w:r>
                </w:p>
              </w:tc>
              <w:tc>
                <w:tcPr>
                  <w:tcW w:w="385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color w:val="auto"/>
                      <w:spacing w:val="0"/>
                      <w:kern w:val="2"/>
                      <w:sz w:val="21"/>
                      <w:szCs w:val="21"/>
                      <w:lang w:val="en-US" w:eastAsia="zh-CN" w:bidi="ar"/>
                    </w:rPr>
                  </w:pPr>
                  <w:r>
                    <w:rPr>
                      <w:rFonts w:hint="default" w:ascii="Times New Roman" w:hAnsi="Times New Roman" w:eastAsia="宋体" w:cs="Times New Roman"/>
                      <w:color w:val="auto"/>
                      <w:spacing w:val="0"/>
                      <w:kern w:val="2"/>
                      <w:sz w:val="21"/>
                      <w:szCs w:val="21"/>
                      <w:lang w:val="en-US" w:eastAsia="zh-CN" w:bidi="ar"/>
                    </w:rPr>
                    <w:t>需符合国家产业政策，严格控制产业SO</w:t>
                  </w:r>
                  <w:r>
                    <w:rPr>
                      <w:rFonts w:hint="default" w:ascii="Times New Roman" w:hAnsi="Times New Roman" w:eastAsia="宋体" w:cs="Times New Roman"/>
                      <w:color w:val="auto"/>
                      <w:spacing w:val="0"/>
                      <w:kern w:val="2"/>
                      <w:sz w:val="21"/>
                      <w:szCs w:val="21"/>
                      <w:vertAlign w:val="subscript"/>
                      <w:lang w:val="en-US" w:eastAsia="zh-CN" w:bidi="ar"/>
                    </w:rPr>
                    <w:t>2</w:t>
                  </w:r>
                  <w:r>
                    <w:rPr>
                      <w:rFonts w:hint="default" w:ascii="Times New Roman" w:hAnsi="Times New Roman" w:eastAsia="宋体" w:cs="Times New Roman"/>
                      <w:color w:val="auto"/>
                      <w:spacing w:val="0"/>
                      <w:kern w:val="2"/>
                      <w:sz w:val="21"/>
                      <w:szCs w:val="21"/>
                      <w:lang w:val="en-US" w:eastAsia="zh-CN" w:bidi="ar"/>
                    </w:rPr>
                    <w:t>、NOx、苯并芘、氟化物、硫化氢等大气污染物 排放总量</w:t>
                  </w:r>
                </w:p>
              </w:tc>
              <w:tc>
                <w:tcPr>
                  <w:tcW w:w="226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color w:val="auto"/>
                      <w:spacing w:val="0"/>
                      <w:kern w:val="2"/>
                      <w:sz w:val="21"/>
                      <w:szCs w:val="21"/>
                      <w:lang w:val="en-US" w:eastAsia="zh-CN" w:bidi="ar"/>
                    </w:rPr>
                    <w:t>项目为姚安县保健院妇婴医院住院综合楼建设项目，不属于限制准入类别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color w:val="auto"/>
                      <w:spacing w:val="0"/>
                      <w:kern w:val="2"/>
                      <w:sz w:val="21"/>
                      <w:szCs w:val="21"/>
                      <w:lang w:val="en-US" w:eastAsia="zh-CN" w:bidi="ar"/>
                    </w:rPr>
                    <w:t>机械加工及汽车制造</w:t>
                  </w:r>
                </w:p>
              </w:tc>
              <w:tc>
                <w:tcPr>
                  <w:tcW w:w="385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color w:val="auto"/>
                      <w:spacing w:val="0"/>
                      <w:kern w:val="2"/>
                      <w:sz w:val="21"/>
                      <w:szCs w:val="21"/>
                      <w:lang w:val="en-US" w:eastAsia="zh-CN" w:bidi="ar"/>
                    </w:rPr>
                  </w:pPr>
                  <w:r>
                    <w:rPr>
                      <w:rFonts w:hint="default" w:ascii="Times New Roman" w:hAnsi="Times New Roman" w:eastAsia="宋体" w:cs="Times New Roman"/>
                      <w:color w:val="auto"/>
                      <w:spacing w:val="0"/>
                      <w:kern w:val="2"/>
                      <w:sz w:val="21"/>
                      <w:szCs w:val="21"/>
                      <w:lang w:val="en-US" w:eastAsia="zh-CN" w:bidi="ar"/>
                    </w:rPr>
                    <w:t>严格按家产业政策进行管理，严控产排含重金属废气、废水项目引入，禁止发展不能实现挥发性有机物等细颗粒物前体物排放倍量削减建设项目</w:t>
                  </w:r>
                </w:p>
              </w:tc>
              <w:tc>
                <w:tcPr>
                  <w:tcW w:w="226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pacing w:val="0"/>
                      <w:kern w:val="2"/>
                      <w:sz w:val="21"/>
                      <w:szCs w:val="21"/>
                      <w:lang w:val="en-US" w:eastAsia="zh-CN" w:bidi="ar"/>
                    </w:rPr>
                  </w:pPr>
                  <w:r>
                    <w:rPr>
                      <w:rFonts w:hint="default" w:ascii="Times New Roman" w:hAnsi="Times New Roman" w:eastAsia="宋体" w:cs="Times New Roman"/>
                      <w:color w:val="auto"/>
                      <w:spacing w:val="0"/>
                      <w:kern w:val="2"/>
                      <w:sz w:val="21"/>
                      <w:szCs w:val="21"/>
                      <w:lang w:val="en-US" w:eastAsia="zh-CN" w:bidi="ar"/>
                    </w:rPr>
                    <w:t>本项目为姚安县保健院妇婴医院住院综合楼建设项目，不属于限制准入类别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建材及循环产业</w:t>
                  </w:r>
                </w:p>
              </w:tc>
              <w:tc>
                <w:tcPr>
                  <w:tcW w:w="385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color w:val="auto"/>
                      <w:spacing w:val="0"/>
                      <w:kern w:val="2"/>
                      <w:sz w:val="21"/>
                      <w:szCs w:val="21"/>
                      <w:lang w:val="en-US" w:eastAsia="zh-CN" w:bidi="ar"/>
                    </w:rPr>
                  </w:pPr>
                  <w:r>
                    <w:rPr>
                      <w:rFonts w:hint="default" w:ascii="Times New Roman" w:hAnsi="Times New Roman" w:eastAsia="宋体" w:cs="Times New Roman"/>
                      <w:color w:val="auto"/>
                      <w:spacing w:val="0"/>
                      <w:kern w:val="2"/>
                      <w:sz w:val="21"/>
                      <w:szCs w:val="21"/>
                      <w:lang w:val="en-US" w:eastAsia="zh-CN" w:bidi="ar"/>
                    </w:rPr>
                    <w:t>严格按国家产业政策进行管理，按园区规划进行合理布局，严格控制SO</w:t>
                  </w:r>
                  <w:r>
                    <w:rPr>
                      <w:rFonts w:hint="default" w:ascii="Times New Roman" w:hAnsi="Times New Roman" w:eastAsia="宋体" w:cs="Times New Roman"/>
                      <w:color w:val="auto"/>
                      <w:spacing w:val="0"/>
                      <w:kern w:val="2"/>
                      <w:sz w:val="21"/>
                      <w:szCs w:val="21"/>
                      <w:vertAlign w:val="subscript"/>
                      <w:lang w:val="en-US" w:eastAsia="zh-CN" w:bidi="ar"/>
                    </w:rPr>
                    <w:t>2</w:t>
                  </w:r>
                  <w:r>
                    <w:rPr>
                      <w:rFonts w:hint="default" w:ascii="Times New Roman" w:hAnsi="Times New Roman" w:eastAsia="宋体" w:cs="Times New Roman"/>
                      <w:color w:val="auto"/>
                      <w:spacing w:val="0"/>
                      <w:kern w:val="2"/>
                      <w:sz w:val="21"/>
                      <w:szCs w:val="21"/>
                      <w:lang w:val="en-US" w:eastAsia="zh-CN" w:bidi="ar"/>
                    </w:rPr>
                    <w:t>、NOx、粉尘、氟化物等污染物排放</w:t>
                  </w:r>
                </w:p>
              </w:tc>
              <w:tc>
                <w:tcPr>
                  <w:tcW w:w="226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color w:val="auto"/>
                      <w:spacing w:val="0"/>
                      <w:kern w:val="2"/>
                      <w:sz w:val="21"/>
                      <w:szCs w:val="21"/>
                      <w:lang w:val="en-US" w:eastAsia="zh-CN" w:bidi="ar"/>
                    </w:rPr>
                  </w:pPr>
                  <w:r>
                    <w:rPr>
                      <w:rFonts w:hint="default" w:ascii="Times New Roman" w:hAnsi="Times New Roman" w:eastAsia="宋体" w:cs="Times New Roman"/>
                      <w:color w:val="auto"/>
                      <w:spacing w:val="0"/>
                      <w:kern w:val="2"/>
                      <w:sz w:val="21"/>
                      <w:szCs w:val="21"/>
                      <w:lang w:val="en-US" w:eastAsia="zh-CN" w:bidi="ar"/>
                    </w:rPr>
                    <w:t>本项目不涉及以上污染物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轻型加工制造业</w:t>
                  </w:r>
                </w:p>
              </w:tc>
              <w:tc>
                <w:tcPr>
                  <w:tcW w:w="385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color w:val="auto"/>
                      <w:spacing w:val="0"/>
                      <w:kern w:val="2"/>
                      <w:sz w:val="21"/>
                      <w:szCs w:val="21"/>
                      <w:lang w:val="en-US" w:eastAsia="zh-CN" w:bidi="ar"/>
                    </w:rPr>
                  </w:pPr>
                  <w:r>
                    <w:rPr>
                      <w:rFonts w:hint="default" w:ascii="Times New Roman" w:hAnsi="Times New Roman" w:eastAsia="宋体" w:cs="Times New Roman"/>
                      <w:color w:val="auto"/>
                      <w:spacing w:val="0"/>
                      <w:kern w:val="2"/>
                      <w:sz w:val="21"/>
                      <w:szCs w:val="21"/>
                      <w:lang w:val="en-US" w:eastAsia="zh-CN" w:bidi="ar"/>
                    </w:rPr>
                    <w:t>严格控制产业布局，严格控制企业废水排放</w:t>
                  </w:r>
                </w:p>
              </w:tc>
              <w:tc>
                <w:tcPr>
                  <w:tcW w:w="226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color w:val="auto"/>
                      <w:spacing w:val="0"/>
                      <w:kern w:val="2"/>
                      <w:sz w:val="21"/>
                      <w:szCs w:val="21"/>
                      <w:lang w:val="en-US" w:eastAsia="zh-CN" w:bidi="ar"/>
                    </w:rPr>
                    <w:t>项目为姚安县保健院妇婴医院住院综合楼建设项目，不属于限制准入类别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auto"/>
                      <w:spacing w:val="0"/>
                      <w:kern w:val="2"/>
                      <w:sz w:val="21"/>
                      <w:szCs w:val="21"/>
                      <w:lang w:val="en-US" w:eastAsia="zh-CN" w:bidi="ar"/>
                    </w:rPr>
                  </w:pPr>
                  <w:r>
                    <w:rPr>
                      <w:rFonts w:hint="default" w:ascii="Times New Roman" w:hAnsi="Times New Roman" w:eastAsia="宋体" w:cs="Times New Roman"/>
                      <w:b w:val="0"/>
                      <w:bCs w:val="0"/>
                      <w:color w:val="auto"/>
                      <w:spacing w:val="0"/>
                      <w:kern w:val="2"/>
                      <w:sz w:val="21"/>
                      <w:szCs w:val="21"/>
                      <w:lang w:val="en-US" w:eastAsia="zh-CN" w:bidi="ar"/>
                    </w:rPr>
                    <w:t>高新技术产业</w:t>
                  </w:r>
                </w:p>
              </w:tc>
              <w:tc>
                <w:tcPr>
                  <w:tcW w:w="385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color w:val="auto"/>
                      <w:spacing w:val="0"/>
                      <w:kern w:val="2"/>
                      <w:sz w:val="21"/>
                      <w:szCs w:val="21"/>
                      <w:lang w:val="en-US" w:eastAsia="zh-CN" w:bidi="ar"/>
                    </w:rPr>
                  </w:pPr>
                  <w:r>
                    <w:rPr>
                      <w:rFonts w:hint="default" w:ascii="Times New Roman" w:hAnsi="Times New Roman" w:eastAsia="宋体" w:cs="Times New Roman"/>
                      <w:color w:val="auto"/>
                      <w:spacing w:val="0"/>
                      <w:kern w:val="2"/>
                      <w:sz w:val="21"/>
                      <w:szCs w:val="21"/>
                      <w:lang w:val="en-US" w:eastAsia="zh-CN" w:bidi="ar"/>
                    </w:rPr>
                    <w:t>严格控制产业布，严格控制涉重企业染物排放</w:t>
                  </w:r>
                </w:p>
              </w:tc>
              <w:tc>
                <w:tcPr>
                  <w:tcW w:w="226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color w:val="auto"/>
                      <w:spacing w:val="0"/>
                      <w:kern w:val="2"/>
                      <w:sz w:val="21"/>
                      <w:szCs w:val="21"/>
                      <w:lang w:val="en-US" w:eastAsia="zh-CN" w:bidi="ar"/>
                    </w:rPr>
                  </w:pPr>
                  <w:r>
                    <w:rPr>
                      <w:rFonts w:hint="default" w:ascii="Times New Roman" w:hAnsi="Times New Roman" w:eastAsia="宋体" w:cs="Times New Roman"/>
                      <w:color w:val="auto"/>
                      <w:spacing w:val="0"/>
                      <w:kern w:val="2"/>
                      <w:sz w:val="21"/>
                      <w:szCs w:val="21"/>
                      <w:lang w:val="en-US" w:eastAsia="zh-CN" w:bidi="ar"/>
                    </w:rPr>
                    <w:t>项目为姚安县保健院妇婴医院住院综合楼建设项目，不属于限制准入类别</w:t>
                  </w:r>
                </w:p>
              </w:tc>
            </w:tr>
          </w:tbl>
          <w:p>
            <w:pPr>
              <w:keepNext w:val="0"/>
              <w:keepLines w:val="0"/>
              <w:widowControl/>
              <w:numPr>
                <w:ilvl w:val="0"/>
                <w:numId w:val="1"/>
              </w:numPr>
              <w:suppressLineNumbers w:val="0"/>
              <w:spacing w:line="360" w:lineRule="auto"/>
              <w:jc w:val="left"/>
              <w:rPr>
                <w:rFonts w:hint="default" w:ascii="Times New Roman" w:hAnsi="Times New Roman" w:cs="Times New Roman"/>
                <w:b/>
                <w:color w:val="auto"/>
                <w:spacing w:val="0"/>
                <w:kern w:val="2"/>
              </w:rPr>
            </w:pPr>
            <w:r>
              <w:rPr>
                <w:rFonts w:hint="default" w:ascii="Times New Roman" w:hAnsi="Times New Roman" w:cs="Times New Roman"/>
                <w:b/>
                <w:color w:val="auto"/>
                <w:spacing w:val="0"/>
                <w:kern w:val="2"/>
              </w:rPr>
              <w:t>本项目与“楚雄州重点管控单元生态环境准人清单—姚安县”符合性分析</w:t>
            </w:r>
          </w:p>
          <w:p>
            <w:pPr>
              <w:keepNext w:val="0"/>
              <w:keepLines w:val="0"/>
              <w:widowControl/>
              <w:numPr>
                <w:ilvl w:val="0"/>
                <w:numId w:val="0"/>
              </w:numPr>
              <w:suppressLineNumbers w:val="0"/>
              <w:spacing w:line="360" w:lineRule="auto"/>
              <w:ind w:left="0" w:leftChars="0" w:right="0" w:rightChars="0" w:firstLine="0" w:firstLineChars="0"/>
              <w:jc w:val="center"/>
              <w:rPr>
                <w:rFonts w:hint="default" w:ascii="Times New Roman" w:hAnsi="Times New Roman" w:cs="Times New Roman"/>
                <w:b/>
                <w:color w:val="auto"/>
                <w:spacing w:val="0"/>
                <w:kern w:val="2"/>
                <w:sz w:val="21"/>
                <w:szCs w:val="21"/>
              </w:rPr>
            </w:pPr>
            <w:r>
              <w:rPr>
                <w:rFonts w:hint="default" w:ascii="Times New Roman" w:hAnsi="Times New Roman" w:cs="Times New Roman"/>
                <w:b/>
                <w:color w:val="auto"/>
                <w:spacing w:val="0"/>
                <w:kern w:val="2"/>
                <w:sz w:val="21"/>
                <w:szCs w:val="21"/>
              </w:rPr>
              <w:t>表1-</w:t>
            </w:r>
            <w:r>
              <w:rPr>
                <w:rFonts w:hint="eastAsia" w:cs="Times New Roman"/>
                <w:b/>
                <w:color w:val="auto"/>
                <w:spacing w:val="0"/>
                <w:kern w:val="2"/>
                <w:sz w:val="21"/>
                <w:szCs w:val="21"/>
                <w:lang w:val="en-US" w:eastAsia="zh-CN"/>
              </w:rPr>
              <w:t>8</w:t>
            </w:r>
            <w:r>
              <w:rPr>
                <w:rFonts w:hint="default" w:ascii="Times New Roman" w:hAnsi="Times New Roman" w:cs="Times New Roman"/>
                <w:b/>
                <w:color w:val="auto"/>
                <w:spacing w:val="0"/>
                <w:kern w:val="2"/>
                <w:sz w:val="21"/>
                <w:szCs w:val="21"/>
              </w:rPr>
              <w:t xml:space="preserve"> 与“楚雄州重点管控单元生态环境准人清单—姚安县”符合性分析</w:t>
            </w:r>
          </w:p>
          <w:tbl>
            <w:tblPr>
              <w:tblStyle w:val="37"/>
              <w:tblW w:w="70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8"/>
              <w:gridCol w:w="372"/>
              <w:gridCol w:w="3555"/>
              <w:gridCol w:w="2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2" w:hRule="atLeast"/>
                <w:jc w:val="center"/>
              </w:trPr>
              <w:tc>
                <w:tcPr>
                  <w:tcW w:w="39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67"/>
                    <w:spacing w:beforeLines="0" w:afterLines="0" w:line="360" w:lineRule="auto"/>
                    <w:ind w:left="0" w:leftChars="0" w:right="0" w:rightChars="0" w:firstLine="0" w:firstLineChars="0"/>
                    <w:jc w:val="center"/>
                    <w:rPr>
                      <w:rFonts w:hint="default" w:ascii="Times New Roman" w:hAnsi="Times New Roman" w:cs="Times New Roman"/>
                      <w:b/>
                      <w:color w:val="auto"/>
                      <w:spacing w:val="0"/>
                      <w:kern w:val="2"/>
                      <w:sz w:val="21"/>
                      <w:szCs w:val="21"/>
                      <w:lang w:val="en-US"/>
                    </w:rPr>
                  </w:pPr>
                  <w:r>
                    <w:rPr>
                      <w:rFonts w:hint="default" w:ascii="Times New Roman" w:hAnsi="Times New Roman" w:cs="Times New Roman"/>
                      <w:b/>
                      <w:color w:val="auto"/>
                      <w:spacing w:val="0"/>
                      <w:kern w:val="2"/>
                      <w:sz w:val="21"/>
                      <w:szCs w:val="21"/>
                      <w:lang w:val="en-US"/>
                    </w:rPr>
                    <w:t>单元名称</w:t>
                  </w:r>
                </w:p>
              </w:tc>
              <w:tc>
                <w:tcPr>
                  <w:tcW w:w="3927"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pStyle w:val="167"/>
                    <w:spacing w:beforeLines="0" w:afterLines="0" w:line="360" w:lineRule="auto"/>
                    <w:ind w:left="0" w:leftChars="0" w:right="0" w:rightChars="0" w:firstLine="0" w:firstLineChars="0"/>
                    <w:jc w:val="center"/>
                    <w:rPr>
                      <w:rFonts w:hint="default" w:ascii="Times New Roman" w:hAnsi="Times New Roman" w:cs="Times New Roman"/>
                      <w:b/>
                      <w:color w:val="auto"/>
                      <w:spacing w:val="0"/>
                      <w:kern w:val="2"/>
                      <w:sz w:val="21"/>
                      <w:szCs w:val="21"/>
                      <w:lang w:val="en-US"/>
                    </w:rPr>
                  </w:pPr>
                  <w:r>
                    <w:rPr>
                      <w:rFonts w:hint="default" w:ascii="Times New Roman" w:hAnsi="Times New Roman" w:cs="Times New Roman"/>
                      <w:b/>
                      <w:color w:val="auto"/>
                      <w:spacing w:val="0"/>
                      <w:kern w:val="2"/>
                      <w:sz w:val="21"/>
                      <w:szCs w:val="21"/>
                      <w:lang w:val="en-US"/>
                    </w:rPr>
                    <w:t>管控要求</w:t>
                  </w:r>
                </w:p>
              </w:tc>
              <w:tc>
                <w:tcPr>
                  <w:tcW w:w="276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67"/>
                    <w:spacing w:beforeLines="0" w:afterLines="0" w:line="360" w:lineRule="auto"/>
                    <w:ind w:left="0" w:leftChars="0" w:right="0" w:rightChars="0" w:firstLine="0" w:firstLineChars="0"/>
                    <w:jc w:val="center"/>
                    <w:rPr>
                      <w:rFonts w:hint="eastAsia" w:ascii="Times New Roman" w:hAnsi="Times New Roman" w:cs="Times New Roman" w:eastAsiaTheme="minorEastAsia"/>
                      <w:b/>
                      <w:color w:val="auto"/>
                      <w:spacing w:val="0"/>
                      <w:kern w:val="2"/>
                      <w:sz w:val="21"/>
                      <w:szCs w:val="21"/>
                      <w:lang w:val="en-US" w:eastAsia="zh-CN"/>
                    </w:rPr>
                  </w:pPr>
                  <w:r>
                    <w:rPr>
                      <w:rFonts w:hint="default" w:ascii="Times New Roman" w:hAnsi="Times New Roman" w:cs="Times New Roman"/>
                      <w:b/>
                      <w:color w:val="auto"/>
                      <w:spacing w:val="0"/>
                      <w:kern w:val="2"/>
                      <w:sz w:val="21"/>
                      <w:szCs w:val="21"/>
                      <w:lang w:val="en-US"/>
                    </w:rPr>
                    <w:t>本项目</w:t>
                  </w:r>
                  <w:r>
                    <w:rPr>
                      <w:rFonts w:hint="eastAsia" w:ascii="Times New Roman" w:hAnsi="Times New Roman" w:cs="Times New Roman"/>
                      <w:b/>
                      <w:color w:val="auto"/>
                      <w:spacing w:val="0"/>
                      <w:kern w:val="2"/>
                      <w:sz w:val="21"/>
                      <w:szCs w:val="21"/>
                      <w:lang w:val="en-US"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398"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67"/>
                    <w:spacing w:beforeLines="0" w:afterLines="0" w:line="360" w:lineRule="auto"/>
                    <w:ind w:left="0" w:leftChars="0" w:right="0" w:rightChars="0" w:firstLine="0" w:firstLineChars="0"/>
                    <w:jc w:val="center"/>
                    <w:rPr>
                      <w:rFonts w:hint="default" w:ascii="Times New Roman" w:hAnsi="Times New Roman" w:cs="Times New Roman"/>
                      <w:color w:val="auto"/>
                      <w:spacing w:val="0"/>
                      <w:kern w:val="2"/>
                      <w:sz w:val="21"/>
                      <w:szCs w:val="21"/>
                      <w:lang w:val="en-US"/>
                    </w:rPr>
                  </w:pPr>
                  <w:r>
                    <w:rPr>
                      <w:rFonts w:hint="default" w:ascii="Times New Roman" w:hAnsi="Times New Roman" w:cs="Times New Roman"/>
                      <w:color w:val="auto"/>
                      <w:spacing w:val="0"/>
                      <w:kern w:val="2"/>
                      <w:sz w:val="21"/>
                      <w:szCs w:val="21"/>
                      <w:lang w:val="en-US"/>
                    </w:rPr>
                    <w:t>姚安县工业集中区重点管控单元</w:t>
                  </w:r>
                </w:p>
              </w:tc>
              <w:tc>
                <w:tcPr>
                  <w:tcW w:w="37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67"/>
                    <w:spacing w:beforeLines="0" w:afterLines="0" w:line="360" w:lineRule="auto"/>
                    <w:ind w:left="0" w:leftChars="0" w:right="0" w:rightChars="0" w:firstLine="0" w:firstLineChars="0"/>
                    <w:jc w:val="both"/>
                    <w:rPr>
                      <w:rFonts w:hint="default" w:ascii="Times New Roman" w:hAnsi="Times New Roman" w:cs="Times New Roman"/>
                      <w:color w:val="auto"/>
                      <w:spacing w:val="0"/>
                      <w:kern w:val="2"/>
                      <w:sz w:val="21"/>
                      <w:szCs w:val="21"/>
                      <w:lang w:val="en-US"/>
                    </w:rPr>
                  </w:pPr>
                  <w:r>
                    <w:rPr>
                      <w:rFonts w:hint="default" w:ascii="Times New Roman" w:hAnsi="Times New Roman" w:cs="Times New Roman"/>
                      <w:color w:val="auto"/>
                      <w:spacing w:val="0"/>
                      <w:kern w:val="2"/>
                      <w:sz w:val="21"/>
                      <w:szCs w:val="21"/>
                      <w:lang w:val="en-US"/>
                    </w:rPr>
                    <w:t>空间布局约束</w:t>
                  </w:r>
                </w:p>
              </w:tc>
              <w:tc>
                <w:tcPr>
                  <w:tcW w:w="355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67"/>
                    <w:spacing w:beforeLines="0" w:afterLines="0" w:line="360" w:lineRule="auto"/>
                    <w:ind w:left="0" w:leftChars="0" w:right="0" w:rightChars="0" w:firstLine="0" w:firstLineChars="0"/>
                    <w:jc w:val="both"/>
                    <w:rPr>
                      <w:rFonts w:hint="default" w:ascii="Times New Roman" w:hAnsi="Times New Roman" w:cs="Times New Roman"/>
                      <w:color w:val="auto"/>
                      <w:spacing w:val="0"/>
                      <w:kern w:val="2"/>
                      <w:sz w:val="21"/>
                      <w:szCs w:val="21"/>
                      <w:lang w:val="en-US"/>
                    </w:rPr>
                  </w:pPr>
                  <w:r>
                    <w:rPr>
                      <w:rFonts w:hint="default" w:ascii="Times New Roman" w:hAnsi="Times New Roman" w:cs="Times New Roman"/>
                      <w:color w:val="auto"/>
                      <w:spacing w:val="0"/>
                      <w:kern w:val="2"/>
                      <w:sz w:val="21"/>
                      <w:szCs w:val="21"/>
                      <w:lang w:val="en-US"/>
                    </w:rPr>
                    <w:t>1.以大气污染为特征的项目进入工业集中区，其环境影响评价文件应将大气环境影响评价作为重点之一，深入分析项目入驻对区域大气环境的影响，明确环境空气污染防治措施并严格落实，要求作出明确的环境是否可行的结论。现有不符合要求的企业应逐步调整搬迁至适宜片区，或设置适宜的防护距离。</w:t>
                  </w:r>
                </w:p>
                <w:p>
                  <w:pPr>
                    <w:pStyle w:val="167"/>
                    <w:spacing w:beforeLines="0" w:afterLines="0" w:line="360" w:lineRule="auto"/>
                    <w:ind w:left="0" w:leftChars="0" w:right="0" w:rightChars="0" w:firstLine="0" w:firstLineChars="0"/>
                    <w:jc w:val="both"/>
                    <w:rPr>
                      <w:rFonts w:hint="default" w:ascii="Times New Roman" w:hAnsi="Times New Roman" w:cs="Times New Roman"/>
                      <w:color w:val="auto"/>
                      <w:spacing w:val="0"/>
                      <w:kern w:val="2"/>
                      <w:sz w:val="21"/>
                      <w:szCs w:val="21"/>
                      <w:lang w:val="en-US"/>
                    </w:rPr>
                  </w:pPr>
                  <w:r>
                    <w:rPr>
                      <w:rFonts w:hint="default" w:ascii="Times New Roman" w:hAnsi="Times New Roman" w:cs="Times New Roman"/>
                      <w:color w:val="auto"/>
                      <w:spacing w:val="0"/>
                      <w:kern w:val="2"/>
                      <w:sz w:val="21"/>
                      <w:szCs w:val="21"/>
                      <w:lang w:val="en-US"/>
                    </w:rPr>
                    <w:t>2.在对有重大影响的项目的跟踪评价中，应对区域环境空气质量作重点回顾性评价，分析说明环境空气质量变化趋势，并提出必要的补救措施。</w:t>
                  </w:r>
                </w:p>
              </w:tc>
              <w:tc>
                <w:tcPr>
                  <w:tcW w:w="276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67"/>
                    <w:spacing w:beforeLines="0" w:afterLines="0" w:line="360" w:lineRule="auto"/>
                    <w:ind w:left="0" w:leftChars="0" w:right="0" w:rightChars="0" w:firstLine="0" w:firstLineChars="0"/>
                    <w:jc w:val="both"/>
                    <w:rPr>
                      <w:rFonts w:hint="eastAsia" w:ascii="Times New Roman" w:hAnsi="Times New Roman" w:cs="Times New Roman"/>
                      <w:color w:val="auto"/>
                      <w:spacing w:val="0"/>
                      <w:kern w:val="2"/>
                      <w:sz w:val="21"/>
                      <w:szCs w:val="21"/>
                      <w:lang w:val="en-US" w:eastAsia="zh-CN"/>
                    </w:rPr>
                  </w:pPr>
                  <w:r>
                    <w:rPr>
                      <w:rFonts w:hint="eastAsia" w:ascii="Times New Roman" w:hAnsi="Times New Roman" w:cs="Times New Roman"/>
                      <w:color w:val="auto"/>
                      <w:spacing w:val="0"/>
                      <w:kern w:val="2"/>
                      <w:sz w:val="21"/>
                      <w:szCs w:val="21"/>
                      <w:lang w:val="en-US" w:eastAsia="zh-CN"/>
                    </w:rPr>
                    <w:t>1.</w:t>
                  </w:r>
                  <w:r>
                    <w:rPr>
                      <w:rFonts w:hint="default" w:ascii="Times New Roman" w:hAnsi="Times New Roman" w:cs="Times New Roman"/>
                      <w:color w:val="auto"/>
                      <w:spacing w:val="0"/>
                      <w:kern w:val="2"/>
                      <w:sz w:val="21"/>
                      <w:szCs w:val="21"/>
                      <w:lang w:val="en-US"/>
                    </w:rPr>
                    <w:t>本项目为</w:t>
                  </w:r>
                  <w:r>
                    <w:rPr>
                      <w:rFonts w:hint="default" w:ascii="Times New Roman" w:hAnsi="Times New Roman" w:cs="Times New Roman"/>
                      <w:color w:val="auto"/>
                      <w:spacing w:val="0"/>
                      <w:kern w:val="2"/>
                      <w:sz w:val="21"/>
                      <w:szCs w:val="21"/>
                    </w:rPr>
                    <w:t>姚安县保健院妇婴医院住院综合楼建设项目</w:t>
                  </w:r>
                  <w:r>
                    <w:rPr>
                      <w:rFonts w:hint="default" w:ascii="Times New Roman" w:hAnsi="Times New Roman" w:cs="Times New Roman"/>
                      <w:color w:val="auto"/>
                      <w:spacing w:val="0"/>
                      <w:kern w:val="2"/>
                      <w:sz w:val="21"/>
                      <w:szCs w:val="21"/>
                      <w:lang w:val="en-US"/>
                    </w:rPr>
                    <w:t>，大气污染物</w:t>
                  </w:r>
                  <w:r>
                    <w:rPr>
                      <w:rFonts w:hint="eastAsia" w:ascii="Times New Roman" w:hAnsi="Times New Roman" w:cs="Times New Roman"/>
                      <w:color w:val="auto"/>
                      <w:spacing w:val="0"/>
                      <w:kern w:val="2"/>
                      <w:sz w:val="21"/>
                      <w:szCs w:val="21"/>
                      <w:lang w:val="en-US" w:eastAsia="zh-CN"/>
                    </w:rPr>
                    <w:t>主要是污水处理站周围产生的废气，经</w:t>
                  </w:r>
                  <w:r>
                    <w:rPr>
                      <w:rFonts w:hint="default" w:ascii="Times New Roman" w:hAnsi="Times New Roman" w:cs="Times New Roman"/>
                      <w:color w:val="auto"/>
                      <w:spacing w:val="0"/>
                      <w:kern w:val="2"/>
                      <w:sz w:val="21"/>
                      <w:szCs w:val="21"/>
                      <w:lang w:val="en-US"/>
                    </w:rPr>
                    <w:t>处理后可达标排放</w:t>
                  </w:r>
                  <w:r>
                    <w:rPr>
                      <w:rFonts w:hint="eastAsia" w:ascii="Times New Roman" w:hAnsi="Times New Roman" w:cs="Times New Roman"/>
                      <w:color w:val="auto"/>
                      <w:spacing w:val="0"/>
                      <w:kern w:val="2"/>
                      <w:sz w:val="21"/>
                      <w:szCs w:val="21"/>
                      <w:lang w:val="en-US" w:eastAsia="zh-CN"/>
                    </w:rPr>
                    <w:t>，项目不产生特征大气污染物。</w:t>
                  </w:r>
                </w:p>
                <w:p>
                  <w:pPr>
                    <w:pStyle w:val="167"/>
                    <w:spacing w:beforeLines="0" w:afterLines="0" w:line="360" w:lineRule="auto"/>
                    <w:ind w:left="0" w:leftChars="0" w:right="0" w:rightChars="0" w:firstLine="0" w:firstLineChars="0"/>
                    <w:jc w:val="both"/>
                    <w:rPr>
                      <w:rFonts w:hint="default" w:ascii="Times New Roman" w:hAnsi="Times New Roman" w:cs="Times New Roman"/>
                      <w:color w:val="auto"/>
                      <w:spacing w:val="0"/>
                      <w:kern w:val="2"/>
                      <w:sz w:val="21"/>
                      <w:szCs w:val="21"/>
                      <w:lang w:val="en-US" w:eastAsia="zh-CN"/>
                    </w:rPr>
                  </w:pPr>
                  <w:r>
                    <w:rPr>
                      <w:rFonts w:hint="eastAsia" w:ascii="Times New Roman" w:hAnsi="Times New Roman" w:cs="Times New Roman"/>
                      <w:color w:val="auto"/>
                      <w:spacing w:val="0"/>
                      <w:kern w:val="2"/>
                      <w:sz w:val="21"/>
                      <w:szCs w:val="21"/>
                      <w:lang w:val="en-US" w:eastAsia="zh-CN"/>
                    </w:rPr>
                    <w:t>2.本项目为姚安县保健院妇婴医院住院综合楼建设项目，项目运营期产生的污染物经过相应的环保措施处理后，对周围环境影响较小。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jc w:val="center"/>
              </w:trPr>
              <w:tc>
                <w:tcPr>
                  <w:tcW w:w="398"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167"/>
                    <w:spacing w:beforeLines="0" w:afterLines="0" w:line="360" w:lineRule="auto"/>
                    <w:ind w:left="0" w:leftChars="0" w:right="0" w:rightChars="0" w:firstLine="0" w:firstLineChars="0"/>
                    <w:jc w:val="center"/>
                    <w:rPr>
                      <w:rFonts w:hint="default" w:ascii="Times New Roman" w:hAnsi="Times New Roman" w:cs="Times New Roman"/>
                      <w:color w:val="auto"/>
                      <w:spacing w:val="0"/>
                      <w:kern w:val="2"/>
                      <w:sz w:val="21"/>
                      <w:szCs w:val="21"/>
                      <w:lang w:val="en-US"/>
                    </w:rPr>
                  </w:pPr>
                </w:p>
              </w:tc>
              <w:tc>
                <w:tcPr>
                  <w:tcW w:w="37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67"/>
                    <w:spacing w:beforeLines="0" w:afterLines="0" w:line="360" w:lineRule="auto"/>
                    <w:ind w:left="0" w:leftChars="0" w:right="0" w:rightChars="0" w:firstLine="0" w:firstLineChars="0"/>
                    <w:jc w:val="both"/>
                    <w:rPr>
                      <w:rFonts w:hint="default" w:ascii="Times New Roman" w:hAnsi="Times New Roman" w:cs="Times New Roman"/>
                      <w:color w:val="auto"/>
                      <w:spacing w:val="0"/>
                      <w:kern w:val="2"/>
                      <w:sz w:val="21"/>
                      <w:szCs w:val="21"/>
                      <w:lang w:val="en-US"/>
                    </w:rPr>
                  </w:pPr>
                  <w:r>
                    <w:rPr>
                      <w:rFonts w:hint="default" w:ascii="Times New Roman" w:hAnsi="Times New Roman" w:cs="Times New Roman"/>
                      <w:color w:val="auto"/>
                      <w:spacing w:val="0"/>
                      <w:kern w:val="2"/>
                      <w:sz w:val="21"/>
                      <w:szCs w:val="21"/>
                      <w:lang w:val="en-US"/>
                    </w:rPr>
                    <w:t>污染物排放管控</w:t>
                  </w:r>
                </w:p>
              </w:tc>
              <w:tc>
                <w:tcPr>
                  <w:tcW w:w="355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67"/>
                    <w:spacing w:beforeLines="0" w:afterLines="0" w:line="360" w:lineRule="auto"/>
                    <w:ind w:left="0" w:leftChars="0" w:right="0" w:rightChars="0" w:firstLine="0" w:firstLineChars="0"/>
                    <w:jc w:val="both"/>
                    <w:rPr>
                      <w:rFonts w:hint="default" w:ascii="Times New Roman" w:hAnsi="Times New Roman" w:cs="Times New Roman"/>
                      <w:color w:val="auto"/>
                      <w:spacing w:val="0"/>
                      <w:kern w:val="2"/>
                      <w:sz w:val="21"/>
                      <w:szCs w:val="21"/>
                      <w:lang w:val="en-US"/>
                    </w:rPr>
                  </w:pPr>
                  <w:r>
                    <w:rPr>
                      <w:rFonts w:hint="default" w:ascii="Times New Roman" w:hAnsi="Times New Roman" w:cs="Times New Roman"/>
                      <w:color w:val="auto"/>
                      <w:spacing w:val="0"/>
                      <w:kern w:val="2"/>
                      <w:sz w:val="21"/>
                      <w:szCs w:val="21"/>
                      <w:lang w:val="en-US"/>
                    </w:rPr>
                    <w:t>1.在工业集中区各企业中推广“闭路循环用水”、“中水回用”的用水方式，提高工业用水循环使用率。</w:t>
                  </w:r>
                </w:p>
                <w:p>
                  <w:pPr>
                    <w:pStyle w:val="167"/>
                    <w:spacing w:beforeLines="0" w:afterLines="0" w:line="360" w:lineRule="auto"/>
                    <w:ind w:left="0" w:leftChars="0" w:right="0" w:rightChars="0" w:firstLine="0" w:firstLineChars="0"/>
                    <w:jc w:val="both"/>
                    <w:rPr>
                      <w:rFonts w:hint="default" w:ascii="Times New Roman" w:hAnsi="Times New Roman" w:cs="Times New Roman"/>
                      <w:color w:val="auto"/>
                      <w:spacing w:val="0"/>
                      <w:kern w:val="2"/>
                      <w:sz w:val="21"/>
                      <w:szCs w:val="21"/>
                      <w:lang w:val="en-US"/>
                    </w:rPr>
                  </w:pPr>
                  <w:r>
                    <w:rPr>
                      <w:rFonts w:hint="default" w:ascii="Times New Roman" w:hAnsi="Times New Roman" w:cs="Times New Roman"/>
                      <w:color w:val="auto"/>
                      <w:spacing w:val="0"/>
                      <w:kern w:val="2"/>
                      <w:sz w:val="21"/>
                      <w:szCs w:val="21"/>
                      <w:lang w:val="en-US"/>
                    </w:rPr>
                    <w:t>2.禁止生产废水、生活污水未经处理直接排入周围地表水体。</w:t>
                  </w:r>
                </w:p>
                <w:p>
                  <w:pPr>
                    <w:pStyle w:val="167"/>
                    <w:spacing w:beforeLines="0" w:afterLines="0" w:line="360" w:lineRule="auto"/>
                    <w:ind w:left="0" w:leftChars="0" w:right="0" w:rightChars="0" w:firstLine="0" w:firstLineChars="0"/>
                    <w:jc w:val="both"/>
                    <w:rPr>
                      <w:rFonts w:hint="default" w:ascii="Times New Roman" w:hAnsi="Times New Roman" w:cs="Times New Roman"/>
                      <w:color w:val="auto"/>
                      <w:spacing w:val="0"/>
                      <w:kern w:val="2"/>
                      <w:sz w:val="21"/>
                      <w:szCs w:val="21"/>
                      <w:lang w:val="en-US"/>
                    </w:rPr>
                  </w:pPr>
                  <w:r>
                    <w:rPr>
                      <w:rFonts w:hint="default" w:ascii="Times New Roman" w:hAnsi="Times New Roman" w:cs="Times New Roman"/>
                      <w:color w:val="auto"/>
                      <w:spacing w:val="0"/>
                      <w:kern w:val="2"/>
                      <w:sz w:val="21"/>
                      <w:szCs w:val="21"/>
                      <w:lang w:val="en-US"/>
                    </w:rPr>
                    <w:t>3.现有各企业的生产生活废污水自行处理后优先回用，剩余废污水达标排放至蜻蛉河。工业集中区污水处理厂建成后，废污水由各企业自行处理达到《污水综合排放标准》(GB8978-1996)三级标准及《污水排入城镇下水道水质标准》(GB/T 31962-2015)后排入污水处理厂，出水水质标准达到《城镇污水处理厂污染物排放标准》(GB18918-2002)一级A标准后部分回用，剩余部分经湿地降解污染后排入蜻蛉河。凡涉及排放第一类污染物者，在车间或工段排放口执行一类污染物排放标准。</w:t>
                  </w:r>
                </w:p>
                <w:p>
                  <w:pPr>
                    <w:pStyle w:val="167"/>
                    <w:spacing w:beforeLines="0" w:afterLines="0" w:line="360" w:lineRule="auto"/>
                    <w:ind w:left="0" w:leftChars="0" w:right="0" w:rightChars="0" w:firstLine="0" w:firstLineChars="0"/>
                    <w:jc w:val="both"/>
                    <w:rPr>
                      <w:rFonts w:hint="default" w:ascii="Times New Roman" w:hAnsi="Times New Roman" w:cs="Times New Roman"/>
                      <w:color w:val="auto"/>
                      <w:spacing w:val="0"/>
                      <w:kern w:val="2"/>
                      <w:sz w:val="21"/>
                      <w:szCs w:val="21"/>
                      <w:lang w:val="en-US"/>
                    </w:rPr>
                  </w:pPr>
                  <w:r>
                    <w:rPr>
                      <w:rFonts w:hint="default" w:ascii="Times New Roman" w:hAnsi="Times New Roman" w:cs="Times New Roman"/>
                      <w:color w:val="auto"/>
                      <w:spacing w:val="0"/>
                      <w:kern w:val="2"/>
                      <w:sz w:val="21"/>
                      <w:szCs w:val="21"/>
                      <w:lang w:val="en-US"/>
                    </w:rPr>
                    <w:t>4.向大气排放烟尘、粉尘、二氧化硫、氮氧化物的排污单位，需采取除尘、脱硫、除硝措施，确保达标排放，达标排放率达100%。现有及新改扩建工业企业必须采取新工艺、新技术，提高综合利用，减少废气的排放，禁止高耗能、重污染的企业进入。</w:t>
                  </w:r>
                </w:p>
              </w:tc>
              <w:tc>
                <w:tcPr>
                  <w:tcW w:w="276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67"/>
                    <w:spacing w:beforeLines="0" w:afterLines="0" w:line="360" w:lineRule="auto"/>
                    <w:ind w:left="0" w:leftChars="0" w:right="0" w:rightChars="0" w:firstLine="0" w:firstLineChars="0"/>
                    <w:jc w:val="both"/>
                    <w:rPr>
                      <w:rFonts w:hint="eastAsia" w:ascii="Times New Roman" w:hAnsi="Times New Roman" w:cs="Times New Roman"/>
                      <w:color w:val="auto"/>
                      <w:spacing w:val="0"/>
                      <w:kern w:val="2"/>
                      <w:sz w:val="21"/>
                      <w:szCs w:val="21"/>
                      <w:lang w:val="en-US" w:eastAsia="zh-CN"/>
                    </w:rPr>
                  </w:pPr>
                  <w:r>
                    <w:rPr>
                      <w:rFonts w:hint="eastAsia" w:ascii="Times New Roman" w:hAnsi="Times New Roman" w:cs="Times New Roman"/>
                      <w:color w:val="auto"/>
                      <w:spacing w:val="0"/>
                      <w:kern w:val="2"/>
                      <w:sz w:val="21"/>
                      <w:szCs w:val="21"/>
                      <w:lang w:val="en-US" w:eastAsia="zh-CN"/>
                    </w:rPr>
                    <w:t>1.</w:t>
                  </w:r>
                  <w:r>
                    <w:rPr>
                      <w:rFonts w:hint="default" w:ascii="Times New Roman" w:hAnsi="Times New Roman" w:cs="Times New Roman"/>
                      <w:color w:val="auto"/>
                      <w:spacing w:val="0"/>
                      <w:kern w:val="2"/>
                      <w:sz w:val="21"/>
                      <w:szCs w:val="21"/>
                      <w:lang w:val="en-US"/>
                    </w:rPr>
                    <w:t>本项目</w:t>
                  </w:r>
                  <w:r>
                    <w:rPr>
                      <w:rFonts w:hint="eastAsia" w:ascii="Times New Roman" w:hAnsi="Times New Roman" w:cs="Times New Roman"/>
                      <w:color w:val="auto"/>
                      <w:spacing w:val="0"/>
                      <w:kern w:val="2"/>
                      <w:sz w:val="21"/>
                      <w:szCs w:val="21"/>
                      <w:lang w:val="en-US" w:eastAsia="zh-CN"/>
                    </w:rPr>
                    <w:t>建设地点位于姚安县栋川镇下栖霞路与春晖路交汇口西处，不在工业区内。</w:t>
                  </w:r>
                </w:p>
                <w:p>
                  <w:pPr>
                    <w:pStyle w:val="167"/>
                    <w:spacing w:beforeLines="0" w:afterLines="0" w:line="360" w:lineRule="auto"/>
                    <w:ind w:left="0" w:leftChars="0" w:right="0" w:rightChars="0" w:firstLine="0" w:firstLineChars="0"/>
                    <w:jc w:val="both"/>
                    <w:rPr>
                      <w:rFonts w:hint="eastAsia" w:ascii="Times New Roman" w:hAnsi="Times New Roman" w:cs="Times New Roman"/>
                      <w:color w:val="auto"/>
                      <w:spacing w:val="0"/>
                      <w:kern w:val="2"/>
                      <w:sz w:val="21"/>
                      <w:szCs w:val="21"/>
                      <w:lang w:val="en-US" w:eastAsia="zh-CN"/>
                    </w:rPr>
                  </w:pPr>
                  <w:r>
                    <w:rPr>
                      <w:rFonts w:hint="eastAsia" w:ascii="Times New Roman" w:hAnsi="Times New Roman" w:cs="Times New Roman"/>
                      <w:color w:val="auto"/>
                      <w:spacing w:val="0"/>
                      <w:kern w:val="2"/>
                      <w:sz w:val="21"/>
                      <w:szCs w:val="21"/>
                      <w:lang w:val="en-US" w:eastAsia="zh-CN"/>
                    </w:rPr>
                    <w:t>2.项目产生的废水经一体化污水处理设施处理达标后沿市政管网排入姚安县污水处理厂，不直接外排到周围水体。</w:t>
                  </w:r>
                </w:p>
                <w:p>
                  <w:pPr>
                    <w:pStyle w:val="167"/>
                    <w:spacing w:beforeLines="0" w:afterLines="0" w:line="360" w:lineRule="auto"/>
                    <w:ind w:left="0" w:leftChars="0" w:right="0" w:rightChars="0" w:firstLine="0" w:firstLineChars="0"/>
                    <w:jc w:val="both"/>
                    <w:rPr>
                      <w:rFonts w:hint="default" w:ascii="Times New Roman" w:hAnsi="Times New Roman" w:cs="Times New Roman"/>
                      <w:color w:val="auto"/>
                      <w:spacing w:val="0"/>
                      <w:kern w:val="2"/>
                      <w:sz w:val="21"/>
                      <w:szCs w:val="21"/>
                      <w:lang w:val="en-US"/>
                    </w:rPr>
                  </w:pPr>
                  <w:r>
                    <w:rPr>
                      <w:rFonts w:hint="eastAsia" w:ascii="Times New Roman" w:hAnsi="Times New Roman" w:cs="Times New Roman"/>
                      <w:color w:val="auto"/>
                      <w:spacing w:val="0"/>
                      <w:kern w:val="2"/>
                      <w:sz w:val="21"/>
                      <w:szCs w:val="21"/>
                      <w:lang w:val="en-US" w:eastAsia="zh-CN"/>
                    </w:rPr>
                    <w:t>3.本项目为新建项目，项目位于建城区，周围污水市政管网完备，污水经处理达标后可进入姚安县污水市政管网。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3" w:hRule="atLeast"/>
                <w:jc w:val="center"/>
              </w:trPr>
              <w:tc>
                <w:tcPr>
                  <w:tcW w:w="398"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167"/>
                    <w:spacing w:beforeLines="0" w:afterLines="0" w:line="360" w:lineRule="auto"/>
                    <w:ind w:left="0" w:leftChars="0" w:right="0" w:rightChars="0" w:firstLine="0" w:firstLineChars="0"/>
                    <w:jc w:val="center"/>
                    <w:rPr>
                      <w:rFonts w:hint="default" w:ascii="Times New Roman" w:hAnsi="Times New Roman" w:cs="Times New Roman"/>
                      <w:color w:val="auto"/>
                      <w:spacing w:val="0"/>
                      <w:kern w:val="2"/>
                      <w:sz w:val="21"/>
                      <w:szCs w:val="21"/>
                      <w:lang w:val="en-US"/>
                    </w:rPr>
                  </w:pPr>
                </w:p>
              </w:tc>
              <w:tc>
                <w:tcPr>
                  <w:tcW w:w="37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67"/>
                    <w:spacing w:beforeLines="0" w:afterLines="0" w:line="360" w:lineRule="auto"/>
                    <w:ind w:left="0" w:leftChars="0" w:right="0" w:rightChars="0" w:firstLine="0" w:firstLineChars="0"/>
                    <w:jc w:val="both"/>
                    <w:rPr>
                      <w:rFonts w:hint="default" w:ascii="Times New Roman" w:hAnsi="Times New Roman" w:cs="Times New Roman"/>
                      <w:color w:val="auto"/>
                      <w:spacing w:val="0"/>
                      <w:kern w:val="2"/>
                      <w:sz w:val="21"/>
                      <w:szCs w:val="21"/>
                      <w:lang w:val="en-US"/>
                    </w:rPr>
                  </w:pPr>
                  <w:r>
                    <w:rPr>
                      <w:rFonts w:hint="default" w:ascii="Times New Roman" w:hAnsi="Times New Roman" w:cs="Times New Roman"/>
                      <w:color w:val="auto"/>
                      <w:spacing w:val="0"/>
                      <w:kern w:val="2"/>
                      <w:sz w:val="21"/>
                      <w:szCs w:val="21"/>
                      <w:lang w:val="en-US"/>
                    </w:rPr>
                    <w:t>环境风险防控</w:t>
                  </w:r>
                </w:p>
              </w:tc>
              <w:tc>
                <w:tcPr>
                  <w:tcW w:w="355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67"/>
                    <w:spacing w:beforeLines="0" w:afterLines="0" w:line="360" w:lineRule="auto"/>
                    <w:ind w:left="0" w:leftChars="0" w:right="0" w:rightChars="0" w:firstLine="0" w:firstLineChars="0"/>
                    <w:jc w:val="both"/>
                    <w:rPr>
                      <w:rFonts w:hint="default" w:ascii="Times New Roman" w:hAnsi="Times New Roman" w:cs="Times New Roman"/>
                      <w:color w:val="auto"/>
                      <w:spacing w:val="0"/>
                      <w:kern w:val="2"/>
                      <w:sz w:val="21"/>
                      <w:szCs w:val="21"/>
                      <w:lang w:val="en-US"/>
                    </w:rPr>
                  </w:pPr>
                  <w:r>
                    <w:rPr>
                      <w:rFonts w:hint="default" w:ascii="Times New Roman" w:hAnsi="Times New Roman" w:cs="Times New Roman"/>
                      <w:color w:val="auto"/>
                      <w:spacing w:val="0"/>
                      <w:kern w:val="2"/>
                      <w:sz w:val="21"/>
                      <w:szCs w:val="21"/>
                      <w:lang w:val="en-US"/>
                    </w:rPr>
                    <w:t>1.设置合理的环境防护距离，作为工业企业与周围居民区以及学校等公共设施的控制间距。</w:t>
                  </w:r>
                </w:p>
                <w:p>
                  <w:pPr>
                    <w:pStyle w:val="167"/>
                    <w:spacing w:beforeLines="0" w:afterLines="0" w:line="360" w:lineRule="auto"/>
                    <w:ind w:left="0" w:leftChars="0" w:right="0" w:rightChars="0" w:firstLine="0" w:firstLineChars="0"/>
                    <w:jc w:val="both"/>
                    <w:rPr>
                      <w:rFonts w:hint="default" w:ascii="Times New Roman" w:hAnsi="Times New Roman" w:cs="Times New Roman"/>
                      <w:color w:val="auto"/>
                      <w:spacing w:val="0"/>
                      <w:kern w:val="2"/>
                      <w:sz w:val="21"/>
                      <w:szCs w:val="21"/>
                      <w:lang w:val="en-US"/>
                    </w:rPr>
                  </w:pPr>
                  <w:r>
                    <w:rPr>
                      <w:rFonts w:hint="default" w:ascii="Times New Roman" w:hAnsi="Times New Roman" w:cs="Times New Roman"/>
                      <w:color w:val="auto"/>
                      <w:spacing w:val="0"/>
                      <w:kern w:val="2"/>
                      <w:sz w:val="21"/>
                      <w:szCs w:val="21"/>
                      <w:lang w:val="en-US"/>
                    </w:rPr>
                    <w:t>2.所有危险废物必须委托有资质单位处置，对于涉及危险废物的工业企业，要求建设规范的危险废物暂存场所，并集中规划布局可能产生危险废物的企业。产生含危险废物的企业，在贮存、转移危险废物过程中，应配套防扬散、防流失、防渗漏及其他防止污染环境的措施。</w:t>
                  </w:r>
                </w:p>
                <w:p>
                  <w:pPr>
                    <w:pStyle w:val="167"/>
                    <w:spacing w:beforeLines="0" w:afterLines="0" w:line="360" w:lineRule="auto"/>
                    <w:ind w:left="0" w:leftChars="0" w:right="0" w:rightChars="0" w:firstLine="0" w:firstLineChars="0"/>
                    <w:jc w:val="both"/>
                    <w:rPr>
                      <w:rFonts w:hint="default" w:ascii="Times New Roman" w:hAnsi="Times New Roman" w:cs="Times New Roman"/>
                      <w:color w:val="auto"/>
                      <w:spacing w:val="0"/>
                      <w:kern w:val="2"/>
                      <w:sz w:val="21"/>
                      <w:szCs w:val="21"/>
                      <w:lang w:val="en-US"/>
                    </w:rPr>
                  </w:pPr>
                  <w:r>
                    <w:rPr>
                      <w:rFonts w:hint="default" w:ascii="Times New Roman" w:hAnsi="Times New Roman" w:cs="Times New Roman"/>
                      <w:color w:val="auto"/>
                      <w:spacing w:val="0"/>
                      <w:kern w:val="2"/>
                      <w:sz w:val="21"/>
                      <w:szCs w:val="21"/>
                      <w:lang w:val="en-US"/>
                    </w:rPr>
                    <w:t>3.涉及有毒有害和易燃易爆物质的使用、贮运等的工业项目，其环评报告书必须进行环境风险评价，并按照环评报告书提出的环境风险防范措施要求及审批要求落实在项目中。</w:t>
                  </w:r>
                </w:p>
                <w:p>
                  <w:pPr>
                    <w:pStyle w:val="167"/>
                    <w:spacing w:beforeLines="0" w:afterLines="0" w:line="360" w:lineRule="auto"/>
                    <w:ind w:left="0" w:leftChars="0" w:right="0" w:rightChars="0" w:firstLine="0" w:firstLineChars="0"/>
                    <w:jc w:val="both"/>
                    <w:rPr>
                      <w:rFonts w:hint="default" w:ascii="Times New Roman" w:hAnsi="Times New Roman" w:cs="Times New Roman"/>
                      <w:color w:val="auto"/>
                      <w:spacing w:val="0"/>
                      <w:kern w:val="2"/>
                      <w:sz w:val="21"/>
                      <w:szCs w:val="21"/>
                      <w:lang w:val="en-US"/>
                    </w:rPr>
                  </w:pPr>
                  <w:r>
                    <w:rPr>
                      <w:rFonts w:hint="default" w:ascii="Times New Roman" w:hAnsi="Times New Roman" w:cs="Times New Roman"/>
                      <w:color w:val="auto"/>
                      <w:spacing w:val="0"/>
                      <w:kern w:val="2"/>
                      <w:sz w:val="21"/>
                      <w:szCs w:val="21"/>
                      <w:lang w:val="en-US"/>
                    </w:rPr>
                    <w:t>4.为防止环境纠纷和环境危害，应编制切实可行的移民安置方案，妥善解决工业集中区涉及到的移民安置问题。</w:t>
                  </w:r>
                </w:p>
              </w:tc>
              <w:tc>
                <w:tcPr>
                  <w:tcW w:w="276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67"/>
                    <w:spacing w:beforeLines="0" w:afterLines="0" w:line="360" w:lineRule="auto"/>
                    <w:ind w:left="0" w:leftChars="0" w:right="0" w:rightChars="0" w:firstLine="0" w:firstLineChars="0"/>
                    <w:jc w:val="both"/>
                    <w:rPr>
                      <w:rFonts w:hint="default" w:ascii="Times New Roman" w:hAnsi="Times New Roman" w:cs="Times New Roman"/>
                      <w:color w:val="auto"/>
                      <w:spacing w:val="0"/>
                      <w:kern w:val="2"/>
                      <w:sz w:val="21"/>
                      <w:szCs w:val="21"/>
                      <w:lang w:val="en-US" w:eastAsia="zh-CN"/>
                    </w:rPr>
                  </w:pPr>
                  <w:r>
                    <w:rPr>
                      <w:rFonts w:hint="default" w:ascii="Times New Roman" w:hAnsi="Times New Roman" w:cs="Times New Roman"/>
                      <w:color w:val="auto"/>
                      <w:spacing w:val="0"/>
                      <w:kern w:val="2"/>
                      <w:sz w:val="21"/>
                      <w:szCs w:val="21"/>
                      <w:lang w:val="en-US"/>
                    </w:rPr>
                    <w:t>1.本项目</w:t>
                  </w:r>
                  <w:r>
                    <w:rPr>
                      <w:rFonts w:hint="eastAsia" w:cs="Times New Roman"/>
                      <w:color w:val="auto"/>
                      <w:spacing w:val="0"/>
                      <w:kern w:val="2"/>
                      <w:sz w:val="21"/>
                      <w:szCs w:val="21"/>
                      <w:lang w:val="en-US" w:eastAsia="zh-CN"/>
                    </w:rPr>
                    <w:t>位于</w:t>
                  </w:r>
                  <w:r>
                    <w:rPr>
                      <w:rFonts w:hint="default" w:ascii="Times New Roman" w:hAnsi="Times New Roman" w:cs="Times New Roman"/>
                      <w:color w:val="auto"/>
                      <w:spacing w:val="0"/>
                      <w:kern w:val="2"/>
                      <w:sz w:val="21"/>
                      <w:szCs w:val="21"/>
                      <w:lang w:val="en-US"/>
                    </w:rPr>
                    <w:t>姚安县栋川镇下栖霞路与春晖路交汇口西处</w:t>
                  </w:r>
                  <w:r>
                    <w:rPr>
                      <w:rFonts w:hint="eastAsia" w:ascii="Times New Roman" w:hAnsi="Times New Roman" w:cs="Times New Roman"/>
                      <w:color w:val="auto"/>
                      <w:spacing w:val="0"/>
                      <w:kern w:val="2"/>
                      <w:sz w:val="21"/>
                      <w:szCs w:val="21"/>
                      <w:lang w:val="en-US" w:eastAsia="zh-CN"/>
                    </w:rPr>
                    <w:t>，周围无学校，居民区距离本项目最近距离为65米。</w:t>
                  </w:r>
                </w:p>
                <w:p>
                  <w:pPr>
                    <w:pStyle w:val="167"/>
                    <w:spacing w:beforeLines="0" w:afterLines="0" w:line="360" w:lineRule="auto"/>
                    <w:ind w:left="0" w:leftChars="0" w:right="0" w:rightChars="0" w:firstLine="0" w:firstLineChars="0"/>
                    <w:jc w:val="both"/>
                    <w:rPr>
                      <w:rFonts w:hint="default" w:ascii="Times New Roman" w:hAnsi="Times New Roman" w:cs="Times New Roman"/>
                      <w:color w:val="auto"/>
                      <w:spacing w:val="0"/>
                      <w:kern w:val="2"/>
                      <w:sz w:val="21"/>
                      <w:szCs w:val="21"/>
                      <w:lang w:val="en-US"/>
                    </w:rPr>
                  </w:pPr>
                  <w:r>
                    <w:rPr>
                      <w:rFonts w:hint="default" w:ascii="Times New Roman" w:hAnsi="Times New Roman" w:cs="Times New Roman"/>
                      <w:color w:val="auto"/>
                      <w:spacing w:val="0"/>
                      <w:kern w:val="2"/>
                      <w:sz w:val="21"/>
                      <w:szCs w:val="21"/>
                      <w:lang w:val="en-US"/>
                    </w:rPr>
                    <w:t>2.项目拟建</w:t>
                  </w:r>
                  <w:r>
                    <w:rPr>
                      <w:rFonts w:hint="eastAsia" w:ascii="Times New Roman" w:hAnsi="Times New Roman" w:cs="Times New Roman"/>
                      <w:color w:val="auto"/>
                      <w:spacing w:val="0"/>
                      <w:kern w:val="2"/>
                      <w:sz w:val="21"/>
                      <w:szCs w:val="21"/>
                      <w:lang w:val="en-US" w:eastAsia="zh-CN"/>
                    </w:rPr>
                    <w:t>医疗废物</w:t>
                  </w:r>
                  <w:r>
                    <w:rPr>
                      <w:rFonts w:hint="default" w:ascii="Times New Roman" w:hAnsi="Times New Roman" w:cs="Times New Roman"/>
                      <w:color w:val="auto"/>
                      <w:spacing w:val="0"/>
                      <w:kern w:val="2"/>
                      <w:sz w:val="21"/>
                      <w:szCs w:val="21"/>
                      <w:lang w:val="en-US"/>
                    </w:rPr>
                    <w:t>暂存间1间，试运行前签订危废处置协议，医疗废物收集、储存、转运、处置等环节严格管理，禁止危废随意处置；</w:t>
                  </w:r>
                </w:p>
                <w:p>
                  <w:pPr>
                    <w:pStyle w:val="167"/>
                    <w:spacing w:beforeLines="0" w:afterLines="0" w:line="360" w:lineRule="auto"/>
                    <w:ind w:left="0" w:leftChars="0" w:right="0" w:rightChars="0" w:firstLine="0" w:firstLineChars="0"/>
                    <w:jc w:val="both"/>
                    <w:rPr>
                      <w:rFonts w:hint="default" w:ascii="Times New Roman" w:hAnsi="Times New Roman" w:cs="Times New Roman"/>
                      <w:color w:val="auto"/>
                      <w:spacing w:val="0"/>
                      <w:kern w:val="2"/>
                      <w:sz w:val="21"/>
                      <w:szCs w:val="21"/>
                      <w:lang w:val="en-US"/>
                    </w:rPr>
                  </w:pPr>
                  <w:r>
                    <w:rPr>
                      <w:rFonts w:hint="default" w:ascii="Times New Roman" w:hAnsi="Times New Roman" w:cs="Times New Roman"/>
                      <w:color w:val="auto"/>
                      <w:spacing w:val="0"/>
                      <w:kern w:val="2"/>
                      <w:sz w:val="21"/>
                      <w:szCs w:val="21"/>
                      <w:lang w:val="en-US"/>
                    </w:rPr>
                    <w:t>3.本项目不涉及有毒有害和易燃易爆物质的使用、贮运，本环评将针对医疗废物等环境风险物质提出具体的环境风险防范措施；4.本项目位于姚安县栋川镇下栖霞路与春晖路交汇口西处，不涉及移民安置问题。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9" w:hRule="atLeast"/>
                <w:jc w:val="center"/>
              </w:trPr>
              <w:tc>
                <w:tcPr>
                  <w:tcW w:w="398"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167"/>
                    <w:spacing w:beforeLines="0" w:afterLines="0" w:line="360" w:lineRule="auto"/>
                    <w:ind w:left="0" w:leftChars="0" w:right="0" w:rightChars="0" w:firstLine="0" w:firstLineChars="0"/>
                    <w:jc w:val="center"/>
                    <w:rPr>
                      <w:rFonts w:hint="default" w:ascii="Times New Roman" w:hAnsi="Times New Roman" w:cs="Times New Roman"/>
                      <w:color w:val="auto"/>
                      <w:spacing w:val="0"/>
                      <w:kern w:val="2"/>
                      <w:sz w:val="21"/>
                      <w:szCs w:val="21"/>
                      <w:lang w:val="en-US"/>
                    </w:rPr>
                  </w:pPr>
                </w:p>
              </w:tc>
              <w:tc>
                <w:tcPr>
                  <w:tcW w:w="37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67"/>
                    <w:spacing w:beforeLines="0" w:afterLines="0" w:line="360" w:lineRule="auto"/>
                    <w:ind w:left="0" w:leftChars="0" w:right="0" w:rightChars="0" w:firstLine="0" w:firstLineChars="0"/>
                    <w:jc w:val="both"/>
                    <w:rPr>
                      <w:rFonts w:hint="default" w:ascii="Times New Roman" w:hAnsi="Times New Roman" w:cs="Times New Roman"/>
                      <w:color w:val="auto"/>
                      <w:spacing w:val="0"/>
                      <w:kern w:val="2"/>
                      <w:sz w:val="21"/>
                      <w:szCs w:val="21"/>
                      <w:lang w:val="en-US"/>
                    </w:rPr>
                  </w:pPr>
                  <w:r>
                    <w:rPr>
                      <w:rFonts w:hint="default" w:ascii="Times New Roman" w:hAnsi="Times New Roman" w:cs="Times New Roman"/>
                      <w:color w:val="auto"/>
                      <w:spacing w:val="0"/>
                      <w:kern w:val="2"/>
                      <w:sz w:val="21"/>
                      <w:szCs w:val="21"/>
                      <w:lang w:val="en-US"/>
                    </w:rPr>
                    <w:t>资源开发效率要求</w:t>
                  </w:r>
                </w:p>
              </w:tc>
              <w:tc>
                <w:tcPr>
                  <w:tcW w:w="355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67"/>
                    <w:spacing w:beforeLines="0" w:afterLines="0" w:line="360" w:lineRule="auto"/>
                    <w:ind w:left="0" w:leftChars="0" w:right="0" w:rightChars="0" w:firstLine="0" w:firstLineChars="0"/>
                    <w:jc w:val="both"/>
                    <w:rPr>
                      <w:rFonts w:hint="default" w:ascii="Times New Roman" w:hAnsi="Times New Roman" w:cs="Times New Roman"/>
                      <w:color w:val="auto"/>
                      <w:spacing w:val="0"/>
                      <w:kern w:val="2"/>
                      <w:sz w:val="21"/>
                      <w:szCs w:val="21"/>
                      <w:lang w:val="en-US"/>
                    </w:rPr>
                  </w:pPr>
                  <w:r>
                    <w:rPr>
                      <w:rFonts w:hint="default" w:ascii="Times New Roman" w:hAnsi="Times New Roman" w:cs="Times New Roman"/>
                      <w:color w:val="auto"/>
                      <w:spacing w:val="0"/>
                      <w:kern w:val="2"/>
                      <w:sz w:val="21"/>
                      <w:szCs w:val="21"/>
                      <w:lang w:val="en-US"/>
                    </w:rPr>
                    <w:t>1.严格控制高耗水产业项目的建设，推进可接纳光禄镇生活污水的工业集中区污水处理厂建设，努力提高工业用水重复利用率、中水回用率等环保指标。</w:t>
                  </w:r>
                </w:p>
                <w:p>
                  <w:pPr>
                    <w:pStyle w:val="167"/>
                    <w:spacing w:beforeLines="0" w:afterLines="0" w:line="360" w:lineRule="auto"/>
                    <w:ind w:left="0" w:leftChars="0" w:right="0" w:rightChars="0" w:firstLine="0" w:firstLineChars="0"/>
                    <w:jc w:val="both"/>
                    <w:rPr>
                      <w:rFonts w:hint="default" w:ascii="Times New Roman" w:hAnsi="Times New Roman" w:cs="Times New Roman"/>
                      <w:color w:val="auto"/>
                      <w:spacing w:val="0"/>
                      <w:kern w:val="2"/>
                      <w:sz w:val="21"/>
                      <w:szCs w:val="21"/>
                      <w:lang w:val="en-US"/>
                    </w:rPr>
                  </w:pPr>
                  <w:r>
                    <w:rPr>
                      <w:rFonts w:hint="default" w:ascii="Times New Roman" w:hAnsi="Times New Roman" w:cs="Times New Roman"/>
                      <w:color w:val="auto"/>
                      <w:spacing w:val="0"/>
                      <w:kern w:val="2"/>
                      <w:sz w:val="21"/>
                      <w:szCs w:val="21"/>
                      <w:lang w:val="en-US"/>
                    </w:rPr>
                    <w:t>2.新改扩建工业企业应能够满足资源节约的原则，单位产品或单位产值的水耗不高于行业标准，其用水效率、再生水利用率满足行业规范条件。单位产品能耗、物耗水平应必须达到国内一般水平，鼓励企业资源能源消耗水平达到国内先进水平。</w:t>
                  </w:r>
                </w:p>
              </w:tc>
              <w:tc>
                <w:tcPr>
                  <w:tcW w:w="276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67"/>
                    <w:spacing w:beforeLines="0" w:afterLines="0" w:line="360" w:lineRule="auto"/>
                    <w:ind w:left="0" w:leftChars="0" w:right="0" w:rightChars="0" w:firstLine="0" w:firstLineChars="0"/>
                    <w:jc w:val="both"/>
                    <w:rPr>
                      <w:rFonts w:hint="default" w:ascii="Times New Roman" w:hAnsi="Times New Roman" w:cs="Times New Roman"/>
                      <w:color w:val="auto"/>
                      <w:spacing w:val="0"/>
                      <w:kern w:val="2"/>
                      <w:sz w:val="21"/>
                      <w:szCs w:val="21"/>
                      <w:lang w:val="en-US"/>
                    </w:rPr>
                  </w:pPr>
                  <w:r>
                    <w:rPr>
                      <w:rFonts w:hint="default" w:ascii="Times New Roman" w:hAnsi="Times New Roman" w:cs="Times New Roman"/>
                      <w:color w:val="auto"/>
                      <w:spacing w:val="0"/>
                      <w:kern w:val="2"/>
                      <w:sz w:val="21"/>
                      <w:szCs w:val="21"/>
                      <w:lang w:val="en-US"/>
                    </w:rPr>
                    <w:t>1.本项目为</w:t>
                  </w:r>
                  <w:r>
                    <w:rPr>
                      <w:rFonts w:hint="default" w:ascii="Times New Roman" w:hAnsi="Times New Roman" w:cs="Times New Roman"/>
                      <w:color w:val="auto"/>
                      <w:spacing w:val="0"/>
                      <w:kern w:val="2"/>
                      <w:sz w:val="21"/>
                      <w:szCs w:val="21"/>
                    </w:rPr>
                    <w:t>姚安县保健院妇婴医院住院综合楼建设项目</w:t>
                  </w:r>
                  <w:r>
                    <w:rPr>
                      <w:rFonts w:hint="default" w:ascii="Times New Roman" w:hAnsi="Times New Roman" w:cs="Times New Roman"/>
                      <w:color w:val="auto"/>
                      <w:spacing w:val="0"/>
                      <w:kern w:val="2"/>
                      <w:sz w:val="21"/>
                      <w:szCs w:val="21"/>
                      <w:lang w:val="en-US"/>
                    </w:rPr>
                    <w:t>，属于</w:t>
                  </w:r>
                  <w:r>
                    <w:rPr>
                      <w:rFonts w:hint="eastAsia" w:ascii="Times New Roman" w:hAnsi="Times New Roman" w:cs="Times New Roman"/>
                      <w:color w:val="auto"/>
                      <w:spacing w:val="0"/>
                      <w:kern w:val="2"/>
                      <w:sz w:val="21"/>
                      <w:szCs w:val="21"/>
                      <w:lang w:val="en-US" w:eastAsia="zh-CN"/>
                    </w:rPr>
                    <w:t>医疗卫生行业</w:t>
                  </w:r>
                  <w:r>
                    <w:rPr>
                      <w:rFonts w:hint="default" w:ascii="Times New Roman" w:hAnsi="Times New Roman" w:cs="Times New Roman"/>
                      <w:color w:val="auto"/>
                      <w:spacing w:val="0"/>
                      <w:kern w:val="2"/>
                      <w:sz w:val="21"/>
                      <w:szCs w:val="21"/>
                      <w:lang w:val="en-US"/>
                    </w:rPr>
                    <w:t>，不属于高耗水产业项目；</w:t>
                  </w:r>
                </w:p>
                <w:p>
                  <w:pPr>
                    <w:pStyle w:val="167"/>
                    <w:spacing w:beforeLines="0" w:afterLines="0" w:line="360" w:lineRule="auto"/>
                    <w:ind w:left="0" w:leftChars="0" w:right="0" w:rightChars="0" w:firstLine="0" w:firstLineChars="0"/>
                    <w:jc w:val="both"/>
                    <w:rPr>
                      <w:rFonts w:hint="default" w:ascii="Times New Roman" w:hAnsi="Times New Roman" w:cs="Times New Roman"/>
                      <w:color w:val="auto"/>
                      <w:spacing w:val="0"/>
                      <w:kern w:val="2"/>
                      <w:sz w:val="21"/>
                      <w:szCs w:val="21"/>
                      <w:lang w:val="en-US"/>
                    </w:rPr>
                  </w:pPr>
                  <w:r>
                    <w:rPr>
                      <w:rFonts w:hint="default" w:ascii="Times New Roman" w:hAnsi="Times New Roman" w:cs="Times New Roman"/>
                      <w:color w:val="auto"/>
                      <w:spacing w:val="0"/>
                      <w:kern w:val="2"/>
                      <w:sz w:val="21"/>
                      <w:szCs w:val="21"/>
                      <w:lang w:val="en-US"/>
                    </w:rPr>
                    <w:t>2.本项目</w:t>
                  </w:r>
                  <w:r>
                    <w:rPr>
                      <w:rFonts w:hint="eastAsia" w:ascii="Times New Roman" w:hAnsi="Times New Roman" w:cs="Times New Roman"/>
                      <w:color w:val="auto"/>
                      <w:spacing w:val="0"/>
                      <w:kern w:val="2"/>
                      <w:sz w:val="21"/>
                      <w:szCs w:val="21"/>
                      <w:lang w:val="en-US" w:eastAsia="zh-CN"/>
                    </w:rPr>
                    <w:t>提倡节约用水</w:t>
                  </w:r>
                  <w:r>
                    <w:rPr>
                      <w:rFonts w:hint="default" w:ascii="Times New Roman" w:hAnsi="Times New Roman" w:cs="Times New Roman"/>
                      <w:color w:val="auto"/>
                      <w:spacing w:val="0"/>
                      <w:kern w:val="2"/>
                      <w:sz w:val="21"/>
                      <w:szCs w:val="21"/>
                      <w:lang w:val="en-US"/>
                    </w:rPr>
                    <w:t>，由市政给水管网供给。</w:t>
                  </w:r>
                </w:p>
              </w:tc>
            </w:tr>
          </w:tbl>
          <w:p>
            <w:pPr>
              <w:keepNext w:val="0"/>
              <w:keepLines w:val="0"/>
              <w:widowControl/>
              <w:suppressLineNumbers w:val="0"/>
              <w:spacing w:line="360" w:lineRule="auto"/>
              <w:jc w:val="left"/>
              <w:rPr>
                <w:rFonts w:hint="default" w:ascii="Times New Roman" w:hAnsi="Times New Roman" w:cs="Times New Roman"/>
                <w:b/>
                <w:color w:val="auto"/>
                <w:spacing w:val="0"/>
                <w:kern w:val="2"/>
              </w:rPr>
            </w:pPr>
            <w:r>
              <w:rPr>
                <w:rFonts w:hint="eastAsia" w:cs="Times New Roman"/>
                <w:b/>
                <w:color w:val="auto"/>
                <w:spacing w:val="0"/>
                <w:kern w:val="2"/>
                <w:lang w:val="en-US" w:eastAsia="zh-CN"/>
              </w:rPr>
              <w:t>3、</w:t>
            </w:r>
            <w:r>
              <w:rPr>
                <w:rFonts w:hint="default" w:ascii="Times New Roman" w:hAnsi="Times New Roman" w:cs="Times New Roman"/>
                <w:b/>
                <w:color w:val="auto"/>
                <w:spacing w:val="0"/>
                <w:kern w:val="2"/>
                <w:lang w:val="en-US" w:eastAsia="zh-CN"/>
              </w:rPr>
              <w:t>与《云南省长江经济带发展负面清单指南（试行）》符合性分析</w:t>
            </w:r>
          </w:p>
          <w:p>
            <w:pPr>
              <w:spacing w:line="360" w:lineRule="auto"/>
              <w:ind w:left="0" w:leftChars="0" w:firstLine="0" w:firstLineChars="0"/>
              <w:jc w:val="center"/>
              <w:rPr>
                <w:rFonts w:hint="default" w:ascii="Times New Roman" w:hAnsi="Times New Roman" w:cs="Times New Roman"/>
                <w:b/>
                <w:bCs/>
                <w:color w:val="auto"/>
                <w:spacing w:val="0"/>
                <w:kern w:val="2"/>
                <w:sz w:val="21"/>
                <w:szCs w:val="21"/>
                <w:lang w:val="en-US" w:eastAsia="zh-CN"/>
              </w:rPr>
            </w:pPr>
            <w:r>
              <w:rPr>
                <w:rFonts w:hint="default" w:ascii="Times New Roman" w:hAnsi="Times New Roman" w:cs="Times New Roman"/>
                <w:b/>
                <w:bCs/>
                <w:color w:val="auto"/>
                <w:spacing w:val="0"/>
                <w:kern w:val="2"/>
                <w:sz w:val="21"/>
                <w:szCs w:val="21"/>
                <w:lang w:val="en-US" w:eastAsia="zh-CN"/>
              </w:rPr>
              <w:t>表1</w:t>
            </w:r>
            <w:r>
              <w:rPr>
                <w:rFonts w:hint="eastAsia" w:cs="Times New Roman"/>
                <w:b/>
                <w:bCs/>
                <w:color w:val="auto"/>
                <w:spacing w:val="0"/>
                <w:kern w:val="2"/>
                <w:sz w:val="21"/>
                <w:szCs w:val="21"/>
                <w:lang w:val="en-US" w:eastAsia="zh-CN"/>
              </w:rPr>
              <w:t>-9</w:t>
            </w:r>
            <w:r>
              <w:rPr>
                <w:rFonts w:hint="default" w:ascii="Times New Roman" w:hAnsi="Times New Roman" w:cs="Times New Roman"/>
                <w:b/>
                <w:bCs/>
                <w:color w:val="auto"/>
                <w:spacing w:val="0"/>
                <w:kern w:val="2"/>
                <w:sz w:val="21"/>
                <w:szCs w:val="21"/>
                <w:lang w:val="en-US" w:eastAsia="zh-CN"/>
              </w:rPr>
              <w:t xml:space="preserve"> 长江经济带发展负面清单</w:t>
            </w:r>
          </w:p>
          <w:tbl>
            <w:tblPr>
              <w:tblStyle w:val="38"/>
              <w:tblW w:w="71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2730"/>
              <w:gridCol w:w="3178"/>
              <w:gridCol w:w="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dxa"/>
                  <w:vAlign w:val="center"/>
                </w:tcPr>
                <w:p>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color w:val="auto"/>
                      <w:spacing w:val="0"/>
                      <w:kern w:val="2"/>
                      <w:sz w:val="21"/>
                      <w:szCs w:val="21"/>
                      <w:vertAlign w:val="baseline"/>
                      <w:lang w:val="en-US" w:eastAsia="zh-CN"/>
                    </w:rPr>
                  </w:pPr>
                  <w:r>
                    <w:rPr>
                      <w:rFonts w:hint="default" w:ascii="Times New Roman" w:hAnsi="Times New Roman" w:cs="Times New Roman"/>
                      <w:b/>
                      <w:bCs/>
                      <w:color w:val="auto"/>
                      <w:spacing w:val="0"/>
                      <w:kern w:val="2"/>
                      <w:sz w:val="21"/>
                      <w:szCs w:val="21"/>
                      <w:vertAlign w:val="baseline"/>
                      <w:lang w:val="en-US" w:eastAsia="zh-CN"/>
                    </w:rPr>
                    <w:t>序号</w:t>
                  </w:r>
                </w:p>
              </w:tc>
              <w:tc>
                <w:tcPr>
                  <w:tcW w:w="2730" w:type="dxa"/>
                  <w:vAlign w:val="center"/>
                </w:tcPr>
                <w:p>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color w:val="auto"/>
                      <w:spacing w:val="0"/>
                      <w:kern w:val="2"/>
                      <w:sz w:val="21"/>
                      <w:szCs w:val="21"/>
                      <w:vertAlign w:val="baseline"/>
                      <w:lang w:val="en-US" w:eastAsia="zh-CN"/>
                    </w:rPr>
                  </w:pPr>
                  <w:r>
                    <w:rPr>
                      <w:rFonts w:hint="default" w:ascii="Times New Roman" w:hAnsi="Times New Roman" w:cs="Times New Roman"/>
                      <w:b/>
                      <w:bCs/>
                      <w:color w:val="auto"/>
                      <w:spacing w:val="0"/>
                      <w:kern w:val="2"/>
                      <w:sz w:val="21"/>
                      <w:szCs w:val="21"/>
                      <w:vertAlign w:val="baseline"/>
                      <w:lang w:val="en-US" w:eastAsia="zh-CN"/>
                    </w:rPr>
                    <w:t>长江经济带发展负面清单</w:t>
                  </w:r>
                </w:p>
              </w:tc>
              <w:tc>
                <w:tcPr>
                  <w:tcW w:w="3178"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color w:val="auto"/>
                      <w:spacing w:val="0"/>
                      <w:kern w:val="2"/>
                      <w:sz w:val="21"/>
                      <w:szCs w:val="21"/>
                      <w:vertAlign w:val="baseline"/>
                      <w:lang w:val="en-US" w:eastAsia="zh-CN"/>
                    </w:rPr>
                  </w:pPr>
                  <w:r>
                    <w:rPr>
                      <w:rFonts w:hint="default" w:ascii="Times New Roman" w:hAnsi="Times New Roman" w:cs="Times New Roman"/>
                      <w:b/>
                      <w:bCs/>
                      <w:color w:val="auto"/>
                      <w:spacing w:val="0"/>
                      <w:kern w:val="2"/>
                      <w:sz w:val="21"/>
                      <w:szCs w:val="21"/>
                      <w:vertAlign w:val="baseline"/>
                      <w:lang w:val="en-US" w:eastAsia="zh-CN"/>
                    </w:rPr>
                    <w:t>本项目</w:t>
                  </w:r>
                </w:p>
              </w:tc>
              <w:tc>
                <w:tcPr>
                  <w:tcW w:w="809"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cs="Times New Roman"/>
                      <w:b/>
                      <w:bCs/>
                      <w:color w:val="auto"/>
                      <w:spacing w:val="0"/>
                      <w:kern w:val="2"/>
                      <w:sz w:val="21"/>
                      <w:szCs w:val="21"/>
                      <w:vertAlign w:val="baseline"/>
                      <w:lang w:val="en-US" w:eastAsia="zh-CN"/>
                    </w:rPr>
                  </w:pPr>
                  <w:r>
                    <w:rPr>
                      <w:rFonts w:hint="default" w:ascii="Times New Roman" w:hAnsi="Times New Roman" w:cs="Times New Roman"/>
                      <w:b/>
                      <w:bCs/>
                      <w:color w:val="auto"/>
                      <w:spacing w:val="0"/>
                      <w:kern w:val="2"/>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cs="Times New Roman"/>
                      <w:color w:val="auto"/>
                      <w:spacing w:val="0"/>
                      <w:kern w:val="2"/>
                      <w:sz w:val="21"/>
                      <w:szCs w:val="21"/>
                      <w:vertAlign w:val="baseline"/>
                      <w:lang w:val="en-US" w:eastAsia="zh-CN"/>
                    </w:rPr>
                    <w:t>1</w:t>
                  </w:r>
                </w:p>
              </w:tc>
              <w:tc>
                <w:tcPr>
                  <w:tcW w:w="273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eastAsia="宋体" w:cs="Times New Roman"/>
                      <w:color w:val="auto"/>
                      <w:spacing w:val="0"/>
                      <w:kern w:val="2"/>
                      <w:sz w:val="21"/>
                      <w:szCs w:val="21"/>
                      <w:lang w:val="en-US" w:eastAsia="zh-CN" w:bidi="ar"/>
                    </w:rPr>
                    <w:t>禁止建设不符合全国和省级港口布局规划以及港口总体规划的码头项目，禁止建设不符合《长江干线过江通道布局规划》的过长江通道项目。</w:t>
                  </w:r>
                </w:p>
              </w:tc>
              <w:tc>
                <w:tcPr>
                  <w:tcW w:w="317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eastAsia="宋体" w:cs="Times New Roman"/>
                      <w:color w:val="auto"/>
                      <w:spacing w:val="0"/>
                      <w:kern w:val="2"/>
                      <w:sz w:val="21"/>
                      <w:szCs w:val="21"/>
                      <w:lang w:val="en-US" w:eastAsia="zh-CN" w:bidi="ar"/>
                    </w:rPr>
                    <w:t>本项目位于云南省楚雄州姚安县栋川镇下栖霞路与</w:t>
                  </w:r>
                  <w:r>
                    <w:rPr>
                      <w:rFonts w:hint="eastAsia" w:eastAsia="宋体" w:cs="Times New Roman"/>
                      <w:color w:val="auto"/>
                      <w:spacing w:val="0"/>
                      <w:kern w:val="2"/>
                      <w:sz w:val="21"/>
                      <w:szCs w:val="21"/>
                      <w:lang w:val="en-US" w:eastAsia="zh-CN" w:bidi="ar"/>
                    </w:rPr>
                    <w:t>春晖路</w:t>
                  </w:r>
                  <w:r>
                    <w:rPr>
                      <w:rFonts w:hint="default" w:ascii="Times New Roman" w:hAnsi="Times New Roman" w:eastAsia="宋体" w:cs="Times New Roman"/>
                      <w:color w:val="auto"/>
                      <w:spacing w:val="0"/>
                      <w:kern w:val="2"/>
                      <w:sz w:val="21"/>
                      <w:szCs w:val="21"/>
                      <w:lang w:val="en-US" w:eastAsia="zh-CN" w:bidi="ar"/>
                    </w:rPr>
                    <w:t>交汇口西处，属于城镇建成区，项目区不涉及全国和省级港口布局规划以及港口总体规划的码头项目，不涉及过长江通道项目。</w:t>
                  </w:r>
                </w:p>
              </w:tc>
              <w:tc>
                <w:tcPr>
                  <w:tcW w:w="809" w:type="dxa"/>
                  <w:vAlign w:val="center"/>
                </w:tcPr>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cs="Times New Roman"/>
                      <w:color w:val="auto"/>
                      <w:spacing w:val="0"/>
                      <w:kern w:val="2"/>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cs="Times New Roman"/>
                      <w:color w:val="auto"/>
                      <w:spacing w:val="0"/>
                      <w:kern w:val="2"/>
                      <w:sz w:val="21"/>
                      <w:szCs w:val="21"/>
                      <w:vertAlign w:val="baseline"/>
                      <w:lang w:val="en-US" w:eastAsia="zh-CN"/>
                    </w:rPr>
                    <w:t>2</w:t>
                  </w:r>
                </w:p>
              </w:tc>
              <w:tc>
                <w:tcPr>
                  <w:tcW w:w="273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eastAsia="宋体" w:cs="Times New Roman"/>
                      <w:color w:val="auto"/>
                      <w:spacing w:val="0"/>
                      <w:kern w:val="2"/>
                      <w:sz w:val="21"/>
                      <w:szCs w:val="21"/>
                      <w:lang w:val="en-US" w:eastAsia="zh-CN" w:bidi="ar"/>
                    </w:rPr>
                    <w:t>禁止在自然保护区核心区、缓冲区的岸线和河段范围内投资建设旅游和生产经营项目。禁止在风景名胜区核心景区的岸线和河段范围内投资建设与风景名胜资源保护无关的项目。</w:t>
                  </w:r>
                </w:p>
              </w:tc>
              <w:tc>
                <w:tcPr>
                  <w:tcW w:w="317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eastAsia="宋体" w:cs="Times New Roman"/>
                      <w:color w:val="auto"/>
                      <w:spacing w:val="0"/>
                      <w:kern w:val="2"/>
                      <w:sz w:val="21"/>
                      <w:szCs w:val="21"/>
                      <w:lang w:val="en-US" w:eastAsia="zh-CN" w:bidi="ar"/>
                    </w:rPr>
                    <w:t>本项目位于云南省楚雄州姚安县栋川镇下栖霞路与</w:t>
                  </w:r>
                  <w:r>
                    <w:rPr>
                      <w:rFonts w:hint="eastAsia" w:eastAsia="宋体" w:cs="Times New Roman"/>
                      <w:color w:val="auto"/>
                      <w:spacing w:val="0"/>
                      <w:kern w:val="2"/>
                      <w:sz w:val="21"/>
                      <w:szCs w:val="21"/>
                      <w:lang w:val="en-US" w:eastAsia="zh-CN" w:bidi="ar"/>
                    </w:rPr>
                    <w:t>春晖路</w:t>
                  </w:r>
                  <w:r>
                    <w:rPr>
                      <w:rFonts w:hint="default" w:ascii="Times New Roman" w:hAnsi="Times New Roman" w:eastAsia="宋体" w:cs="Times New Roman"/>
                      <w:color w:val="auto"/>
                      <w:spacing w:val="0"/>
                      <w:kern w:val="2"/>
                      <w:sz w:val="21"/>
                      <w:szCs w:val="21"/>
                      <w:lang w:val="en-US" w:eastAsia="zh-CN" w:bidi="ar"/>
                    </w:rPr>
                    <w:t>交汇口西处，属于城镇建成区，项目区不涉及饮用水水源保护区、水功能一级区的保护区和保留区、自然保护区、世界文化和自然遗产地、 风景名胜区、地质公园、森林公园、重要湿地等。</w:t>
                  </w:r>
                </w:p>
              </w:tc>
              <w:tc>
                <w:tcPr>
                  <w:tcW w:w="809"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cs="Times New Roman"/>
                      <w:color w:val="auto"/>
                      <w:spacing w:val="0"/>
                      <w:kern w:val="2"/>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cs="Times New Roman"/>
                      <w:color w:val="auto"/>
                      <w:spacing w:val="0"/>
                      <w:kern w:val="2"/>
                      <w:sz w:val="21"/>
                      <w:szCs w:val="21"/>
                      <w:vertAlign w:val="baseline"/>
                      <w:lang w:val="en-US" w:eastAsia="zh-CN"/>
                    </w:rPr>
                    <w:t>3</w:t>
                  </w:r>
                </w:p>
              </w:tc>
              <w:tc>
                <w:tcPr>
                  <w:tcW w:w="273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eastAsia="宋体" w:cs="Times New Roman"/>
                      <w:color w:val="auto"/>
                      <w:spacing w:val="0"/>
                      <w:kern w:val="2"/>
                      <w:sz w:val="21"/>
                      <w:szCs w:val="21"/>
                      <w:lang w:val="en-US" w:eastAsia="zh-CN" w:bidi="ar"/>
                    </w:rPr>
                    <w:t>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tc>
              <w:tc>
                <w:tcPr>
                  <w:tcW w:w="317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eastAsia="宋体" w:cs="Times New Roman"/>
                      <w:color w:val="auto"/>
                      <w:spacing w:val="0"/>
                      <w:kern w:val="2"/>
                      <w:sz w:val="21"/>
                      <w:szCs w:val="21"/>
                      <w:lang w:val="en-US" w:eastAsia="zh-CN" w:bidi="ar"/>
                    </w:rPr>
                    <w:t>本项目位于云南省楚雄州姚安县栋川镇下栖霞路与</w:t>
                  </w:r>
                  <w:r>
                    <w:rPr>
                      <w:rFonts w:hint="eastAsia" w:eastAsia="宋体" w:cs="Times New Roman"/>
                      <w:color w:val="auto"/>
                      <w:spacing w:val="0"/>
                      <w:kern w:val="2"/>
                      <w:sz w:val="21"/>
                      <w:szCs w:val="21"/>
                      <w:lang w:val="en-US" w:eastAsia="zh-CN" w:bidi="ar"/>
                    </w:rPr>
                    <w:t>春晖路</w:t>
                  </w:r>
                  <w:r>
                    <w:rPr>
                      <w:rFonts w:hint="default" w:ascii="Times New Roman" w:hAnsi="Times New Roman" w:eastAsia="宋体" w:cs="Times New Roman"/>
                      <w:color w:val="auto"/>
                      <w:spacing w:val="0"/>
                      <w:kern w:val="2"/>
                      <w:sz w:val="21"/>
                      <w:szCs w:val="21"/>
                      <w:lang w:val="en-US" w:eastAsia="zh-CN" w:bidi="ar"/>
                    </w:rPr>
                    <w:t>交汇口西处，属于城镇建成区，项目区不涉及饮用水水源保护区、水功能一级、二级区的保护区和保留区</w:t>
                  </w:r>
                </w:p>
              </w:tc>
              <w:tc>
                <w:tcPr>
                  <w:tcW w:w="809"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cs="Times New Roman"/>
                      <w:color w:val="auto"/>
                      <w:spacing w:val="0"/>
                      <w:kern w:val="2"/>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cs="Times New Roman"/>
                      <w:color w:val="auto"/>
                      <w:spacing w:val="0"/>
                      <w:kern w:val="2"/>
                      <w:sz w:val="21"/>
                      <w:szCs w:val="21"/>
                      <w:vertAlign w:val="baseline"/>
                      <w:lang w:val="en-US" w:eastAsia="zh-CN"/>
                    </w:rPr>
                    <w:t>4</w:t>
                  </w:r>
                </w:p>
              </w:tc>
              <w:tc>
                <w:tcPr>
                  <w:tcW w:w="273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eastAsia="宋体" w:cs="Times New Roman"/>
                      <w:color w:val="auto"/>
                      <w:spacing w:val="0"/>
                      <w:kern w:val="2"/>
                      <w:sz w:val="21"/>
                      <w:szCs w:val="21"/>
                      <w:lang w:val="en-US" w:eastAsia="zh-CN" w:bidi="ar"/>
                    </w:rPr>
                    <w:t>禁止在水产种质资源保护区的岸线和河段范围内新建排污口，以及围湖造田、围海造地或围填海等投资建设项目。禁止在国家湿地公园的岸线和河段范围内挖沙、采矿，以及任何不符合主体功能定位的投资建设项目。</w:t>
                  </w:r>
                </w:p>
              </w:tc>
              <w:tc>
                <w:tcPr>
                  <w:tcW w:w="317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eastAsia="宋体" w:cs="Times New Roman"/>
                      <w:color w:val="auto"/>
                      <w:spacing w:val="0"/>
                      <w:kern w:val="2"/>
                      <w:sz w:val="21"/>
                      <w:szCs w:val="21"/>
                      <w:lang w:val="en-US" w:eastAsia="zh-CN" w:bidi="ar"/>
                    </w:rPr>
                    <w:t>本项目属于姚安县保健院妇婴医院住院综合楼建设项目，位于云南省楚雄州姚安县栋川镇下栖霞路与</w:t>
                  </w:r>
                  <w:r>
                    <w:rPr>
                      <w:rFonts w:hint="eastAsia" w:eastAsia="宋体" w:cs="Times New Roman"/>
                      <w:color w:val="auto"/>
                      <w:spacing w:val="0"/>
                      <w:kern w:val="2"/>
                      <w:sz w:val="21"/>
                      <w:szCs w:val="21"/>
                      <w:lang w:val="en-US" w:eastAsia="zh-CN" w:bidi="ar"/>
                    </w:rPr>
                    <w:t>春晖路</w:t>
                  </w:r>
                  <w:r>
                    <w:rPr>
                      <w:rFonts w:hint="default" w:ascii="Times New Roman" w:hAnsi="Times New Roman" w:eastAsia="宋体" w:cs="Times New Roman"/>
                      <w:color w:val="auto"/>
                      <w:spacing w:val="0"/>
                      <w:kern w:val="2"/>
                      <w:sz w:val="21"/>
                      <w:szCs w:val="21"/>
                      <w:lang w:val="en-US" w:eastAsia="zh-CN" w:bidi="ar"/>
                    </w:rPr>
                    <w:t>交汇口西处，属于城镇建成区，项目区不涉及水产种质资源保护区及国家湿地公园。</w:t>
                  </w:r>
                </w:p>
              </w:tc>
              <w:tc>
                <w:tcPr>
                  <w:tcW w:w="809"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cs="Times New Roman"/>
                      <w:color w:val="auto"/>
                      <w:spacing w:val="0"/>
                      <w:kern w:val="2"/>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cs="Times New Roman"/>
                      <w:color w:val="auto"/>
                      <w:spacing w:val="0"/>
                      <w:kern w:val="2"/>
                      <w:sz w:val="21"/>
                      <w:szCs w:val="21"/>
                      <w:vertAlign w:val="baseline"/>
                      <w:lang w:val="en-US" w:eastAsia="zh-CN"/>
                    </w:rPr>
                    <w:t>5</w:t>
                  </w:r>
                </w:p>
              </w:tc>
              <w:tc>
                <w:tcPr>
                  <w:tcW w:w="273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eastAsia="宋体" w:cs="Times New Roman"/>
                      <w:color w:val="auto"/>
                      <w:spacing w:val="0"/>
                      <w:kern w:val="2"/>
                      <w:sz w:val="21"/>
                      <w:szCs w:val="21"/>
                      <w:lang w:val="en-US" w:eastAsia="zh-CN" w:bidi="ar"/>
                    </w:rPr>
                    <w:t>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w:t>
                  </w:r>
                </w:p>
              </w:tc>
              <w:tc>
                <w:tcPr>
                  <w:tcW w:w="317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eastAsia="宋体" w:cs="Times New Roman"/>
                      <w:color w:val="auto"/>
                      <w:spacing w:val="0"/>
                      <w:kern w:val="2"/>
                      <w:sz w:val="21"/>
                      <w:szCs w:val="21"/>
                      <w:lang w:val="en-US" w:eastAsia="zh-CN" w:bidi="ar"/>
                    </w:rPr>
                    <w:t>本项目属于姚安县保健院妇婴医院住院综合楼建设项目，位于云南省楚雄州姚安县栋川镇下栖霞路与</w:t>
                  </w:r>
                  <w:r>
                    <w:rPr>
                      <w:rFonts w:hint="eastAsia" w:eastAsia="宋体" w:cs="Times New Roman"/>
                      <w:color w:val="auto"/>
                      <w:spacing w:val="0"/>
                      <w:kern w:val="2"/>
                      <w:sz w:val="21"/>
                      <w:szCs w:val="21"/>
                      <w:lang w:val="en-US" w:eastAsia="zh-CN" w:bidi="ar"/>
                    </w:rPr>
                    <w:t>春晖路</w:t>
                  </w:r>
                  <w:r>
                    <w:rPr>
                      <w:rFonts w:hint="default" w:ascii="Times New Roman" w:hAnsi="Times New Roman" w:eastAsia="宋体" w:cs="Times New Roman"/>
                      <w:color w:val="auto"/>
                      <w:spacing w:val="0"/>
                      <w:kern w:val="2"/>
                      <w:sz w:val="21"/>
                      <w:szCs w:val="21"/>
                      <w:lang w:val="en-US" w:eastAsia="zh-CN" w:bidi="ar"/>
                    </w:rPr>
                    <w:t>交汇口西处，属于城镇建成区，本项目所在不在《长江岸线保护和开发利用总体规划》划定的岸线保护区以及《全国重要江河湖泊水功能区划》划定的河段保护区、保留区内。</w:t>
                  </w:r>
                </w:p>
              </w:tc>
              <w:tc>
                <w:tcPr>
                  <w:tcW w:w="809"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cs="Times New Roman"/>
                      <w:color w:val="auto"/>
                      <w:spacing w:val="0"/>
                      <w:kern w:val="2"/>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cs="Times New Roman"/>
                      <w:color w:val="auto"/>
                      <w:spacing w:val="0"/>
                      <w:kern w:val="2"/>
                      <w:sz w:val="21"/>
                      <w:szCs w:val="21"/>
                      <w:vertAlign w:val="baseline"/>
                      <w:lang w:val="en-US" w:eastAsia="zh-CN"/>
                    </w:rPr>
                    <w:t>6</w:t>
                  </w:r>
                </w:p>
              </w:tc>
              <w:tc>
                <w:tcPr>
                  <w:tcW w:w="273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eastAsia="宋体" w:cs="Times New Roman"/>
                      <w:color w:val="auto"/>
                      <w:spacing w:val="0"/>
                      <w:kern w:val="2"/>
                      <w:sz w:val="21"/>
                      <w:szCs w:val="21"/>
                      <w:lang w:val="en-US" w:eastAsia="zh-CN" w:bidi="ar"/>
                    </w:rPr>
                    <w:t>禁止在生态保护红线和永久基本农田范围内投资建设除国家重大战略资源勘查项目、生态保护修复和环境治理项目、重大基础设施项目、军事国防项目以及农牧民基本生产生活等必要的民生项目以外的项目。</w:t>
                  </w:r>
                </w:p>
              </w:tc>
              <w:tc>
                <w:tcPr>
                  <w:tcW w:w="317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eastAsia="宋体" w:cs="Times New Roman"/>
                      <w:color w:val="auto"/>
                      <w:spacing w:val="0"/>
                      <w:kern w:val="2"/>
                      <w:sz w:val="21"/>
                      <w:szCs w:val="21"/>
                      <w:lang w:val="en-US" w:eastAsia="zh-CN" w:bidi="ar"/>
                    </w:rPr>
                    <w:t>本项目位于云南省楚雄州姚安县栋川镇下栖霞路与</w:t>
                  </w:r>
                  <w:r>
                    <w:rPr>
                      <w:rFonts w:hint="eastAsia" w:eastAsia="宋体" w:cs="Times New Roman"/>
                      <w:color w:val="auto"/>
                      <w:spacing w:val="0"/>
                      <w:kern w:val="2"/>
                      <w:sz w:val="21"/>
                      <w:szCs w:val="21"/>
                      <w:lang w:val="en-US" w:eastAsia="zh-CN" w:bidi="ar"/>
                    </w:rPr>
                    <w:t>春晖路</w:t>
                  </w:r>
                  <w:r>
                    <w:rPr>
                      <w:rFonts w:hint="default" w:ascii="Times New Roman" w:hAnsi="Times New Roman" w:eastAsia="宋体" w:cs="Times New Roman"/>
                      <w:color w:val="auto"/>
                      <w:spacing w:val="0"/>
                      <w:kern w:val="2"/>
                      <w:sz w:val="21"/>
                      <w:szCs w:val="21"/>
                      <w:lang w:val="en-US" w:eastAsia="zh-CN" w:bidi="ar"/>
                    </w:rPr>
                    <w:t>交汇口西处，属于城镇建成区，项目不在生态保护红线和永久基本农田范围内。</w:t>
                  </w:r>
                </w:p>
              </w:tc>
              <w:tc>
                <w:tcPr>
                  <w:tcW w:w="809"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cs="Times New Roman"/>
                      <w:color w:val="auto"/>
                      <w:spacing w:val="0"/>
                      <w:kern w:val="2"/>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cs="Times New Roman"/>
                      <w:color w:val="auto"/>
                      <w:spacing w:val="0"/>
                      <w:kern w:val="2"/>
                      <w:sz w:val="21"/>
                      <w:szCs w:val="21"/>
                      <w:vertAlign w:val="baseline"/>
                      <w:lang w:val="en-US" w:eastAsia="zh-CN"/>
                    </w:rPr>
                    <w:t>7</w:t>
                  </w:r>
                </w:p>
              </w:tc>
              <w:tc>
                <w:tcPr>
                  <w:tcW w:w="273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eastAsia="宋体" w:cs="Times New Roman"/>
                      <w:color w:val="auto"/>
                      <w:spacing w:val="0"/>
                      <w:kern w:val="2"/>
                      <w:sz w:val="21"/>
                      <w:szCs w:val="21"/>
                      <w:lang w:val="en-US" w:eastAsia="zh-CN" w:bidi="ar"/>
                    </w:rPr>
                    <w:t>禁止在长江干支流 1公里范围内新建、扩建化工园区和化工项目。禁止在合规园区外新建、扩建钢铁、石化、化工、焦化、建材、有色等高污染项目。</w:t>
                  </w:r>
                </w:p>
              </w:tc>
              <w:tc>
                <w:tcPr>
                  <w:tcW w:w="317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eastAsia="宋体" w:cs="Times New Roman"/>
                      <w:color w:val="auto"/>
                      <w:spacing w:val="0"/>
                      <w:kern w:val="2"/>
                      <w:sz w:val="21"/>
                      <w:szCs w:val="21"/>
                      <w:lang w:val="en-US" w:eastAsia="zh-CN" w:bidi="ar"/>
                    </w:rPr>
                    <w:t>本项目属于姚安县保健院妇婴医院住院综合楼建设项目，不属于化工项目，项目位于云南省楚雄州姚安县栋川镇下栖霞路与</w:t>
                  </w:r>
                  <w:r>
                    <w:rPr>
                      <w:rFonts w:hint="eastAsia" w:eastAsia="宋体" w:cs="Times New Roman"/>
                      <w:color w:val="auto"/>
                      <w:spacing w:val="0"/>
                      <w:kern w:val="2"/>
                      <w:sz w:val="21"/>
                      <w:szCs w:val="21"/>
                      <w:lang w:val="en-US" w:eastAsia="zh-CN" w:bidi="ar"/>
                    </w:rPr>
                    <w:t>春晖路</w:t>
                  </w:r>
                  <w:r>
                    <w:rPr>
                      <w:rFonts w:hint="default" w:ascii="Times New Roman" w:hAnsi="Times New Roman" w:eastAsia="宋体" w:cs="Times New Roman"/>
                      <w:color w:val="auto"/>
                      <w:spacing w:val="0"/>
                      <w:kern w:val="2"/>
                      <w:sz w:val="21"/>
                      <w:szCs w:val="21"/>
                      <w:lang w:val="en-US" w:eastAsia="zh-CN" w:bidi="ar"/>
                    </w:rPr>
                    <w:t>交汇口西处，属于城镇建成区。</w:t>
                  </w:r>
                </w:p>
              </w:tc>
              <w:tc>
                <w:tcPr>
                  <w:tcW w:w="809"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cs="Times New Roman"/>
                      <w:color w:val="auto"/>
                      <w:spacing w:val="0"/>
                      <w:kern w:val="2"/>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cs="Times New Roman"/>
                      <w:color w:val="auto"/>
                      <w:spacing w:val="0"/>
                      <w:kern w:val="2"/>
                      <w:sz w:val="21"/>
                      <w:szCs w:val="21"/>
                      <w:vertAlign w:val="baseline"/>
                      <w:lang w:val="en-US" w:eastAsia="zh-CN"/>
                    </w:rPr>
                    <w:t>8</w:t>
                  </w:r>
                </w:p>
              </w:tc>
              <w:tc>
                <w:tcPr>
                  <w:tcW w:w="273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eastAsia="宋体" w:cs="Times New Roman"/>
                      <w:color w:val="auto"/>
                      <w:spacing w:val="0"/>
                      <w:kern w:val="2"/>
                      <w:sz w:val="21"/>
                      <w:szCs w:val="21"/>
                      <w:lang w:val="en-US" w:eastAsia="zh-CN" w:bidi="ar"/>
                    </w:rPr>
                    <w:t>禁止新建、扩建不符合国家石化、现代煤化工等产业布局规划的项目。</w:t>
                  </w:r>
                </w:p>
              </w:tc>
              <w:tc>
                <w:tcPr>
                  <w:tcW w:w="317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eastAsia="宋体" w:cs="Times New Roman"/>
                      <w:color w:val="auto"/>
                      <w:spacing w:val="0"/>
                      <w:kern w:val="2"/>
                      <w:sz w:val="21"/>
                      <w:szCs w:val="21"/>
                      <w:lang w:val="en-US" w:eastAsia="zh-CN" w:bidi="ar"/>
                    </w:rPr>
                    <w:t>本项目属于姚安县保健院妇婴医院住院综合楼建设项目，不属于石化、现代煤化工项目。</w:t>
                  </w:r>
                </w:p>
              </w:tc>
              <w:tc>
                <w:tcPr>
                  <w:tcW w:w="809"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cs="Times New Roman"/>
                      <w:color w:val="auto"/>
                      <w:spacing w:val="0"/>
                      <w:kern w:val="2"/>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cs="Times New Roman"/>
                      <w:color w:val="auto"/>
                      <w:spacing w:val="0"/>
                      <w:kern w:val="2"/>
                      <w:sz w:val="21"/>
                      <w:szCs w:val="21"/>
                      <w:vertAlign w:val="baseline"/>
                      <w:lang w:val="en-US" w:eastAsia="zh-CN"/>
                    </w:rPr>
                    <w:t>9</w:t>
                  </w:r>
                </w:p>
              </w:tc>
              <w:tc>
                <w:tcPr>
                  <w:tcW w:w="273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eastAsia="宋体" w:cs="Times New Roman"/>
                      <w:color w:val="auto"/>
                      <w:spacing w:val="0"/>
                      <w:kern w:val="2"/>
                      <w:sz w:val="21"/>
                      <w:szCs w:val="21"/>
                      <w:lang w:val="en-US" w:eastAsia="zh-CN" w:bidi="ar"/>
                    </w:rPr>
                    <w:t>禁止新建、扩建法律法规和相关政策明令禁止的落后产能项目。</w:t>
                  </w:r>
                </w:p>
              </w:tc>
              <w:tc>
                <w:tcPr>
                  <w:tcW w:w="317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eastAsia="宋体" w:cs="Times New Roman"/>
                      <w:color w:val="auto"/>
                      <w:spacing w:val="0"/>
                      <w:kern w:val="2"/>
                      <w:sz w:val="21"/>
                      <w:szCs w:val="21"/>
                      <w:lang w:val="en-US" w:eastAsia="zh-CN" w:bidi="ar"/>
                    </w:rPr>
                    <w:t xml:space="preserve">本项目不在《市场准入负面清单（2019 年版）》范围内。属于《产业结构调整指导目录（2019 年本）》规定中鼓励类项目（第三十七款“卫生健康”中第 5 条医疗卫生服务设施建设）。因此，本项目的建设符合国家有关产业政策 </w:t>
                  </w:r>
                </w:p>
              </w:tc>
              <w:tc>
                <w:tcPr>
                  <w:tcW w:w="809"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cs="Times New Roman"/>
                      <w:color w:val="auto"/>
                      <w:spacing w:val="0"/>
                      <w:kern w:val="2"/>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cs="Times New Roman"/>
                      <w:color w:val="auto"/>
                      <w:spacing w:val="0"/>
                      <w:kern w:val="2"/>
                      <w:sz w:val="21"/>
                      <w:szCs w:val="21"/>
                      <w:vertAlign w:val="baseline"/>
                      <w:lang w:val="en-US" w:eastAsia="zh-CN"/>
                    </w:rPr>
                    <w:t>10</w:t>
                  </w:r>
                </w:p>
              </w:tc>
              <w:tc>
                <w:tcPr>
                  <w:tcW w:w="273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eastAsia="宋体" w:cs="Times New Roman"/>
                      <w:color w:val="auto"/>
                      <w:spacing w:val="0"/>
                      <w:kern w:val="2"/>
                      <w:sz w:val="21"/>
                      <w:szCs w:val="21"/>
                      <w:lang w:val="en-US" w:eastAsia="zh-CN" w:bidi="ar"/>
                    </w:rPr>
                    <w:t>禁止新建、扩建不符合国家产能置换要求的严重过剩产能行业的项目。</w:t>
                  </w:r>
                </w:p>
              </w:tc>
              <w:tc>
                <w:tcPr>
                  <w:tcW w:w="317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eastAsia="宋体" w:cs="Times New Roman"/>
                      <w:color w:val="auto"/>
                      <w:spacing w:val="0"/>
                      <w:kern w:val="2"/>
                      <w:sz w:val="21"/>
                      <w:szCs w:val="21"/>
                      <w:lang w:val="en-US" w:eastAsia="zh-CN" w:bidi="ar"/>
                    </w:rPr>
                    <w:t>本项目属于姚安县保健院妇婴医院住院综合楼建设项目，本项目不在《市场准入负面清单（2019 年版）》范围内。属于《产业结构调整指导目录（2019 年本）》规定中鼓励类项目（第三十七款“卫生健康”中第 5 条医疗卫生服务设施建设）。因此，本项目的建设符合国家有关产业政策</w:t>
                  </w:r>
                </w:p>
              </w:tc>
              <w:tc>
                <w:tcPr>
                  <w:tcW w:w="809"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cs="Times New Roman"/>
                      <w:color w:val="auto"/>
                      <w:spacing w:val="0"/>
                      <w:kern w:val="2"/>
                      <w:sz w:val="21"/>
                      <w:szCs w:val="21"/>
                      <w:vertAlign w:val="baseline"/>
                      <w:lang w:val="en-US" w:eastAsia="zh-CN"/>
                    </w:rPr>
                  </w:pPr>
                  <w:r>
                    <w:rPr>
                      <w:rFonts w:hint="default" w:ascii="Times New Roman" w:hAnsi="Times New Roman" w:cs="Times New Roman"/>
                      <w:color w:val="auto"/>
                      <w:spacing w:val="0"/>
                      <w:kern w:val="2"/>
                      <w:sz w:val="21"/>
                      <w:szCs w:val="21"/>
                      <w:vertAlign w:val="baseline"/>
                      <w:lang w:val="en-US" w:eastAsia="zh-CN"/>
                    </w:rPr>
                    <w:t>符合</w:t>
                  </w:r>
                </w:p>
              </w:tc>
            </w:tr>
          </w:tbl>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eastAsiaTheme="minorEastAsia"/>
                <w:color w:val="auto"/>
                <w:spacing w:val="0"/>
                <w:kern w:val="2"/>
                <w:lang w:val="en-US" w:eastAsia="zh-CN"/>
              </w:rPr>
            </w:pPr>
            <w:r>
              <w:rPr>
                <w:rFonts w:hint="default" w:ascii="Times New Roman" w:hAnsi="Times New Roman" w:cs="Times New Roman" w:eastAsiaTheme="minorEastAsia"/>
                <w:color w:val="auto"/>
                <w:spacing w:val="0"/>
                <w:kern w:val="2"/>
                <w:lang w:val="en-US" w:eastAsia="zh-CN"/>
              </w:rPr>
              <w:t>根据表 1-</w:t>
            </w:r>
            <w:r>
              <w:rPr>
                <w:rFonts w:hint="eastAsia" w:cs="Times New Roman"/>
                <w:color w:val="auto"/>
                <w:spacing w:val="0"/>
                <w:kern w:val="2"/>
                <w:lang w:val="en-US" w:eastAsia="zh-CN"/>
              </w:rPr>
              <w:t>9</w:t>
            </w:r>
            <w:r>
              <w:rPr>
                <w:rFonts w:hint="default" w:ascii="Times New Roman" w:hAnsi="Times New Roman" w:cs="Times New Roman" w:eastAsiaTheme="minorEastAsia"/>
                <w:color w:val="auto"/>
                <w:spacing w:val="0"/>
                <w:kern w:val="2"/>
                <w:lang w:val="en-US" w:eastAsia="zh-CN"/>
              </w:rPr>
              <w:t xml:space="preserve"> 分析结果，本项目与《云南省长江经济带发展负 面清单指南（试行）》符合。</w:t>
            </w:r>
          </w:p>
          <w:p>
            <w:pPr>
              <w:pStyle w:val="18"/>
              <w:rPr>
                <w:rFonts w:hint="default"/>
                <w:b/>
                <w:bCs/>
                <w:color w:val="auto"/>
                <w:lang w:val="en-US" w:eastAsia="zh-CN"/>
              </w:rPr>
            </w:pPr>
            <w:r>
              <w:rPr>
                <w:rFonts w:hint="eastAsia"/>
                <w:b/>
                <w:bCs/>
                <w:color w:val="auto"/>
                <w:lang w:val="en-US" w:eastAsia="zh-CN"/>
              </w:rPr>
              <w:t>4、</w:t>
            </w:r>
            <w:r>
              <w:rPr>
                <w:rFonts w:hint="default"/>
                <w:b/>
                <w:bCs/>
                <w:color w:val="auto"/>
                <w:lang w:val="en-US" w:eastAsia="zh-CN"/>
              </w:rPr>
              <w:t>项目选址符合性分析</w:t>
            </w:r>
          </w:p>
          <w:p>
            <w:pPr>
              <w:spacing w:line="360" w:lineRule="auto"/>
              <w:ind w:firstLine="480"/>
              <w:rPr>
                <w:rFonts w:hint="default" w:ascii="Times New Roman" w:hAnsi="Times New Roman" w:cs="Times New Roman"/>
                <w:color w:val="auto"/>
                <w:spacing w:val="0"/>
                <w:kern w:val="2"/>
                <w:lang w:val="en-US" w:eastAsia="zh-CN"/>
              </w:rPr>
            </w:pPr>
            <w:r>
              <w:rPr>
                <w:rFonts w:hint="eastAsia" w:cs="Times New Roman"/>
                <w:color w:val="auto"/>
                <w:spacing w:val="0"/>
                <w:kern w:val="2"/>
                <w:lang w:val="en-US" w:eastAsia="zh-CN"/>
              </w:rPr>
              <w:t>本项目位于姚安县栋川镇下栖霞路与春晖路交汇口西处，南面为姚安县妇幼保健计划生育服务中心（姚安县妇幼保健院），姚安县妇幼保健计划生育服务中心可为本项目提供较好的技术支持。项目建设点交通便利，水、电、通讯等基础设施配套，项目建设条件较好。拟建场地地形规整，上空无高压输电线路通过，地下无预埋管线，供电、给排水等基础设施基本完善配套，交通便捷，周围 500 米范围内无工矿企业，无高噪声及各种污染源，周围无易燃、易爆、有毒、有害危险品生产、贮存区，项目区范围内未出现过滑坡、泥石流等不良物理地质现象，项目建设条件较好，适宜作为建设用地。</w:t>
            </w:r>
          </w:p>
          <w:p>
            <w:pPr>
              <w:adjustRightInd w:val="0"/>
              <w:snapToGrid w:val="0"/>
              <w:spacing w:line="360" w:lineRule="auto"/>
              <w:ind w:left="0" w:leftChars="0" w:firstLine="0" w:firstLineChars="0"/>
              <w:rPr>
                <w:rFonts w:hint="default" w:ascii="Times New Roman" w:hAnsi="Times New Roman" w:cs="Times New Roman"/>
                <w:b/>
                <w:bCs/>
                <w:color w:val="auto"/>
                <w:spacing w:val="0"/>
                <w:kern w:val="2"/>
                <w:szCs w:val="24"/>
              </w:rPr>
            </w:pPr>
          </w:p>
        </w:tc>
      </w:tr>
    </w:tbl>
    <w:p>
      <w:pPr>
        <w:widowControl/>
        <w:ind w:firstLine="480"/>
        <w:jc w:val="left"/>
        <w:rPr>
          <w:rFonts w:cs="Times New Roman" w:asciiTheme="minorEastAsia" w:hAnsiTheme="minorEastAsia"/>
          <w:color w:val="auto"/>
          <w:szCs w:val="20"/>
        </w:rPr>
      </w:pPr>
      <w:r>
        <w:rPr>
          <w:rFonts w:cs="Times New Roman" w:asciiTheme="minorEastAsia" w:hAnsiTheme="minorEastAsia"/>
          <w:color w:val="auto"/>
          <w:szCs w:val="20"/>
        </w:rPr>
        <w:br w:type="page"/>
      </w:r>
    </w:p>
    <w:p>
      <w:pPr>
        <w:pStyle w:val="4"/>
        <w:rPr>
          <w:color w:val="auto"/>
        </w:rPr>
      </w:pPr>
      <w:bookmarkStart w:id="45" w:name="_Toc341946645"/>
      <w:bookmarkStart w:id="46" w:name="_Toc458883639"/>
      <w:bookmarkStart w:id="47" w:name="_Toc376855813"/>
      <w:bookmarkStart w:id="48" w:name="_Toc68101066"/>
      <w:bookmarkStart w:id="49" w:name="_Toc32392"/>
      <w:r>
        <w:rPr>
          <w:rFonts w:hint="eastAsia"/>
          <w:color w:val="auto"/>
        </w:rPr>
        <w:t>二、建设项目</w:t>
      </w:r>
      <w:bookmarkEnd w:id="45"/>
      <w:bookmarkEnd w:id="46"/>
      <w:bookmarkEnd w:id="47"/>
      <w:r>
        <w:rPr>
          <w:rFonts w:hint="eastAsia"/>
          <w:color w:val="auto"/>
        </w:rPr>
        <w:t>工程分析</w:t>
      </w:r>
      <w:bookmarkEnd w:id="48"/>
      <w:bookmarkEnd w:id="49"/>
    </w:p>
    <w:tbl>
      <w:tblPr>
        <w:tblStyle w:val="37"/>
        <w:tblW w:w="935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75"/>
        <w:gridCol w:w="84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259" w:hRule="atLeast"/>
          <w:jc w:val="center"/>
        </w:trPr>
        <w:tc>
          <w:tcPr>
            <w:tcW w:w="875" w:type="dxa"/>
            <w:vAlign w:val="center"/>
          </w:tcPr>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r>
              <w:rPr>
                <w:rFonts w:hint="eastAsia"/>
                <w:b/>
                <w:color w:val="auto"/>
                <w:kern w:val="0"/>
              </w:rPr>
              <w:t>建设内容</w:t>
            </w: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r>
              <w:rPr>
                <w:rFonts w:hint="eastAsia"/>
                <w:b/>
                <w:color w:val="auto"/>
                <w:kern w:val="0"/>
              </w:rPr>
              <w:t>建设内容</w:t>
            </w: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p>
          <w:p>
            <w:pPr>
              <w:spacing w:line="240" w:lineRule="auto"/>
              <w:ind w:firstLine="0" w:firstLineChars="0"/>
              <w:jc w:val="center"/>
              <w:rPr>
                <w:b/>
                <w:color w:val="auto"/>
                <w:kern w:val="0"/>
              </w:rPr>
            </w:pPr>
            <w:r>
              <w:rPr>
                <w:rFonts w:hint="eastAsia"/>
                <w:b/>
                <w:color w:val="auto"/>
                <w:kern w:val="0"/>
              </w:rPr>
              <w:t>建设内容</w:t>
            </w:r>
          </w:p>
        </w:tc>
        <w:tc>
          <w:tcPr>
            <w:tcW w:w="8479" w:type="dxa"/>
            <w:tcBorders>
              <w:bottom w:val="single" w:color="auto" w:sz="12" w:space="0"/>
            </w:tcBorders>
          </w:tcPr>
          <w:p>
            <w:pPr>
              <w:pStyle w:val="5"/>
              <w:keepNext/>
              <w:keepLines/>
              <w:pageBreakBefore w:val="0"/>
              <w:widowControl w:val="0"/>
              <w:kinsoku/>
              <w:wordWrap/>
              <w:overflowPunct/>
              <w:topLinePunct w:val="0"/>
              <w:autoSpaceDE/>
              <w:autoSpaceDN/>
              <w:bidi w:val="0"/>
              <w:adjustRightInd w:val="0"/>
              <w:snapToGrid w:val="0"/>
              <w:spacing w:before="164" w:beforeLines="50"/>
              <w:ind w:firstLine="482"/>
              <w:jc w:val="both"/>
              <w:textAlignment w:val="auto"/>
              <w:rPr>
                <w:rFonts w:hint="default" w:ascii="Times New Roman" w:hAnsi="Times New Roman" w:eastAsia="宋体" w:cs="Times New Roman"/>
                <w:color w:val="auto"/>
                <w:kern w:val="2"/>
                <w:lang w:eastAsia="zh-CN"/>
              </w:rPr>
            </w:pPr>
            <w:r>
              <w:rPr>
                <w:rFonts w:hint="default" w:ascii="Times New Roman" w:hAnsi="Times New Roman" w:cs="Times New Roman"/>
                <w:color w:val="auto"/>
                <w:kern w:val="2"/>
              </w:rPr>
              <w:t>1、项目</w:t>
            </w:r>
            <w:r>
              <w:rPr>
                <w:rFonts w:hint="default" w:ascii="Times New Roman" w:hAnsi="Times New Roman" w:cs="Times New Roman"/>
                <w:color w:val="auto"/>
                <w:kern w:val="2"/>
                <w:lang w:val="en-US" w:eastAsia="zh-CN"/>
              </w:rPr>
              <w:t>基本情况</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color w:val="auto"/>
                <w:kern w:val="2"/>
              </w:rPr>
            </w:pPr>
            <w:r>
              <w:rPr>
                <w:rFonts w:hint="default" w:ascii="Times New Roman" w:hAnsi="Times New Roman" w:eastAsia="宋体" w:cs="Times New Roman"/>
                <w:b/>
                <w:color w:val="auto"/>
                <w:kern w:val="2"/>
                <w:sz w:val="24"/>
                <w:szCs w:val="24"/>
                <w:lang w:val="en-US" w:eastAsia="zh-CN" w:bidi="ar"/>
              </w:rPr>
              <w:t>项目名称：</w:t>
            </w:r>
            <w:r>
              <w:rPr>
                <w:rFonts w:hint="default" w:ascii="Times New Roman" w:hAnsi="Times New Roman" w:eastAsia="宋体" w:cs="Times New Roman"/>
                <w:color w:val="auto"/>
                <w:kern w:val="2"/>
                <w:szCs w:val="24"/>
                <w:lang w:eastAsia="zh-CN"/>
              </w:rPr>
              <w:t>姚安县保健院妇婴医院住院综合楼建设项目</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color w:val="auto"/>
                <w:kern w:val="2"/>
              </w:rPr>
            </w:pPr>
            <w:r>
              <w:rPr>
                <w:rFonts w:hint="default" w:ascii="Times New Roman" w:hAnsi="Times New Roman" w:eastAsia="宋体" w:cs="Times New Roman"/>
                <w:b/>
                <w:color w:val="auto"/>
                <w:kern w:val="2"/>
                <w:sz w:val="24"/>
                <w:szCs w:val="24"/>
                <w:lang w:val="en-US" w:eastAsia="zh-CN" w:bidi="ar"/>
              </w:rPr>
              <w:t>建设单位：</w:t>
            </w:r>
            <w:r>
              <w:rPr>
                <w:rFonts w:hint="default" w:ascii="Times New Roman" w:hAnsi="Times New Roman" w:eastAsia="宋体" w:cs="Times New Roman"/>
                <w:b w:val="0"/>
                <w:bCs/>
                <w:color w:val="auto"/>
                <w:kern w:val="2"/>
                <w:sz w:val="24"/>
                <w:szCs w:val="24"/>
                <w:lang w:val="en-US" w:eastAsia="zh-CN" w:bidi="ar"/>
              </w:rPr>
              <w:t>姚安县妇幼保健计划生育服务中心</w:t>
            </w:r>
            <w:r>
              <w:rPr>
                <w:rFonts w:hint="eastAsia" w:eastAsia="宋体" w:cs="Times New Roman"/>
                <w:b w:val="0"/>
                <w:bCs/>
                <w:color w:val="auto"/>
                <w:kern w:val="2"/>
                <w:sz w:val="24"/>
                <w:szCs w:val="24"/>
                <w:lang w:val="en-US" w:eastAsia="zh-CN" w:bidi="ar"/>
              </w:rPr>
              <w:t>（</w:t>
            </w:r>
            <w:r>
              <w:rPr>
                <w:rFonts w:hint="default" w:ascii="Times New Roman" w:hAnsi="Times New Roman" w:eastAsia="宋体" w:cs="Times New Roman"/>
                <w:b w:val="0"/>
                <w:bCs/>
                <w:color w:val="auto"/>
                <w:kern w:val="2"/>
                <w:sz w:val="24"/>
                <w:szCs w:val="24"/>
                <w:highlight w:val="none"/>
                <w:lang w:val="en-US" w:eastAsia="zh-CN" w:bidi="ar"/>
              </w:rPr>
              <w:t>姚安县妇幼保健院</w:t>
            </w:r>
            <w:r>
              <w:rPr>
                <w:rFonts w:hint="eastAsia" w:eastAsia="宋体" w:cs="Times New Roman"/>
                <w:b w:val="0"/>
                <w:bCs/>
                <w:color w:val="auto"/>
                <w:kern w:val="2"/>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color w:val="auto"/>
                <w:kern w:val="2"/>
              </w:rPr>
            </w:pPr>
            <w:r>
              <w:rPr>
                <w:rFonts w:hint="default" w:ascii="Times New Roman" w:hAnsi="Times New Roman" w:eastAsia="宋体" w:cs="Times New Roman"/>
                <w:b/>
                <w:color w:val="auto"/>
                <w:kern w:val="2"/>
                <w:sz w:val="24"/>
                <w:szCs w:val="24"/>
                <w:lang w:val="en-US" w:eastAsia="zh-CN" w:bidi="ar"/>
              </w:rPr>
              <w:t>建设地点：</w:t>
            </w:r>
            <w:r>
              <w:rPr>
                <w:rFonts w:hint="default" w:ascii="Times New Roman" w:hAnsi="Times New Roman" w:eastAsia="宋体" w:cs="Times New Roman"/>
                <w:color w:val="auto"/>
                <w:kern w:val="2"/>
                <w:sz w:val="24"/>
                <w:szCs w:val="24"/>
                <w:lang w:val="en-US" w:eastAsia="zh-CN" w:bidi="ar"/>
              </w:rPr>
              <w:t>云南省楚雄州姚安县栋川镇下栖霞路与</w:t>
            </w:r>
            <w:r>
              <w:rPr>
                <w:rFonts w:hint="eastAsia" w:eastAsia="宋体" w:cs="Times New Roman"/>
                <w:color w:val="auto"/>
                <w:kern w:val="2"/>
                <w:sz w:val="24"/>
                <w:szCs w:val="24"/>
                <w:lang w:val="en-US" w:eastAsia="zh-CN" w:bidi="ar"/>
              </w:rPr>
              <w:t>春晖路</w:t>
            </w:r>
            <w:r>
              <w:rPr>
                <w:rFonts w:hint="default" w:ascii="Times New Roman" w:hAnsi="Times New Roman" w:eastAsia="宋体" w:cs="Times New Roman"/>
                <w:color w:val="auto"/>
                <w:kern w:val="2"/>
                <w:sz w:val="24"/>
                <w:szCs w:val="24"/>
                <w:lang w:val="en-US" w:eastAsia="zh-CN" w:bidi="ar"/>
              </w:rPr>
              <w:t>交汇口西处</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color w:val="auto"/>
                <w:kern w:val="2"/>
              </w:rPr>
            </w:pPr>
            <w:r>
              <w:rPr>
                <w:rFonts w:hint="default" w:ascii="Times New Roman" w:hAnsi="Times New Roman" w:eastAsia="宋体" w:cs="Times New Roman"/>
                <w:b/>
                <w:color w:val="auto"/>
                <w:kern w:val="2"/>
                <w:sz w:val="24"/>
                <w:szCs w:val="24"/>
                <w:lang w:val="en-US" w:eastAsia="zh-CN" w:bidi="ar"/>
              </w:rPr>
              <w:t>建设性质：</w:t>
            </w:r>
            <w:r>
              <w:rPr>
                <w:rFonts w:hint="default" w:ascii="Times New Roman" w:hAnsi="Times New Roman" w:eastAsia="宋体" w:cs="Times New Roman"/>
                <w:color w:val="auto"/>
                <w:kern w:val="2"/>
                <w:sz w:val="24"/>
                <w:szCs w:val="24"/>
                <w:lang w:val="en-US" w:eastAsia="zh-CN" w:bidi="ar"/>
              </w:rPr>
              <w:t>新建</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b w:val="0"/>
                <w:bCs/>
                <w:color w:val="auto"/>
                <w:kern w:val="2"/>
                <w:highlight w:val="none"/>
              </w:rPr>
            </w:pPr>
            <w:r>
              <w:rPr>
                <w:rFonts w:hint="default" w:ascii="Times New Roman" w:hAnsi="Times New Roman" w:eastAsia="宋体" w:cs="Times New Roman"/>
                <w:b/>
                <w:bCs w:val="0"/>
                <w:color w:val="auto"/>
                <w:kern w:val="2"/>
                <w:sz w:val="24"/>
                <w:szCs w:val="24"/>
                <w:highlight w:val="none"/>
                <w:lang w:val="en-US" w:eastAsia="zh-CN" w:bidi="ar"/>
              </w:rPr>
              <w:t>项目内容和规模：</w:t>
            </w:r>
            <w:r>
              <w:rPr>
                <w:rFonts w:hint="default" w:ascii="Times New Roman" w:hAnsi="Times New Roman" w:eastAsia="宋体" w:cs="Times New Roman"/>
                <w:b w:val="0"/>
                <w:bCs/>
                <w:color w:val="auto"/>
                <w:kern w:val="2"/>
                <w:sz w:val="24"/>
                <w:szCs w:val="24"/>
                <w:highlight w:val="none"/>
                <w:lang w:val="en-US" w:eastAsia="zh-CN" w:bidi="ar"/>
              </w:rPr>
              <w:t>本项目拟建妇婴综合楼一幢、框架-剪力墙结构，地下一（建筑面积2000平方米）、地上</w:t>
            </w:r>
            <w:r>
              <w:rPr>
                <w:rFonts w:hint="eastAsia" w:eastAsia="宋体" w:cs="Times New Roman"/>
                <w:b w:val="0"/>
                <w:bCs/>
                <w:color w:val="auto"/>
                <w:kern w:val="2"/>
                <w:sz w:val="24"/>
                <w:szCs w:val="24"/>
                <w:highlight w:val="none"/>
                <w:lang w:val="en-US" w:eastAsia="zh-CN" w:bidi="ar"/>
              </w:rPr>
              <w:t>11</w:t>
            </w:r>
            <w:r>
              <w:rPr>
                <w:rFonts w:hint="default" w:ascii="Times New Roman" w:hAnsi="Times New Roman" w:eastAsia="宋体" w:cs="Times New Roman"/>
                <w:b w:val="0"/>
                <w:bCs/>
                <w:color w:val="auto"/>
                <w:kern w:val="2"/>
                <w:sz w:val="24"/>
                <w:szCs w:val="24"/>
                <w:highlight w:val="none"/>
                <w:lang w:val="en-US" w:eastAsia="zh-CN" w:bidi="ar"/>
              </w:rPr>
              <w:t>层（建筑面积18150平方米），建筑面积20150平方米，设置病床数200张</w:t>
            </w:r>
            <w:r>
              <w:rPr>
                <w:rFonts w:hint="default" w:ascii="Times New Roman" w:hAnsi="Times New Roman" w:cs="Times New Roman"/>
                <w:b w:val="0"/>
                <w:bCs/>
                <w:color w:val="auto"/>
                <w:kern w:val="2"/>
                <w:highlight w:val="none"/>
              </w:rPr>
              <w:t>。</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color w:val="auto"/>
                <w:kern w:val="2"/>
                <w:highlight w:val="none"/>
              </w:rPr>
            </w:pPr>
            <w:r>
              <w:rPr>
                <w:rFonts w:hint="default" w:ascii="Times New Roman" w:hAnsi="Times New Roman" w:eastAsia="宋体" w:cs="Times New Roman"/>
                <w:b/>
                <w:color w:val="auto"/>
                <w:kern w:val="2"/>
                <w:sz w:val="24"/>
                <w:szCs w:val="24"/>
                <w:lang w:val="en-US" w:eastAsia="zh-CN" w:bidi="ar"/>
              </w:rPr>
              <w:t>项目总投资：</w:t>
            </w:r>
            <w:r>
              <w:rPr>
                <w:rFonts w:hint="default" w:ascii="Times New Roman" w:hAnsi="Times New Roman" w:eastAsia="宋体" w:cs="Times New Roman"/>
                <w:color w:val="auto"/>
                <w:kern w:val="2"/>
                <w:sz w:val="24"/>
                <w:szCs w:val="24"/>
                <w:lang w:val="en-US" w:eastAsia="zh-CN" w:bidi="ar"/>
              </w:rPr>
              <w:t>20500万元，</w:t>
            </w:r>
            <w:r>
              <w:rPr>
                <w:rFonts w:hint="default" w:ascii="Times New Roman" w:hAnsi="Times New Roman" w:eastAsia="宋体" w:cs="Times New Roman"/>
                <w:color w:val="auto"/>
                <w:kern w:val="2"/>
                <w:sz w:val="24"/>
                <w:szCs w:val="24"/>
                <w:highlight w:val="none"/>
                <w:lang w:val="en-US" w:eastAsia="zh-CN" w:bidi="ar"/>
              </w:rPr>
              <w:t>其中环保投资</w:t>
            </w:r>
            <w:r>
              <w:rPr>
                <w:rFonts w:hint="eastAsia" w:eastAsia="宋体" w:cs="Times New Roman"/>
                <w:color w:val="auto"/>
                <w:kern w:val="2"/>
                <w:sz w:val="24"/>
                <w:szCs w:val="24"/>
                <w:highlight w:val="none"/>
                <w:lang w:val="en-US" w:eastAsia="zh-CN" w:bidi="ar"/>
              </w:rPr>
              <w:t>154.2</w:t>
            </w:r>
            <w:r>
              <w:rPr>
                <w:rFonts w:hint="default" w:ascii="Times New Roman" w:hAnsi="Times New Roman" w:eastAsia="宋体" w:cs="Times New Roman"/>
                <w:color w:val="auto"/>
                <w:kern w:val="2"/>
                <w:sz w:val="24"/>
                <w:szCs w:val="24"/>
                <w:highlight w:val="none"/>
                <w:lang w:val="en-US" w:eastAsia="zh-CN" w:bidi="ar"/>
              </w:rPr>
              <w:t>万元。</w:t>
            </w:r>
          </w:p>
          <w:p>
            <w:pPr>
              <w:pStyle w:val="5"/>
              <w:keepNext/>
              <w:keepLines/>
              <w:pageBreakBefore w:val="0"/>
              <w:widowControl w:val="0"/>
              <w:kinsoku/>
              <w:wordWrap/>
              <w:overflowPunct/>
              <w:topLinePunct w:val="0"/>
              <w:autoSpaceDE/>
              <w:autoSpaceDN/>
              <w:bidi w:val="0"/>
              <w:adjustRightInd w:val="0"/>
              <w:snapToGrid w:val="0"/>
              <w:spacing w:before="0" w:beforeLines="0"/>
              <w:ind w:firstLine="482"/>
              <w:jc w:val="both"/>
              <w:textAlignment w:val="auto"/>
              <w:rPr>
                <w:rFonts w:hint="default" w:ascii="Times New Roman" w:hAnsi="Times New Roman" w:cs="Times New Roman"/>
                <w:color w:val="auto"/>
                <w:kern w:val="2"/>
              </w:rPr>
            </w:pPr>
            <w:r>
              <w:rPr>
                <w:rFonts w:hint="default" w:ascii="Times New Roman" w:hAnsi="Times New Roman" w:cs="Times New Roman"/>
                <w:color w:val="auto"/>
                <w:kern w:val="2"/>
                <w:lang w:val="en-US" w:eastAsia="zh-CN"/>
              </w:rPr>
              <w:t>2、建设工程及</w:t>
            </w:r>
            <w:r>
              <w:rPr>
                <w:rFonts w:hint="default" w:ascii="Times New Roman" w:hAnsi="Times New Roman" w:cs="Times New Roman"/>
                <w:color w:val="auto"/>
                <w:kern w:val="2"/>
              </w:rPr>
              <w:t>内容</w:t>
            </w:r>
          </w:p>
          <w:p>
            <w:pPr>
              <w:ind w:firstLine="480"/>
              <w:jc w:val="both"/>
              <w:rPr>
                <w:rFonts w:hint="default" w:ascii="Times New Roman" w:hAnsi="Times New Roman" w:cs="Times New Roman"/>
                <w:color w:val="auto"/>
                <w:kern w:val="2"/>
              </w:rPr>
            </w:pPr>
            <w:r>
              <w:rPr>
                <w:rFonts w:hint="default" w:ascii="Times New Roman" w:hAnsi="Times New Roman" w:cs="Times New Roman"/>
                <w:color w:val="auto"/>
                <w:kern w:val="2"/>
              </w:rPr>
              <w:t>本项目拟建妇婴综合楼一幢，地下一</w:t>
            </w:r>
            <w:r>
              <w:rPr>
                <w:rFonts w:hint="default" w:ascii="Times New Roman" w:hAnsi="Times New Roman" w:cs="Times New Roman"/>
                <w:color w:val="auto"/>
                <w:kern w:val="2"/>
                <w:lang w:eastAsia="zh-CN"/>
              </w:rPr>
              <w:t>层</w:t>
            </w:r>
            <w:r>
              <w:rPr>
                <w:rFonts w:hint="default" w:ascii="Times New Roman" w:hAnsi="Times New Roman" w:cs="Times New Roman"/>
                <w:color w:val="auto"/>
                <w:kern w:val="2"/>
              </w:rPr>
              <w:t>（建筑面积2000平方米）、地上</w:t>
            </w:r>
            <w:r>
              <w:rPr>
                <w:rFonts w:hint="default" w:ascii="Times New Roman" w:hAnsi="Times New Roman" w:cs="Times New Roman"/>
                <w:color w:val="auto"/>
                <w:kern w:val="2"/>
                <w:lang w:val="en-US" w:eastAsia="zh-CN"/>
              </w:rPr>
              <w:t>11</w:t>
            </w:r>
            <w:r>
              <w:rPr>
                <w:rFonts w:hint="default" w:ascii="Times New Roman" w:hAnsi="Times New Roman" w:cs="Times New Roman"/>
                <w:color w:val="auto"/>
                <w:kern w:val="2"/>
              </w:rPr>
              <w:t>层（建筑面积18150平方米）</w:t>
            </w:r>
            <w:r>
              <w:rPr>
                <w:rFonts w:hint="default" w:ascii="Times New Roman" w:hAnsi="Times New Roman" w:cs="Times New Roman"/>
                <w:color w:val="auto"/>
                <w:kern w:val="2"/>
                <w:lang w:eastAsia="zh-CN"/>
              </w:rPr>
              <w:t>，</w:t>
            </w:r>
            <w:r>
              <w:rPr>
                <w:rFonts w:hint="default" w:ascii="Times New Roman" w:hAnsi="Times New Roman" w:cs="Times New Roman"/>
                <w:color w:val="auto"/>
                <w:kern w:val="2"/>
              </w:rPr>
              <w:t>建筑面积20150平方米（设置200张病床）。拟建</w:t>
            </w:r>
            <w:r>
              <w:rPr>
                <w:rFonts w:hint="eastAsia" w:cs="Times New Roman"/>
                <w:color w:val="auto"/>
                <w:kern w:val="2"/>
                <w:lang w:eastAsia="zh-CN"/>
              </w:rPr>
              <w:t>附属设施</w:t>
            </w:r>
            <w:r>
              <w:rPr>
                <w:rFonts w:hint="default" w:ascii="Times New Roman" w:hAnsi="Times New Roman" w:cs="Times New Roman"/>
                <w:color w:val="auto"/>
                <w:kern w:val="2"/>
              </w:rPr>
              <w:t>消防水池水泵房及发电机房：建筑面积200平方米（容积为250立方米）</w:t>
            </w:r>
            <w:r>
              <w:rPr>
                <w:rFonts w:hint="default" w:ascii="Times New Roman" w:hAnsi="Times New Roman" w:cs="Times New Roman"/>
                <w:color w:val="auto"/>
                <w:kern w:val="2"/>
                <w:lang w:val="en-US" w:eastAsia="zh-CN"/>
              </w:rPr>
              <w:t>；配套消防设施（两台消防泵、两台喷淋泵）；</w:t>
            </w:r>
            <w:r>
              <w:rPr>
                <w:rFonts w:hint="default" w:ascii="Times New Roman" w:hAnsi="Times New Roman" w:cs="Times New Roman"/>
                <w:color w:val="auto"/>
                <w:kern w:val="2"/>
                <w:highlight w:val="none"/>
                <w:lang w:val="en-US" w:eastAsia="zh-CN"/>
              </w:rPr>
              <w:t>拟建污水处理池150平方米，配套污水处理设施一项。</w:t>
            </w:r>
            <w:r>
              <w:rPr>
                <w:rFonts w:hint="default" w:ascii="Times New Roman" w:hAnsi="Times New Roman" w:cs="Times New Roman"/>
                <w:color w:val="auto"/>
                <w:kern w:val="2"/>
                <w:lang w:val="en-US" w:eastAsia="zh-CN"/>
              </w:rPr>
              <w:t>拟建中心供氧房40平方米</w:t>
            </w:r>
            <w:r>
              <w:rPr>
                <w:rFonts w:hint="eastAsia" w:cs="Times New Roman"/>
                <w:color w:val="auto"/>
                <w:kern w:val="2"/>
                <w:lang w:val="en-US" w:eastAsia="zh-CN"/>
              </w:rPr>
              <w:t>；</w:t>
            </w:r>
            <w:r>
              <w:rPr>
                <w:rFonts w:hint="default" w:ascii="Times New Roman" w:hAnsi="Times New Roman" w:cs="Times New Roman"/>
                <w:color w:val="auto"/>
                <w:kern w:val="2"/>
                <w:lang w:val="en-US" w:eastAsia="zh-CN"/>
              </w:rPr>
              <w:t>绿化4000平方米；硬化道路2000平方米。</w:t>
            </w:r>
            <w:r>
              <w:rPr>
                <w:rFonts w:hint="eastAsia" w:cs="Times New Roman"/>
                <w:color w:val="auto"/>
                <w:kern w:val="2"/>
                <w:lang w:val="en-US" w:eastAsia="zh-CN"/>
              </w:rPr>
              <w:t>以上建设内容同时建成，不分期建设。</w:t>
            </w:r>
          </w:p>
          <w:p>
            <w:pPr>
              <w:ind w:firstLine="480"/>
              <w:jc w:val="both"/>
              <w:rPr>
                <w:rFonts w:hint="default" w:ascii="Times New Roman" w:hAnsi="Times New Roman" w:cs="Times New Roman"/>
                <w:color w:val="auto"/>
                <w:kern w:val="2"/>
              </w:rPr>
            </w:pPr>
            <w:r>
              <w:rPr>
                <w:rFonts w:hint="default" w:ascii="Times New Roman" w:hAnsi="Times New Roman" w:cs="Times New Roman"/>
                <w:color w:val="auto"/>
                <w:kern w:val="2"/>
                <w:lang w:eastAsia="zh-CN"/>
              </w:rPr>
              <w:t>设置预防保健科、内科、妇产科、妇产保健科、儿科、儿童保健科、麻醉科、医学检验科、医学影像科</w:t>
            </w:r>
            <w:r>
              <w:rPr>
                <w:rFonts w:hint="eastAsia" w:cs="Times New Roman"/>
                <w:color w:val="auto"/>
                <w:kern w:val="2"/>
                <w:lang w:eastAsia="zh-CN"/>
              </w:rPr>
              <w:t>、预防接种（仅针对新生儿）、发热门诊、手术室</w:t>
            </w:r>
            <w:r>
              <w:rPr>
                <w:rFonts w:hint="default" w:ascii="Times New Roman" w:hAnsi="Times New Roman" w:cs="Times New Roman"/>
                <w:color w:val="auto"/>
                <w:kern w:val="2"/>
                <w:lang w:eastAsia="zh-CN"/>
              </w:rPr>
              <w:t>；超声诊断专业，心电诊断专业，中医科。</w:t>
            </w:r>
            <w:r>
              <w:rPr>
                <w:rFonts w:hint="default" w:ascii="Times New Roman" w:hAnsi="Times New Roman" w:cs="Times New Roman"/>
                <w:color w:val="auto"/>
                <w:kern w:val="2"/>
                <w:lang w:val="en-US" w:eastAsia="zh-CN"/>
              </w:rPr>
              <w:t>医护人员在医院吃饭，不在医院住宿，项目不涉及医护人员住宿</w:t>
            </w:r>
            <w:r>
              <w:rPr>
                <w:rFonts w:hint="default" w:ascii="Times New Roman" w:hAnsi="Times New Roman" w:cs="Times New Roman"/>
                <w:color w:val="auto"/>
                <w:kern w:val="2"/>
              </w:rPr>
              <w:t>。项目主要内容见下表。</w:t>
            </w:r>
          </w:p>
          <w:p>
            <w:pPr>
              <w:pStyle w:val="67"/>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表2-1 项目组成一览表</w:t>
            </w:r>
          </w:p>
          <w:tbl>
            <w:tblPr>
              <w:tblStyle w:val="38"/>
              <w:tblW w:w="839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Layout w:type="fixed"/>
              <w:tblCellMar>
                <w:top w:w="0" w:type="dxa"/>
                <w:left w:w="108" w:type="dxa"/>
                <w:bottom w:w="0" w:type="dxa"/>
                <w:right w:w="108" w:type="dxa"/>
              </w:tblCellMar>
            </w:tblPr>
            <w:tblGrid>
              <w:gridCol w:w="464"/>
              <w:gridCol w:w="966"/>
              <w:gridCol w:w="1173"/>
              <w:gridCol w:w="4512"/>
              <w:gridCol w:w="128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552" w:hRule="atLeast"/>
                <w:jc w:val="center"/>
              </w:trPr>
              <w:tc>
                <w:tcPr>
                  <w:tcW w:w="1430" w:type="dxa"/>
                  <w:gridSpan w:val="2"/>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工程名称</w:t>
                  </w:r>
                </w:p>
              </w:tc>
              <w:tc>
                <w:tcPr>
                  <w:tcW w:w="5685" w:type="dxa"/>
                  <w:gridSpan w:val="2"/>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建设内容及规模</w:t>
                  </w:r>
                </w:p>
              </w:tc>
              <w:tc>
                <w:tcPr>
                  <w:tcW w:w="1280"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b/>
                      <w:bCs/>
                      <w:color w:val="auto"/>
                      <w:kern w:val="2"/>
                      <w:sz w:val="21"/>
                      <w:szCs w:val="21"/>
                      <w:lang w:eastAsia="zh-CN"/>
                    </w:rPr>
                  </w:pPr>
                  <w:r>
                    <w:rPr>
                      <w:rFonts w:hint="default" w:ascii="Times New Roman" w:hAnsi="Times New Roman" w:eastAsia="宋体" w:cs="Times New Roman"/>
                      <w:b/>
                      <w:bCs/>
                      <w:color w:val="auto"/>
                      <w:kern w:val="2"/>
                      <w:sz w:val="21"/>
                      <w:szCs w:val="21"/>
                      <w:lang w:eastAsia="zh-CN"/>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552" w:hRule="atLeast"/>
                <w:jc w:val="center"/>
              </w:trPr>
              <w:tc>
                <w:tcPr>
                  <w:tcW w:w="464"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主体工程</w:t>
                  </w:r>
                </w:p>
              </w:tc>
              <w:tc>
                <w:tcPr>
                  <w:tcW w:w="966"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住院综合楼</w:t>
                  </w:r>
                </w:p>
              </w:tc>
              <w:tc>
                <w:tcPr>
                  <w:tcW w:w="5685" w:type="dxa"/>
                  <w:gridSpan w:val="2"/>
                  <w:tcBorders>
                    <w:tl2br w:val="nil"/>
                    <w:tr2bl w:val="nil"/>
                  </w:tcBorders>
                  <w:vAlign w:val="center"/>
                </w:tcPr>
                <w:p>
                  <w:pPr>
                    <w:pStyle w:val="54"/>
                    <w:keepNext w:val="0"/>
                    <w:keepLines w:val="0"/>
                    <w:pageBreakBefore w:val="0"/>
                    <w:widowControl w:val="0"/>
                    <w:kinsoku/>
                    <w:wordWrap/>
                    <w:overflowPunct/>
                    <w:topLinePunct w:val="0"/>
                    <w:bidi w:val="0"/>
                    <w:spacing w:line="360" w:lineRule="auto"/>
                    <w:ind w:firstLine="0" w:firstLineChars="0"/>
                    <w:jc w:val="both"/>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rPr>
                    <w:t>综合楼一幢，地下一层（建筑面积2000平方米）、地上</w:t>
                  </w:r>
                  <w:r>
                    <w:rPr>
                      <w:rFonts w:hint="default" w:ascii="Times New Roman" w:hAnsi="Times New Roman" w:cs="Times New Roman"/>
                      <w:color w:val="auto"/>
                      <w:kern w:val="2"/>
                      <w:sz w:val="21"/>
                      <w:szCs w:val="21"/>
                      <w:lang w:val="en-US" w:eastAsia="zh-CN"/>
                    </w:rPr>
                    <w:t>11</w:t>
                  </w:r>
                  <w:r>
                    <w:rPr>
                      <w:rFonts w:hint="default" w:ascii="Times New Roman" w:hAnsi="Times New Roman" w:eastAsia="宋体" w:cs="Times New Roman"/>
                      <w:color w:val="auto"/>
                      <w:kern w:val="2"/>
                      <w:sz w:val="21"/>
                      <w:szCs w:val="21"/>
                    </w:rPr>
                    <w:t>层（建筑面积18150平方米）</w:t>
                  </w:r>
                  <w:r>
                    <w:rPr>
                      <w:rFonts w:hint="eastAsia" w:cs="Times New Roman"/>
                      <w:color w:val="auto"/>
                      <w:kern w:val="2"/>
                      <w:sz w:val="21"/>
                      <w:szCs w:val="21"/>
                      <w:lang w:eastAsia="zh-CN"/>
                    </w:rPr>
                    <w:t>，</w:t>
                  </w:r>
                  <w:r>
                    <w:rPr>
                      <w:rFonts w:hint="default" w:ascii="Times New Roman" w:hAnsi="Times New Roman" w:eastAsia="宋体" w:cs="Times New Roman"/>
                      <w:color w:val="auto"/>
                      <w:kern w:val="2"/>
                      <w:sz w:val="21"/>
                      <w:szCs w:val="21"/>
                    </w:rPr>
                    <w:t>建筑面积20150平方米（设置200张病床）</w:t>
                  </w:r>
                  <w:r>
                    <w:rPr>
                      <w:rFonts w:hint="default" w:ascii="Times New Roman" w:hAnsi="Times New Roman" w:eastAsia="宋体" w:cs="Times New Roman"/>
                      <w:color w:val="auto"/>
                      <w:kern w:val="2"/>
                      <w:sz w:val="21"/>
                      <w:szCs w:val="21"/>
                      <w:lang w:eastAsia="zh-CN"/>
                    </w:rPr>
                    <w:t>。</w:t>
                  </w:r>
                </w:p>
                <w:p>
                  <w:pPr>
                    <w:pStyle w:val="54"/>
                    <w:keepNext w:val="0"/>
                    <w:keepLines w:val="0"/>
                    <w:pageBreakBefore w:val="0"/>
                    <w:widowControl w:val="0"/>
                    <w:kinsoku/>
                    <w:wordWrap/>
                    <w:overflowPunct/>
                    <w:topLinePunct w:val="0"/>
                    <w:bidi w:val="0"/>
                    <w:spacing w:line="360" w:lineRule="auto"/>
                    <w:ind w:firstLine="0" w:firstLineChars="0"/>
                    <w:jc w:val="both"/>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1楼为门诊大厅、挂号收费室。</w:t>
                  </w:r>
                </w:p>
                <w:p>
                  <w:pPr>
                    <w:pStyle w:val="54"/>
                    <w:keepNext w:val="0"/>
                    <w:keepLines w:val="0"/>
                    <w:pageBreakBefore w:val="0"/>
                    <w:widowControl w:val="0"/>
                    <w:kinsoku/>
                    <w:wordWrap/>
                    <w:overflowPunct/>
                    <w:topLinePunct w:val="0"/>
                    <w:bidi w:val="0"/>
                    <w:spacing w:line="360" w:lineRule="auto"/>
                    <w:ind w:firstLine="0" w:firstLineChars="0"/>
                    <w:jc w:val="both"/>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2楼为门诊输液大厅、护士站、隔离观察室、门诊、库房、医生办公室、护士办公室、储物室、卫生间；</w:t>
                  </w:r>
                </w:p>
                <w:p>
                  <w:pPr>
                    <w:pStyle w:val="54"/>
                    <w:keepNext w:val="0"/>
                    <w:keepLines w:val="0"/>
                    <w:pageBreakBefore w:val="0"/>
                    <w:widowControl w:val="0"/>
                    <w:kinsoku/>
                    <w:wordWrap/>
                    <w:overflowPunct/>
                    <w:topLinePunct w:val="0"/>
                    <w:bidi w:val="0"/>
                    <w:spacing w:line="360" w:lineRule="auto"/>
                    <w:ind w:firstLine="0" w:firstLineChars="0"/>
                    <w:jc w:val="both"/>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3楼为医生办公室、库房、心电检查室、超声检查室、检查室、检验大厅、采集室、暂存室、检验室、微生物室、免疫生化实验室、临床和洗涤间。</w:t>
                  </w:r>
                </w:p>
                <w:p>
                  <w:pPr>
                    <w:pStyle w:val="54"/>
                    <w:keepNext w:val="0"/>
                    <w:keepLines w:val="0"/>
                    <w:pageBreakBefore w:val="0"/>
                    <w:widowControl w:val="0"/>
                    <w:kinsoku/>
                    <w:wordWrap/>
                    <w:overflowPunct/>
                    <w:topLinePunct w:val="0"/>
                    <w:bidi w:val="0"/>
                    <w:spacing w:line="360" w:lineRule="auto"/>
                    <w:ind w:firstLine="0" w:firstLineChars="0"/>
                    <w:jc w:val="both"/>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4楼设置空中花园、网络机房、库房和备用房。</w:t>
                  </w:r>
                </w:p>
                <w:p>
                  <w:pPr>
                    <w:pStyle w:val="54"/>
                    <w:keepNext w:val="0"/>
                    <w:keepLines w:val="0"/>
                    <w:pageBreakBefore w:val="0"/>
                    <w:widowControl w:val="0"/>
                    <w:kinsoku/>
                    <w:wordWrap/>
                    <w:overflowPunct/>
                    <w:topLinePunct w:val="0"/>
                    <w:bidi w:val="0"/>
                    <w:spacing w:line="360" w:lineRule="auto"/>
                    <w:ind w:firstLine="0" w:firstLineChars="0"/>
                    <w:jc w:val="both"/>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5-10楼为住院病房、医生办公室、主任医生办公室、值班室、换药室、治疗室、综合治疗室以及备餐区，并设置一个小型空中花园；</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11楼为行政办公区域，设置办公室、会议室3间，库房。</w:t>
                  </w:r>
                </w:p>
                <w:p>
                  <w:pPr>
                    <w:keepNext w:val="0"/>
                    <w:keepLines w:val="0"/>
                    <w:pageBreakBefore w:val="0"/>
                    <w:widowControl w:val="0"/>
                    <w:kinsoku/>
                    <w:wordWrap/>
                    <w:overflowPunct/>
                    <w:topLinePunct w:val="0"/>
                    <w:bidi w:val="0"/>
                    <w:spacing w:line="360" w:lineRule="auto"/>
                    <w:ind w:firstLine="0" w:firstLineChars="0"/>
                    <w:jc w:val="both"/>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地下一层设置2个消防水池，1个生活用水蓄水池，1套污水处理设施和值班室。</w:t>
                  </w:r>
                </w:p>
              </w:tc>
              <w:tc>
                <w:tcPr>
                  <w:tcW w:w="1280" w:type="dxa"/>
                  <w:tcBorders>
                    <w:tl2br w:val="nil"/>
                    <w:tr2bl w:val="nil"/>
                  </w:tcBorders>
                  <w:vAlign w:val="center"/>
                </w:tcPr>
                <w:p>
                  <w:pPr>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90" w:hRule="atLeast"/>
                <w:jc w:val="center"/>
              </w:trPr>
              <w:tc>
                <w:tcPr>
                  <w:tcW w:w="464" w:type="dxa"/>
                  <w:vMerge w:val="restart"/>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辅助工程</w:t>
                  </w:r>
                </w:p>
              </w:tc>
              <w:tc>
                <w:tcPr>
                  <w:tcW w:w="966"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食堂</w:t>
                  </w:r>
                </w:p>
              </w:tc>
              <w:tc>
                <w:tcPr>
                  <w:tcW w:w="5685" w:type="dxa"/>
                  <w:gridSpan w:val="2"/>
                  <w:tcBorders>
                    <w:tl2br w:val="nil"/>
                    <w:tr2bl w:val="nil"/>
                  </w:tcBorders>
                  <w:vAlign w:val="center"/>
                </w:tcPr>
                <w:p>
                  <w:pPr>
                    <w:pStyle w:val="146"/>
                    <w:keepNext w:val="0"/>
                    <w:keepLines w:val="0"/>
                    <w:pageBreakBefore w:val="0"/>
                    <w:widowControl w:val="0"/>
                    <w:kinsoku/>
                    <w:wordWrap/>
                    <w:overflowPunct/>
                    <w:topLinePunct w:val="0"/>
                    <w:bidi w:val="0"/>
                    <w:spacing w:line="360" w:lineRule="auto"/>
                    <w:jc w:val="both"/>
                    <w:rPr>
                      <w:rFonts w:hint="eastAsia"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依托</w:t>
                  </w:r>
                  <w:r>
                    <w:rPr>
                      <w:rFonts w:hint="eastAsia" w:cs="Times New Roman"/>
                      <w:color w:val="auto"/>
                      <w:kern w:val="2"/>
                      <w:sz w:val="21"/>
                      <w:szCs w:val="21"/>
                      <w:highlight w:val="none"/>
                      <w:lang w:eastAsia="zh-CN"/>
                    </w:rPr>
                    <w:t>依托原姚安县妇幼保健计划生育服务中心（姚安县妇幼保</w:t>
                  </w:r>
                </w:p>
                <w:p>
                  <w:pPr>
                    <w:pStyle w:val="146"/>
                    <w:keepNext w:val="0"/>
                    <w:keepLines w:val="0"/>
                    <w:pageBreakBefore w:val="0"/>
                    <w:widowControl w:val="0"/>
                    <w:kinsoku/>
                    <w:wordWrap/>
                    <w:overflowPunct/>
                    <w:topLinePunct w:val="0"/>
                    <w:bidi w:val="0"/>
                    <w:spacing w:line="360" w:lineRule="auto"/>
                    <w:jc w:val="both"/>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eastAsia="zh-CN"/>
                    </w:rPr>
                    <w:t>健计划生育服务中心（姚安县妇幼保健院））食堂</w:t>
                  </w:r>
                  <w:r>
                    <w:rPr>
                      <w:rFonts w:hint="default" w:ascii="Times New Roman" w:hAnsi="Times New Roman" w:eastAsia="宋体" w:cs="Times New Roman"/>
                      <w:color w:val="auto"/>
                      <w:kern w:val="2"/>
                      <w:sz w:val="21"/>
                      <w:szCs w:val="21"/>
                      <w:highlight w:val="none"/>
                      <w:lang w:eastAsia="zh-CN"/>
                    </w:rPr>
                    <w:t>，可供</w:t>
                  </w:r>
                  <w:r>
                    <w:rPr>
                      <w:rFonts w:hint="default" w:ascii="Times New Roman" w:hAnsi="Times New Roman" w:eastAsia="宋体" w:cs="Times New Roman"/>
                      <w:color w:val="auto"/>
                      <w:kern w:val="2"/>
                      <w:sz w:val="21"/>
                      <w:szCs w:val="21"/>
                      <w:highlight w:val="none"/>
                      <w:lang w:val="en-US" w:eastAsia="zh-CN"/>
                    </w:rPr>
                    <w:t>300人同时就餐，增加后厨人员和厨具后，可满足本项目医护人员及患者用餐。原姚安县妇幼保健计划生育服务中心（姚安县妇幼保健计划生育服务中心（姚安县妇幼保健院））食堂已完成竣工环境保护验收工作，且已投入使用。</w:t>
                  </w:r>
                </w:p>
              </w:tc>
              <w:tc>
                <w:tcPr>
                  <w:tcW w:w="1280"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lang w:eastAsia="zh-CN"/>
                    </w:rPr>
                    <w:t>依托原姚安县妇幼保健计划生育服务中心（姚安县妇幼保健计划生育服务中心（姚安县妇幼保健院））食堂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284" w:hRule="atLeast"/>
                <w:jc w:val="center"/>
              </w:trPr>
              <w:tc>
                <w:tcPr>
                  <w:tcW w:w="464" w:type="dxa"/>
                  <w:vMerge w:val="continue"/>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p>
              </w:tc>
              <w:tc>
                <w:tcPr>
                  <w:tcW w:w="966"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备用发电机房</w:t>
                  </w:r>
                </w:p>
              </w:tc>
              <w:tc>
                <w:tcPr>
                  <w:tcW w:w="5685" w:type="dxa"/>
                  <w:gridSpan w:val="2"/>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位于</w:t>
                  </w:r>
                  <w:r>
                    <w:rPr>
                      <w:rFonts w:hint="default" w:ascii="Times New Roman" w:hAnsi="Times New Roman" w:eastAsia="宋体" w:cs="Times New Roman"/>
                      <w:color w:val="auto"/>
                      <w:kern w:val="2"/>
                      <w:sz w:val="21"/>
                      <w:szCs w:val="21"/>
                      <w:lang w:val="en-US" w:eastAsia="zh-CN"/>
                    </w:rPr>
                    <w:t>地下一层</w:t>
                  </w:r>
                  <w:r>
                    <w:rPr>
                      <w:rFonts w:hint="default" w:ascii="Times New Roman" w:hAnsi="Times New Roman" w:eastAsia="宋体" w:cs="Times New Roman"/>
                      <w:color w:val="auto"/>
                      <w:kern w:val="2"/>
                      <w:sz w:val="21"/>
                      <w:szCs w:val="21"/>
                    </w:rPr>
                    <w:t>，停电时由备用发电机应急供电。</w:t>
                  </w:r>
                </w:p>
              </w:tc>
              <w:tc>
                <w:tcPr>
                  <w:tcW w:w="1280"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cs="Times New Roman"/>
                      <w:color w:val="auto"/>
                      <w:kern w:val="2"/>
                      <w:sz w:val="21"/>
                      <w:szCs w:val="21"/>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462" w:hRule="atLeast"/>
                <w:jc w:val="center"/>
              </w:trPr>
              <w:tc>
                <w:tcPr>
                  <w:tcW w:w="464" w:type="dxa"/>
                  <w:vMerge w:val="continue"/>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966"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制氧站</w:t>
                  </w:r>
                </w:p>
              </w:tc>
              <w:tc>
                <w:tcPr>
                  <w:tcW w:w="5685" w:type="dxa"/>
                  <w:gridSpan w:val="2"/>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both"/>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位于景观花园西北侧，为医院提供医用氧气。</w:t>
                  </w:r>
                </w:p>
              </w:tc>
              <w:tc>
                <w:tcPr>
                  <w:tcW w:w="1280"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284" w:hRule="atLeast"/>
                <w:jc w:val="center"/>
              </w:trPr>
              <w:tc>
                <w:tcPr>
                  <w:tcW w:w="464" w:type="dxa"/>
                  <w:vMerge w:val="continue"/>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rPr>
                  </w:pPr>
                </w:p>
              </w:tc>
              <w:tc>
                <w:tcPr>
                  <w:tcW w:w="966"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门卫、消控室</w:t>
                  </w:r>
                </w:p>
              </w:tc>
              <w:tc>
                <w:tcPr>
                  <w:tcW w:w="5685" w:type="dxa"/>
                  <w:gridSpan w:val="2"/>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both"/>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位于</w:t>
                  </w:r>
                  <w:r>
                    <w:rPr>
                      <w:rFonts w:hint="eastAsia" w:cs="Times New Roman"/>
                      <w:color w:val="auto"/>
                      <w:kern w:val="2"/>
                      <w:sz w:val="21"/>
                      <w:szCs w:val="21"/>
                      <w:lang w:val="en-US" w:eastAsia="zh-CN"/>
                    </w:rPr>
                    <w:t>项目</w:t>
                  </w:r>
                  <w:r>
                    <w:rPr>
                      <w:rFonts w:hint="default" w:ascii="Times New Roman" w:hAnsi="Times New Roman" w:eastAsia="宋体" w:cs="Times New Roman"/>
                      <w:color w:val="auto"/>
                      <w:kern w:val="2"/>
                      <w:sz w:val="21"/>
                      <w:szCs w:val="21"/>
                      <w:lang w:val="en-US" w:eastAsia="zh-CN"/>
                    </w:rPr>
                    <w:t>主入口左侧，占地面积72㎡。</w:t>
                  </w:r>
                </w:p>
              </w:tc>
              <w:tc>
                <w:tcPr>
                  <w:tcW w:w="1280"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281" w:hRule="atLeast"/>
                <w:jc w:val="center"/>
              </w:trPr>
              <w:tc>
                <w:tcPr>
                  <w:tcW w:w="464" w:type="dxa"/>
                  <w:vMerge w:val="restart"/>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公用工程</w:t>
                  </w:r>
                </w:p>
              </w:tc>
              <w:tc>
                <w:tcPr>
                  <w:tcW w:w="966"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给水</w:t>
                  </w:r>
                </w:p>
              </w:tc>
              <w:tc>
                <w:tcPr>
                  <w:tcW w:w="5685" w:type="dxa"/>
                  <w:gridSpan w:val="2"/>
                  <w:tcBorders>
                    <w:tl2br w:val="nil"/>
                    <w:tr2bl w:val="nil"/>
                  </w:tcBorders>
                  <w:vAlign w:val="center"/>
                </w:tcPr>
                <w:p>
                  <w:pPr>
                    <w:pStyle w:val="146"/>
                    <w:keepNext w:val="0"/>
                    <w:keepLines w:val="0"/>
                    <w:pageBreakBefore w:val="0"/>
                    <w:widowControl w:val="0"/>
                    <w:kinsoku/>
                    <w:wordWrap/>
                    <w:overflowPunct/>
                    <w:topLinePunct w:val="0"/>
                    <w:bidi w:val="0"/>
                    <w:spacing w:line="360" w:lineRule="auto"/>
                    <w:jc w:val="both"/>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rPr>
                    <w:t>姚安县妇婴医院住院综合楼建设项目用水由姚安县供排水公司供给，供水保障率高。</w:t>
                  </w:r>
                </w:p>
              </w:tc>
              <w:tc>
                <w:tcPr>
                  <w:tcW w:w="1280"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cs="Times New Roman"/>
                      <w:color w:val="auto"/>
                      <w:kern w:val="2"/>
                      <w:sz w:val="21"/>
                      <w:szCs w:val="21"/>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630" w:hRule="atLeast"/>
                <w:jc w:val="center"/>
              </w:trPr>
              <w:tc>
                <w:tcPr>
                  <w:tcW w:w="464" w:type="dxa"/>
                  <w:vMerge w:val="continue"/>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p>
              </w:tc>
              <w:tc>
                <w:tcPr>
                  <w:tcW w:w="966"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排水</w:t>
                  </w:r>
                </w:p>
              </w:tc>
              <w:tc>
                <w:tcPr>
                  <w:tcW w:w="5685" w:type="dxa"/>
                  <w:gridSpan w:val="2"/>
                  <w:tcBorders>
                    <w:tl2br w:val="nil"/>
                    <w:tr2bl w:val="nil"/>
                  </w:tcBorders>
                  <w:vAlign w:val="center"/>
                </w:tcPr>
                <w:p>
                  <w:pPr>
                    <w:pStyle w:val="146"/>
                    <w:keepNext w:val="0"/>
                    <w:keepLines w:val="0"/>
                    <w:pageBreakBefore w:val="0"/>
                    <w:widowControl w:val="0"/>
                    <w:kinsoku/>
                    <w:wordWrap/>
                    <w:overflowPunct/>
                    <w:topLinePunct w:val="0"/>
                    <w:bidi w:val="0"/>
                    <w:spacing w:line="360" w:lineRule="auto"/>
                    <w:jc w:val="both"/>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rPr>
                    <w:t>项目实行雨污分流制，屋面及屋外雨水通过院内雨水沟排入院外道路排水沟收集后排入市政雨水管网。</w:t>
                  </w:r>
                  <w:r>
                    <w:rPr>
                      <w:rFonts w:hint="default" w:ascii="Times New Roman" w:hAnsi="Times New Roman" w:eastAsia="宋体" w:cs="Times New Roman"/>
                      <w:color w:val="auto"/>
                      <w:kern w:val="2"/>
                      <w:sz w:val="21"/>
                      <w:szCs w:val="21"/>
                      <w:lang w:val="en-US" w:eastAsia="zh-CN"/>
                    </w:rPr>
                    <w:t>项目建设区有完善的城市防洪、排污设施</w:t>
                  </w:r>
                  <w:r>
                    <w:rPr>
                      <w:rFonts w:hint="eastAsia" w:cs="Times New Roman"/>
                      <w:color w:val="auto"/>
                      <w:kern w:val="2"/>
                      <w:sz w:val="21"/>
                      <w:szCs w:val="21"/>
                      <w:lang w:val="en-US" w:eastAsia="zh-CN"/>
                    </w:rPr>
                    <w:t>。</w:t>
                  </w:r>
                  <w:r>
                    <w:rPr>
                      <w:rFonts w:hint="default" w:ascii="Times New Roman" w:hAnsi="Times New Roman" w:eastAsia="宋体" w:cs="Times New Roman"/>
                      <w:color w:val="auto"/>
                      <w:kern w:val="2"/>
                      <w:sz w:val="21"/>
                      <w:szCs w:val="21"/>
                      <w:lang w:val="en-US" w:eastAsia="zh-CN"/>
                    </w:rPr>
                    <w:t>项目运营期产生的污水</w:t>
                  </w:r>
                  <w:r>
                    <w:rPr>
                      <w:rFonts w:hint="eastAsia" w:cs="Times New Roman"/>
                      <w:color w:val="auto"/>
                      <w:kern w:val="2"/>
                      <w:sz w:val="21"/>
                      <w:szCs w:val="21"/>
                      <w:lang w:val="en-US" w:eastAsia="zh-CN"/>
                    </w:rPr>
                    <w:t>沿污水管网收集后进入化粪池预处理，随后</w:t>
                  </w:r>
                  <w:r>
                    <w:rPr>
                      <w:rFonts w:hint="default" w:ascii="Times New Roman" w:hAnsi="Times New Roman" w:eastAsia="宋体" w:cs="Times New Roman"/>
                      <w:color w:val="auto"/>
                      <w:kern w:val="2"/>
                      <w:sz w:val="21"/>
                      <w:szCs w:val="21"/>
                      <w:lang w:val="en-US" w:eastAsia="zh-CN"/>
                    </w:rPr>
                    <w:t>进入</w:t>
                  </w:r>
                  <w:r>
                    <w:rPr>
                      <w:rFonts w:hint="default" w:ascii="Times New Roman" w:hAnsi="Times New Roman" w:eastAsia="宋体" w:cs="Times New Roman"/>
                      <w:color w:val="auto"/>
                      <w:kern w:val="2"/>
                      <w:sz w:val="21"/>
                      <w:szCs w:val="21"/>
                    </w:rPr>
                    <w:t>项目自建的污水处理站</w:t>
                  </w:r>
                  <w:r>
                    <w:rPr>
                      <w:rFonts w:hint="default" w:ascii="Times New Roman" w:hAnsi="Times New Roman" w:eastAsia="宋体" w:cs="Times New Roman"/>
                      <w:color w:val="auto"/>
                      <w:kern w:val="2"/>
                      <w:sz w:val="21"/>
                      <w:szCs w:val="21"/>
                      <w:lang w:eastAsia="zh-CN"/>
                    </w:rPr>
                    <w:t>，</w:t>
                  </w:r>
                  <w:r>
                    <w:rPr>
                      <w:rFonts w:hint="default" w:ascii="Times New Roman" w:hAnsi="Times New Roman" w:eastAsia="宋体" w:cs="Times New Roman"/>
                      <w:color w:val="auto"/>
                      <w:kern w:val="2"/>
                      <w:sz w:val="21"/>
                      <w:szCs w:val="21"/>
                    </w:rPr>
                    <w:t>处理达《医疗机构水污染物排放标准》GB18466-2005表2中预处理标准和《污水排入城镇下水道水质标准》（GB/T31962-2015）表1（</w:t>
                  </w:r>
                  <w:r>
                    <w:rPr>
                      <w:rFonts w:hint="eastAsia" w:cs="Times New Roman"/>
                      <w:color w:val="auto"/>
                      <w:kern w:val="2"/>
                      <w:sz w:val="21"/>
                      <w:szCs w:val="21"/>
                      <w:lang w:eastAsia="zh-CN"/>
                    </w:rPr>
                    <w:t>B等级</w:t>
                  </w:r>
                  <w:r>
                    <w:rPr>
                      <w:rFonts w:hint="default" w:ascii="Times New Roman" w:hAnsi="Times New Roman" w:eastAsia="宋体" w:cs="Times New Roman"/>
                      <w:color w:val="auto"/>
                      <w:kern w:val="2"/>
                      <w:sz w:val="21"/>
                      <w:szCs w:val="21"/>
                    </w:rPr>
                    <w:t>）标准后（从严执行），排入</w:t>
                  </w:r>
                  <w:r>
                    <w:rPr>
                      <w:rFonts w:hint="default" w:ascii="Times New Roman" w:hAnsi="Times New Roman" w:eastAsia="宋体" w:cs="Times New Roman"/>
                      <w:color w:val="auto"/>
                      <w:kern w:val="2"/>
                      <w:sz w:val="21"/>
                      <w:szCs w:val="21"/>
                      <w:lang w:val="en-US" w:eastAsia="zh-CN"/>
                    </w:rPr>
                    <w:t>姚安县</w:t>
                  </w:r>
                  <w:r>
                    <w:rPr>
                      <w:rFonts w:hint="default" w:ascii="Times New Roman" w:hAnsi="Times New Roman" w:eastAsia="宋体" w:cs="Times New Roman"/>
                      <w:color w:val="auto"/>
                      <w:kern w:val="2"/>
                      <w:sz w:val="21"/>
                      <w:szCs w:val="21"/>
                    </w:rPr>
                    <w:t>污水管网，最终进入</w:t>
                  </w:r>
                  <w:r>
                    <w:rPr>
                      <w:rFonts w:hint="default" w:ascii="Times New Roman" w:hAnsi="Times New Roman" w:eastAsia="宋体" w:cs="Times New Roman"/>
                      <w:color w:val="auto"/>
                      <w:kern w:val="2"/>
                      <w:sz w:val="21"/>
                      <w:szCs w:val="21"/>
                      <w:lang w:val="en-US" w:eastAsia="zh-CN"/>
                    </w:rPr>
                    <w:t>姚安县</w:t>
                  </w:r>
                  <w:r>
                    <w:rPr>
                      <w:rFonts w:hint="default" w:ascii="Times New Roman" w:hAnsi="Times New Roman" w:eastAsia="宋体" w:cs="Times New Roman"/>
                      <w:color w:val="auto"/>
                      <w:kern w:val="2"/>
                      <w:sz w:val="21"/>
                      <w:szCs w:val="21"/>
                    </w:rPr>
                    <w:t>污水处理厂统一处理</w:t>
                  </w:r>
                  <w:r>
                    <w:rPr>
                      <w:rFonts w:hint="default" w:ascii="Times New Roman" w:hAnsi="Times New Roman" w:eastAsia="宋体" w:cs="Times New Roman"/>
                      <w:color w:val="auto"/>
                      <w:kern w:val="2"/>
                      <w:sz w:val="21"/>
                      <w:szCs w:val="21"/>
                      <w:lang w:eastAsia="zh-CN"/>
                    </w:rPr>
                    <w:t>。</w:t>
                  </w:r>
                </w:p>
              </w:tc>
              <w:tc>
                <w:tcPr>
                  <w:tcW w:w="1280"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cs="Times New Roman"/>
                      <w:color w:val="auto"/>
                      <w:kern w:val="2"/>
                      <w:sz w:val="21"/>
                      <w:szCs w:val="21"/>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398" w:hRule="atLeast"/>
                <w:jc w:val="center"/>
              </w:trPr>
              <w:tc>
                <w:tcPr>
                  <w:tcW w:w="464" w:type="dxa"/>
                  <w:vMerge w:val="continue"/>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p>
              </w:tc>
              <w:tc>
                <w:tcPr>
                  <w:tcW w:w="966"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供电</w:t>
                  </w:r>
                </w:p>
              </w:tc>
              <w:tc>
                <w:tcPr>
                  <w:tcW w:w="5685" w:type="dxa"/>
                  <w:gridSpan w:val="2"/>
                  <w:tcBorders>
                    <w:tl2br w:val="nil"/>
                    <w:tr2bl w:val="nil"/>
                  </w:tcBorders>
                  <w:vAlign w:val="center"/>
                </w:tcPr>
                <w:p>
                  <w:pPr>
                    <w:pStyle w:val="146"/>
                    <w:keepNext w:val="0"/>
                    <w:keepLines w:val="0"/>
                    <w:pageBreakBefore w:val="0"/>
                    <w:widowControl w:val="0"/>
                    <w:kinsoku/>
                    <w:wordWrap/>
                    <w:overflowPunct/>
                    <w:topLinePunct w:val="0"/>
                    <w:bidi w:val="0"/>
                    <w:spacing w:line="360" w:lineRule="auto"/>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姚安县妇婴医院住院综合楼建设项目用电由云南电网有限责任公司姚安供电局供给，供电有保证。</w:t>
                  </w:r>
                </w:p>
              </w:tc>
              <w:tc>
                <w:tcPr>
                  <w:tcW w:w="1280"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cs="Times New Roman"/>
                      <w:color w:val="auto"/>
                      <w:kern w:val="2"/>
                      <w:sz w:val="21"/>
                      <w:szCs w:val="21"/>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398" w:hRule="atLeast"/>
                <w:jc w:val="center"/>
              </w:trPr>
              <w:tc>
                <w:tcPr>
                  <w:tcW w:w="464" w:type="dxa"/>
                  <w:vMerge w:val="continue"/>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966"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消防工程</w:t>
                  </w:r>
                </w:p>
              </w:tc>
              <w:tc>
                <w:tcPr>
                  <w:tcW w:w="5685" w:type="dxa"/>
                  <w:gridSpan w:val="2"/>
                  <w:tcBorders>
                    <w:tl2br w:val="nil"/>
                    <w:tr2bl w:val="nil"/>
                  </w:tcBorders>
                  <w:vAlign w:val="center"/>
                </w:tcPr>
                <w:p>
                  <w:pPr>
                    <w:pStyle w:val="146"/>
                    <w:keepNext w:val="0"/>
                    <w:keepLines w:val="0"/>
                    <w:pageBreakBefore w:val="0"/>
                    <w:widowControl w:val="0"/>
                    <w:kinsoku/>
                    <w:wordWrap/>
                    <w:overflowPunct/>
                    <w:topLinePunct w:val="0"/>
                    <w:bidi w:val="0"/>
                    <w:spacing w:line="360" w:lineRule="auto"/>
                    <w:jc w:val="both"/>
                    <w:rPr>
                      <w:rFonts w:hint="eastAsia"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rPr>
                    <w:t>设置室内消火栓系统、自动喷水灭火系统及手提式灭火系统</w:t>
                  </w:r>
                  <w:r>
                    <w:rPr>
                      <w:rFonts w:hint="eastAsia" w:cs="Times New Roman"/>
                      <w:color w:val="auto"/>
                      <w:kern w:val="2"/>
                      <w:sz w:val="21"/>
                      <w:szCs w:val="21"/>
                      <w:lang w:eastAsia="zh-CN"/>
                    </w:rPr>
                    <w:t>。</w:t>
                  </w:r>
                </w:p>
              </w:tc>
              <w:tc>
                <w:tcPr>
                  <w:tcW w:w="1280"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cs="Times New Roman"/>
                      <w:color w:val="auto"/>
                      <w:kern w:val="2"/>
                      <w:sz w:val="21"/>
                      <w:szCs w:val="21"/>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398" w:hRule="atLeast"/>
                <w:jc w:val="center"/>
              </w:trPr>
              <w:tc>
                <w:tcPr>
                  <w:tcW w:w="464" w:type="dxa"/>
                  <w:vMerge w:val="continue"/>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966"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热水系统</w:t>
                  </w:r>
                </w:p>
              </w:tc>
              <w:tc>
                <w:tcPr>
                  <w:tcW w:w="5685" w:type="dxa"/>
                  <w:gridSpan w:val="2"/>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both"/>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热水系统为太阳能系统，电能为辅助。</w:t>
                  </w:r>
                </w:p>
              </w:tc>
              <w:tc>
                <w:tcPr>
                  <w:tcW w:w="1280"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1194" w:hRule="atLeast"/>
                <w:jc w:val="center"/>
              </w:trPr>
              <w:tc>
                <w:tcPr>
                  <w:tcW w:w="464" w:type="dxa"/>
                  <w:vMerge w:val="restart"/>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环保工程</w:t>
                  </w:r>
                </w:p>
              </w:tc>
              <w:tc>
                <w:tcPr>
                  <w:tcW w:w="966" w:type="dxa"/>
                  <w:vMerge w:val="restart"/>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固废</w:t>
                  </w:r>
                </w:p>
              </w:tc>
              <w:tc>
                <w:tcPr>
                  <w:tcW w:w="1173"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both"/>
                    <w:rPr>
                      <w:rFonts w:hint="default" w:ascii="Times New Roman" w:hAnsi="Times New Roman" w:eastAsia="宋体" w:cs="Times New Roman"/>
                      <w:color w:val="auto"/>
                      <w:kern w:val="2"/>
                      <w:sz w:val="21"/>
                      <w:szCs w:val="21"/>
                      <w:lang w:eastAsia="zh-CN"/>
                    </w:rPr>
                  </w:pPr>
                  <w:r>
                    <w:rPr>
                      <w:rFonts w:hint="eastAsia" w:cs="Times New Roman"/>
                      <w:color w:val="auto"/>
                      <w:kern w:val="2"/>
                      <w:sz w:val="21"/>
                      <w:szCs w:val="21"/>
                      <w:lang w:eastAsia="zh-CN"/>
                    </w:rPr>
                    <w:t>医疗废物暂存间</w:t>
                  </w:r>
                </w:p>
              </w:tc>
              <w:tc>
                <w:tcPr>
                  <w:tcW w:w="4512"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both"/>
                    <w:rPr>
                      <w:rFonts w:hint="eastAsia" w:ascii="Times New Roman" w:hAnsi="Times New Roman" w:eastAsia="宋体" w:cs="Times New Roman"/>
                      <w:color w:val="auto"/>
                      <w:kern w:val="2"/>
                      <w:sz w:val="21"/>
                      <w:szCs w:val="21"/>
                      <w:lang w:val="en-US" w:eastAsia="zh-CN"/>
                    </w:rPr>
                  </w:pPr>
                  <w:r>
                    <w:rPr>
                      <w:rFonts w:hint="eastAsia" w:cs="Times New Roman"/>
                      <w:color w:val="auto"/>
                      <w:kern w:val="2"/>
                      <w:sz w:val="21"/>
                      <w:szCs w:val="21"/>
                      <w:highlight w:val="none"/>
                      <w:lang w:eastAsia="zh-CN"/>
                    </w:rPr>
                    <w:t>医疗废物暂存间</w:t>
                  </w:r>
                  <w:r>
                    <w:rPr>
                      <w:rFonts w:hint="default" w:ascii="Times New Roman" w:hAnsi="Times New Roman" w:eastAsia="宋体" w:cs="Times New Roman"/>
                      <w:color w:val="auto"/>
                      <w:kern w:val="2"/>
                      <w:sz w:val="21"/>
                      <w:szCs w:val="21"/>
                      <w:highlight w:val="none"/>
                    </w:rPr>
                    <w:t>位于</w:t>
                  </w:r>
                  <w:r>
                    <w:rPr>
                      <w:rFonts w:hint="default" w:ascii="Times New Roman" w:hAnsi="Times New Roman" w:eastAsia="宋体" w:cs="Times New Roman"/>
                      <w:color w:val="auto"/>
                      <w:kern w:val="2"/>
                      <w:sz w:val="21"/>
                      <w:szCs w:val="21"/>
                      <w:highlight w:val="none"/>
                      <w:lang w:eastAsia="zh-CN"/>
                    </w:rPr>
                    <w:t>医院西</w:t>
                  </w:r>
                  <w:r>
                    <w:rPr>
                      <w:rFonts w:hint="default" w:ascii="Times New Roman" w:hAnsi="Times New Roman" w:eastAsia="宋体" w:cs="Times New Roman"/>
                      <w:color w:val="auto"/>
                      <w:kern w:val="2"/>
                      <w:sz w:val="21"/>
                      <w:szCs w:val="21"/>
                      <w:highlight w:val="none"/>
                      <w:lang w:val="en-US" w:eastAsia="zh-CN"/>
                    </w:rPr>
                    <w:t>南</w:t>
                  </w:r>
                  <w:r>
                    <w:rPr>
                      <w:rFonts w:hint="default" w:ascii="Times New Roman" w:hAnsi="Times New Roman" w:eastAsia="宋体" w:cs="Times New Roman"/>
                      <w:color w:val="auto"/>
                      <w:kern w:val="2"/>
                      <w:sz w:val="21"/>
                      <w:szCs w:val="21"/>
                      <w:highlight w:val="none"/>
                    </w:rPr>
                    <w:t>面</w:t>
                  </w:r>
                  <w:r>
                    <w:rPr>
                      <w:rFonts w:hint="default" w:ascii="Times New Roman" w:hAnsi="Times New Roman" w:eastAsia="宋体" w:cs="Times New Roman"/>
                      <w:color w:val="auto"/>
                      <w:kern w:val="2"/>
                      <w:sz w:val="21"/>
                      <w:szCs w:val="21"/>
                      <w:highlight w:val="none"/>
                      <w:lang w:val="en-US" w:eastAsia="zh-CN"/>
                    </w:rPr>
                    <w:t>门卫室后面</w:t>
                  </w:r>
                  <w:r>
                    <w:rPr>
                      <w:rFonts w:hint="default" w:ascii="Times New Roman" w:hAnsi="Times New Roman" w:eastAsia="宋体" w:cs="Times New Roman"/>
                      <w:color w:val="auto"/>
                      <w:kern w:val="2"/>
                      <w:sz w:val="21"/>
                      <w:szCs w:val="21"/>
                      <w:highlight w:val="none"/>
                    </w:rPr>
                    <w:t>，</w:t>
                  </w:r>
                  <w:r>
                    <w:rPr>
                      <w:rFonts w:hint="default" w:ascii="Times New Roman" w:hAnsi="Times New Roman" w:eastAsia="宋体" w:cs="Times New Roman"/>
                      <w:color w:val="auto"/>
                      <w:kern w:val="2"/>
                      <w:sz w:val="21"/>
                      <w:szCs w:val="21"/>
                      <w:highlight w:val="none"/>
                      <w:lang w:eastAsia="zh-CN"/>
                    </w:rPr>
                    <w:t>高度</w:t>
                  </w:r>
                  <w:r>
                    <w:rPr>
                      <w:rFonts w:hint="default" w:ascii="Times New Roman" w:hAnsi="Times New Roman" w:eastAsia="宋体" w:cs="Times New Roman"/>
                      <w:color w:val="auto"/>
                      <w:kern w:val="2"/>
                      <w:sz w:val="21"/>
                      <w:szCs w:val="21"/>
                      <w:highlight w:val="none"/>
                      <w:lang w:val="en-US" w:eastAsia="zh-CN"/>
                    </w:rPr>
                    <w:t>5.9m，</w:t>
                  </w:r>
                  <w:r>
                    <w:rPr>
                      <w:rFonts w:hint="default" w:ascii="Times New Roman" w:hAnsi="Times New Roman" w:eastAsia="宋体" w:cs="Times New Roman"/>
                      <w:color w:val="auto"/>
                      <w:kern w:val="2"/>
                      <w:sz w:val="21"/>
                      <w:szCs w:val="21"/>
                      <w:highlight w:val="none"/>
                    </w:rPr>
                    <w:t>占地面积约</w:t>
                  </w:r>
                  <w:r>
                    <w:rPr>
                      <w:rFonts w:hint="default" w:ascii="Times New Roman" w:hAnsi="Times New Roman" w:eastAsia="宋体" w:cs="Times New Roman"/>
                      <w:color w:val="auto"/>
                      <w:kern w:val="2"/>
                      <w:sz w:val="21"/>
                      <w:szCs w:val="21"/>
                      <w:highlight w:val="none"/>
                      <w:lang w:val="en-US" w:eastAsia="zh-CN"/>
                    </w:rPr>
                    <w:t>75.6</w:t>
                  </w:r>
                  <w:r>
                    <w:rPr>
                      <w:rFonts w:hint="default" w:ascii="Times New Roman" w:hAnsi="Times New Roman" w:eastAsia="宋体" w:cs="Times New Roman"/>
                      <w:color w:val="auto"/>
                      <w:kern w:val="2"/>
                      <w:sz w:val="21"/>
                      <w:szCs w:val="21"/>
                      <w:highlight w:val="none"/>
                    </w:rPr>
                    <w:t>m</w:t>
                  </w:r>
                  <w:r>
                    <w:rPr>
                      <w:rFonts w:hint="default" w:ascii="Times New Roman" w:hAnsi="Times New Roman" w:eastAsia="宋体" w:cs="Times New Roman"/>
                      <w:color w:val="auto"/>
                      <w:kern w:val="2"/>
                      <w:sz w:val="21"/>
                      <w:szCs w:val="21"/>
                      <w:highlight w:val="none"/>
                      <w:vertAlign w:val="superscript"/>
                    </w:rPr>
                    <w:t>2</w:t>
                  </w:r>
                  <w:r>
                    <w:rPr>
                      <w:rFonts w:hint="default" w:ascii="Times New Roman" w:hAnsi="Times New Roman" w:eastAsia="宋体" w:cs="Times New Roman"/>
                      <w:color w:val="auto"/>
                      <w:kern w:val="2"/>
                      <w:sz w:val="21"/>
                      <w:szCs w:val="21"/>
                      <w:highlight w:val="none"/>
                    </w:rPr>
                    <w:t>，用于暂存医疗</w:t>
                  </w:r>
                  <w:r>
                    <w:rPr>
                      <w:rFonts w:hint="eastAsia" w:cs="Times New Roman"/>
                      <w:color w:val="auto"/>
                      <w:kern w:val="2"/>
                      <w:sz w:val="21"/>
                      <w:szCs w:val="21"/>
                      <w:highlight w:val="none"/>
                      <w:lang w:eastAsia="zh-CN"/>
                    </w:rPr>
                    <w:t>废物。</w:t>
                  </w:r>
                </w:p>
              </w:tc>
              <w:tc>
                <w:tcPr>
                  <w:tcW w:w="1280"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cs="Times New Roman"/>
                      <w:color w:val="auto"/>
                      <w:kern w:val="2"/>
                      <w:sz w:val="21"/>
                      <w:szCs w:val="21"/>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552" w:hRule="atLeast"/>
                <w:jc w:val="center"/>
              </w:trPr>
              <w:tc>
                <w:tcPr>
                  <w:tcW w:w="464" w:type="dxa"/>
                  <w:vMerge w:val="continue"/>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p>
              </w:tc>
              <w:tc>
                <w:tcPr>
                  <w:tcW w:w="966" w:type="dxa"/>
                  <w:vMerge w:val="continue"/>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p>
              </w:tc>
              <w:tc>
                <w:tcPr>
                  <w:tcW w:w="1173"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医疗固废收集桶</w:t>
                  </w:r>
                </w:p>
              </w:tc>
              <w:tc>
                <w:tcPr>
                  <w:tcW w:w="4512"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医疗废物收集桶、利器盒若干个</w:t>
                  </w:r>
                </w:p>
              </w:tc>
              <w:tc>
                <w:tcPr>
                  <w:tcW w:w="1280"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cs="Times New Roman"/>
                      <w:color w:val="auto"/>
                      <w:kern w:val="2"/>
                      <w:sz w:val="21"/>
                      <w:szCs w:val="21"/>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661" w:hRule="atLeast"/>
                <w:jc w:val="center"/>
              </w:trPr>
              <w:tc>
                <w:tcPr>
                  <w:tcW w:w="464" w:type="dxa"/>
                  <w:vMerge w:val="continue"/>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p>
              </w:tc>
              <w:tc>
                <w:tcPr>
                  <w:tcW w:w="966" w:type="dxa"/>
                  <w:vMerge w:val="continue"/>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p>
              </w:tc>
              <w:tc>
                <w:tcPr>
                  <w:tcW w:w="1173"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生活垃圾</w:t>
                  </w:r>
                </w:p>
              </w:tc>
              <w:tc>
                <w:tcPr>
                  <w:tcW w:w="4512"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both"/>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大</w:t>
                  </w:r>
                  <w:bookmarkStart w:id="50" w:name="OLE_LINK67"/>
                  <w:bookmarkStart w:id="51" w:name="OLE_LINK29"/>
                  <w:bookmarkStart w:id="52" w:name="OLE_LINK53"/>
                  <w:bookmarkStart w:id="53" w:name="OLE_LINK68"/>
                  <w:bookmarkStart w:id="54" w:name="OLE_LINK49"/>
                  <w:bookmarkStart w:id="55" w:name="OLE_LINK34"/>
                  <w:bookmarkStart w:id="56" w:name="OLE_LINK64"/>
                  <w:bookmarkStart w:id="57" w:name="OLE_LINK48"/>
                  <w:bookmarkStart w:id="58" w:name="OLE_LINK71"/>
                  <w:bookmarkStart w:id="59" w:name="OLE_LINK51"/>
                  <w:bookmarkStart w:id="60" w:name="OLE_LINK52"/>
                  <w:bookmarkStart w:id="61" w:name="OLE_LINK31"/>
                  <w:bookmarkStart w:id="62" w:name="OLE_LINK56"/>
                  <w:bookmarkStart w:id="63" w:name="OLE_LINK62"/>
                  <w:bookmarkStart w:id="64" w:name="OLE_LINK32"/>
                  <w:bookmarkStart w:id="65" w:name="OLE_LINK74"/>
                  <w:bookmarkStart w:id="66" w:name="OLE_LINK65"/>
                  <w:bookmarkStart w:id="67" w:name="OLE_LINK70"/>
                  <w:bookmarkStart w:id="68" w:name="OLE_LINK35"/>
                  <w:bookmarkStart w:id="69" w:name="OLE_LINK58"/>
                  <w:bookmarkStart w:id="70" w:name="OLE_LINK60"/>
                  <w:bookmarkStart w:id="71" w:name="OLE_LINK46"/>
                  <w:bookmarkStart w:id="72" w:name="OLE_LINK63"/>
                  <w:bookmarkStart w:id="73" w:name="OLE_LINK55"/>
                  <w:bookmarkStart w:id="74" w:name="OLE_LINK33"/>
                  <w:bookmarkStart w:id="75" w:name="OLE_LINK42"/>
                  <w:bookmarkStart w:id="76" w:name="OLE_LINK47"/>
                  <w:bookmarkStart w:id="77" w:name="OLE_LINK54"/>
                  <w:bookmarkStart w:id="78" w:name="OLE_LINK43"/>
                  <w:bookmarkStart w:id="79" w:name="OLE_LINK45"/>
                  <w:bookmarkStart w:id="80" w:name="OLE_LINK57"/>
                  <w:bookmarkStart w:id="81" w:name="OLE_LINK72"/>
                  <w:bookmarkStart w:id="82" w:name="OLE_LINK66"/>
                  <w:bookmarkStart w:id="83" w:name="OLE_LINK40"/>
                  <w:bookmarkStart w:id="84" w:name="OLE_LINK50"/>
                  <w:bookmarkStart w:id="85" w:name="OLE_LINK69"/>
                  <w:bookmarkStart w:id="86" w:name="OLE_LINK41"/>
                  <w:bookmarkStart w:id="87" w:name="OLE_LINK59"/>
                  <w:bookmarkStart w:id="88" w:name="OLE_LINK37"/>
                  <w:bookmarkStart w:id="89" w:name="OLE_LINK38"/>
                  <w:bookmarkStart w:id="90" w:name="OLE_LINK27"/>
                  <w:bookmarkStart w:id="91" w:name="OLE_LINK39"/>
                  <w:bookmarkStart w:id="92" w:name="OLE_LINK73"/>
                  <w:bookmarkStart w:id="93" w:name="OLE_LINK44"/>
                  <w:bookmarkStart w:id="94" w:name="OLE_LINK28"/>
                  <w:bookmarkStart w:id="95" w:name="OLE_LINK61"/>
                  <w:bookmarkStart w:id="96" w:name="OLE_LINK36"/>
                  <w:bookmarkStart w:id="97" w:name="OLE_LINK30"/>
                  <w:r>
                    <w:rPr>
                      <w:rFonts w:hint="default" w:ascii="Times New Roman" w:hAnsi="Times New Roman" w:eastAsia="宋体" w:cs="Times New Roman"/>
                      <w:color w:val="auto"/>
                      <w:kern w:val="2"/>
                      <w:sz w:val="21"/>
                      <w:szCs w:val="21"/>
                    </w:rPr>
                    <w:t>型移动式加盖垃圾收集桶、室内垃圾收集桶</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Pr>
                      <w:rFonts w:hint="default" w:ascii="Times New Roman" w:hAnsi="Times New Roman" w:eastAsia="宋体" w:cs="Times New Roman"/>
                      <w:color w:val="auto"/>
                      <w:kern w:val="2"/>
                      <w:sz w:val="21"/>
                      <w:szCs w:val="21"/>
                    </w:rPr>
                    <w:t>若干个</w:t>
                  </w:r>
                  <w:r>
                    <w:rPr>
                      <w:rFonts w:hint="default" w:ascii="Times New Roman" w:hAnsi="Times New Roman" w:eastAsia="宋体" w:cs="Times New Roman"/>
                      <w:color w:val="auto"/>
                      <w:kern w:val="2"/>
                      <w:sz w:val="21"/>
                      <w:szCs w:val="21"/>
                      <w:lang w:eastAsia="zh-CN"/>
                    </w:rPr>
                    <w:t>。生活垃圾房位于</w:t>
                  </w:r>
                  <w:r>
                    <w:rPr>
                      <w:rFonts w:hint="eastAsia" w:cs="Times New Roman"/>
                      <w:color w:val="auto"/>
                      <w:kern w:val="2"/>
                      <w:sz w:val="21"/>
                      <w:szCs w:val="21"/>
                      <w:lang w:eastAsia="zh-CN"/>
                    </w:rPr>
                    <w:t>医疗废物暂存间</w:t>
                  </w:r>
                  <w:r>
                    <w:rPr>
                      <w:rFonts w:hint="default" w:ascii="Times New Roman" w:hAnsi="Times New Roman" w:eastAsia="宋体" w:cs="Times New Roman"/>
                      <w:color w:val="auto"/>
                      <w:kern w:val="2"/>
                      <w:sz w:val="21"/>
                      <w:szCs w:val="21"/>
                      <w:lang w:eastAsia="zh-CN"/>
                    </w:rPr>
                    <w:t>旁边，占地面积</w:t>
                  </w:r>
                  <w:r>
                    <w:rPr>
                      <w:rFonts w:hint="default" w:ascii="Times New Roman" w:hAnsi="Times New Roman" w:eastAsia="宋体" w:cs="Times New Roman"/>
                      <w:color w:val="auto"/>
                      <w:kern w:val="2"/>
                      <w:sz w:val="21"/>
                      <w:szCs w:val="21"/>
                      <w:lang w:val="en-US" w:eastAsia="zh-CN"/>
                    </w:rPr>
                    <w:t>25.6</w:t>
                  </w:r>
                  <w:r>
                    <w:rPr>
                      <w:rFonts w:hint="default" w:ascii="Times New Roman" w:hAnsi="Times New Roman" w:eastAsia="宋体" w:cs="Times New Roman"/>
                      <w:color w:val="auto"/>
                      <w:kern w:val="2"/>
                      <w:sz w:val="21"/>
                      <w:szCs w:val="21"/>
                      <w:highlight w:val="none"/>
                    </w:rPr>
                    <w:t>m</w:t>
                  </w:r>
                  <w:r>
                    <w:rPr>
                      <w:rFonts w:hint="default" w:ascii="Times New Roman" w:hAnsi="Times New Roman" w:eastAsia="宋体" w:cs="Times New Roman"/>
                      <w:color w:val="auto"/>
                      <w:kern w:val="2"/>
                      <w:sz w:val="21"/>
                      <w:szCs w:val="21"/>
                      <w:highlight w:val="none"/>
                      <w:vertAlign w:val="superscript"/>
                    </w:rPr>
                    <w:t>2</w:t>
                  </w:r>
                  <w:r>
                    <w:rPr>
                      <w:rFonts w:hint="default" w:ascii="Times New Roman" w:hAnsi="Times New Roman" w:eastAsia="宋体" w:cs="Times New Roman"/>
                      <w:color w:val="auto"/>
                      <w:kern w:val="2"/>
                      <w:sz w:val="21"/>
                      <w:szCs w:val="21"/>
                      <w:highlight w:val="none"/>
                      <w:vertAlign w:val="baseline"/>
                      <w:lang w:eastAsia="zh-CN"/>
                    </w:rPr>
                    <w:t>。</w:t>
                  </w:r>
                </w:p>
              </w:tc>
              <w:tc>
                <w:tcPr>
                  <w:tcW w:w="1280"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cs="Times New Roman"/>
                      <w:color w:val="auto"/>
                      <w:kern w:val="2"/>
                      <w:sz w:val="21"/>
                      <w:szCs w:val="21"/>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398" w:hRule="atLeast"/>
                <w:jc w:val="center"/>
              </w:trPr>
              <w:tc>
                <w:tcPr>
                  <w:tcW w:w="464" w:type="dxa"/>
                  <w:vMerge w:val="continue"/>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p>
              </w:tc>
              <w:tc>
                <w:tcPr>
                  <w:tcW w:w="966" w:type="dxa"/>
                  <w:vMerge w:val="restart"/>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废水</w:t>
                  </w:r>
                </w:p>
              </w:tc>
              <w:tc>
                <w:tcPr>
                  <w:tcW w:w="1173"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污水处理站</w:t>
                  </w:r>
                </w:p>
              </w:tc>
              <w:tc>
                <w:tcPr>
                  <w:tcW w:w="4512"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both"/>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rPr>
                    <w:t>污水处理池</w:t>
                  </w:r>
                  <w:r>
                    <w:rPr>
                      <w:rFonts w:hint="default" w:ascii="Times New Roman" w:hAnsi="Times New Roman" w:eastAsia="宋体" w:cs="Times New Roman"/>
                      <w:color w:val="auto"/>
                      <w:kern w:val="2"/>
                      <w:sz w:val="21"/>
                      <w:szCs w:val="21"/>
                      <w:lang w:val="en-US" w:eastAsia="zh-CN"/>
                    </w:rPr>
                    <w:t>1个，占地面积</w:t>
                  </w:r>
                  <w:r>
                    <w:rPr>
                      <w:rFonts w:hint="default" w:ascii="Times New Roman" w:hAnsi="Times New Roman" w:eastAsia="宋体" w:cs="Times New Roman"/>
                      <w:color w:val="auto"/>
                      <w:kern w:val="2"/>
                      <w:sz w:val="21"/>
                      <w:szCs w:val="21"/>
                    </w:rPr>
                    <w:t>150平方米，配套污水处理设施一项，</w:t>
                  </w:r>
                  <w:r>
                    <w:rPr>
                      <w:rFonts w:hint="default" w:ascii="Times New Roman" w:hAnsi="Times New Roman" w:eastAsia="宋体" w:cs="Times New Roman"/>
                      <w:color w:val="auto"/>
                      <w:kern w:val="2"/>
                      <w:sz w:val="21"/>
                      <w:szCs w:val="21"/>
                      <w:highlight w:val="none"/>
                    </w:rPr>
                    <w:t>处理能力</w:t>
                  </w:r>
                  <w:r>
                    <w:rPr>
                      <w:rFonts w:hint="default" w:ascii="Times New Roman" w:hAnsi="Times New Roman" w:cs="Times New Roman"/>
                      <w:color w:val="auto"/>
                      <w:kern w:val="2"/>
                      <w:sz w:val="21"/>
                      <w:szCs w:val="21"/>
                      <w:highlight w:val="none"/>
                      <w:lang w:val="en-US" w:eastAsia="zh-CN"/>
                    </w:rPr>
                    <w:t>60</w:t>
                  </w:r>
                  <w:r>
                    <w:rPr>
                      <w:rFonts w:hint="default" w:ascii="Times New Roman" w:hAnsi="Times New Roman" w:eastAsia="宋体" w:cs="Times New Roman"/>
                      <w:color w:val="auto"/>
                      <w:kern w:val="2"/>
                      <w:sz w:val="21"/>
                      <w:szCs w:val="21"/>
                      <w:highlight w:val="none"/>
                    </w:rPr>
                    <w:t>m</w:t>
                  </w:r>
                  <w:r>
                    <w:rPr>
                      <w:rFonts w:hint="default" w:ascii="Times New Roman" w:hAnsi="Times New Roman" w:eastAsia="宋体" w:cs="Times New Roman"/>
                      <w:color w:val="auto"/>
                      <w:kern w:val="2"/>
                      <w:sz w:val="21"/>
                      <w:szCs w:val="21"/>
                      <w:highlight w:val="none"/>
                      <w:vertAlign w:val="superscript"/>
                    </w:rPr>
                    <w:t>3</w:t>
                  </w:r>
                  <w:r>
                    <w:rPr>
                      <w:rFonts w:hint="default" w:ascii="Times New Roman" w:hAnsi="Times New Roman" w:eastAsia="宋体" w:cs="Times New Roman"/>
                      <w:color w:val="auto"/>
                      <w:kern w:val="2"/>
                      <w:sz w:val="21"/>
                      <w:szCs w:val="21"/>
                      <w:highlight w:val="none"/>
                    </w:rPr>
                    <w:t>/d</w:t>
                  </w:r>
                  <w:r>
                    <w:rPr>
                      <w:rFonts w:hint="default" w:ascii="Times New Roman" w:hAnsi="Times New Roman" w:cs="Times New Roman"/>
                      <w:color w:val="auto"/>
                      <w:kern w:val="2"/>
                      <w:sz w:val="21"/>
                      <w:szCs w:val="21"/>
                      <w:highlight w:val="none"/>
                      <w:lang w:eastAsia="zh-CN"/>
                    </w:rPr>
                    <w:t>。</w:t>
                  </w:r>
                </w:p>
              </w:tc>
              <w:tc>
                <w:tcPr>
                  <w:tcW w:w="1280"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cs="Times New Roman"/>
                      <w:color w:val="auto"/>
                      <w:kern w:val="2"/>
                      <w:sz w:val="21"/>
                      <w:szCs w:val="21"/>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398" w:hRule="atLeast"/>
                <w:jc w:val="center"/>
              </w:trPr>
              <w:tc>
                <w:tcPr>
                  <w:tcW w:w="464" w:type="dxa"/>
                  <w:vMerge w:val="continue"/>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color w:val="auto"/>
                    </w:rPr>
                  </w:pPr>
                </w:p>
              </w:tc>
              <w:tc>
                <w:tcPr>
                  <w:tcW w:w="966" w:type="dxa"/>
                  <w:vMerge w:val="continue"/>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color w:val="auto"/>
                    </w:rPr>
                  </w:pPr>
                </w:p>
              </w:tc>
              <w:tc>
                <w:tcPr>
                  <w:tcW w:w="1173"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eastAsia" w:ascii="Times New Roman" w:hAnsi="Times New Roman" w:eastAsia="宋体" w:cs="Times New Roman"/>
                      <w:color w:val="auto"/>
                      <w:kern w:val="2"/>
                      <w:sz w:val="21"/>
                      <w:szCs w:val="21"/>
                      <w:lang w:eastAsia="zh-CN"/>
                    </w:rPr>
                  </w:pPr>
                  <w:r>
                    <w:rPr>
                      <w:rFonts w:hint="eastAsia" w:cs="Times New Roman"/>
                      <w:color w:val="auto"/>
                      <w:kern w:val="2"/>
                      <w:sz w:val="21"/>
                      <w:szCs w:val="21"/>
                      <w:lang w:eastAsia="zh-CN"/>
                    </w:rPr>
                    <w:t>化粪池</w:t>
                  </w:r>
                </w:p>
              </w:tc>
              <w:tc>
                <w:tcPr>
                  <w:tcW w:w="4512"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eastAsia" w:ascii="Times New Roman" w:hAnsi="Times New Roman" w:eastAsia="宋体" w:cs="Times New Roman"/>
                      <w:color w:val="auto"/>
                      <w:kern w:val="2"/>
                      <w:sz w:val="21"/>
                      <w:szCs w:val="21"/>
                      <w:lang w:eastAsia="zh-CN"/>
                    </w:rPr>
                  </w:pPr>
                  <w:r>
                    <w:rPr>
                      <w:rFonts w:hint="eastAsia" w:cs="Times New Roman"/>
                      <w:color w:val="auto"/>
                      <w:kern w:val="2"/>
                      <w:sz w:val="21"/>
                      <w:szCs w:val="21"/>
                      <w:highlight w:val="none"/>
                      <w:lang w:eastAsia="zh-CN"/>
                    </w:rPr>
                    <w:t>建设一个容积为</w:t>
                  </w:r>
                  <w:r>
                    <w:rPr>
                      <w:rFonts w:hint="default" w:ascii="Times New Roman" w:hAnsi="Times New Roman" w:eastAsia="宋体" w:cs="Times New Roman"/>
                      <w:color w:val="auto"/>
                      <w:kern w:val="2"/>
                      <w:sz w:val="21"/>
                      <w:szCs w:val="21"/>
                      <w:highlight w:val="none"/>
                    </w:rPr>
                    <w:t>m</w:t>
                  </w:r>
                  <w:r>
                    <w:rPr>
                      <w:rFonts w:hint="default" w:ascii="Times New Roman" w:hAnsi="Times New Roman" w:eastAsia="宋体" w:cs="Times New Roman"/>
                      <w:color w:val="auto"/>
                      <w:kern w:val="2"/>
                      <w:sz w:val="21"/>
                      <w:szCs w:val="21"/>
                      <w:highlight w:val="none"/>
                      <w:vertAlign w:val="superscript"/>
                    </w:rPr>
                    <w:t>3</w:t>
                  </w:r>
                  <w:r>
                    <w:rPr>
                      <w:rFonts w:hint="eastAsia" w:eastAsia="宋体" w:cs="Times New Roman"/>
                      <w:color w:val="auto"/>
                      <w:kern w:val="2"/>
                      <w:sz w:val="21"/>
                      <w:szCs w:val="21"/>
                      <w:highlight w:val="none"/>
                      <w:vertAlign w:val="baseline"/>
                      <w:lang w:eastAsia="zh-CN"/>
                    </w:rPr>
                    <w:t>的化粪池。</w:t>
                  </w:r>
                </w:p>
              </w:tc>
              <w:tc>
                <w:tcPr>
                  <w:tcW w:w="1280"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408" w:hRule="atLeast"/>
                <w:jc w:val="center"/>
              </w:trPr>
              <w:tc>
                <w:tcPr>
                  <w:tcW w:w="464" w:type="dxa"/>
                  <w:vMerge w:val="continue"/>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p>
              </w:tc>
              <w:tc>
                <w:tcPr>
                  <w:tcW w:w="966"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噪声</w:t>
                  </w:r>
                </w:p>
              </w:tc>
              <w:tc>
                <w:tcPr>
                  <w:tcW w:w="1173"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隔声减震</w:t>
                  </w:r>
                </w:p>
              </w:tc>
              <w:tc>
                <w:tcPr>
                  <w:tcW w:w="4512"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both"/>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污水处理站</w:t>
                  </w:r>
                  <w:r>
                    <w:rPr>
                      <w:rFonts w:hint="default" w:ascii="Times New Roman" w:hAnsi="Times New Roman" w:eastAsia="宋体" w:cs="Times New Roman"/>
                      <w:color w:val="auto"/>
                      <w:kern w:val="2"/>
                      <w:sz w:val="21"/>
                      <w:szCs w:val="21"/>
                      <w:lang w:val="en-US" w:eastAsia="zh-CN"/>
                    </w:rPr>
                    <w:t>污水处理站位于地下一层、</w:t>
                  </w:r>
                  <w:r>
                    <w:rPr>
                      <w:rFonts w:hint="default" w:ascii="Times New Roman" w:hAnsi="Times New Roman" w:eastAsia="宋体" w:cs="Times New Roman"/>
                      <w:color w:val="auto"/>
                      <w:kern w:val="2"/>
                      <w:sz w:val="21"/>
                      <w:szCs w:val="21"/>
                    </w:rPr>
                    <w:t>风机基础减震，风机置于风机柜内</w:t>
                  </w:r>
                  <w:r>
                    <w:rPr>
                      <w:rFonts w:hint="default" w:ascii="Times New Roman" w:hAnsi="Times New Roman" w:eastAsia="宋体" w:cs="Times New Roman"/>
                      <w:color w:val="auto"/>
                      <w:kern w:val="2"/>
                      <w:sz w:val="21"/>
                      <w:szCs w:val="21"/>
                      <w:lang w:eastAsia="zh-CN"/>
                    </w:rPr>
                    <w:t>；柴油发电机设置于专用发电机房内</w:t>
                  </w:r>
                  <w:r>
                    <w:rPr>
                      <w:rFonts w:hint="eastAsia" w:cs="Times New Roman"/>
                      <w:color w:val="auto"/>
                      <w:kern w:val="2"/>
                      <w:sz w:val="21"/>
                      <w:szCs w:val="21"/>
                      <w:lang w:eastAsia="zh-CN"/>
                    </w:rPr>
                    <w:t>，</w:t>
                  </w:r>
                  <w:r>
                    <w:rPr>
                      <w:rFonts w:hint="default" w:ascii="Times New Roman" w:hAnsi="Times New Roman" w:eastAsia="宋体" w:cs="Times New Roman"/>
                      <w:color w:val="auto"/>
                      <w:kern w:val="2"/>
                      <w:sz w:val="21"/>
                      <w:szCs w:val="21"/>
                      <w:lang w:val="en-US" w:eastAsia="zh-CN"/>
                    </w:rPr>
                    <w:t>柴油机房墙面作吸声处理，以减少噪声对周围环境的影响。冷冻机房配电值班室，墙面作吸声处理，减少噪声对值班人员的影响。</w:t>
                  </w:r>
                </w:p>
              </w:tc>
              <w:tc>
                <w:tcPr>
                  <w:tcW w:w="1280"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cs="Times New Roman"/>
                      <w:color w:val="auto"/>
                      <w:kern w:val="2"/>
                      <w:sz w:val="21"/>
                      <w:szCs w:val="21"/>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612" w:hRule="atLeast"/>
                <w:jc w:val="center"/>
              </w:trPr>
              <w:tc>
                <w:tcPr>
                  <w:tcW w:w="464" w:type="dxa"/>
                  <w:vMerge w:val="continue"/>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966"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废气</w:t>
                  </w:r>
                </w:p>
              </w:tc>
              <w:tc>
                <w:tcPr>
                  <w:tcW w:w="5685" w:type="dxa"/>
                  <w:gridSpan w:val="2"/>
                  <w:tcBorders>
                    <w:tl2br w:val="nil"/>
                    <w:tr2bl w:val="nil"/>
                  </w:tcBorders>
                  <w:vAlign w:val="center"/>
                </w:tcPr>
                <w:p>
                  <w:pPr>
                    <w:pStyle w:val="146"/>
                    <w:keepNext w:val="0"/>
                    <w:keepLines w:val="0"/>
                    <w:pageBreakBefore w:val="0"/>
                    <w:widowControl w:val="0"/>
                    <w:kinsoku/>
                    <w:wordWrap/>
                    <w:overflowPunct/>
                    <w:topLinePunct w:val="0"/>
                    <w:bidi w:val="0"/>
                    <w:spacing w:line="360" w:lineRule="auto"/>
                    <w:jc w:val="both"/>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污水处理站四周产生的臭味等，采取污水处理站位于地下一</w:t>
                  </w:r>
                  <w:r>
                    <w:rPr>
                      <w:rFonts w:hint="eastAsia" w:cs="Times New Roman"/>
                      <w:color w:val="auto"/>
                      <w:kern w:val="2"/>
                      <w:sz w:val="21"/>
                      <w:szCs w:val="21"/>
                      <w:lang w:eastAsia="zh-CN"/>
                    </w:rPr>
                    <w:t>层</w:t>
                  </w:r>
                  <w:r>
                    <w:rPr>
                      <w:rFonts w:hint="default" w:ascii="Times New Roman" w:hAnsi="Times New Roman" w:eastAsia="宋体" w:cs="Times New Roman"/>
                      <w:color w:val="auto"/>
                      <w:kern w:val="2"/>
                      <w:sz w:val="21"/>
                      <w:szCs w:val="21"/>
                      <w:lang w:eastAsia="zh-CN"/>
                    </w:rPr>
                    <w:t>，将水处理池加盖板密闭起来，并采用消毒剂对空气进行消毒除臭。</w:t>
                  </w:r>
                </w:p>
              </w:tc>
              <w:tc>
                <w:tcPr>
                  <w:tcW w:w="1280"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新建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612" w:hRule="atLeast"/>
                <w:jc w:val="center"/>
              </w:trPr>
              <w:tc>
                <w:tcPr>
                  <w:tcW w:w="464" w:type="dxa"/>
                  <w:vMerge w:val="continue"/>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966"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绿化</w:t>
                  </w:r>
                </w:p>
              </w:tc>
              <w:tc>
                <w:tcPr>
                  <w:tcW w:w="5685" w:type="dxa"/>
                  <w:gridSpan w:val="2"/>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both"/>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eastAsia="zh-CN"/>
                    </w:rPr>
                    <w:t>景观绿化面积</w:t>
                  </w:r>
                  <w:r>
                    <w:rPr>
                      <w:rFonts w:hint="default" w:ascii="Times New Roman" w:hAnsi="Times New Roman" w:eastAsia="宋体" w:cs="Times New Roman"/>
                      <w:color w:val="auto"/>
                      <w:kern w:val="2"/>
                      <w:sz w:val="21"/>
                      <w:szCs w:val="21"/>
                      <w:lang w:val="en-US" w:eastAsia="zh-CN"/>
                    </w:rPr>
                    <w:t>4000㎡。</w:t>
                  </w:r>
                </w:p>
              </w:tc>
              <w:tc>
                <w:tcPr>
                  <w:tcW w:w="1280"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新建</w:t>
                  </w:r>
                </w:p>
              </w:tc>
            </w:tr>
          </w:tbl>
          <w:p>
            <w:pPr>
              <w:pStyle w:val="5"/>
              <w:keepNext/>
              <w:keepLines/>
              <w:pageBreakBefore w:val="0"/>
              <w:widowControl w:val="0"/>
              <w:kinsoku/>
              <w:wordWrap/>
              <w:overflowPunct/>
              <w:topLinePunct w:val="0"/>
              <w:autoSpaceDE/>
              <w:autoSpaceDN/>
              <w:bidi w:val="0"/>
              <w:adjustRightInd w:val="0"/>
              <w:snapToGrid w:val="0"/>
              <w:spacing w:before="164" w:beforeLines="50"/>
              <w:ind w:firstLine="482"/>
              <w:jc w:val="both"/>
              <w:textAlignment w:val="auto"/>
              <w:rPr>
                <w:rFonts w:hint="default" w:ascii="Times New Roman" w:hAnsi="Times New Roman" w:cs="Times New Roman"/>
                <w:color w:val="auto"/>
                <w:kern w:val="2"/>
              </w:rPr>
            </w:pPr>
            <w:r>
              <w:rPr>
                <w:rFonts w:hint="default" w:ascii="Times New Roman" w:hAnsi="Times New Roman" w:cs="Times New Roman"/>
                <w:color w:val="auto"/>
                <w:kern w:val="2"/>
                <w:lang w:val="en-US" w:eastAsia="zh-CN"/>
              </w:rPr>
              <w:t>3</w:t>
            </w:r>
            <w:r>
              <w:rPr>
                <w:rFonts w:hint="default" w:ascii="Times New Roman" w:hAnsi="Times New Roman" w:cs="Times New Roman"/>
                <w:color w:val="auto"/>
                <w:kern w:val="2"/>
              </w:rPr>
              <w:t>、主要生产设备</w:t>
            </w:r>
          </w:p>
          <w:p>
            <w:pPr>
              <w:keepNext w:val="0"/>
              <w:keepLines w:val="0"/>
              <w:pageBreakBefore w:val="0"/>
              <w:widowControl w:val="0"/>
              <w:kinsoku/>
              <w:wordWrap/>
              <w:overflowPunct/>
              <w:topLinePunct w:val="0"/>
              <w:autoSpaceDE/>
              <w:autoSpaceDN/>
              <w:bidi w:val="0"/>
              <w:adjustRightInd/>
              <w:snapToGrid/>
              <w:ind w:firstLine="480"/>
              <w:jc w:val="both"/>
              <w:textAlignment w:val="auto"/>
              <w:rPr>
                <w:rFonts w:hint="default" w:ascii="Times New Roman" w:hAnsi="Times New Roman" w:cs="Times New Roman"/>
                <w:color w:val="auto"/>
                <w:kern w:val="2"/>
              </w:rPr>
            </w:pPr>
            <w:r>
              <w:rPr>
                <w:rFonts w:hint="default" w:ascii="Times New Roman" w:hAnsi="Times New Roman" w:cs="Times New Roman"/>
                <w:color w:val="auto"/>
                <w:kern w:val="2"/>
                <w:lang w:eastAsia="zh-CN"/>
              </w:rPr>
              <w:t>本项目</w:t>
            </w:r>
            <w:r>
              <w:rPr>
                <w:rFonts w:hint="default" w:ascii="Times New Roman" w:hAnsi="Times New Roman" w:cs="Times New Roman"/>
                <w:color w:val="auto"/>
                <w:kern w:val="2"/>
              </w:rPr>
              <w:t>主要</w:t>
            </w:r>
            <w:r>
              <w:rPr>
                <w:rFonts w:hint="default" w:ascii="Times New Roman" w:hAnsi="Times New Roman" w:cs="Times New Roman"/>
                <w:color w:val="auto"/>
                <w:kern w:val="2"/>
                <w:lang w:eastAsia="zh-CN"/>
              </w:rPr>
              <w:t>医疗</w:t>
            </w:r>
            <w:r>
              <w:rPr>
                <w:rFonts w:hint="default" w:ascii="Times New Roman" w:hAnsi="Times New Roman" w:cs="Times New Roman"/>
                <w:color w:val="auto"/>
                <w:kern w:val="2"/>
              </w:rPr>
              <w:t>设备</w:t>
            </w:r>
            <w:r>
              <w:rPr>
                <w:rFonts w:hint="eastAsia" w:cs="Times New Roman"/>
                <w:color w:val="auto"/>
                <w:kern w:val="2"/>
                <w:lang w:eastAsia="zh-CN"/>
              </w:rPr>
              <w:t>及生产</w:t>
            </w:r>
            <w:r>
              <w:rPr>
                <w:rFonts w:hint="default" w:ascii="Times New Roman" w:hAnsi="Times New Roman" w:cs="Times New Roman"/>
                <w:color w:val="auto"/>
                <w:kern w:val="2"/>
              </w:rPr>
              <w:t>如下：</w:t>
            </w:r>
          </w:p>
          <w:p>
            <w:pPr>
              <w:pStyle w:val="67"/>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表2-2 项目主要设备一览表</w:t>
            </w:r>
          </w:p>
          <w:tbl>
            <w:tblPr>
              <w:tblStyle w:val="38"/>
              <w:tblW w:w="8401"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256"/>
              <w:gridCol w:w="2775"/>
              <w:gridCol w:w="1246"/>
              <w:gridCol w:w="1392"/>
              <w:gridCol w:w="173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72"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序号</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名称</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数量</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单位</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lang w:val="en-US" w:eastAsia="zh-CN"/>
                    </w:rPr>
                    <w:t>腹腔镜</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lang w:val="en-US" w:eastAsia="zh-CN"/>
                    </w:rPr>
                    <w:t>1</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lang w:eastAsia="zh-CN"/>
                    </w:rPr>
                    <w:t>套</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lang w:val="en-US" w:eastAsia="zh-CN"/>
                    </w:rPr>
                    <w:t>呼吸机</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lang w:val="en-US" w:eastAsia="zh-CN"/>
                    </w:rPr>
                    <w:t>5</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台</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lang w:val="en-US" w:eastAsia="zh-CN"/>
                    </w:rPr>
                    <w:t>麻醉机</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lang w:val="en-US" w:eastAsia="zh-CN"/>
                    </w:rPr>
                    <w:t>6</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台</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lang w:val="en-US" w:eastAsia="zh-CN"/>
                    </w:rPr>
                    <w:t>婴儿辐射保暖台</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5</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lang w:val="en-US" w:eastAsia="zh-CN"/>
                    </w:rPr>
                    <w:t>只</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5</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电刀</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10</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台</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6</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低温等离子灭菌器</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台</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7</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高压蒸汽灭菌器</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2</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rPr>
                    <w:t>台</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8</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监护仪</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15</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rPr>
                    <w:t>台</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9</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注射泵</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15</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rPr>
                    <w:t>台</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0"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10</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彩色超声诊断仪</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lang w:eastAsia="zh-CN"/>
                    </w:rPr>
                    <w:t>套</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lang w:eastAsia="zh-CN"/>
                    </w:rPr>
                    <w:t>价格不同</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0"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11</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彩色超声诊断仪</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套</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价格不同</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0"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12</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彩色多普勒超声诊断系统</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rPr>
                    <w:t>套</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0"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13</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中央监护站</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6</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rPr>
                    <w:t>套</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0"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14</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中央监护(胎儿)站</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rPr>
                    <w:t>套</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0"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15</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婴儿洗浴控制器</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rPr>
                    <w:t>套</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0"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16</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超声胎音仪</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5</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台</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8"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17</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超声引导可视人流系统</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套</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8"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18</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小儿听力筛查仪</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4</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台</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8"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19</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胎心监护仪</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10</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台</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8"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20</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电子阴道镜</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套</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8"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21</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产后康复仪</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8</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台</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8"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22</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全自动尿液分析仪</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rPr>
                    <w:t>套</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8"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23</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全自动血细胞分析仪</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rPr>
                    <w:t>套</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8"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24</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全自动生化分析仪</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rPr>
                    <w:t>套</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8"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25</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CT</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套</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26</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污水处理站</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套</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处理</w:t>
                  </w:r>
                  <w:r>
                    <w:rPr>
                      <w:rFonts w:hint="eastAsia" w:ascii="Times New Roman" w:hAnsi="Times New Roman" w:cs="Times New Roman"/>
                      <w:color w:val="auto"/>
                      <w:kern w:val="2"/>
                      <w:sz w:val="21"/>
                      <w:szCs w:val="21"/>
                      <w:lang w:val="en-US" w:eastAsia="zh-CN"/>
                    </w:rPr>
                    <w:t>能力</w:t>
                  </w:r>
                  <w:r>
                    <w:rPr>
                      <w:rFonts w:hint="default" w:ascii="Times New Roman" w:hAnsi="Times New Roman" w:cs="Times New Roman"/>
                      <w:color w:val="auto"/>
                      <w:kern w:val="2"/>
                      <w:sz w:val="21"/>
                      <w:szCs w:val="21"/>
                      <w:lang w:val="en-US" w:eastAsia="zh-CN"/>
                    </w:rPr>
                    <w:t>60m³/d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25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27</w:t>
                  </w:r>
                </w:p>
              </w:tc>
              <w:tc>
                <w:tcPr>
                  <w:tcW w:w="277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备用柴油发电机</w:t>
                  </w:r>
                </w:p>
              </w:tc>
              <w:tc>
                <w:tcPr>
                  <w:tcW w:w="124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w:t>
                  </w:r>
                </w:p>
              </w:tc>
              <w:tc>
                <w:tcPr>
                  <w:tcW w:w="139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台</w:t>
                  </w:r>
                </w:p>
              </w:tc>
              <w:tc>
                <w:tcPr>
                  <w:tcW w:w="173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250kW</w:t>
                  </w:r>
                </w:p>
              </w:tc>
            </w:tr>
          </w:tbl>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482"/>
              <w:jc w:val="both"/>
              <w:textAlignment w:val="auto"/>
              <w:rPr>
                <w:rFonts w:hint="default" w:ascii="Times New Roman" w:hAnsi="Times New Roman" w:cs="Times New Roman"/>
                <w:color w:val="auto"/>
                <w:kern w:val="2"/>
              </w:rPr>
            </w:pPr>
            <w:r>
              <w:rPr>
                <w:rFonts w:hint="default" w:ascii="Times New Roman" w:hAnsi="Times New Roman" w:cs="Times New Roman"/>
                <w:color w:val="auto"/>
                <w:kern w:val="2"/>
                <w:lang w:val="en-US" w:eastAsia="zh-CN"/>
              </w:rPr>
              <w:t>4</w:t>
            </w:r>
            <w:r>
              <w:rPr>
                <w:rFonts w:hint="default" w:ascii="Times New Roman" w:hAnsi="Times New Roman" w:cs="Times New Roman"/>
                <w:color w:val="auto"/>
                <w:kern w:val="2"/>
              </w:rPr>
              <w:t>、主要原辅材料消耗</w:t>
            </w:r>
          </w:p>
          <w:p>
            <w:pPr>
              <w:ind w:firstLine="480"/>
              <w:jc w:val="both"/>
              <w:rPr>
                <w:rFonts w:hint="eastAsia" w:ascii="Times New Roman" w:hAnsi="Times New Roman" w:cs="Times New Roman" w:eastAsiaTheme="minorEastAsia"/>
                <w:color w:val="auto"/>
                <w:kern w:val="2"/>
                <w:szCs w:val="24"/>
                <w:lang w:eastAsia="zh-CN"/>
              </w:rPr>
            </w:pPr>
            <w:r>
              <w:rPr>
                <w:rFonts w:hint="default" w:ascii="Times New Roman" w:hAnsi="Times New Roman" w:cs="Times New Roman"/>
                <w:color w:val="auto"/>
                <w:kern w:val="2"/>
                <w:szCs w:val="24"/>
              </w:rPr>
              <w:t>项目运营期间消耗的原辅材料主要有注射器、输液管、医用棉花、纱布、血液采集管、氧气等。各原辅材料消耗情况如表2-3所示</w:t>
            </w:r>
            <w:r>
              <w:rPr>
                <w:rFonts w:hint="eastAsia" w:ascii="Times New Roman" w:hAnsi="Times New Roman" w:cs="Times New Roman"/>
                <w:color w:val="auto"/>
                <w:kern w:val="2"/>
                <w:szCs w:val="24"/>
                <w:lang w:eastAsia="zh-CN"/>
              </w:rPr>
              <w:t>。</w:t>
            </w:r>
          </w:p>
          <w:p>
            <w:pPr>
              <w:pStyle w:val="67"/>
              <w:spacing w:line="360" w:lineRule="auto"/>
              <w:ind w:left="0" w:leftChars="0" w:right="0" w:rightChars="0" w:firstLine="0" w:firstLineChars="0"/>
              <w:jc w:val="center"/>
              <w:rPr>
                <w:rFonts w:hint="default" w:ascii="Times New Roman" w:hAnsi="Times New Roman" w:cs="Times New Roman"/>
                <w:color w:val="auto"/>
                <w:kern w:val="2"/>
              </w:rPr>
            </w:pPr>
            <w:r>
              <w:rPr>
                <w:rFonts w:hint="default" w:ascii="Times New Roman" w:hAnsi="Times New Roman" w:cs="Times New Roman"/>
                <w:color w:val="auto"/>
                <w:kern w:val="2"/>
                <w:sz w:val="21"/>
                <w:szCs w:val="21"/>
              </w:rPr>
              <w:t>表2-3 项目主要医疗用品消耗情况</w:t>
            </w:r>
          </w:p>
          <w:tbl>
            <w:tblPr>
              <w:tblStyle w:val="37"/>
              <w:tblW w:w="836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Layout w:type="fixed"/>
              <w:tblCellMar>
                <w:top w:w="0" w:type="dxa"/>
                <w:left w:w="108" w:type="dxa"/>
                <w:bottom w:w="0" w:type="dxa"/>
                <w:right w:w="108" w:type="dxa"/>
              </w:tblCellMar>
            </w:tblPr>
            <w:tblGrid>
              <w:gridCol w:w="1128"/>
              <w:gridCol w:w="3158"/>
              <w:gridCol w:w="1722"/>
              <w:gridCol w:w="876"/>
              <w:gridCol w:w="14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jc w:val="center"/>
              </w:trPr>
              <w:tc>
                <w:tcPr>
                  <w:tcW w:w="1128"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类别</w:t>
                  </w:r>
                </w:p>
              </w:tc>
              <w:tc>
                <w:tcPr>
                  <w:tcW w:w="3158"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名称</w:t>
                  </w:r>
                </w:p>
              </w:tc>
              <w:tc>
                <w:tcPr>
                  <w:tcW w:w="172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年消耗量</w:t>
                  </w:r>
                </w:p>
              </w:tc>
              <w:tc>
                <w:tcPr>
                  <w:tcW w:w="87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来源</w:t>
                  </w:r>
                </w:p>
              </w:tc>
              <w:tc>
                <w:tcPr>
                  <w:tcW w:w="1484"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主要化学成分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jc w:val="center"/>
              </w:trPr>
              <w:tc>
                <w:tcPr>
                  <w:tcW w:w="1128" w:type="dxa"/>
                  <w:vMerge w:val="restart"/>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医疗器材</w:t>
                  </w:r>
                </w:p>
              </w:tc>
              <w:tc>
                <w:tcPr>
                  <w:tcW w:w="3158"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一次性空针、输液管</w:t>
                  </w:r>
                </w:p>
              </w:tc>
              <w:tc>
                <w:tcPr>
                  <w:tcW w:w="172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1万具</w:t>
                  </w:r>
                </w:p>
              </w:tc>
              <w:tc>
                <w:tcPr>
                  <w:tcW w:w="876" w:type="dxa"/>
                  <w:vMerge w:val="restart"/>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国产</w:t>
                  </w:r>
                </w:p>
              </w:tc>
              <w:tc>
                <w:tcPr>
                  <w:tcW w:w="1484" w:type="dxa"/>
                  <w:vMerge w:val="restart"/>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聚乙烯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jc w:val="center"/>
              </w:trPr>
              <w:tc>
                <w:tcPr>
                  <w:tcW w:w="1128" w:type="dxa"/>
                  <w:vMerge w:val="continue"/>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3158"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一次性中单、小单</w:t>
                  </w:r>
                </w:p>
              </w:tc>
              <w:tc>
                <w:tcPr>
                  <w:tcW w:w="172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1.2万张</w:t>
                  </w:r>
                </w:p>
              </w:tc>
              <w:tc>
                <w:tcPr>
                  <w:tcW w:w="876" w:type="dxa"/>
                  <w:vMerge w:val="continue"/>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1484" w:type="dxa"/>
                  <w:vMerge w:val="continue"/>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jc w:val="center"/>
              </w:trPr>
              <w:tc>
                <w:tcPr>
                  <w:tcW w:w="1128" w:type="dxa"/>
                  <w:vMerge w:val="continue"/>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3158"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一次性手套</w:t>
                  </w:r>
                </w:p>
              </w:tc>
              <w:tc>
                <w:tcPr>
                  <w:tcW w:w="172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0.5万双</w:t>
                  </w:r>
                </w:p>
              </w:tc>
              <w:tc>
                <w:tcPr>
                  <w:tcW w:w="876" w:type="dxa"/>
                  <w:vMerge w:val="continue"/>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1484" w:type="dxa"/>
                  <w:vMerge w:val="continue"/>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jc w:val="center"/>
              </w:trPr>
              <w:tc>
                <w:tcPr>
                  <w:tcW w:w="1128" w:type="dxa"/>
                  <w:vMerge w:val="continue"/>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3158"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一次性尿带、尿管</w:t>
                  </w:r>
                </w:p>
              </w:tc>
              <w:tc>
                <w:tcPr>
                  <w:tcW w:w="172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0.1万套</w:t>
                  </w:r>
                </w:p>
              </w:tc>
              <w:tc>
                <w:tcPr>
                  <w:tcW w:w="876" w:type="dxa"/>
                  <w:vMerge w:val="continue"/>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1484" w:type="dxa"/>
                  <w:vMerge w:val="continue"/>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jc w:val="center"/>
              </w:trPr>
              <w:tc>
                <w:tcPr>
                  <w:tcW w:w="1128" w:type="dxa"/>
                  <w:vMerge w:val="restart"/>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药品</w:t>
                  </w:r>
                </w:p>
              </w:tc>
              <w:tc>
                <w:tcPr>
                  <w:tcW w:w="3158"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针剂药品</w:t>
                  </w:r>
                </w:p>
              </w:tc>
              <w:tc>
                <w:tcPr>
                  <w:tcW w:w="172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0.2万支</w:t>
                  </w:r>
                </w:p>
              </w:tc>
              <w:tc>
                <w:tcPr>
                  <w:tcW w:w="87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国产</w:t>
                  </w:r>
                </w:p>
              </w:tc>
              <w:tc>
                <w:tcPr>
                  <w:tcW w:w="1484"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jc w:val="center"/>
              </w:trPr>
              <w:tc>
                <w:tcPr>
                  <w:tcW w:w="1128" w:type="dxa"/>
                  <w:vMerge w:val="continue"/>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3158"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口服药剂</w:t>
                  </w:r>
                </w:p>
              </w:tc>
              <w:tc>
                <w:tcPr>
                  <w:tcW w:w="172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0.5万盒</w:t>
                  </w:r>
                </w:p>
              </w:tc>
              <w:tc>
                <w:tcPr>
                  <w:tcW w:w="87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国产</w:t>
                  </w:r>
                </w:p>
              </w:tc>
              <w:tc>
                <w:tcPr>
                  <w:tcW w:w="1484"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228" w:hRule="atLeast"/>
                <w:jc w:val="center"/>
              </w:trPr>
              <w:tc>
                <w:tcPr>
                  <w:tcW w:w="1128" w:type="dxa"/>
                  <w:vMerge w:val="continue"/>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3158"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普通方剂用药</w:t>
                  </w:r>
                </w:p>
              </w:tc>
              <w:tc>
                <w:tcPr>
                  <w:tcW w:w="172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70千克</w:t>
                  </w:r>
                </w:p>
              </w:tc>
              <w:tc>
                <w:tcPr>
                  <w:tcW w:w="87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国产</w:t>
                  </w:r>
                </w:p>
              </w:tc>
              <w:tc>
                <w:tcPr>
                  <w:tcW w:w="1484"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132" w:hRule="atLeast"/>
                <w:jc w:val="center"/>
              </w:trPr>
              <w:tc>
                <w:tcPr>
                  <w:tcW w:w="1128" w:type="dxa"/>
                  <w:vMerge w:val="continue"/>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3158"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中药材</w:t>
                  </w:r>
                </w:p>
              </w:tc>
              <w:tc>
                <w:tcPr>
                  <w:tcW w:w="172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0.2吨</w:t>
                  </w:r>
                </w:p>
              </w:tc>
              <w:tc>
                <w:tcPr>
                  <w:tcW w:w="87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国产</w:t>
                  </w:r>
                </w:p>
              </w:tc>
              <w:tc>
                <w:tcPr>
                  <w:tcW w:w="1484"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365" w:hRule="atLeast"/>
                <w:jc w:val="center"/>
              </w:trPr>
              <w:tc>
                <w:tcPr>
                  <w:tcW w:w="1128" w:type="dxa"/>
                  <w:vMerge w:val="restart"/>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消毒剂</w:t>
                  </w:r>
                </w:p>
              </w:tc>
              <w:tc>
                <w:tcPr>
                  <w:tcW w:w="3158"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乙醇</w:t>
                  </w:r>
                </w:p>
              </w:tc>
              <w:tc>
                <w:tcPr>
                  <w:tcW w:w="172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0.1吨</w:t>
                  </w:r>
                </w:p>
              </w:tc>
              <w:tc>
                <w:tcPr>
                  <w:tcW w:w="87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国产</w:t>
                  </w:r>
                </w:p>
              </w:tc>
              <w:tc>
                <w:tcPr>
                  <w:tcW w:w="1484"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161" w:hRule="atLeast"/>
                <w:jc w:val="center"/>
              </w:trPr>
              <w:tc>
                <w:tcPr>
                  <w:tcW w:w="1128" w:type="dxa"/>
                  <w:vMerge w:val="continue"/>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3158"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次氯酸钠</w:t>
                  </w:r>
                </w:p>
              </w:tc>
              <w:tc>
                <w:tcPr>
                  <w:tcW w:w="172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0.05吨</w:t>
                  </w:r>
                </w:p>
              </w:tc>
              <w:tc>
                <w:tcPr>
                  <w:tcW w:w="87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国产</w:t>
                  </w:r>
                </w:p>
              </w:tc>
              <w:tc>
                <w:tcPr>
                  <w:tcW w:w="1484"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415" w:hRule="atLeast"/>
                <w:jc w:val="center"/>
              </w:trPr>
              <w:tc>
                <w:tcPr>
                  <w:tcW w:w="1128" w:type="dxa"/>
                  <w:vMerge w:val="continue"/>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3158"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优氯净及空气消毒剂</w:t>
                  </w:r>
                </w:p>
              </w:tc>
              <w:tc>
                <w:tcPr>
                  <w:tcW w:w="172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0.05吨</w:t>
                  </w:r>
                </w:p>
              </w:tc>
              <w:tc>
                <w:tcPr>
                  <w:tcW w:w="87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国产</w:t>
                  </w:r>
                </w:p>
              </w:tc>
              <w:tc>
                <w:tcPr>
                  <w:tcW w:w="1484"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6" w:space="0"/>
                </w:tblBorders>
                <w:tblCellMar>
                  <w:top w:w="0" w:type="dxa"/>
                  <w:left w:w="108" w:type="dxa"/>
                  <w:bottom w:w="0" w:type="dxa"/>
                  <w:right w:w="108" w:type="dxa"/>
                </w:tblCellMar>
              </w:tblPrEx>
              <w:trPr>
                <w:trHeight w:val="415" w:hRule="atLeast"/>
                <w:jc w:val="center"/>
              </w:trPr>
              <w:tc>
                <w:tcPr>
                  <w:tcW w:w="4286" w:type="dxa"/>
                  <w:gridSpan w:val="2"/>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eastAsia" w:cs="Times New Roman"/>
                      <w:color w:val="auto"/>
                      <w:kern w:val="2"/>
                      <w:sz w:val="21"/>
                      <w:szCs w:val="21"/>
                      <w:lang w:eastAsia="zh-CN"/>
                    </w:rPr>
                    <w:t>柴油</w:t>
                  </w:r>
                </w:p>
              </w:tc>
              <w:tc>
                <w:tcPr>
                  <w:tcW w:w="1722"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0.1吨</w:t>
                  </w:r>
                </w:p>
              </w:tc>
              <w:tc>
                <w:tcPr>
                  <w:tcW w:w="876" w:type="dxa"/>
                  <w:tcBorders>
                    <w:tl2br w:val="nil"/>
                    <w:tr2bl w:val="nil"/>
                  </w:tcBorders>
                  <w:vAlign w:val="center"/>
                </w:tcPr>
                <w:p>
                  <w:pPr>
                    <w:pStyle w:val="146"/>
                    <w:spacing w:line="36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w:t>
                  </w:r>
                </w:p>
              </w:tc>
              <w:tc>
                <w:tcPr>
                  <w:tcW w:w="1484" w:type="dxa"/>
                  <w:tcBorders>
                    <w:tl2br w:val="nil"/>
                    <w:tr2bl w:val="nil"/>
                  </w:tcBorders>
                  <w:vAlign w:val="center"/>
                </w:tcPr>
                <w:p>
                  <w:pPr>
                    <w:pStyle w:val="146"/>
                    <w:spacing w:line="36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w:t>
                  </w:r>
                </w:p>
              </w:tc>
            </w:tr>
          </w:tbl>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color w:val="auto"/>
                <w:kern w:val="2"/>
                <w:sz w:val="24"/>
                <w:szCs w:val="24"/>
                <w:highlight w:val="none"/>
              </w:rPr>
            </w:pPr>
            <w:r>
              <w:rPr>
                <w:rFonts w:hint="default" w:ascii="Times New Roman" w:hAnsi="Times New Roman" w:eastAsia="宋体" w:cs="Times New Roman"/>
                <w:b/>
                <w:color w:val="auto"/>
                <w:kern w:val="2"/>
                <w:sz w:val="24"/>
                <w:szCs w:val="24"/>
                <w:highlight w:val="none"/>
                <w:lang w:val="en-US" w:eastAsia="zh-CN" w:bidi="ar"/>
              </w:rPr>
              <w:t>5、公用工程</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color w:val="auto"/>
                <w:kern w:val="2"/>
                <w:sz w:val="24"/>
                <w:szCs w:val="24"/>
              </w:rPr>
            </w:pPr>
            <w:r>
              <w:rPr>
                <w:rFonts w:hint="default" w:ascii="Times New Roman" w:hAnsi="Times New Roman" w:eastAsia="宋体" w:cs="Times New Roman"/>
                <w:b/>
                <w:color w:val="auto"/>
                <w:kern w:val="2"/>
                <w:sz w:val="24"/>
                <w:szCs w:val="24"/>
                <w:lang w:val="en-US" w:eastAsia="zh-CN" w:bidi="ar"/>
              </w:rPr>
              <w:t>（1）给排水</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给水：项目用水由姚安县供排水公司供给，供水保障率高。</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排水：</w:t>
            </w:r>
            <w:r>
              <w:rPr>
                <w:rFonts w:hint="default" w:ascii="Times New Roman" w:hAnsi="Times New Roman" w:eastAsia="宋体" w:cs="Times New Roman"/>
                <w:color w:val="auto"/>
                <w:kern w:val="2"/>
                <w:sz w:val="24"/>
                <w:szCs w:val="24"/>
                <w:lang w:val="en-US" w:eastAsia="zh-CN" w:bidi="ar-SA"/>
              </w:rPr>
              <w:t>项目实行雨污分流制，雨水通过院内雨水沟排入院外道路排水沟。项目建设区有完善的城市防洪、排污设施</w:t>
            </w:r>
            <w:r>
              <w:rPr>
                <w:rFonts w:hint="eastAsia"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项目运营期产生的污水进入化粪池预处理，随后</w:t>
            </w:r>
            <w:r>
              <w:rPr>
                <w:rFonts w:hint="eastAsia" w:eastAsia="宋体" w:cs="Times New Roman"/>
                <w:color w:val="auto"/>
                <w:kern w:val="2"/>
                <w:sz w:val="24"/>
                <w:szCs w:val="24"/>
                <w:lang w:val="en-US" w:eastAsia="zh-CN" w:bidi="ar-SA"/>
              </w:rPr>
              <w:t>汇入</w:t>
            </w:r>
            <w:r>
              <w:rPr>
                <w:rFonts w:hint="default" w:ascii="Times New Roman" w:hAnsi="Times New Roman" w:eastAsia="宋体" w:cs="Times New Roman"/>
                <w:color w:val="auto"/>
                <w:kern w:val="2"/>
                <w:sz w:val="24"/>
                <w:szCs w:val="24"/>
                <w:lang w:val="en-US" w:eastAsia="zh-CN" w:bidi="ar-SA"/>
              </w:rPr>
              <w:t>项目自建的污水处理站</w:t>
            </w:r>
            <w:r>
              <w:rPr>
                <w:rFonts w:hint="eastAsia"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处理达《医疗机构水污染物排放标准》GB18466-2005表2中预处理标准和《污水排入城镇下水道水质标准》（GB/T31962-2015）表1（</w:t>
            </w:r>
            <w:r>
              <w:rPr>
                <w:rFonts w:hint="eastAsia" w:eastAsia="宋体" w:cs="Times New Roman"/>
                <w:color w:val="auto"/>
                <w:kern w:val="2"/>
                <w:sz w:val="24"/>
                <w:szCs w:val="24"/>
                <w:lang w:val="en-US" w:eastAsia="zh-CN" w:bidi="ar-SA"/>
              </w:rPr>
              <w:t>B等级</w:t>
            </w:r>
            <w:r>
              <w:rPr>
                <w:rFonts w:hint="default" w:ascii="Times New Roman" w:hAnsi="Times New Roman" w:eastAsia="宋体" w:cs="Times New Roman"/>
                <w:color w:val="auto"/>
                <w:kern w:val="2"/>
                <w:sz w:val="24"/>
                <w:szCs w:val="24"/>
                <w:lang w:val="en-US" w:eastAsia="zh-CN" w:bidi="ar-SA"/>
              </w:rPr>
              <w:t>）标准后，排入姚安县</w:t>
            </w:r>
            <w:r>
              <w:rPr>
                <w:rFonts w:hint="eastAsia" w:eastAsia="宋体" w:cs="Times New Roman"/>
                <w:color w:val="auto"/>
                <w:kern w:val="2"/>
                <w:sz w:val="24"/>
                <w:szCs w:val="24"/>
                <w:lang w:val="en-US" w:eastAsia="zh-CN" w:bidi="ar-SA"/>
              </w:rPr>
              <w:t>市政</w:t>
            </w:r>
            <w:r>
              <w:rPr>
                <w:rFonts w:hint="default" w:ascii="Times New Roman" w:hAnsi="Times New Roman" w:eastAsia="宋体" w:cs="Times New Roman"/>
                <w:color w:val="auto"/>
                <w:kern w:val="2"/>
                <w:sz w:val="24"/>
                <w:szCs w:val="24"/>
                <w:lang w:val="en-US" w:eastAsia="zh-CN" w:bidi="ar-SA"/>
              </w:rPr>
              <w:t>污水管网，最终进入姚安县污水处理厂统一处理。</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color w:val="auto"/>
                <w:kern w:val="2"/>
                <w:sz w:val="24"/>
                <w:szCs w:val="24"/>
              </w:rPr>
            </w:pPr>
            <w:r>
              <w:rPr>
                <w:rFonts w:hint="default" w:ascii="Times New Roman" w:hAnsi="Times New Roman" w:eastAsia="宋体" w:cs="Times New Roman"/>
                <w:b/>
                <w:color w:val="auto"/>
                <w:kern w:val="2"/>
                <w:sz w:val="24"/>
                <w:szCs w:val="24"/>
                <w:lang w:val="en-US" w:eastAsia="zh-CN" w:bidi="ar"/>
              </w:rPr>
              <w:t>（2）供电系统</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项目供电由云南电网有限责任公司姚安供电局供给，供电有保证。</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b/>
                <w:bCs/>
                <w:color w:val="auto"/>
                <w:kern w:val="2"/>
                <w:sz w:val="24"/>
                <w:szCs w:val="24"/>
                <w:lang w:val="en-US" w:eastAsia="zh-CN" w:bidi="ar"/>
              </w:rPr>
            </w:pPr>
            <w:r>
              <w:rPr>
                <w:rFonts w:hint="default" w:ascii="Times New Roman" w:hAnsi="Times New Roman" w:eastAsia="宋体" w:cs="Times New Roman"/>
                <w:b/>
                <w:bCs/>
                <w:color w:val="auto"/>
                <w:kern w:val="2"/>
                <w:sz w:val="24"/>
                <w:szCs w:val="24"/>
                <w:lang w:val="en-US" w:eastAsia="zh-CN" w:bidi="ar"/>
              </w:rPr>
              <w:t>（3）热水系统</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b/>
                <w:bCs/>
                <w:color w:val="auto"/>
                <w:kern w:val="2"/>
                <w:sz w:val="24"/>
                <w:szCs w:val="24"/>
                <w:lang w:val="en-US" w:eastAsia="zh-CN" w:bidi="ar"/>
              </w:rPr>
            </w:pPr>
            <w:r>
              <w:rPr>
                <w:rFonts w:hint="default" w:ascii="Times New Roman" w:hAnsi="Times New Roman" w:eastAsia="宋体" w:cs="Times New Roman"/>
                <w:b w:val="0"/>
                <w:bCs w:val="0"/>
                <w:color w:val="auto"/>
                <w:kern w:val="2"/>
                <w:sz w:val="24"/>
                <w:szCs w:val="24"/>
                <w:lang w:val="en-US" w:eastAsia="zh-CN" w:bidi="ar"/>
              </w:rPr>
              <w:t>本项目不设置锅炉房，采用太阳能供热。</w:t>
            </w:r>
          </w:p>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482"/>
              <w:jc w:val="both"/>
              <w:textAlignment w:val="auto"/>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lang w:val="en-US" w:eastAsia="zh-CN"/>
              </w:rPr>
              <w:t>6</w:t>
            </w:r>
            <w:r>
              <w:rPr>
                <w:rFonts w:hint="default" w:ascii="Times New Roman" w:hAnsi="Times New Roman" w:cs="Times New Roman"/>
                <w:color w:val="auto"/>
                <w:kern w:val="2"/>
                <w:highlight w:val="none"/>
              </w:rPr>
              <w:t>、劳动定员及工作制</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劳动定员：全院现有职工</w:t>
            </w:r>
            <w:r>
              <w:rPr>
                <w:rFonts w:hint="default" w:ascii="Times New Roman" w:hAnsi="Times New Roman" w:cs="Times New Roman"/>
                <w:color w:val="auto"/>
                <w:kern w:val="2"/>
                <w:highlight w:val="none"/>
                <w:lang w:val="en-US" w:eastAsia="zh-CN"/>
              </w:rPr>
              <w:t>55</w:t>
            </w:r>
            <w:r>
              <w:rPr>
                <w:rFonts w:hint="default" w:ascii="Times New Roman" w:hAnsi="Times New Roman" w:cs="Times New Roman"/>
                <w:color w:val="auto"/>
                <w:kern w:val="2"/>
                <w:highlight w:val="none"/>
              </w:rPr>
              <w:t>人</w:t>
            </w:r>
            <w:r>
              <w:rPr>
                <w:rFonts w:hint="default" w:ascii="Times New Roman" w:hAnsi="Times New Roman" w:cs="Times New Roman"/>
                <w:color w:val="auto"/>
                <w:kern w:val="2"/>
                <w:highlight w:val="none"/>
                <w:lang w:eastAsia="zh-CN"/>
              </w:rPr>
              <w:t>，</w:t>
            </w:r>
            <w:r>
              <w:rPr>
                <w:rFonts w:hint="default" w:ascii="Times New Roman" w:hAnsi="Times New Roman" w:cs="Times New Roman"/>
                <w:color w:val="auto"/>
                <w:kern w:val="2"/>
                <w:highlight w:val="none"/>
                <w:lang w:val="en-US" w:eastAsia="zh-CN"/>
              </w:rPr>
              <w:t>均不在院内食宿</w:t>
            </w:r>
            <w:r>
              <w:rPr>
                <w:rFonts w:hint="default" w:ascii="Times New Roman" w:hAnsi="Times New Roman" w:cs="Times New Roman"/>
                <w:color w:val="auto"/>
                <w:kern w:val="2"/>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宋体" w:cs="Times New Roman"/>
                <w:color w:val="auto"/>
                <w:kern w:val="2"/>
                <w:szCs w:val="24"/>
                <w:highlight w:val="none"/>
                <w:lang w:val="en-US" w:eastAsia="zh-CN"/>
              </w:rPr>
            </w:pPr>
            <w:r>
              <w:rPr>
                <w:rFonts w:hint="default" w:ascii="Times New Roman" w:hAnsi="Times New Roman" w:cs="Times New Roman"/>
                <w:color w:val="auto"/>
                <w:kern w:val="2"/>
                <w:highlight w:val="none"/>
              </w:rPr>
              <w:t>工作制度：</w:t>
            </w:r>
            <w:r>
              <w:rPr>
                <w:rFonts w:hint="default" w:ascii="Times New Roman" w:hAnsi="Times New Roman" w:cs="Times New Roman"/>
                <w:color w:val="auto"/>
                <w:kern w:val="2"/>
                <w:highlight w:val="none"/>
                <w:lang w:eastAsia="zh-CN"/>
              </w:rPr>
              <w:t>医</w:t>
            </w:r>
            <w:r>
              <w:rPr>
                <w:rFonts w:hint="default" w:ascii="Times New Roman" w:hAnsi="Times New Roman" w:cs="Times New Roman"/>
                <w:color w:val="auto"/>
                <w:kern w:val="2"/>
                <w:highlight w:val="none"/>
              </w:rPr>
              <w:t>院365天全年运行，</w:t>
            </w:r>
            <w:r>
              <w:rPr>
                <w:rFonts w:hint="default" w:ascii="Times New Roman" w:hAnsi="Times New Roman" w:cs="Times New Roman"/>
                <w:color w:val="auto"/>
                <w:kern w:val="2"/>
                <w:highlight w:val="none"/>
                <w:lang w:eastAsia="zh-CN"/>
              </w:rPr>
              <w:t>医护人员</w:t>
            </w:r>
            <w:r>
              <w:rPr>
                <w:rFonts w:hint="default" w:ascii="Times New Roman" w:hAnsi="Times New Roman" w:cs="Times New Roman"/>
                <w:color w:val="auto"/>
                <w:kern w:val="2"/>
                <w:szCs w:val="24"/>
                <w:highlight w:val="none"/>
              </w:rPr>
              <w:t>三</w:t>
            </w:r>
            <w:r>
              <w:rPr>
                <w:rFonts w:hint="default" w:ascii="Times New Roman" w:hAnsi="Times New Roman" w:eastAsia="宋体" w:cs="Times New Roman"/>
                <w:color w:val="auto"/>
                <w:kern w:val="2"/>
                <w:szCs w:val="24"/>
                <w:highlight w:val="none"/>
              </w:rPr>
              <w:t>班制，每班工作8小时每天</w:t>
            </w:r>
            <w:r>
              <w:rPr>
                <w:rFonts w:hint="default" w:ascii="Times New Roman" w:hAnsi="Times New Roman" w:eastAsia="宋体" w:cs="Times New Roman"/>
                <w:color w:val="auto"/>
                <w:kern w:val="2"/>
                <w:szCs w:val="24"/>
                <w:highlight w:val="none"/>
                <w:lang w:eastAsia="zh-CN"/>
              </w:rPr>
              <w:t>；行政人员工作制度为每天一班，</w:t>
            </w:r>
            <w:r>
              <w:rPr>
                <w:rFonts w:hint="default" w:ascii="Times New Roman" w:hAnsi="Times New Roman" w:eastAsia="宋体" w:cs="Times New Roman"/>
                <w:color w:val="auto"/>
                <w:kern w:val="2"/>
                <w:szCs w:val="24"/>
                <w:highlight w:val="none"/>
                <w:lang w:val="en-US" w:eastAsia="zh-CN"/>
              </w:rPr>
              <w:t>8h/班。</w:t>
            </w:r>
          </w:p>
          <w:p>
            <w:pPr>
              <w:pStyle w:val="5"/>
              <w:keepNext/>
              <w:keepLines/>
              <w:pageBreakBefore w:val="0"/>
              <w:widowControl w:val="0"/>
              <w:kinsoku/>
              <w:wordWrap/>
              <w:overflowPunct/>
              <w:topLinePunct w:val="0"/>
              <w:autoSpaceDE/>
              <w:autoSpaceDN/>
              <w:bidi w:val="0"/>
              <w:adjustRightInd w:val="0"/>
              <w:snapToGrid w:val="0"/>
              <w:spacing w:before="0" w:beforeLines="0"/>
              <w:ind w:firstLine="482"/>
              <w:jc w:val="both"/>
              <w:textAlignment w:val="auto"/>
              <w:rPr>
                <w:rFonts w:hint="default" w:ascii="Times New Roman" w:hAnsi="Times New Roman" w:cs="Times New Roman"/>
                <w:color w:val="auto"/>
                <w:kern w:val="2"/>
              </w:rPr>
            </w:pPr>
            <w:r>
              <w:rPr>
                <w:rFonts w:hint="default" w:ascii="Times New Roman" w:hAnsi="Times New Roman" w:cs="Times New Roman"/>
                <w:color w:val="auto"/>
                <w:kern w:val="2"/>
              </w:rPr>
              <w:t>7、总平面布置</w:t>
            </w:r>
          </w:p>
          <w:p>
            <w:pPr>
              <w:keepNext w:val="0"/>
              <w:keepLines w:val="0"/>
              <w:pageBreakBefore w:val="0"/>
              <w:widowControl w:val="0"/>
              <w:kinsoku/>
              <w:wordWrap/>
              <w:overflowPunct/>
              <w:topLinePunct w:val="0"/>
              <w:autoSpaceDE/>
              <w:autoSpaceDN/>
              <w:bidi w:val="0"/>
              <w:adjustRightInd/>
              <w:snapToGrid/>
              <w:ind w:firstLine="480"/>
              <w:jc w:val="both"/>
              <w:textAlignment w:val="auto"/>
              <w:rPr>
                <w:rFonts w:hint="default" w:ascii="Times New Roman" w:hAnsi="Times New Roman" w:cs="Times New Roman"/>
                <w:color w:val="auto"/>
                <w:kern w:val="2"/>
                <w:lang w:eastAsia="zh-CN"/>
              </w:rPr>
            </w:pPr>
            <w:r>
              <w:rPr>
                <w:rFonts w:hint="default" w:ascii="Times New Roman" w:hAnsi="Times New Roman" w:cs="Times New Roman"/>
                <w:color w:val="auto"/>
                <w:kern w:val="2"/>
                <w:lang w:eastAsia="zh-CN"/>
              </w:rPr>
              <w:t>医</w:t>
            </w:r>
            <w:r>
              <w:rPr>
                <w:rFonts w:hint="default" w:ascii="Times New Roman" w:hAnsi="Times New Roman" w:cs="Times New Roman"/>
                <w:color w:val="auto"/>
                <w:kern w:val="2"/>
              </w:rPr>
              <w:t>院总体布局呈</w:t>
            </w:r>
            <w:r>
              <w:rPr>
                <w:rFonts w:hint="default" w:ascii="Times New Roman" w:hAnsi="Times New Roman" w:cs="Times New Roman"/>
                <w:color w:val="auto"/>
                <w:kern w:val="2"/>
                <w:lang w:val="en-US" w:eastAsia="zh-CN"/>
              </w:rPr>
              <w:t>东西</w:t>
            </w:r>
            <w:r>
              <w:rPr>
                <w:rFonts w:hint="default" w:ascii="Times New Roman" w:hAnsi="Times New Roman" w:cs="Times New Roman"/>
                <w:color w:val="auto"/>
                <w:kern w:val="2"/>
              </w:rPr>
              <w:t>分布；门卫室和消控室位于主出入口</w:t>
            </w:r>
            <w:r>
              <w:rPr>
                <w:rFonts w:hint="default" w:ascii="Times New Roman" w:hAnsi="Times New Roman" w:cs="Times New Roman"/>
                <w:color w:val="auto"/>
                <w:kern w:val="2"/>
                <w:lang w:eastAsia="zh-CN"/>
              </w:rPr>
              <w:t>左侧，方便对外来车辆进行消毒，生活垃圾房和</w:t>
            </w:r>
            <w:r>
              <w:rPr>
                <w:rFonts w:hint="eastAsia" w:cs="Times New Roman"/>
                <w:color w:val="auto"/>
                <w:kern w:val="2"/>
                <w:lang w:eastAsia="zh-CN"/>
              </w:rPr>
              <w:t>医疗废物暂存间</w:t>
            </w:r>
            <w:r>
              <w:rPr>
                <w:rFonts w:hint="default" w:ascii="Times New Roman" w:hAnsi="Times New Roman" w:cs="Times New Roman"/>
                <w:color w:val="auto"/>
                <w:kern w:val="2"/>
                <w:lang w:eastAsia="zh-CN"/>
              </w:rPr>
              <w:t>紧邻门卫室，方便医疗废物以及生活垃圾及时清运，减少交叉感染的风险；住院综合楼位于项目区东面，便于采光，西面空地建设为景观用地及地面停车场，制氧站位于景观花园的北面；污水处理站位于住院部综合楼的南面地下一层，可以很好地减少污水处理站产生的噪声以及臭味</w:t>
            </w:r>
            <w:r>
              <w:rPr>
                <w:rFonts w:hint="eastAsia" w:cs="Times New Roman"/>
                <w:color w:val="auto"/>
                <w:kern w:val="2"/>
                <w:lang w:eastAsia="zh-CN"/>
              </w:rPr>
              <w:t>对周围环境的影响</w:t>
            </w:r>
            <w:r>
              <w:rPr>
                <w:rFonts w:hint="default" w:ascii="Times New Roman" w:hAnsi="Times New Roman" w:cs="Times New Roman"/>
                <w:color w:val="auto"/>
                <w:kern w:val="2"/>
                <w:lang w:eastAsia="zh-CN"/>
              </w:rPr>
              <w:t>。</w:t>
            </w:r>
            <w:r>
              <w:rPr>
                <w:rFonts w:hint="eastAsia" w:cs="Times New Roman"/>
                <w:color w:val="auto"/>
                <w:kern w:val="2"/>
                <w:lang w:eastAsia="zh-CN"/>
              </w:rPr>
              <w:t>备用柴油发电机置于发电机房内，柴油发电机位于地下一层，可很好地减少柴油发电机工作时产生的噪声对周围环境的影响。</w:t>
            </w:r>
            <w:r>
              <w:rPr>
                <w:rFonts w:hint="default" w:ascii="Times New Roman" w:hAnsi="Times New Roman" w:cs="Times New Roman"/>
                <w:color w:val="auto"/>
                <w:kern w:val="2"/>
                <w:lang w:eastAsia="zh-CN"/>
              </w:rPr>
              <w:t>本项目南面是为已建成的原姚安县妇幼保健计划生育服务中心（姚安县妇幼保健院），本项目与姚安县妇幼保健计划生育服务中心（姚安县妇幼保健院）之间采用玻璃廊桥链接，玻璃廊桥</w:t>
            </w:r>
            <w:r>
              <w:rPr>
                <w:rFonts w:hint="eastAsia" w:cs="Times New Roman"/>
                <w:color w:val="auto"/>
                <w:kern w:val="2"/>
                <w:lang w:eastAsia="zh-CN"/>
              </w:rPr>
              <w:t>为</w:t>
            </w:r>
            <w:r>
              <w:rPr>
                <w:rFonts w:hint="default" w:ascii="Times New Roman" w:hAnsi="Times New Roman" w:cs="Times New Roman"/>
                <w:color w:val="auto"/>
                <w:kern w:val="2"/>
                <w:lang w:eastAsia="zh-CN"/>
              </w:rPr>
              <w:t>医护人员和病人</w:t>
            </w:r>
            <w:r>
              <w:rPr>
                <w:rFonts w:hint="eastAsia" w:cs="Times New Roman"/>
                <w:color w:val="auto"/>
                <w:kern w:val="2"/>
                <w:lang w:eastAsia="zh-CN"/>
              </w:rPr>
              <w:t>来往两栋楼之间的主要通道，</w:t>
            </w:r>
            <w:r>
              <w:rPr>
                <w:rFonts w:hint="default" w:ascii="Times New Roman" w:hAnsi="Times New Roman" w:cs="Times New Roman"/>
                <w:color w:val="auto"/>
                <w:kern w:val="2"/>
                <w:lang w:eastAsia="zh-CN"/>
              </w:rPr>
              <w:t>玻璃廊桥位于</w:t>
            </w:r>
            <w:r>
              <w:rPr>
                <w:rFonts w:hint="default" w:ascii="Times New Roman" w:hAnsi="Times New Roman" w:cs="Times New Roman"/>
                <w:color w:val="auto"/>
                <w:kern w:val="2"/>
                <w:lang w:val="en-US" w:eastAsia="zh-CN"/>
              </w:rPr>
              <w:t>2楼</w:t>
            </w:r>
            <w:r>
              <w:rPr>
                <w:rFonts w:hint="default" w:ascii="Times New Roman" w:hAnsi="Times New Roman" w:cs="Times New Roman"/>
                <w:color w:val="auto"/>
                <w:kern w:val="2"/>
                <w:lang w:eastAsia="zh-CN"/>
              </w:rPr>
              <w:t>。</w:t>
            </w:r>
            <w:r>
              <w:rPr>
                <w:rFonts w:hint="eastAsia" w:cs="Times New Roman"/>
                <w:color w:val="auto"/>
                <w:kern w:val="2"/>
                <w:lang w:eastAsia="zh-CN"/>
              </w:rPr>
              <w:t>南侧入口主要为车辆进出入口，住院部综合楼东侧入口为就诊人员主要出入口。</w:t>
            </w:r>
            <w:r>
              <w:rPr>
                <w:rFonts w:hint="default" w:ascii="Times New Roman" w:hAnsi="Times New Roman" w:cs="Times New Roman"/>
                <w:color w:val="auto"/>
                <w:kern w:val="2"/>
                <w:lang w:eastAsia="zh-CN"/>
              </w:rPr>
              <w:t>北侧规划路设置后勤及污物出入口</w:t>
            </w:r>
            <w:r>
              <w:rPr>
                <w:rFonts w:hint="eastAsia" w:cs="Times New Roman"/>
                <w:color w:val="auto"/>
                <w:kern w:val="2"/>
                <w:lang w:eastAsia="zh-CN"/>
              </w:rPr>
              <w:t>，医疗废物及生活垃圾避开医院人群聚集的地方，减少感染风险</w:t>
            </w:r>
            <w:r>
              <w:rPr>
                <w:rFonts w:hint="default" w:ascii="Times New Roman" w:hAnsi="Times New Roman" w:cs="Times New Roman"/>
                <w:color w:val="auto"/>
                <w:kern w:val="2"/>
                <w:lang w:eastAsia="zh-CN"/>
              </w:rPr>
              <w:t>。人车流线：门诊楼在东南角留出宽敞的入口广场空间，以疏导和缓冲大量性的进院人流。</w:t>
            </w:r>
            <w:r>
              <w:rPr>
                <w:rFonts w:hint="eastAsia" w:cs="Times New Roman"/>
                <w:color w:val="auto"/>
                <w:kern w:val="2"/>
                <w:lang w:eastAsia="zh-CN"/>
              </w:rPr>
              <w:t>上述建设内容同时建成，不分期建设。</w:t>
            </w:r>
          </w:p>
          <w:p>
            <w:pPr>
              <w:keepNext w:val="0"/>
              <w:keepLines w:val="0"/>
              <w:pageBreakBefore w:val="0"/>
              <w:widowControl w:val="0"/>
              <w:kinsoku/>
              <w:wordWrap/>
              <w:overflowPunct/>
              <w:topLinePunct w:val="0"/>
              <w:autoSpaceDE/>
              <w:autoSpaceDN/>
              <w:bidi w:val="0"/>
              <w:adjustRightInd/>
              <w:snapToGrid/>
              <w:ind w:firstLine="480"/>
              <w:jc w:val="both"/>
              <w:textAlignment w:val="auto"/>
              <w:rPr>
                <w:rFonts w:hint="default" w:ascii="Times New Roman" w:hAnsi="Times New Roman" w:cs="Times New Roman"/>
                <w:color w:val="auto"/>
                <w:kern w:val="2"/>
                <w:highlight w:val="none"/>
              </w:rPr>
            </w:pPr>
            <w:r>
              <w:rPr>
                <w:rFonts w:hint="default" w:ascii="Times New Roman" w:hAnsi="Times New Roman" w:cs="Times New Roman"/>
                <w:color w:val="auto"/>
                <w:kern w:val="2"/>
              </w:rPr>
              <w:t>项目平面布局</w:t>
            </w:r>
            <w:r>
              <w:rPr>
                <w:rFonts w:hint="default" w:ascii="Times New Roman" w:hAnsi="Times New Roman" w:cs="Times New Roman"/>
                <w:color w:val="auto"/>
                <w:kern w:val="2"/>
                <w:lang w:val="en-US" w:eastAsia="zh-CN"/>
              </w:rPr>
              <w:t>基本</w:t>
            </w:r>
            <w:r>
              <w:rPr>
                <w:rFonts w:hint="default" w:ascii="Times New Roman" w:hAnsi="Times New Roman" w:cs="Times New Roman"/>
                <w:color w:val="auto"/>
                <w:kern w:val="2"/>
              </w:rPr>
              <w:t>合理</w:t>
            </w:r>
            <w:r>
              <w:rPr>
                <w:rFonts w:hint="default" w:ascii="Times New Roman" w:hAnsi="Times New Roman" w:cs="Times New Roman"/>
                <w:b/>
                <w:color w:val="auto"/>
                <w:kern w:val="2"/>
              </w:rPr>
              <w:t>。</w:t>
            </w:r>
            <w:r>
              <w:rPr>
                <w:rFonts w:hint="default" w:ascii="Times New Roman" w:hAnsi="Times New Roman" w:cs="Times New Roman"/>
                <w:color w:val="auto"/>
                <w:kern w:val="2"/>
                <w:highlight w:val="none"/>
              </w:rPr>
              <w:t>项目平面布置详见附图3。</w:t>
            </w:r>
          </w:p>
          <w:p>
            <w:pPr>
              <w:pStyle w:val="5"/>
              <w:pageBreakBefore w:val="0"/>
              <w:widowControl w:val="0"/>
              <w:kinsoku/>
              <w:wordWrap/>
              <w:overflowPunct/>
              <w:topLinePunct w:val="0"/>
              <w:autoSpaceDE/>
              <w:autoSpaceDN/>
              <w:bidi w:val="0"/>
              <w:spacing w:before="0" w:beforeLines="0"/>
              <w:ind w:firstLine="482"/>
              <w:jc w:val="both"/>
              <w:textAlignment w:val="auto"/>
              <w:rPr>
                <w:rFonts w:hint="default" w:ascii="Times New Roman" w:hAnsi="Times New Roman" w:cs="Times New Roman"/>
                <w:color w:val="auto"/>
                <w:kern w:val="2"/>
              </w:rPr>
            </w:pPr>
            <w:r>
              <w:rPr>
                <w:rFonts w:hint="default" w:ascii="Times New Roman" w:hAnsi="Times New Roman" w:cs="Times New Roman"/>
                <w:color w:val="auto"/>
                <w:kern w:val="2"/>
              </w:rPr>
              <w:t>8、环保投资</w:t>
            </w:r>
          </w:p>
          <w:p>
            <w:pPr>
              <w:pageBreakBefore w:val="0"/>
              <w:widowControl w:val="0"/>
              <w:kinsoku/>
              <w:wordWrap/>
              <w:overflowPunct/>
              <w:topLinePunct w:val="0"/>
              <w:autoSpaceDE/>
              <w:autoSpaceDN/>
              <w:bidi w:val="0"/>
              <w:ind w:firstLine="480"/>
              <w:jc w:val="both"/>
              <w:textAlignment w:val="auto"/>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本项目总投资</w:t>
            </w:r>
            <w:r>
              <w:rPr>
                <w:rFonts w:hint="default" w:ascii="Times New Roman" w:hAnsi="Times New Roman" w:eastAsia="宋体" w:cs="Times New Roman"/>
                <w:color w:val="auto"/>
                <w:kern w:val="2"/>
                <w:szCs w:val="24"/>
                <w:lang w:val="en-US" w:eastAsia="zh-CN"/>
              </w:rPr>
              <w:t>20500</w:t>
            </w:r>
            <w:r>
              <w:rPr>
                <w:rFonts w:hint="default" w:ascii="Times New Roman" w:hAnsi="Times New Roman" w:eastAsia="宋体" w:cs="Times New Roman"/>
                <w:color w:val="auto"/>
                <w:kern w:val="2"/>
              </w:rPr>
              <w:t>万元，</w:t>
            </w:r>
            <w:r>
              <w:rPr>
                <w:rFonts w:hint="default" w:ascii="Times New Roman" w:hAnsi="Times New Roman" w:eastAsia="宋体" w:cs="Times New Roman"/>
                <w:color w:val="auto"/>
                <w:kern w:val="2"/>
                <w:highlight w:val="none"/>
              </w:rPr>
              <w:t>其中环保投资</w:t>
            </w:r>
            <w:r>
              <w:rPr>
                <w:rFonts w:hint="eastAsia" w:eastAsia="宋体" w:cs="Times New Roman"/>
                <w:color w:val="auto"/>
                <w:kern w:val="2"/>
                <w:highlight w:val="none"/>
                <w:lang w:eastAsia="zh-CN"/>
              </w:rPr>
              <w:t>154.2</w:t>
            </w:r>
            <w:r>
              <w:rPr>
                <w:rFonts w:hint="default" w:ascii="Times New Roman" w:hAnsi="Times New Roman" w:eastAsia="宋体" w:cs="Times New Roman"/>
                <w:color w:val="auto"/>
                <w:kern w:val="2"/>
                <w:highlight w:val="none"/>
              </w:rPr>
              <w:t>万元，占总投资的</w:t>
            </w:r>
            <w:r>
              <w:rPr>
                <w:rFonts w:hint="eastAsia" w:eastAsia="宋体" w:cs="Times New Roman"/>
                <w:color w:val="auto"/>
                <w:kern w:val="2"/>
                <w:highlight w:val="none"/>
                <w:lang w:eastAsia="zh-CN"/>
              </w:rPr>
              <w:t>0.75</w:t>
            </w:r>
            <w:r>
              <w:rPr>
                <w:rFonts w:hint="default" w:ascii="Times New Roman" w:hAnsi="Times New Roman" w:eastAsia="宋体" w:cs="Times New Roman"/>
                <w:color w:val="auto"/>
                <w:kern w:val="2"/>
                <w:highlight w:val="none"/>
              </w:rPr>
              <w:t>%，</w:t>
            </w:r>
            <w:r>
              <w:rPr>
                <w:rFonts w:hint="default" w:ascii="Times New Roman" w:hAnsi="Times New Roman" w:eastAsia="宋体" w:cs="Times New Roman"/>
                <w:color w:val="auto"/>
                <w:kern w:val="2"/>
              </w:rPr>
              <w:t>环保投资明细详见表2-4。</w:t>
            </w:r>
          </w:p>
          <w:p>
            <w:pPr>
              <w:pStyle w:val="67"/>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表2-4  项目环保投资一览表</w:t>
            </w:r>
          </w:p>
          <w:tbl>
            <w:tblPr>
              <w:tblStyle w:val="37"/>
              <w:tblW w:w="8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
              <w:gridCol w:w="1021"/>
              <w:gridCol w:w="5862"/>
              <w:gridCol w:w="1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jc w:val="center"/>
              </w:trPr>
              <w:tc>
                <w:tcPr>
                  <w:tcW w:w="1487" w:type="dxa"/>
                  <w:gridSpan w:val="2"/>
                  <w:vAlign w:val="center"/>
                </w:tcPr>
                <w:p>
                  <w:pPr>
                    <w:pStyle w:val="146"/>
                    <w:spacing w:line="360" w:lineRule="auto"/>
                    <w:ind w:left="0" w:leftChars="0" w:right="0" w:rightChars="0"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治理对象</w:t>
                  </w:r>
                </w:p>
              </w:tc>
              <w:tc>
                <w:tcPr>
                  <w:tcW w:w="5862" w:type="dxa"/>
                  <w:vAlign w:val="center"/>
                </w:tcPr>
                <w:p>
                  <w:pPr>
                    <w:pStyle w:val="146"/>
                    <w:spacing w:line="360" w:lineRule="auto"/>
                    <w:ind w:left="0" w:leftChars="0" w:right="0" w:rightChars="0"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治理措施及规模</w:t>
                  </w:r>
                </w:p>
              </w:tc>
              <w:tc>
                <w:tcPr>
                  <w:tcW w:w="1029" w:type="dxa"/>
                  <w:vAlign w:val="center"/>
                </w:tcPr>
                <w:p>
                  <w:pPr>
                    <w:pStyle w:val="146"/>
                    <w:spacing w:line="360" w:lineRule="auto"/>
                    <w:ind w:left="0" w:leftChars="0" w:right="0" w:rightChars="0"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66" w:type="dxa"/>
                  <w:vMerge w:val="restart"/>
                  <w:vAlign w:val="center"/>
                </w:tcPr>
                <w:p>
                  <w:pPr>
                    <w:pStyle w:val="146"/>
                    <w:spacing w:line="36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lang w:eastAsia="zh-CN"/>
                    </w:rPr>
                  </w:pPr>
                  <w:r>
                    <w:rPr>
                      <w:rFonts w:hint="default" w:ascii="Times New Roman" w:hAnsi="Times New Roman" w:cs="Times New Roman"/>
                      <w:b w:val="0"/>
                      <w:bCs w:val="0"/>
                      <w:color w:val="auto"/>
                      <w:kern w:val="2"/>
                      <w:sz w:val="21"/>
                      <w:szCs w:val="21"/>
                      <w:lang w:eastAsia="zh-CN"/>
                    </w:rPr>
                    <w:t>施工期</w:t>
                  </w:r>
                </w:p>
              </w:tc>
              <w:tc>
                <w:tcPr>
                  <w:tcW w:w="1021" w:type="dxa"/>
                  <w:vAlign w:val="center"/>
                </w:tcPr>
                <w:p>
                  <w:pPr>
                    <w:pStyle w:val="146"/>
                    <w:spacing w:line="36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lang w:eastAsia="zh-CN"/>
                    </w:rPr>
                  </w:pPr>
                  <w:r>
                    <w:rPr>
                      <w:rFonts w:hint="default" w:ascii="Times New Roman" w:hAnsi="Times New Roman" w:cs="Times New Roman"/>
                      <w:b w:val="0"/>
                      <w:bCs w:val="0"/>
                      <w:color w:val="auto"/>
                      <w:kern w:val="2"/>
                      <w:sz w:val="21"/>
                      <w:szCs w:val="21"/>
                      <w:lang w:eastAsia="zh-CN"/>
                    </w:rPr>
                    <w:t>废水</w:t>
                  </w:r>
                </w:p>
              </w:tc>
              <w:tc>
                <w:tcPr>
                  <w:tcW w:w="5862" w:type="dxa"/>
                  <w:vAlign w:val="center"/>
                </w:tcPr>
                <w:p>
                  <w:pPr>
                    <w:pStyle w:val="146"/>
                    <w:spacing w:line="360" w:lineRule="auto"/>
                    <w:ind w:left="0" w:leftChars="0" w:right="0" w:rightChars="0" w:firstLine="0" w:firstLineChars="0"/>
                    <w:jc w:val="both"/>
                    <w:rPr>
                      <w:rFonts w:hint="default" w:ascii="Times New Roman" w:hAnsi="Times New Roman" w:eastAsia="宋体" w:cs="Times New Roman"/>
                      <w:b w:val="0"/>
                      <w:bCs w:val="0"/>
                      <w:color w:val="auto"/>
                      <w:kern w:val="2"/>
                      <w:sz w:val="21"/>
                      <w:szCs w:val="21"/>
                      <w:lang w:eastAsia="zh-CN"/>
                    </w:rPr>
                  </w:pPr>
                  <w:r>
                    <w:rPr>
                      <w:rFonts w:hint="default" w:ascii="Times New Roman" w:hAnsi="Times New Roman" w:cs="Times New Roman"/>
                      <w:b w:val="0"/>
                      <w:bCs w:val="0"/>
                      <w:color w:val="auto"/>
                      <w:kern w:val="2"/>
                      <w:sz w:val="21"/>
                      <w:szCs w:val="21"/>
                      <w:lang w:eastAsia="zh-CN"/>
                    </w:rPr>
                    <w:t>施工产生的废水，采用一个容积为</w:t>
                  </w:r>
                  <w:r>
                    <w:rPr>
                      <w:rFonts w:hint="default" w:ascii="Times New Roman" w:hAnsi="Times New Roman" w:cs="Times New Roman"/>
                      <w:b w:val="0"/>
                      <w:bCs w:val="0"/>
                      <w:color w:val="auto"/>
                      <w:kern w:val="2"/>
                      <w:sz w:val="21"/>
                      <w:szCs w:val="21"/>
                      <w:lang w:val="en-US" w:eastAsia="zh-CN"/>
                    </w:rPr>
                    <w:t>5m³的</w:t>
                  </w:r>
                  <w:r>
                    <w:rPr>
                      <w:rFonts w:hint="default" w:ascii="Times New Roman" w:hAnsi="Times New Roman" w:eastAsia="宋体" w:cs="Times New Roman"/>
                      <w:b w:val="0"/>
                      <w:bCs w:val="0"/>
                      <w:color w:val="auto"/>
                      <w:kern w:val="2"/>
                      <w:sz w:val="21"/>
                      <w:szCs w:val="21"/>
                      <w:lang w:eastAsia="zh-CN"/>
                    </w:rPr>
                    <w:t>沉淀池</w:t>
                  </w:r>
                  <w:r>
                    <w:rPr>
                      <w:rFonts w:hint="default" w:ascii="Times New Roman" w:hAnsi="Times New Roman" w:cs="Times New Roman"/>
                      <w:b w:val="0"/>
                      <w:bCs w:val="0"/>
                      <w:color w:val="auto"/>
                      <w:kern w:val="2"/>
                      <w:sz w:val="21"/>
                      <w:szCs w:val="21"/>
                      <w:lang w:eastAsia="zh-CN"/>
                    </w:rPr>
                    <w:t>沉淀。</w:t>
                  </w:r>
                </w:p>
              </w:tc>
              <w:tc>
                <w:tcPr>
                  <w:tcW w:w="1029" w:type="dxa"/>
                  <w:vAlign w:val="center"/>
                </w:tcPr>
                <w:p>
                  <w:pPr>
                    <w:pStyle w:val="146"/>
                    <w:spacing w:line="36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cs="Times New Roman"/>
                      <w:b w:val="0"/>
                      <w:bCs w:val="0"/>
                      <w:color w:val="auto"/>
                      <w:kern w:val="2"/>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66" w:type="dxa"/>
                  <w:vMerge w:val="continue"/>
                  <w:vAlign w:val="center"/>
                </w:tcPr>
                <w:p>
                  <w:pPr>
                    <w:pStyle w:val="146"/>
                    <w:spacing w:line="360" w:lineRule="auto"/>
                    <w:ind w:left="0" w:leftChars="0" w:right="0" w:rightChars="0" w:firstLine="0" w:firstLineChars="0"/>
                    <w:jc w:val="center"/>
                    <w:rPr>
                      <w:rFonts w:hint="default" w:ascii="Times New Roman" w:hAnsi="Times New Roman" w:cs="Times New Roman"/>
                      <w:b w:val="0"/>
                      <w:bCs w:val="0"/>
                      <w:color w:val="auto"/>
                      <w:kern w:val="2"/>
                      <w:sz w:val="21"/>
                      <w:szCs w:val="21"/>
                    </w:rPr>
                  </w:pPr>
                </w:p>
              </w:tc>
              <w:tc>
                <w:tcPr>
                  <w:tcW w:w="1021" w:type="dxa"/>
                  <w:vAlign w:val="center"/>
                </w:tcPr>
                <w:p>
                  <w:pPr>
                    <w:pStyle w:val="146"/>
                    <w:spacing w:line="36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lang w:eastAsia="zh-CN"/>
                    </w:rPr>
                  </w:pPr>
                  <w:r>
                    <w:rPr>
                      <w:rFonts w:hint="default" w:ascii="Times New Roman" w:hAnsi="Times New Roman" w:cs="Times New Roman"/>
                      <w:b w:val="0"/>
                      <w:bCs w:val="0"/>
                      <w:color w:val="auto"/>
                      <w:kern w:val="2"/>
                      <w:sz w:val="21"/>
                      <w:szCs w:val="21"/>
                      <w:lang w:eastAsia="zh-CN"/>
                    </w:rPr>
                    <w:t>废气</w:t>
                  </w:r>
                </w:p>
              </w:tc>
              <w:tc>
                <w:tcPr>
                  <w:tcW w:w="5862" w:type="dxa"/>
                  <w:vAlign w:val="center"/>
                </w:tcPr>
                <w:p>
                  <w:pPr>
                    <w:pStyle w:val="146"/>
                    <w:spacing w:line="360" w:lineRule="auto"/>
                    <w:ind w:left="0" w:leftChars="0" w:right="0" w:rightChars="0" w:firstLine="0" w:firstLineChars="0"/>
                    <w:jc w:val="both"/>
                    <w:rPr>
                      <w:rFonts w:hint="default" w:ascii="Times New Roman" w:hAnsi="Times New Roman" w:cs="Times New Roman"/>
                      <w:b w:val="0"/>
                      <w:bCs w:val="0"/>
                      <w:color w:val="auto"/>
                      <w:kern w:val="2"/>
                      <w:sz w:val="21"/>
                      <w:szCs w:val="21"/>
                    </w:rPr>
                  </w:pPr>
                  <w:r>
                    <w:rPr>
                      <w:rFonts w:hint="default" w:ascii="Times New Roman" w:hAnsi="Times New Roman" w:cs="Times New Roman"/>
                      <w:b w:val="0"/>
                      <w:bCs w:val="0"/>
                      <w:color w:val="auto"/>
                      <w:kern w:val="2"/>
                      <w:sz w:val="21"/>
                      <w:szCs w:val="21"/>
                    </w:rPr>
                    <w:t>建筑施工扬尘采取</w:t>
                  </w:r>
                  <w:r>
                    <w:rPr>
                      <w:rFonts w:hint="default" w:ascii="Times New Roman" w:hAnsi="Times New Roman" w:cs="Times New Roman"/>
                      <w:b w:val="0"/>
                      <w:bCs w:val="0"/>
                      <w:color w:val="auto"/>
                      <w:kern w:val="2"/>
                      <w:sz w:val="21"/>
                      <w:szCs w:val="21"/>
                      <w:lang w:eastAsia="zh-CN"/>
                    </w:rPr>
                    <w:t>雾化喷淋</w:t>
                  </w:r>
                  <w:r>
                    <w:rPr>
                      <w:rFonts w:hint="default" w:ascii="Times New Roman" w:hAnsi="Times New Roman" w:cs="Times New Roman"/>
                      <w:b w:val="0"/>
                      <w:bCs w:val="0"/>
                      <w:color w:val="auto"/>
                      <w:kern w:val="2"/>
                      <w:sz w:val="21"/>
                      <w:szCs w:val="21"/>
                    </w:rPr>
                    <w:t>、围墙围挡；汽车尾气、装修废气，采取雾化喷淋降尘。</w:t>
                  </w:r>
                </w:p>
              </w:tc>
              <w:tc>
                <w:tcPr>
                  <w:tcW w:w="1029" w:type="dxa"/>
                  <w:vAlign w:val="center"/>
                </w:tcPr>
                <w:p>
                  <w:pPr>
                    <w:pStyle w:val="146"/>
                    <w:spacing w:line="36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cs="Times New Roman"/>
                      <w:b w:val="0"/>
                      <w:bCs w:val="0"/>
                      <w:color w:val="auto"/>
                      <w:kern w:val="2"/>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66" w:type="dxa"/>
                  <w:vMerge w:val="continue"/>
                  <w:vAlign w:val="center"/>
                </w:tcPr>
                <w:p>
                  <w:pPr>
                    <w:pStyle w:val="146"/>
                    <w:spacing w:line="360" w:lineRule="auto"/>
                    <w:ind w:left="0" w:leftChars="0" w:right="0" w:rightChars="0" w:firstLine="0" w:firstLineChars="0"/>
                    <w:jc w:val="center"/>
                    <w:rPr>
                      <w:rFonts w:hint="default" w:ascii="Times New Roman" w:hAnsi="Times New Roman" w:cs="Times New Roman"/>
                      <w:b w:val="0"/>
                      <w:bCs w:val="0"/>
                      <w:color w:val="auto"/>
                      <w:kern w:val="2"/>
                      <w:sz w:val="21"/>
                      <w:szCs w:val="21"/>
                    </w:rPr>
                  </w:pPr>
                </w:p>
              </w:tc>
              <w:tc>
                <w:tcPr>
                  <w:tcW w:w="1021" w:type="dxa"/>
                  <w:vAlign w:val="center"/>
                </w:tcPr>
                <w:p>
                  <w:pPr>
                    <w:pStyle w:val="146"/>
                    <w:spacing w:line="36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lang w:eastAsia="zh-CN"/>
                    </w:rPr>
                  </w:pPr>
                  <w:r>
                    <w:rPr>
                      <w:rFonts w:hint="default" w:ascii="Times New Roman" w:hAnsi="Times New Roman" w:cs="Times New Roman"/>
                      <w:b w:val="0"/>
                      <w:bCs w:val="0"/>
                      <w:color w:val="auto"/>
                      <w:kern w:val="2"/>
                      <w:sz w:val="21"/>
                      <w:szCs w:val="21"/>
                      <w:lang w:eastAsia="zh-CN"/>
                    </w:rPr>
                    <w:t>噪声</w:t>
                  </w:r>
                </w:p>
              </w:tc>
              <w:tc>
                <w:tcPr>
                  <w:tcW w:w="5862" w:type="dxa"/>
                  <w:vAlign w:val="center"/>
                </w:tcPr>
                <w:p>
                  <w:pPr>
                    <w:pStyle w:val="146"/>
                    <w:spacing w:line="360" w:lineRule="auto"/>
                    <w:ind w:left="0" w:leftChars="0" w:right="0" w:rightChars="0" w:firstLine="0" w:firstLineChars="0"/>
                    <w:jc w:val="both"/>
                    <w:rPr>
                      <w:rFonts w:hint="default" w:ascii="Times New Roman" w:hAnsi="Times New Roman" w:eastAsia="宋体" w:cs="Times New Roman"/>
                      <w:b w:val="0"/>
                      <w:bCs w:val="0"/>
                      <w:color w:val="auto"/>
                      <w:kern w:val="2"/>
                      <w:sz w:val="21"/>
                      <w:szCs w:val="21"/>
                      <w:lang w:eastAsia="zh-CN"/>
                    </w:rPr>
                  </w:pPr>
                  <w:r>
                    <w:rPr>
                      <w:rFonts w:hint="default" w:ascii="Times New Roman" w:hAnsi="Times New Roman" w:cs="Times New Roman"/>
                      <w:b w:val="0"/>
                      <w:bCs w:val="0"/>
                      <w:color w:val="auto"/>
                      <w:kern w:val="2"/>
                      <w:sz w:val="21"/>
                      <w:szCs w:val="21"/>
                      <w:lang w:eastAsia="zh-CN"/>
                    </w:rPr>
                    <w:t>合理安排施工，做好告知准备。</w:t>
                  </w:r>
                </w:p>
              </w:tc>
              <w:tc>
                <w:tcPr>
                  <w:tcW w:w="1029" w:type="dxa"/>
                  <w:vAlign w:val="center"/>
                </w:tcPr>
                <w:p>
                  <w:pPr>
                    <w:pStyle w:val="146"/>
                    <w:spacing w:line="36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cs="Times New Roman"/>
                      <w:b w:val="0"/>
                      <w:bCs w:val="0"/>
                      <w:color w:val="auto"/>
                      <w:kern w:val="2"/>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466" w:type="dxa"/>
                  <w:vMerge w:val="continue"/>
                  <w:vAlign w:val="center"/>
                </w:tcPr>
                <w:p>
                  <w:pPr>
                    <w:pStyle w:val="146"/>
                    <w:spacing w:line="360" w:lineRule="auto"/>
                    <w:ind w:left="0" w:leftChars="0" w:right="0" w:rightChars="0" w:firstLine="0" w:firstLineChars="0"/>
                    <w:jc w:val="center"/>
                    <w:rPr>
                      <w:rFonts w:hint="default" w:ascii="Times New Roman" w:hAnsi="Times New Roman" w:cs="Times New Roman"/>
                      <w:b w:val="0"/>
                      <w:bCs w:val="0"/>
                      <w:color w:val="auto"/>
                      <w:kern w:val="2"/>
                      <w:sz w:val="21"/>
                      <w:szCs w:val="21"/>
                    </w:rPr>
                  </w:pPr>
                </w:p>
              </w:tc>
              <w:tc>
                <w:tcPr>
                  <w:tcW w:w="1021" w:type="dxa"/>
                  <w:vAlign w:val="center"/>
                </w:tcPr>
                <w:p>
                  <w:pPr>
                    <w:pStyle w:val="146"/>
                    <w:spacing w:line="36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lang w:eastAsia="zh-CN"/>
                    </w:rPr>
                  </w:pPr>
                  <w:r>
                    <w:rPr>
                      <w:rFonts w:hint="default" w:ascii="Times New Roman" w:hAnsi="Times New Roman" w:cs="Times New Roman"/>
                      <w:b w:val="0"/>
                      <w:bCs w:val="0"/>
                      <w:color w:val="auto"/>
                      <w:kern w:val="2"/>
                      <w:sz w:val="21"/>
                      <w:szCs w:val="21"/>
                      <w:lang w:eastAsia="zh-CN"/>
                    </w:rPr>
                    <w:t>固体废物</w:t>
                  </w:r>
                </w:p>
              </w:tc>
              <w:tc>
                <w:tcPr>
                  <w:tcW w:w="5862" w:type="dxa"/>
                  <w:vAlign w:val="center"/>
                </w:tcPr>
                <w:p>
                  <w:pPr>
                    <w:pStyle w:val="146"/>
                    <w:spacing w:line="360" w:lineRule="auto"/>
                    <w:ind w:left="0" w:leftChars="0" w:right="0" w:rightChars="0" w:firstLine="0" w:firstLineChars="0"/>
                    <w:jc w:val="both"/>
                    <w:rPr>
                      <w:rFonts w:hint="default" w:ascii="Times New Roman" w:hAnsi="Times New Roman" w:eastAsia="宋体" w:cs="Times New Roman"/>
                      <w:b w:val="0"/>
                      <w:bCs w:val="0"/>
                      <w:color w:val="auto"/>
                      <w:kern w:val="2"/>
                      <w:sz w:val="21"/>
                      <w:szCs w:val="21"/>
                      <w:lang w:eastAsia="zh-CN"/>
                    </w:rPr>
                  </w:pPr>
                  <w:r>
                    <w:rPr>
                      <w:rFonts w:hint="default" w:ascii="Times New Roman" w:hAnsi="Times New Roman" w:cs="Times New Roman"/>
                      <w:b w:val="0"/>
                      <w:bCs w:val="0"/>
                      <w:color w:val="auto"/>
                      <w:kern w:val="2"/>
                      <w:sz w:val="21"/>
                      <w:szCs w:val="21"/>
                      <w:lang w:eastAsia="zh-CN"/>
                    </w:rPr>
                    <w:t>建筑垃圾委托清运；生活垃圾收集后委托当地环卫部门清运处置。</w:t>
                  </w:r>
                </w:p>
              </w:tc>
              <w:tc>
                <w:tcPr>
                  <w:tcW w:w="1029" w:type="dxa"/>
                  <w:vAlign w:val="center"/>
                </w:tcPr>
                <w:p>
                  <w:pPr>
                    <w:pStyle w:val="146"/>
                    <w:spacing w:line="36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lang w:val="en-US" w:eastAsia="zh-CN"/>
                    </w:rPr>
                  </w:pPr>
                  <w:r>
                    <w:rPr>
                      <w:rFonts w:hint="default" w:ascii="Times New Roman" w:hAnsi="Times New Roman" w:cs="Times New Roman"/>
                      <w:b w:val="0"/>
                      <w:bCs w:val="0"/>
                      <w:color w:val="auto"/>
                      <w:kern w:val="2"/>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466" w:type="dxa"/>
                  <w:vMerge w:val="restart"/>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运营期</w:t>
                  </w:r>
                </w:p>
              </w:tc>
              <w:tc>
                <w:tcPr>
                  <w:tcW w:w="1021" w:type="dxa"/>
                  <w:vMerge w:val="restart"/>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废水</w:t>
                  </w:r>
                </w:p>
              </w:tc>
              <w:tc>
                <w:tcPr>
                  <w:tcW w:w="5862" w:type="dxa"/>
                  <w:vAlign w:val="center"/>
                </w:tcPr>
                <w:p>
                  <w:pPr>
                    <w:pStyle w:val="146"/>
                    <w:spacing w:line="360" w:lineRule="auto"/>
                    <w:ind w:left="0" w:leftChars="0" w:right="0" w:rightChars="0" w:firstLine="0" w:firstLineChars="0"/>
                    <w:jc w:val="both"/>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rPr>
                    <w:t>雨污分流，屋面及屋外雨水通过院内雨污管网及截排水沟收集后排入市政雨水管网</w:t>
                  </w:r>
                  <w:r>
                    <w:rPr>
                      <w:rFonts w:hint="default" w:ascii="Times New Roman" w:hAnsi="Times New Roman" w:cs="Times New Roman"/>
                      <w:color w:val="auto"/>
                      <w:kern w:val="2"/>
                      <w:sz w:val="21"/>
                      <w:szCs w:val="21"/>
                      <w:lang w:eastAsia="zh-CN"/>
                    </w:rPr>
                    <w:t>。</w:t>
                  </w:r>
                </w:p>
              </w:tc>
              <w:tc>
                <w:tcPr>
                  <w:tcW w:w="1029" w:type="dxa"/>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66" w:type="dxa"/>
                  <w:vMerge w:val="continue"/>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1021" w:type="dxa"/>
                  <w:vMerge w:val="continue"/>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5862" w:type="dxa"/>
                  <w:vAlign w:val="center"/>
                </w:tcPr>
                <w:p>
                  <w:pPr>
                    <w:pStyle w:val="146"/>
                    <w:spacing w:line="360" w:lineRule="auto"/>
                    <w:ind w:left="0" w:leftChars="0" w:right="0" w:rightChars="0" w:firstLine="0" w:firstLineChars="0"/>
                    <w:jc w:val="both"/>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检验室废液收集桶，4只。</w:t>
                  </w:r>
                </w:p>
              </w:tc>
              <w:tc>
                <w:tcPr>
                  <w:tcW w:w="1029" w:type="dxa"/>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466" w:type="dxa"/>
                  <w:vMerge w:val="continue"/>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1021" w:type="dxa"/>
                  <w:vMerge w:val="continue"/>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5862" w:type="dxa"/>
                  <w:vAlign w:val="center"/>
                </w:tcPr>
                <w:p>
                  <w:pPr>
                    <w:pStyle w:val="146"/>
                    <w:spacing w:line="360" w:lineRule="auto"/>
                    <w:ind w:left="0" w:leftChars="0" w:right="0" w:rightChars="0" w:firstLine="0" w:firstLineChars="0"/>
                    <w:jc w:val="both"/>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highlight w:val="none"/>
                    </w:rPr>
                    <w:t>污水处理池1个，占地面积150平方米</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color w:val="auto"/>
                      <w:kern w:val="2"/>
                      <w:sz w:val="21"/>
                      <w:szCs w:val="21"/>
                      <w:highlight w:val="none"/>
                    </w:rPr>
                    <w:t>污水处理站1座，</w:t>
                  </w:r>
                  <w:r>
                    <w:rPr>
                      <w:rFonts w:hint="default" w:ascii="Times New Roman" w:hAnsi="Times New Roman" w:cs="Times New Roman"/>
                      <w:color w:val="auto"/>
                      <w:kern w:val="2"/>
                      <w:sz w:val="21"/>
                      <w:szCs w:val="21"/>
                      <w:highlight w:val="none"/>
                      <w:lang w:eastAsia="zh-CN"/>
                    </w:rPr>
                    <w:t>处理规模</w:t>
                  </w:r>
                  <w:r>
                    <w:rPr>
                      <w:rFonts w:hint="default" w:ascii="Times New Roman" w:hAnsi="Times New Roman" w:cs="Times New Roman"/>
                      <w:color w:val="auto"/>
                      <w:kern w:val="2"/>
                      <w:sz w:val="21"/>
                      <w:szCs w:val="21"/>
                      <w:highlight w:val="none"/>
                      <w:lang w:val="en-US" w:eastAsia="zh-CN"/>
                    </w:rPr>
                    <w:t>60</w:t>
                  </w:r>
                  <w:r>
                    <w:rPr>
                      <w:rFonts w:hint="default" w:ascii="Times New Roman" w:hAnsi="Times New Roman" w:cs="Times New Roman"/>
                      <w:color w:val="auto"/>
                      <w:kern w:val="2"/>
                      <w:sz w:val="21"/>
                      <w:szCs w:val="21"/>
                      <w:highlight w:val="none"/>
                    </w:rPr>
                    <w:t>m</w:t>
                  </w:r>
                  <w:r>
                    <w:rPr>
                      <w:rFonts w:hint="default" w:ascii="Times New Roman" w:hAnsi="Times New Roman" w:cs="Times New Roman"/>
                      <w:color w:val="auto"/>
                      <w:kern w:val="2"/>
                      <w:sz w:val="21"/>
                      <w:szCs w:val="21"/>
                      <w:highlight w:val="none"/>
                      <w:vertAlign w:val="superscript"/>
                    </w:rPr>
                    <w:t>3</w:t>
                  </w:r>
                  <w:r>
                    <w:rPr>
                      <w:rFonts w:hint="default" w:ascii="Times New Roman" w:hAnsi="Times New Roman" w:cs="Times New Roman"/>
                      <w:color w:val="auto"/>
                      <w:kern w:val="2"/>
                      <w:sz w:val="21"/>
                      <w:szCs w:val="21"/>
                      <w:highlight w:val="none"/>
                    </w:rPr>
                    <w:t>/d，规范化污水排放口1个。</w:t>
                  </w:r>
                  <w:r>
                    <w:rPr>
                      <w:rFonts w:hint="default" w:ascii="Times New Roman" w:hAnsi="Times New Roman" w:cs="Times New Roman"/>
                      <w:color w:val="auto"/>
                      <w:kern w:val="2"/>
                      <w:sz w:val="21"/>
                      <w:szCs w:val="21"/>
                      <w:highlight w:val="none"/>
                      <w:lang w:eastAsia="zh-CN"/>
                    </w:rPr>
                    <w:t>脱氯消毒池</w:t>
                  </w:r>
                  <w:r>
                    <w:rPr>
                      <w:rFonts w:hint="default" w:ascii="Times New Roman" w:hAnsi="Times New Roman" w:cs="Times New Roman"/>
                      <w:color w:val="auto"/>
                      <w:kern w:val="2"/>
                      <w:sz w:val="21"/>
                      <w:szCs w:val="21"/>
                      <w:highlight w:val="none"/>
                      <w:lang w:val="en-US" w:eastAsia="zh-CN"/>
                    </w:rPr>
                    <w:t>1个，有效容积20</w:t>
                  </w:r>
                  <w:r>
                    <w:rPr>
                      <w:rFonts w:hint="default" w:ascii="Times New Roman" w:hAnsi="Times New Roman" w:cs="Times New Roman"/>
                      <w:color w:val="auto"/>
                      <w:kern w:val="2"/>
                      <w:sz w:val="21"/>
                      <w:szCs w:val="21"/>
                      <w:highlight w:val="none"/>
                    </w:rPr>
                    <w:t>m</w:t>
                  </w:r>
                  <w:r>
                    <w:rPr>
                      <w:rFonts w:hint="default" w:ascii="Times New Roman" w:hAnsi="Times New Roman" w:cs="Times New Roman"/>
                      <w:color w:val="auto"/>
                      <w:kern w:val="2"/>
                      <w:sz w:val="21"/>
                      <w:szCs w:val="21"/>
                      <w:highlight w:val="none"/>
                      <w:vertAlign w:val="superscript"/>
                    </w:rPr>
                    <w:t>3</w:t>
                  </w:r>
                  <w:r>
                    <w:rPr>
                      <w:rFonts w:hint="default" w:ascii="Times New Roman" w:hAnsi="Times New Roman" w:cs="Times New Roman"/>
                      <w:color w:val="auto"/>
                      <w:kern w:val="2"/>
                      <w:sz w:val="21"/>
                      <w:szCs w:val="21"/>
                      <w:highlight w:val="none"/>
                      <w:vertAlign w:val="baseline"/>
                      <w:lang w:eastAsia="zh-CN"/>
                    </w:rPr>
                    <w:t>。</w:t>
                  </w:r>
                </w:p>
              </w:tc>
              <w:tc>
                <w:tcPr>
                  <w:tcW w:w="1029" w:type="dxa"/>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466" w:type="dxa"/>
                  <w:vMerge w:val="continue"/>
                  <w:vAlign w:val="center"/>
                </w:tcPr>
                <w:p>
                  <w:pPr>
                    <w:pStyle w:val="146"/>
                    <w:spacing w:line="360" w:lineRule="auto"/>
                    <w:ind w:left="0" w:leftChars="0" w:right="0" w:rightChars="0" w:firstLine="0" w:firstLineChars="0"/>
                    <w:jc w:val="center"/>
                    <w:rPr>
                      <w:color w:val="auto"/>
                    </w:rPr>
                  </w:pPr>
                </w:p>
              </w:tc>
              <w:tc>
                <w:tcPr>
                  <w:tcW w:w="1021" w:type="dxa"/>
                  <w:vMerge w:val="continue"/>
                  <w:vAlign w:val="center"/>
                </w:tcPr>
                <w:p>
                  <w:pPr>
                    <w:pStyle w:val="146"/>
                    <w:spacing w:line="360" w:lineRule="auto"/>
                    <w:ind w:left="0" w:leftChars="0" w:right="0" w:rightChars="0" w:firstLine="0" w:firstLineChars="0"/>
                    <w:jc w:val="center"/>
                    <w:rPr>
                      <w:color w:val="auto"/>
                    </w:rPr>
                  </w:pPr>
                </w:p>
              </w:tc>
              <w:tc>
                <w:tcPr>
                  <w:tcW w:w="5862" w:type="dxa"/>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eastAsia="zh-CN"/>
                    </w:rPr>
                    <w:t>新建化粪池一个，有效容积</w:t>
                  </w:r>
                  <w:r>
                    <w:rPr>
                      <w:rFonts w:hint="eastAsia" w:cs="Times New Roman"/>
                      <w:color w:val="auto"/>
                      <w:kern w:val="2"/>
                      <w:sz w:val="21"/>
                      <w:szCs w:val="21"/>
                      <w:highlight w:val="none"/>
                      <w:lang w:val="en-US" w:eastAsia="zh-CN"/>
                    </w:rPr>
                    <w:t>50m³。</w:t>
                  </w:r>
                </w:p>
              </w:tc>
              <w:tc>
                <w:tcPr>
                  <w:tcW w:w="1029" w:type="dxa"/>
                  <w:vAlign w:val="center"/>
                </w:tcPr>
                <w:p>
                  <w:pPr>
                    <w:pStyle w:val="146"/>
                    <w:spacing w:line="360" w:lineRule="auto"/>
                    <w:ind w:left="0" w:leftChars="0" w:right="0" w:rightChars="0" w:firstLine="0" w:firstLineChars="0"/>
                    <w:jc w:val="center"/>
                    <w:rPr>
                      <w:rFonts w:hint="default"/>
                      <w:color w:val="auto"/>
                      <w:lang w:val="en-US" w:eastAsia="zh-CN"/>
                    </w:rPr>
                  </w:pPr>
                  <w:r>
                    <w:rPr>
                      <w:rFonts w:hint="eastAsia"/>
                      <w:color w:val="auto"/>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466" w:type="dxa"/>
                  <w:vMerge w:val="continue"/>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1021" w:type="dxa"/>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废气</w:t>
                  </w:r>
                </w:p>
              </w:tc>
              <w:tc>
                <w:tcPr>
                  <w:tcW w:w="5862" w:type="dxa"/>
                  <w:vAlign w:val="center"/>
                </w:tcPr>
                <w:p>
                  <w:pPr>
                    <w:pStyle w:val="146"/>
                    <w:spacing w:line="360" w:lineRule="auto"/>
                    <w:ind w:left="0" w:leftChars="0" w:right="0" w:rightChars="0" w:firstLine="0" w:firstLineChars="0"/>
                    <w:jc w:val="both"/>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lang w:eastAsia="zh-CN"/>
                    </w:rPr>
                    <w:t>污水处理站产生的废气</w:t>
                  </w:r>
                  <w:r>
                    <w:rPr>
                      <w:rFonts w:hint="eastAsia" w:cs="Times New Roman"/>
                      <w:color w:val="auto"/>
                      <w:kern w:val="2"/>
                      <w:sz w:val="21"/>
                      <w:szCs w:val="21"/>
                      <w:lang w:eastAsia="zh-CN"/>
                    </w:rPr>
                    <w:t>采取污水处理设施</w:t>
                  </w:r>
                  <w:r>
                    <w:rPr>
                      <w:rFonts w:hint="default" w:ascii="Times New Roman" w:hAnsi="Times New Roman" w:cs="Times New Roman"/>
                      <w:color w:val="auto"/>
                      <w:kern w:val="2"/>
                      <w:sz w:val="21"/>
                      <w:szCs w:val="21"/>
                      <w:lang w:eastAsia="zh-CN"/>
                    </w:rPr>
                    <w:t>加盖</w:t>
                  </w:r>
                  <w:r>
                    <w:rPr>
                      <w:rFonts w:hint="eastAsia" w:cs="Times New Roman"/>
                      <w:color w:val="auto"/>
                      <w:kern w:val="2"/>
                      <w:sz w:val="21"/>
                      <w:szCs w:val="21"/>
                      <w:lang w:eastAsia="zh-CN"/>
                    </w:rPr>
                    <w:t>并对污水处理站周围空气进行消毒处理</w:t>
                  </w:r>
                  <w:r>
                    <w:rPr>
                      <w:rFonts w:hint="default" w:ascii="Times New Roman" w:hAnsi="Times New Roman" w:cs="Times New Roman"/>
                      <w:color w:val="auto"/>
                      <w:kern w:val="2"/>
                      <w:sz w:val="21"/>
                      <w:szCs w:val="21"/>
                      <w:lang w:eastAsia="zh-CN"/>
                    </w:rPr>
                    <w:t>。医疗废物暂存间废气采用消毒喷雾对室内及周围空气进行消毒。</w:t>
                  </w:r>
                </w:p>
              </w:tc>
              <w:tc>
                <w:tcPr>
                  <w:tcW w:w="1029" w:type="dxa"/>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5</w:t>
                  </w:r>
                  <w:r>
                    <w:rPr>
                      <w:rFonts w:hint="default" w:ascii="Times New Roman" w:hAnsi="Times New Roman" w:cs="Times New Roman"/>
                      <w:color w:val="auto"/>
                      <w:kern w:val="2"/>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466" w:type="dxa"/>
                  <w:vMerge w:val="continue"/>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1021" w:type="dxa"/>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噪声</w:t>
                  </w:r>
                </w:p>
              </w:tc>
              <w:tc>
                <w:tcPr>
                  <w:tcW w:w="5862" w:type="dxa"/>
                  <w:vAlign w:val="center"/>
                </w:tcPr>
                <w:p>
                  <w:pPr>
                    <w:pStyle w:val="146"/>
                    <w:spacing w:line="360" w:lineRule="auto"/>
                    <w:ind w:left="0" w:leftChars="0" w:right="0" w:rightChars="0" w:firstLine="0" w:firstLineChars="0"/>
                    <w:jc w:val="both"/>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rPr>
                    <w:t>风机置于密闭的专门风机柜内，风机底座和基础安装减震设施，同时将风机柜设置成半地埋式</w:t>
                  </w:r>
                  <w:r>
                    <w:rPr>
                      <w:rFonts w:hint="default" w:ascii="Times New Roman" w:hAnsi="Times New Roman" w:cs="Times New Roman"/>
                      <w:color w:val="auto"/>
                      <w:kern w:val="2"/>
                      <w:sz w:val="21"/>
                      <w:szCs w:val="21"/>
                      <w:lang w:eastAsia="zh-CN"/>
                    </w:rPr>
                    <w:t>；</w:t>
                  </w:r>
                  <w:r>
                    <w:rPr>
                      <w:rFonts w:hint="default" w:ascii="Times New Roman" w:hAnsi="Times New Roman" w:cs="Times New Roman"/>
                      <w:color w:val="auto"/>
                      <w:kern w:val="2"/>
                      <w:sz w:val="21"/>
                      <w:szCs w:val="21"/>
                      <w:lang w:val="en-US" w:eastAsia="zh-CN"/>
                    </w:rPr>
                    <w:t>备用发电机置于备用发电机房内；</w:t>
                  </w:r>
                  <w:r>
                    <w:rPr>
                      <w:rFonts w:hint="eastAsia" w:cs="Times New Roman"/>
                      <w:color w:val="auto"/>
                      <w:kern w:val="2"/>
                      <w:sz w:val="21"/>
                      <w:szCs w:val="21"/>
                      <w:lang w:val="en-US" w:eastAsia="zh-CN"/>
                    </w:rPr>
                    <w:t>住院楼</w:t>
                  </w:r>
                  <w:r>
                    <w:rPr>
                      <w:rFonts w:hint="default" w:ascii="Times New Roman" w:hAnsi="Times New Roman" w:cs="Times New Roman"/>
                      <w:color w:val="auto"/>
                      <w:kern w:val="2"/>
                      <w:sz w:val="21"/>
                      <w:szCs w:val="21"/>
                      <w:lang w:val="en-US" w:eastAsia="zh-CN"/>
                    </w:rPr>
                    <w:t>安装隔声门窗；设置减速带；禁鸣标识牌。</w:t>
                  </w:r>
                </w:p>
              </w:tc>
              <w:tc>
                <w:tcPr>
                  <w:tcW w:w="1029" w:type="dxa"/>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466" w:type="dxa"/>
                  <w:vMerge w:val="continue"/>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1021" w:type="dxa"/>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固废</w:t>
                  </w:r>
                </w:p>
              </w:tc>
              <w:tc>
                <w:tcPr>
                  <w:tcW w:w="5862" w:type="dxa"/>
                  <w:vAlign w:val="center"/>
                </w:tcPr>
                <w:p>
                  <w:pPr>
                    <w:pStyle w:val="146"/>
                    <w:spacing w:line="360" w:lineRule="auto"/>
                    <w:ind w:left="0" w:leftChars="0" w:right="0" w:rightChars="0" w:firstLine="0" w:firstLineChars="0"/>
                    <w:jc w:val="both"/>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rPr>
                    <w:t>生活垃圾：大型移动式加盖生活垃圾收集桶、室内垃圾收集桶若干个。</w:t>
                  </w:r>
                  <w:r>
                    <w:rPr>
                      <w:rFonts w:hint="default" w:ascii="Times New Roman" w:hAnsi="Times New Roman" w:cs="Times New Roman"/>
                      <w:color w:val="auto"/>
                      <w:kern w:val="2"/>
                      <w:sz w:val="21"/>
                      <w:szCs w:val="21"/>
                      <w:lang w:eastAsia="zh-CN"/>
                    </w:rPr>
                    <w:t>生活垃圾房</w:t>
                  </w:r>
                  <w:r>
                    <w:rPr>
                      <w:rFonts w:hint="default" w:ascii="Times New Roman" w:hAnsi="Times New Roman" w:cs="Times New Roman"/>
                      <w:color w:val="auto"/>
                      <w:kern w:val="2"/>
                      <w:sz w:val="21"/>
                      <w:szCs w:val="21"/>
                      <w:lang w:val="en-US" w:eastAsia="zh-CN"/>
                    </w:rPr>
                    <w:t>1间，占地面积25.6</w:t>
                  </w:r>
                  <w:r>
                    <w:rPr>
                      <w:rFonts w:hint="default" w:ascii="Times New Roman" w:hAnsi="Times New Roman" w:cs="Times New Roman"/>
                      <w:color w:val="auto"/>
                      <w:kern w:val="2"/>
                      <w:sz w:val="21"/>
                      <w:szCs w:val="21"/>
                    </w:rPr>
                    <w:t>m</w:t>
                  </w:r>
                  <w:r>
                    <w:rPr>
                      <w:rFonts w:hint="default" w:ascii="Times New Roman" w:hAnsi="Times New Roman" w:cs="Times New Roman"/>
                      <w:color w:val="auto"/>
                      <w:kern w:val="2"/>
                      <w:sz w:val="21"/>
                      <w:szCs w:val="21"/>
                      <w:vertAlign w:val="superscript"/>
                    </w:rPr>
                    <w:t>2</w:t>
                  </w:r>
                  <w:r>
                    <w:rPr>
                      <w:rFonts w:hint="default" w:ascii="Times New Roman" w:hAnsi="Times New Roman" w:cs="Times New Roman"/>
                      <w:color w:val="auto"/>
                      <w:kern w:val="2"/>
                      <w:sz w:val="21"/>
                      <w:szCs w:val="21"/>
                      <w:vertAlign w:val="baseline"/>
                      <w:lang w:eastAsia="zh-CN"/>
                    </w:rPr>
                    <w:t>。</w:t>
                  </w:r>
                  <w:r>
                    <w:rPr>
                      <w:rFonts w:hint="eastAsia" w:cs="Times New Roman"/>
                      <w:color w:val="auto"/>
                      <w:kern w:val="2"/>
                      <w:sz w:val="21"/>
                      <w:szCs w:val="21"/>
                      <w:vertAlign w:val="baseline"/>
                      <w:lang w:eastAsia="zh-CN"/>
                    </w:rPr>
                    <w:t>医疗废物暂存间一间，占地面积</w:t>
                  </w:r>
                  <w:r>
                    <w:rPr>
                      <w:rFonts w:hint="eastAsia" w:cs="Times New Roman"/>
                      <w:color w:val="auto"/>
                      <w:kern w:val="2"/>
                      <w:sz w:val="21"/>
                      <w:szCs w:val="21"/>
                      <w:vertAlign w:val="baseline"/>
                      <w:lang w:val="en-US" w:eastAsia="zh-CN"/>
                    </w:rPr>
                    <w:t>75.6㎡，医疗废物分类暂存。</w:t>
                  </w:r>
                </w:p>
              </w:tc>
              <w:tc>
                <w:tcPr>
                  <w:tcW w:w="1029" w:type="dxa"/>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466" w:type="dxa"/>
                  <w:vMerge w:val="continue"/>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1021" w:type="dxa"/>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生态</w:t>
                  </w:r>
                </w:p>
              </w:tc>
              <w:tc>
                <w:tcPr>
                  <w:tcW w:w="5862" w:type="dxa"/>
                  <w:vAlign w:val="center"/>
                </w:tcPr>
                <w:p>
                  <w:pPr>
                    <w:pStyle w:val="146"/>
                    <w:spacing w:line="360" w:lineRule="auto"/>
                    <w:ind w:left="0" w:leftChars="0" w:right="0" w:rightChars="0" w:firstLine="0" w:firstLineChars="0"/>
                    <w:jc w:val="both"/>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绿化面积</w:t>
                  </w:r>
                  <w:r>
                    <w:rPr>
                      <w:rFonts w:hint="default" w:ascii="Times New Roman" w:hAnsi="Times New Roman" w:cs="Times New Roman"/>
                      <w:color w:val="auto"/>
                      <w:kern w:val="2"/>
                      <w:sz w:val="21"/>
                      <w:szCs w:val="21"/>
                      <w:lang w:val="en-US" w:eastAsia="zh-CN"/>
                    </w:rPr>
                    <w:t>400</w:t>
                  </w:r>
                  <w:r>
                    <w:rPr>
                      <w:rFonts w:hint="default" w:ascii="Times New Roman" w:hAnsi="Times New Roman" w:cs="Times New Roman"/>
                      <w:color w:val="auto"/>
                      <w:kern w:val="2"/>
                      <w:sz w:val="21"/>
                      <w:szCs w:val="21"/>
                    </w:rPr>
                    <w:t>0m</w:t>
                  </w:r>
                  <w:r>
                    <w:rPr>
                      <w:rFonts w:hint="default" w:ascii="Times New Roman" w:hAnsi="Times New Roman" w:cs="Times New Roman"/>
                      <w:color w:val="auto"/>
                      <w:kern w:val="2"/>
                      <w:sz w:val="21"/>
                      <w:szCs w:val="21"/>
                      <w:vertAlign w:val="superscript"/>
                    </w:rPr>
                    <w:t>2</w:t>
                  </w:r>
                  <w:r>
                    <w:rPr>
                      <w:rFonts w:hint="default" w:ascii="Times New Roman" w:hAnsi="Times New Roman" w:cs="Times New Roman"/>
                      <w:color w:val="auto"/>
                      <w:kern w:val="2"/>
                      <w:sz w:val="21"/>
                      <w:szCs w:val="21"/>
                    </w:rPr>
                    <w:t>。</w:t>
                  </w:r>
                </w:p>
              </w:tc>
              <w:tc>
                <w:tcPr>
                  <w:tcW w:w="1029" w:type="dxa"/>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466" w:type="dxa"/>
                  <w:vMerge w:val="continue"/>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rPr>
                  </w:pPr>
                </w:p>
              </w:tc>
              <w:tc>
                <w:tcPr>
                  <w:tcW w:w="1021" w:type="dxa"/>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lang w:eastAsia="zh-CN"/>
                    </w:rPr>
                    <w:t>风险防范</w:t>
                  </w:r>
                </w:p>
              </w:tc>
              <w:tc>
                <w:tcPr>
                  <w:tcW w:w="5862" w:type="dxa"/>
                  <w:vAlign w:val="center"/>
                </w:tcPr>
                <w:p>
                  <w:pPr>
                    <w:pStyle w:val="146"/>
                    <w:spacing w:line="360" w:lineRule="auto"/>
                    <w:ind w:left="0" w:leftChars="0" w:right="0" w:rightChars="0" w:firstLine="0" w:firstLineChars="0"/>
                    <w:jc w:val="both"/>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rPr>
                    <w:t>医疗废物暂存间采用水泥+2mm厚HDPE+环氧树脂，渗透系数≤10</w:t>
                  </w:r>
                  <w:r>
                    <w:rPr>
                      <w:rFonts w:hint="default" w:ascii="Times New Roman" w:hAnsi="Times New Roman" w:eastAsia="宋体" w:cs="Times New Roman"/>
                      <w:color w:val="auto"/>
                      <w:kern w:val="2"/>
                      <w:sz w:val="21"/>
                      <w:szCs w:val="21"/>
                      <w:vertAlign w:val="superscript"/>
                    </w:rPr>
                    <w:t>-10</w:t>
                  </w:r>
                  <w:r>
                    <w:rPr>
                      <w:rFonts w:hint="default" w:ascii="Times New Roman" w:hAnsi="Times New Roman" w:eastAsia="宋体" w:cs="Times New Roman"/>
                      <w:color w:val="auto"/>
                      <w:kern w:val="2"/>
                      <w:sz w:val="21"/>
                      <w:szCs w:val="21"/>
                    </w:rPr>
                    <w:t>cm/s，地面和1.0m高的墙裙必须硬化或贴瓷砖，方便清洁和消毒。</w:t>
                  </w:r>
                  <w:r>
                    <w:rPr>
                      <w:rFonts w:hint="default" w:ascii="Times New Roman" w:hAnsi="Times New Roman" w:eastAsia="宋体" w:cs="Times New Roman"/>
                      <w:color w:val="auto"/>
                      <w:kern w:val="2"/>
                      <w:sz w:val="21"/>
                      <w:szCs w:val="21"/>
                      <w:lang w:eastAsia="zh-CN"/>
                    </w:rPr>
                    <w:t>医疗废物分类暂存。</w:t>
                  </w:r>
                </w:p>
              </w:tc>
              <w:tc>
                <w:tcPr>
                  <w:tcW w:w="1029" w:type="dxa"/>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7349" w:type="dxa"/>
                  <w:gridSpan w:val="3"/>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b/>
                      <w:color w:val="auto"/>
                      <w:kern w:val="2"/>
                      <w:sz w:val="21"/>
                      <w:szCs w:val="21"/>
                    </w:rPr>
                    <w:t>总计</w:t>
                  </w:r>
                </w:p>
              </w:tc>
              <w:tc>
                <w:tcPr>
                  <w:tcW w:w="1029" w:type="dxa"/>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eastAsia="zh-CN"/>
                    </w:rPr>
                  </w:pPr>
                  <w:r>
                    <w:rPr>
                      <w:rFonts w:hint="eastAsia" w:cs="Times New Roman"/>
                      <w:color w:val="auto"/>
                      <w:kern w:val="2"/>
                      <w:sz w:val="21"/>
                      <w:szCs w:val="21"/>
                      <w:lang w:eastAsia="zh-CN"/>
                    </w:rPr>
                    <w:t>154.2</w:t>
                  </w:r>
                </w:p>
              </w:tc>
            </w:tr>
          </w:tbl>
          <w:p>
            <w:pPr>
              <w:jc w:val="both"/>
              <w:rPr>
                <w:rFonts w:hint="default" w:ascii="Times New Roman" w:hAnsi="Times New Roman" w:cs="Times New Roman"/>
                <w:color w:val="auto"/>
                <w:kern w:val="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75" w:type="dxa"/>
            <w:vAlign w:val="center"/>
          </w:tcPr>
          <w:p>
            <w:pPr>
              <w:adjustRightInd w:val="0"/>
              <w:snapToGrid w:val="0"/>
              <w:ind w:firstLine="0" w:firstLineChars="0"/>
              <w:jc w:val="center"/>
              <w:rPr>
                <w:rFonts w:cs="宋体"/>
                <w:b/>
                <w:snapToGrid w:val="0"/>
                <w:color w:val="auto"/>
                <w:kern w:val="0"/>
                <w:szCs w:val="24"/>
              </w:rPr>
            </w:pPr>
          </w:p>
          <w:p>
            <w:pPr>
              <w:adjustRightInd w:val="0"/>
              <w:snapToGrid w:val="0"/>
              <w:ind w:firstLine="0" w:firstLineChars="0"/>
              <w:jc w:val="center"/>
              <w:rPr>
                <w:rFonts w:cs="宋体"/>
                <w:b/>
                <w:snapToGrid w:val="0"/>
                <w:color w:val="auto"/>
                <w:kern w:val="0"/>
                <w:szCs w:val="24"/>
              </w:rPr>
            </w:pPr>
          </w:p>
          <w:p>
            <w:pPr>
              <w:adjustRightInd w:val="0"/>
              <w:snapToGrid w:val="0"/>
              <w:ind w:firstLine="0" w:firstLineChars="0"/>
              <w:jc w:val="center"/>
              <w:rPr>
                <w:rFonts w:cs="宋体"/>
                <w:b/>
                <w:color w:val="auto"/>
                <w:kern w:val="0"/>
                <w:szCs w:val="24"/>
              </w:rPr>
            </w:pPr>
            <w:r>
              <w:rPr>
                <w:rFonts w:hint="eastAsia" w:cs="宋体"/>
                <w:b/>
                <w:snapToGrid w:val="0"/>
                <w:color w:val="auto"/>
                <w:kern w:val="0"/>
                <w:szCs w:val="24"/>
              </w:rPr>
              <w:t>工艺流程和产排污</w:t>
            </w:r>
            <w:r>
              <w:rPr>
                <w:rFonts w:hint="eastAsia" w:cs="宋体"/>
                <w:b/>
                <w:color w:val="auto"/>
                <w:kern w:val="0"/>
                <w:szCs w:val="24"/>
              </w:rPr>
              <w:t>环节</w:t>
            </w:r>
          </w:p>
          <w:p>
            <w:pPr>
              <w:adjustRightInd w:val="0"/>
              <w:snapToGrid w:val="0"/>
              <w:ind w:firstLine="0" w:firstLineChars="0"/>
              <w:jc w:val="center"/>
              <w:rPr>
                <w:rFonts w:cs="宋体"/>
                <w:b/>
                <w:color w:val="auto"/>
                <w:kern w:val="0"/>
                <w:szCs w:val="24"/>
              </w:rPr>
            </w:pPr>
          </w:p>
          <w:p>
            <w:pPr>
              <w:adjustRightInd w:val="0"/>
              <w:snapToGrid w:val="0"/>
              <w:ind w:firstLine="0" w:firstLineChars="0"/>
              <w:jc w:val="center"/>
              <w:rPr>
                <w:rFonts w:cs="宋体"/>
                <w:b/>
                <w:color w:val="auto"/>
                <w:kern w:val="0"/>
                <w:szCs w:val="24"/>
              </w:rPr>
            </w:pPr>
          </w:p>
          <w:p>
            <w:pPr>
              <w:adjustRightInd w:val="0"/>
              <w:snapToGrid w:val="0"/>
              <w:ind w:firstLine="0" w:firstLineChars="0"/>
              <w:jc w:val="center"/>
              <w:rPr>
                <w:rFonts w:cs="宋体"/>
                <w:b/>
                <w:color w:val="auto"/>
                <w:kern w:val="0"/>
                <w:szCs w:val="24"/>
              </w:rPr>
            </w:pPr>
          </w:p>
          <w:p>
            <w:pPr>
              <w:adjustRightInd w:val="0"/>
              <w:snapToGrid w:val="0"/>
              <w:ind w:firstLine="0" w:firstLineChars="0"/>
              <w:jc w:val="center"/>
              <w:rPr>
                <w:rFonts w:cs="宋体"/>
                <w:b/>
                <w:color w:val="auto"/>
                <w:kern w:val="0"/>
                <w:szCs w:val="24"/>
              </w:rPr>
            </w:pPr>
          </w:p>
          <w:p>
            <w:pPr>
              <w:adjustRightInd w:val="0"/>
              <w:snapToGrid w:val="0"/>
              <w:ind w:firstLine="0" w:firstLineChars="0"/>
              <w:jc w:val="center"/>
              <w:rPr>
                <w:rFonts w:cs="宋体"/>
                <w:b/>
                <w:color w:val="auto"/>
                <w:kern w:val="0"/>
                <w:szCs w:val="24"/>
              </w:rPr>
            </w:pPr>
          </w:p>
          <w:p>
            <w:pPr>
              <w:adjustRightInd w:val="0"/>
              <w:snapToGrid w:val="0"/>
              <w:ind w:firstLine="0" w:firstLineChars="0"/>
              <w:jc w:val="center"/>
              <w:rPr>
                <w:rFonts w:cs="宋体"/>
                <w:b/>
                <w:color w:val="auto"/>
                <w:kern w:val="0"/>
                <w:szCs w:val="24"/>
              </w:rPr>
            </w:pPr>
          </w:p>
          <w:p>
            <w:pPr>
              <w:adjustRightInd w:val="0"/>
              <w:snapToGrid w:val="0"/>
              <w:ind w:firstLine="0" w:firstLineChars="0"/>
              <w:jc w:val="center"/>
              <w:rPr>
                <w:rFonts w:cs="宋体"/>
                <w:b/>
                <w:color w:val="auto"/>
                <w:kern w:val="0"/>
                <w:szCs w:val="24"/>
              </w:rPr>
            </w:pPr>
          </w:p>
          <w:p>
            <w:pPr>
              <w:adjustRightInd w:val="0"/>
              <w:snapToGrid w:val="0"/>
              <w:ind w:firstLine="0" w:firstLineChars="0"/>
              <w:jc w:val="center"/>
              <w:rPr>
                <w:rFonts w:cs="宋体"/>
                <w:b/>
                <w:color w:val="auto"/>
                <w:kern w:val="0"/>
                <w:szCs w:val="24"/>
              </w:rPr>
            </w:pPr>
          </w:p>
          <w:p>
            <w:pPr>
              <w:adjustRightInd w:val="0"/>
              <w:snapToGrid w:val="0"/>
              <w:ind w:firstLine="0" w:firstLineChars="0"/>
              <w:jc w:val="center"/>
              <w:rPr>
                <w:rFonts w:cs="宋体"/>
                <w:b/>
                <w:color w:val="auto"/>
                <w:kern w:val="0"/>
                <w:szCs w:val="24"/>
              </w:rPr>
            </w:pPr>
          </w:p>
          <w:p>
            <w:pPr>
              <w:adjustRightInd w:val="0"/>
              <w:snapToGrid w:val="0"/>
              <w:ind w:firstLine="0" w:firstLineChars="0"/>
              <w:jc w:val="center"/>
              <w:rPr>
                <w:rFonts w:cs="宋体"/>
                <w:b/>
                <w:color w:val="auto"/>
                <w:kern w:val="0"/>
                <w:szCs w:val="24"/>
              </w:rPr>
            </w:pPr>
          </w:p>
          <w:p>
            <w:pPr>
              <w:adjustRightInd w:val="0"/>
              <w:snapToGrid w:val="0"/>
              <w:ind w:firstLine="0" w:firstLineChars="0"/>
              <w:jc w:val="center"/>
              <w:rPr>
                <w:rFonts w:cs="宋体"/>
                <w:b/>
                <w:color w:val="auto"/>
                <w:kern w:val="0"/>
                <w:szCs w:val="24"/>
              </w:rPr>
            </w:pPr>
          </w:p>
          <w:p>
            <w:pPr>
              <w:adjustRightInd w:val="0"/>
              <w:snapToGrid w:val="0"/>
              <w:ind w:firstLine="0" w:firstLineChars="0"/>
              <w:jc w:val="center"/>
              <w:rPr>
                <w:rFonts w:cs="宋体"/>
                <w:b/>
                <w:color w:val="auto"/>
                <w:kern w:val="0"/>
                <w:szCs w:val="24"/>
              </w:rPr>
            </w:pPr>
          </w:p>
          <w:p>
            <w:pPr>
              <w:adjustRightInd w:val="0"/>
              <w:snapToGrid w:val="0"/>
              <w:ind w:firstLine="0" w:firstLineChars="0"/>
              <w:jc w:val="center"/>
              <w:rPr>
                <w:rFonts w:cs="宋体"/>
                <w:b/>
                <w:color w:val="auto"/>
                <w:kern w:val="0"/>
                <w:szCs w:val="24"/>
              </w:rPr>
            </w:pPr>
          </w:p>
          <w:p>
            <w:pPr>
              <w:adjustRightInd w:val="0"/>
              <w:snapToGrid w:val="0"/>
              <w:ind w:firstLine="0" w:firstLineChars="0"/>
              <w:jc w:val="center"/>
              <w:rPr>
                <w:rFonts w:cs="宋体"/>
                <w:b/>
                <w:color w:val="auto"/>
                <w:kern w:val="0"/>
                <w:szCs w:val="24"/>
              </w:rPr>
            </w:pPr>
          </w:p>
          <w:p>
            <w:pPr>
              <w:adjustRightInd w:val="0"/>
              <w:snapToGrid w:val="0"/>
              <w:ind w:firstLine="0" w:firstLineChars="0"/>
              <w:jc w:val="center"/>
              <w:rPr>
                <w:rFonts w:cs="宋体"/>
                <w:b/>
                <w:color w:val="auto"/>
                <w:kern w:val="0"/>
                <w:szCs w:val="24"/>
              </w:rPr>
            </w:pPr>
          </w:p>
          <w:p>
            <w:pPr>
              <w:adjustRightInd w:val="0"/>
              <w:snapToGrid w:val="0"/>
              <w:ind w:firstLine="0" w:firstLineChars="0"/>
              <w:jc w:val="center"/>
              <w:rPr>
                <w:rFonts w:cs="宋体"/>
                <w:b/>
                <w:color w:val="auto"/>
                <w:kern w:val="0"/>
                <w:szCs w:val="24"/>
              </w:rPr>
            </w:pPr>
            <w:r>
              <w:rPr>
                <w:rFonts w:hint="eastAsia" w:cs="宋体"/>
                <w:b/>
                <w:snapToGrid w:val="0"/>
                <w:color w:val="auto"/>
                <w:kern w:val="0"/>
                <w:szCs w:val="24"/>
              </w:rPr>
              <w:t>工艺流程和产排污</w:t>
            </w:r>
            <w:r>
              <w:rPr>
                <w:rFonts w:hint="eastAsia" w:cs="宋体"/>
                <w:b/>
                <w:color w:val="auto"/>
                <w:kern w:val="0"/>
                <w:szCs w:val="24"/>
              </w:rPr>
              <w:t>环节</w:t>
            </w:r>
          </w:p>
          <w:p>
            <w:pPr>
              <w:adjustRightInd w:val="0"/>
              <w:snapToGrid w:val="0"/>
              <w:ind w:firstLine="0" w:firstLineChars="0"/>
              <w:jc w:val="center"/>
              <w:rPr>
                <w:rFonts w:cs="宋体"/>
                <w:b/>
                <w:color w:val="auto"/>
                <w:kern w:val="0"/>
                <w:szCs w:val="24"/>
              </w:rPr>
            </w:pPr>
          </w:p>
          <w:p>
            <w:pPr>
              <w:adjustRightInd w:val="0"/>
              <w:snapToGrid w:val="0"/>
              <w:ind w:firstLine="0" w:firstLineChars="0"/>
              <w:jc w:val="center"/>
              <w:rPr>
                <w:rFonts w:cs="宋体"/>
                <w:b/>
                <w:color w:val="auto"/>
                <w:kern w:val="0"/>
                <w:szCs w:val="24"/>
              </w:rPr>
            </w:pPr>
          </w:p>
          <w:p>
            <w:pPr>
              <w:adjustRightInd w:val="0"/>
              <w:snapToGrid w:val="0"/>
              <w:ind w:firstLine="0" w:firstLineChars="0"/>
              <w:jc w:val="center"/>
              <w:rPr>
                <w:b/>
                <w:color w:val="auto"/>
                <w:kern w:val="0"/>
                <w:szCs w:val="24"/>
              </w:rPr>
            </w:pPr>
          </w:p>
        </w:tc>
        <w:tc>
          <w:tcPr>
            <w:tcW w:w="8479" w:type="dxa"/>
          </w:tcPr>
          <w:p>
            <w:pPr>
              <w:pStyle w:val="5"/>
              <w:numPr>
                <w:ilvl w:val="0"/>
                <w:numId w:val="2"/>
              </w:numPr>
              <w:spacing w:before="326"/>
              <w:ind w:firstLine="482"/>
              <w:jc w:val="both"/>
              <w:rPr>
                <w:rFonts w:hint="eastAsia"/>
                <w:color w:val="auto"/>
              </w:rPr>
            </w:pPr>
            <w:r>
              <w:rPr>
                <w:rFonts w:hint="eastAsia"/>
                <w:color w:val="auto"/>
              </w:rPr>
              <w:t>工艺流程图</w:t>
            </w:r>
          </w:p>
          <w:p>
            <w:pPr>
              <w:pStyle w:val="5"/>
              <w:keepNext/>
              <w:keepLines/>
              <w:pageBreakBefore w:val="0"/>
              <w:widowControl w:val="0"/>
              <w:numPr>
                <w:ilvl w:val="0"/>
                <w:numId w:val="0"/>
              </w:numPr>
              <w:kinsoku/>
              <w:wordWrap/>
              <w:overflowPunct/>
              <w:topLinePunct w:val="0"/>
              <w:autoSpaceDE/>
              <w:autoSpaceDN/>
              <w:bidi w:val="0"/>
              <w:adjustRightInd w:val="0"/>
              <w:snapToGrid w:val="0"/>
              <w:spacing w:before="0" w:beforeLines="0"/>
              <w:ind w:firstLine="480" w:firstLineChars="200"/>
              <w:jc w:val="both"/>
              <w:textAlignment w:val="auto"/>
              <w:rPr>
                <w:rFonts w:hint="eastAsia"/>
                <w:b w:val="0"/>
                <w:bCs w:val="0"/>
                <w:color w:val="auto"/>
              </w:rPr>
            </w:pPr>
            <w:r>
              <w:rPr>
                <w:rFonts w:hint="eastAsia"/>
                <w:b w:val="0"/>
                <w:bCs w:val="0"/>
                <w:color w:val="auto"/>
              </w:rPr>
              <w:t>本项目为医疗机构类项目，营运期主要为妇女、儿童提供诊治保健服务，营运期间产生的主要污染物包括医务活动过程中的医疗废水、医疗固废、生活垃圾、各动力设备产生的噪声。</w:t>
            </w:r>
          </w:p>
          <w:p>
            <w:pPr>
              <w:ind w:left="0" w:leftChars="0" w:right="0" w:rightChars="0" w:firstLine="0" w:firstLineChars="0"/>
              <w:jc w:val="center"/>
              <w:rPr>
                <w:rFonts w:eastAsia="宋体"/>
                <w:b/>
                <w:bCs/>
                <w:color w:val="auto"/>
                <w:kern w:val="2"/>
                <w:sz w:val="21"/>
                <w:szCs w:val="21"/>
              </w:rPr>
            </w:pPr>
            <w:r>
              <w:rPr>
                <w:rFonts w:hint="eastAsia" w:eastAsiaTheme="minorEastAsia"/>
                <w:color w:val="auto"/>
                <w:lang w:eastAsia="zh-CN"/>
              </w:rPr>
              <w:drawing>
                <wp:anchor distT="0" distB="0" distL="114300" distR="114300" simplePos="0" relativeHeight="251664384" behindDoc="0" locked="0" layoutInCell="1" allowOverlap="1">
                  <wp:simplePos x="0" y="0"/>
                  <wp:positionH relativeFrom="column">
                    <wp:posOffset>0</wp:posOffset>
                  </wp:positionH>
                  <wp:positionV relativeFrom="paragraph">
                    <wp:posOffset>13335</wp:posOffset>
                  </wp:positionV>
                  <wp:extent cx="5246370" cy="4521835"/>
                  <wp:effectExtent l="0" t="0" r="11430" b="5715"/>
                  <wp:wrapTopAndBottom/>
                  <wp:docPr id="54" name="图片 5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图片1"/>
                          <pic:cNvPicPr>
                            <a:picLocks noChangeAspect="1"/>
                          </pic:cNvPicPr>
                        </pic:nvPicPr>
                        <pic:blipFill>
                          <a:blip r:embed="rId24"/>
                          <a:stretch>
                            <a:fillRect/>
                          </a:stretch>
                        </pic:blipFill>
                        <pic:spPr>
                          <a:xfrm>
                            <a:off x="0" y="0"/>
                            <a:ext cx="5246370" cy="4521835"/>
                          </a:xfrm>
                          <a:prstGeom prst="rect">
                            <a:avLst/>
                          </a:prstGeom>
                        </pic:spPr>
                      </pic:pic>
                    </a:graphicData>
                  </a:graphic>
                </wp:anchor>
              </w:drawing>
            </w:r>
            <w:r>
              <w:rPr>
                <w:rFonts w:eastAsia="宋体"/>
                <w:b/>
                <w:bCs/>
                <w:color w:val="auto"/>
                <w:kern w:val="2"/>
                <w:sz w:val="21"/>
                <w:szCs w:val="21"/>
              </w:rPr>
              <w:t>图2-1 项目运营期</w:t>
            </w:r>
            <w:r>
              <w:rPr>
                <w:rFonts w:hint="eastAsia" w:eastAsia="宋体"/>
                <w:b/>
                <w:bCs/>
                <w:color w:val="auto"/>
                <w:kern w:val="2"/>
                <w:sz w:val="21"/>
                <w:szCs w:val="21"/>
              </w:rPr>
              <w:t>就医</w:t>
            </w:r>
            <w:r>
              <w:rPr>
                <w:rFonts w:eastAsia="宋体"/>
                <w:b/>
                <w:bCs/>
                <w:color w:val="auto"/>
                <w:kern w:val="2"/>
                <w:sz w:val="21"/>
                <w:szCs w:val="21"/>
              </w:rPr>
              <w:t>流程及产污节点示意图</w:t>
            </w:r>
          </w:p>
          <w:p>
            <w:pPr>
              <w:pStyle w:val="5"/>
              <w:keepNext/>
              <w:keepLines/>
              <w:pageBreakBefore w:val="0"/>
              <w:widowControl w:val="0"/>
              <w:kinsoku/>
              <w:wordWrap/>
              <w:overflowPunct/>
              <w:topLinePunct w:val="0"/>
              <w:autoSpaceDE/>
              <w:autoSpaceDN/>
              <w:bidi w:val="0"/>
              <w:adjustRightInd w:val="0"/>
              <w:snapToGrid w:val="0"/>
              <w:spacing w:before="0" w:beforeLines="0"/>
              <w:ind w:firstLine="482"/>
              <w:jc w:val="both"/>
              <w:textAlignment w:val="auto"/>
              <w:rPr>
                <w:color w:val="auto"/>
              </w:rPr>
            </w:pPr>
            <w:r>
              <w:rPr>
                <w:rFonts w:hint="eastAsia"/>
                <w:color w:val="auto"/>
              </w:rPr>
              <w:t>2、工艺流程简述</w:t>
            </w:r>
          </w:p>
          <w:p>
            <w:pPr>
              <w:pStyle w:val="167"/>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rPr>
            </w:pPr>
            <w:r>
              <w:rPr>
                <w:rFonts w:hint="default" w:ascii="Times New Roman" w:hAnsi="Times New Roman" w:eastAsia="宋体" w:cs="Times New Roman"/>
                <w:color w:val="auto"/>
                <w:kern w:val="2"/>
              </w:rPr>
              <w:t>（1）门诊流程：</w:t>
            </w:r>
            <w:r>
              <w:rPr>
                <w:rFonts w:hint="default" w:ascii="Times New Roman" w:hAnsi="Times New Roman" w:cs="Times New Roman"/>
                <w:color w:val="auto"/>
                <w:kern w:val="2"/>
              </w:rPr>
              <w:t>病患</w:t>
            </w:r>
            <w:r>
              <w:rPr>
                <w:rFonts w:hint="default" w:ascii="Times New Roman" w:hAnsi="Times New Roman" w:eastAsia="宋体" w:cs="Times New Roman"/>
                <w:color w:val="auto"/>
                <w:kern w:val="2"/>
              </w:rPr>
              <w:t>到达医院后先到挂号窗口办理就诊卡，根据挂号单进行检查，医生根据检查结果诊断病情，判断</w:t>
            </w:r>
            <w:r>
              <w:rPr>
                <w:rFonts w:hint="default" w:ascii="Times New Roman" w:hAnsi="Times New Roman" w:cs="Times New Roman"/>
                <w:color w:val="auto"/>
                <w:kern w:val="2"/>
              </w:rPr>
              <w:t>病患</w:t>
            </w:r>
            <w:r>
              <w:rPr>
                <w:rFonts w:hint="default" w:ascii="Times New Roman" w:hAnsi="Times New Roman" w:eastAsia="宋体" w:cs="Times New Roman"/>
                <w:color w:val="auto"/>
                <w:kern w:val="2"/>
              </w:rPr>
              <w:t>是否需要住院治疗，</w:t>
            </w:r>
            <w:r>
              <w:rPr>
                <w:rFonts w:hint="default" w:ascii="Times New Roman" w:hAnsi="Times New Roman" w:cs="Times New Roman"/>
                <w:color w:val="auto"/>
                <w:kern w:val="2"/>
              </w:rPr>
              <w:t>病患</w:t>
            </w:r>
            <w:r>
              <w:rPr>
                <w:rFonts w:hint="default" w:ascii="Times New Roman" w:hAnsi="Times New Roman" w:eastAsia="宋体" w:cs="Times New Roman"/>
                <w:color w:val="auto"/>
                <w:kern w:val="2"/>
              </w:rPr>
              <w:t>根据医生开具的凭据进行缴费，诊断需要住院的</w:t>
            </w:r>
            <w:r>
              <w:rPr>
                <w:rFonts w:hint="default" w:ascii="Times New Roman" w:hAnsi="Times New Roman" w:cs="Times New Roman"/>
                <w:color w:val="auto"/>
                <w:kern w:val="2"/>
              </w:rPr>
              <w:t>病患</w:t>
            </w:r>
            <w:r>
              <w:rPr>
                <w:rFonts w:hint="default" w:ascii="Times New Roman" w:hAnsi="Times New Roman" w:eastAsia="宋体" w:cs="Times New Roman"/>
                <w:color w:val="auto"/>
                <w:kern w:val="2"/>
              </w:rPr>
              <w:t>办理住院手续，无需住院的</w:t>
            </w:r>
            <w:r>
              <w:rPr>
                <w:rFonts w:hint="default" w:ascii="Times New Roman" w:hAnsi="Times New Roman" w:cs="Times New Roman"/>
                <w:color w:val="auto"/>
                <w:kern w:val="2"/>
              </w:rPr>
              <w:t>病患</w:t>
            </w:r>
            <w:r>
              <w:rPr>
                <w:rFonts w:hint="default" w:ascii="Times New Roman" w:hAnsi="Times New Roman" w:eastAsia="宋体" w:cs="Times New Roman"/>
                <w:color w:val="auto"/>
                <w:kern w:val="2"/>
              </w:rPr>
              <w:t>取药后直接离开，或者取药后需要经过治疗方可离开。</w:t>
            </w:r>
          </w:p>
          <w:p>
            <w:pPr>
              <w:pStyle w:val="167"/>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lang w:eastAsia="zh-CN"/>
              </w:rPr>
            </w:pPr>
            <w:r>
              <w:rPr>
                <w:rFonts w:hint="eastAsia" w:eastAsia="宋体" w:cs="Times New Roman"/>
                <w:color w:val="auto"/>
                <w:kern w:val="2"/>
                <w:lang w:eastAsia="zh-CN"/>
              </w:rPr>
              <w:t>医院设立发热门诊，医生根据患者实际诊断情况，决定是否收治，如遇到传染性疾病，医院将根据患者实际情况送至其他设立姚安县人民医院传染科治疗。</w:t>
            </w:r>
          </w:p>
          <w:p>
            <w:pPr>
              <w:pStyle w:val="167"/>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eastAsia="宋体"/>
                <w:color w:val="auto"/>
                <w:kern w:val="2"/>
              </w:rPr>
            </w:pPr>
            <w:r>
              <w:rPr>
                <w:rFonts w:hint="default" w:ascii="Times New Roman" w:hAnsi="Times New Roman" w:eastAsia="宋体" w:cs="Times New Roman"/>
                <w:color w:val="auto"/>
                <w:kern w:val="2"/>
              </w:rPr>
              <w:t>（2）住院流程：当医生判断</w:t>
            </w:r>
            <w:r>
              <w:rPr>
                <w:rFonts w:hint="default" w:ascii="Times New Roman" w:hAnsi="Times New Roman" w:cs="Times New Roman"/>
                <w:color w:val="auto"/>
                <w:kern w:val="2"/>
              </w:rPr>
              <w:t>病患</w:t>
            </w:r>
            <w:r>
              <w:rPr>
                <w:rFonts w:hint="default" w:ascii="Times New Roman" w:hAnsi="Times New Roman" w:eastAsia="宋体" w:cs="Times New Roman"/>
                <w:color w:val="auto"/>
                <w:kern w:val="2"/>
              </w:rPr>
              <w:t>需要住院接受治疗时，</w:t>
            </w:r>
            <w:r>
              <w:rPr>
                <w:rFonts w:hint="default" w:ascii="Times New Roman" w:hAnsi="Times New Roman" w:cs="Times New Roman"/>
                <w:color w:val="auto"/>
                <w:kern w:val="2"/>
              </w:rPr>
              <w:t>病患</w:t>
            </w:r>
            <w:r>
              <w:rPr>
                <w:rFonts w:hint="default" w:ascii="Times New Roman" w:hAnsi="Times New Roman" w:eastAsia="宋体" w:cs="Times New Roman"/>
                <w:color w:val="auto"/>
                <w:kern w:val="2"/>
              </w:rPr>
              <w:t>根据住院单办理住院手续，入院接受治疗。若</w:t>
            </w:r>
            <w:r>
              <w:rPr>
                <w:rFonts w:hint="default" w:ascii="Times New Roman" w:hAnsi="Times New Roman" w:cs="Times New Roman"/>
                <w:color w:val="auto"/>
                <w:kern w:val="2"/>
              </w:rPr>
              <w:t>病患</w:t>
            </w:r>
            <w:r>
              <w:rPr>
                <w:rFonts w:hint="default" w:ascii="Times New Roman" w:hAnsi="Times New Roman" w:eastAsia="宋体" w:cs="Times New Roman"/>
                <w:color w:val="auto"/>
                <w:kern w:val="2"/>
              </w:rPr>
              <w:t>在接收治疗的过程中病情发生恶化，超过本院的能力范围时，需为</w:t>
            </w:r>
            <w:r>
              <w:rPr>
                <w:rFonts w:hint="default" w:ascii="Times New Roman" w:hAnsi="Times New Roman" w:cs="Times New Roman"/>
                <w:color w:val="auto"/>
                <w:kern w:val="2"/>
              </w:rPr>
              <w:t>病患</w:t>
            </w:r>
            <w:r>
              <w:rPr>
                <w:rFonts w:hint="default" w:ascii="Times New Roman" w:hAnsi="Times New Roman" w:eastAsia="宋体" w:cs="Times New Roman"/>
                <w:color w:val="auto"/>
                <w:kern w:val="2"/>
              </w:rPr>
              <w:t>办理转院手续，以确保</w:t>
            </w:r>
            <w:r>
              <w:rPr>
                <w:rFonts w:hint="default" w:ascii="Times New Roman" w:hAnsi="Times New Roman" w:cs="Times New Roman"/>
                <w:color w:val="auto"/>
                <w:kern w:val="2"/>
              </w:rPr>
              <w:t>病患</w:t>
            </w:r>
            <w:r>
              <w:rPr>
                <w:rFonts w:hint="default" w:ascii="Times New Roman" w:hAnsi="Times New Roman" w:eastAsia="宋体" w:cs="Times New Roman"/>
                <w:color w:val="auto"/>
                <w:kern w:val="2"/>
              </w:rPr>
              <w:t>能得到更好的治疗。</w:t>
            </w:r>
            <w:r>
              <w:rPr>
                <w:rFonts w:hint="default" w:ascii="Times New Roman" w:hAnsi="Times New Roman" w:cs="Times New Roman"/>
                <w:color w:val="auto"/>
                <w:kern w:val="2"/>
              </w:rPr>
              <w:t>病患</w:t>
            </w:r>
            <w:r>
              <w:rPr>
                <w:rFonts w:hint="default" w:ascii="Times New Roman" w:hAnsi="Times New Roman" w:eastAsia="宋体" w:cs="Times New Roman"/>
                <w:color w:val="auto"/>
                <w:kern w:val="2"/>
              </w:rPr>
              <w:t>接受住院治疗后病情康复，医生判定</w:t>
            </w:r>
            <w:r>
              <w:rPr>
                <w:rFonts w:hint="default" w:ascii="Times New Roman" w:hAnsi="Times New Roman" w:cs="Times New Roman"/>
                <w:color w:val="auto"/>
                <w:kern w:val="2"/>
              </w:rPr>
              <w:t>病患</w:t>
            </w:r>
            <w:r>
              <w:rPr>
                <w:rFonts w:hint="default" w:ascii="Times New Roman" w:hAnsi="Times New Roman" w:eastAsia="宋体" w:cs="Times New Roman"/>
                <w:color w:val="auto"/>
                <w:kern w:val="2"/>
              </w:rPr>
              <w:t>无需再继续住院治疗时，为其开具出院医嘱，</w:t>
            </w:r>
            <w:r>
              <w:rPr>
                <w:rFonts w:hint="default" w:ascii="Times New Roman" w:hAnsi="Times New Roman" w:cs="Times New Roman"/>
                <w:color w:val="auto"/>
                <w:kern w:val="2"/>
              </w:rPr>
              <w:t>病患</w:t>
            </w:r>
            <w:r>
              <w:rPr>
                <w:rFonts w:hint="default" w:ascii="Times New Roman" w:hAnsi="Times New Roman" w:eastAsia="宋体" w:cs="Times New Roman"/>
                <w:color w:val="auto"/>
                <w:kern w:val="2"/>
              </w:rPr>
              <w:t>办理出院手续，并将费用结算后即可出院。</w:t>
            </w:r>
          </w:p>
          <w:p>
            <w:pPr>
              <w:pStyle w:val="5"/>
              <w:keepNext/>
              <w:keepLines/>
              <w:pageBreakBefore w:val="0"/>
              <w:widowControl w:val="0"/>
              <w:kinsoku/>
              <w:wordWrap/>
              <w:overflowPunct/>
              <w:topLinePunct w:val="0"/>
              <w:autoSpaceDE/>
              <w:autoSpaceDN/>
              <w:bidi w:val="0"/>
              <w:adjustRightInd w:val="0"/>
              <w:snapToGrid w:val="0"/>
              <w:spacing w:before="0" w:beforeLines="0"/>
              <w:ind w:left="0" w:leftChars="0" w:firstLine="482"/>
              <w:jc w:val="both"/>
              <w:textAlignment w:val="auto"/>
              <w:rPr>
                <w:color w:val="auto"/>
              </w:rPr>
            </w:pPr>
            <w:r>
              <w:rPr>
                <w:rFonts w:hint="eastAsia"/>
                <w:color w:val="auto"/>
              </w:rPr>
              <w:t>3、项目主要产污环节</w:t>
            </w:r>
          </w:p>
          <w:p>
            <w:pPr>
              <w:pageBreakBefore w:val="0"/>
              <w:widowControl w:val="0"/>
              <w:kinsoku/>
              <w:wordWrap/>
              <w:overflowPunct/>
              <w:topLinePunct w:val="0"/>
              <w:autoSpaceDE/>
              <w:autoSpaceDN/>
              <w:bidi w:val="0"/>
              <w:ind w:firstLine="480"/>
              <w:textAlignment w:val="auto"/>
              <w:rPr>
                <w:color w:val="auto"/>
              </w:rPr>
            </w:pPr>
            <w:r>
              <w:rPr>
                <w:rFonts w:hint="eastAsia"/>
                <w:color w:val="auto"/>
              </w:rPr>
              <w:t>（1）废气：废水处理站、医院消毒、医疗废物和生活垃圾等产生的异味，发电机废气；</w:t>
            </w:r>
          </w:p>
          <w:p>
            <w:pPr>
              <w:pageBreakBefore w:val="0"/>
              <w:widowControl w:val="0"/>
              <w:kinsoku/>
              <w:wordWrap/>
              <w:overflowPunct/>
              <w:topLinePunct w:val="0"/>
              <w:autoSpaceDE/>
              <w:autoSpaceDN/>
              <w:bidi w:val="0"/>
              <w:ind w:firstLine="480"/>
              <w:textAlignment w:val="auto"/>
              <w:rPr>
                <w:color w:val="auto"/>
              </w:rPr>
            </w:pPr>
            <w:r>
              <w:rPr>
                <w:rFonts w:hint="eastAsia"/>
                <w:color w:val="auto"/>
              </w:rPr>
              <w:t>（2）废水：住院部、门诊部产生的废水；</w:t>
            </w:r>
          </w:p>
          <w:p>
            <w:pPr>
              <w:pageBreakBefore w:val="0"/>
              <w:widowControl w:val="0"/>
              <w:kinsoku/>
              <w:wordWrap/>
              <w:overflowPunct/>
              <w:topLinePunct w:val="0"/>
              <w:autoSpaceDE/>
              <w:autoSpaceDN/>
              <w:bidi w:val="0"/>
              <w:ind w:firstLine="480"/>
              <w:textAlignment w:val="auto"/>
              <w:rPr>
                <w:color w:val="auto"/>
              </w:rPr>
            </w:pPr>
            <w:r>
              <w:rPr>
                <w:rFonts w:hint="eastAsia"/>
                <w:color w:val="auto"/>
              </w:rPr>
              <w:t>（3）固废：生活垃圾、医疗废物、化粪池和</w:t>
            </w:r>
            <w:r>
              <w:rPr>
                <w:rFonts w:hint="eastAsia"/>
                <w:color w:val="auto"/>
                <w:lang w:val="en-US" w:eastAsia="zh-CN"/>
              </w:rPr>
              <w:t>一体化污水处理站</w:t>
            </w:r>
            <w:r>
              <w:rPr>
                <w:rFonts w:hint="eastAsia"/>
                <w:color w:val="auto"/>
              </w:rPr>
              <w:t>污泥等；</w:t>
            </w:r>
          </w:p>
          <w:p>
            <w:pPr>
              <w:pageBreakBefore w:val="0"/>
              <w:widowControl w:val="0"/>
              <w:kinsoku/>
              <w:wordWrap/>
              <w:overflowPunct/>
              <w:topLinePunct w:val="0"/>
              <w:autoSpaceDE/>
              <w:autoSpaceDN/>
              <w:bidi w:val="0"/>
              <w:ind w:firstLine="480"/>
              <w:textAlignment w:val="auto"/>
              <w:rPr>
                <w:color w:val="auto"/>
                <w:kern w:val="0"/>
              </w:rPr>
            </w:pPr>
            <w:r>
              <w:rPr>
                <w:rFonts w:hint="eastAsia"/>
                <w:color w:val="auto"/>
              </w:rPr>
              <w:t>（4）噪声：设备运转过程中产生的噪声、生活噪声。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75" w:type="dxa"/>
          </w:tcPr>
          <w:p>
            <w:pPr>
              <w:ind w:firstLine="0" w:firstLineChars="0"/>
              <w:jc w:val="center"/>
              <w:rPr>
                <w:b/>
                <w:color w:val="auto"/>
                <w:kern w:val="0"/>
                <w:szCs w:val="24"/>
              </w:rPr>
            </w:pPr>
            <w:r>
              <w:rPr>
                <w:rFonts w:hint="eastAsia" w:cs="宋体"/>
                <w:b/>
                <w:bCs/>
                <w:color w:val="auto"/>
                <w:szCs w:val="24"/>
              </w:rPr>
              <w:t>与项目有关的原有环境污染问题</w:t>
            </w:r>
          </w:p>
        </w:tc>
        <w:tc>
          <w:tcPr>
            <w:tcW w:w="8479" w:type="dxa"/>
          </w:tcPr>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color w:val="auto"/>
                <w:lang w:eastAsia="zh-CN"/>
              </w:rPr>
            </w:pPr>
            <w:r>
              <w:rPr>
                <w:rFonts w:hint="default"/>
                <w:color w:val="auto"/>
                <w:lang w:eastAsia="zh-CN"/>
              </w:rPr>
              <w:t>项目在空地区域建设，不存在与本项目相关的原有污染问题存在。</w:t>
            </w:r>
          </w:p>
          <w:p>
            <w:pPr>
              <w:ind w:firstLine="480"/>
              <w:rPr>
                <w:rFonts w:hint="eastAsia"/>
                <w:color w:val="auto"/>
                <w:lang w:eastAsia="zh-CN"/>
              </w:rPr>
            </w:pPr>
          </w:p>
          <w:p>
            <w:pPr>
              <w:ind w:firstLine="480"/>
              <w:rPr>
                <w:rFonts w:hint="eastAsia"/>
                <w:color w:val="auto"/>
                <w:lang w:eastAsia="zh-CN"/>
              </w:rPr>
            </w:pPr>
          </w:p>
          <w:p>
            <w:pPr>
              <w:ind w:firstLine="480"/>
              <w:rPr>
                <w:rFonts w:hint="eastAsia"/>
                <w:color w:val="auto"/>
                <w:lang w:eastAsia="zh-CN"/>
              </w:rPr>
            </w:pPr>
          </w:p>
          <w:p>
            <w:pPr>
              <w:ind w:firstLine="480"/>
              <w:rPr>
                <w:rFonts w:hint="eastAsia"/>
                <w:color w:val="auto"/>
                <w:lang w:eastAsia="zh-CN"/>
              </w:rPr>
            </w:pPr>
          </w:p>
          <w:p>
            <w:pPr>
              <w:ind w:firstLine="480"/>
              <w:rPr>
                <w:rFonts w:hint="eastAsia"/>
                <w:color w:val="auto"/>
                <w:lang w:eastAsia="zh-CN"/>
              </w:rPr>
            </w:pPr>
          </w:p>
          <w:p>
            <w:pPr>
              <w:ind w:firstLine="480"/>
              <w:rPr>
                <w:rFonts w:hint="eastAsia"/>
                <w:color w:val="auto"/>
                <w:lang w:eastAsia="zh-CN"/>
              </w:rPr>
            </w:pPr>
          </w:p>
          <w:p>
            <w:pPr>
              <w:ind w:firstLine="480"/>
              <w:rPr>
                <w:rFonts w:hint="eastAsia"/>
                <w:color w:val="auto"/>
                <w:lang w:eastAsia="zh-CN"/>
              </w:rPr>
            </w:pPr>
          </w:p>
          <w:p>
            <w:pPr>
              <w:ind w:firstLine="480"/>
              <w:rPr>
                <w:rFonts w:hint="eastAsia"/>
                <w:color w:val="auto"/>
                <w:lang w:eastAsia="zh-CN"/>
              </w:rPr>
            </w:pPr>
          </w:p>
          <w:p>
            <w:pPr>
              <w:ind w:firstLine="480"/>
              <w:rPr>
                <w:rFonts w:hint="eastAsia"/>
                <w:color w:val="auto"/>
                <w:lang w:eastAsia="zh-CN"/>
              </w:rPr>
            </w:pPr>
          </w:p>
          <w:p>
            <w:pPr>
              <w:ind w:firstLine="480"/>
              <w:rPr>
                <w:rFonts w:hint="eastAsia"/>
                <w:color w:val="auto"/>
                <w:lang w:eastAsia="zh-CN"/>
              </w:rPr>
            </w:pPr>
          </w:p>
          <w:p>
            <w:pPr>
              <w:ind w:firstLine="480"/>
              <w:rPr>
                <w:rFonts w:hint="eastAsia"/>
                <w:color w:val="auto"/>
                <w:lang w:eastAsia="zh-CN"/>
              </w:rPr>
            </w:pPr>
          </w:p>
          <w:p>
            <w:pPr>
              <w:pStyle w:val="183"/>
              <w:ind w:left="0" w:leftChars="0" w:firstLine="0" w:firstLineChars="0"/>
              <w:rPr>
                <w:color w:val="auto"/>
                <w:kern w:val="0"/>
              </w:rPr>
            </w:pPr>
          </w:p>
          <w:p>
            <w:pPr>
              <w:pStyle w:val="183"/>
              <w:rPr>
                <w:color w:val="auto"/>
                <w:kern w:val="0"/>
              </w:rPr>
            </w:pPr>
          </w:p>
          <w:p>
            <w:pPr>
              <w:pStyle w:val="183"/>
              <w:rPr>
                <w:color w:val="auto"/>
                <w:kern w:val="0"/>
              </w:rPr>
            </w:pPr>
          </w:p>
          <w:p>
            <w:pPr>
              <w:pStyle w:val="183"/>
              <w:rPr>
                <w:color w:val="auto"/>
                <w:kern w:val="0"/>
              </w:rPr>
            </w:pPr>
          </w:p>
        </w:tc>
      </w:tr>
    </w:tbl>
    <w:p>
      <w:pPr>
        <w:widowControl/>
        <w:ind w:firstLine="480"/>
        <w:jc w:val="left"/>
        <w:rPr>
          <w:rFonts w:cs="Times New Roman" w:asciiTheme="minorEastAsia" w:hAnsiTheme="minorEastAsia"/>
          <w:color w:val="auto"/>
          <w:szCs w:val="20"/>
        </w:rPr>
      </w:pPr>
      <w:r>
        <w:rPr>
          <w:rFonts w:cs="Times New Roman" w:asciiTheme="minorEastAsia" w:hAnsiTheme="minorEastAsia"/>
          <w:color w:val="auto"/>
          <w:szCs w:val="20"/>
        </w:rPr>
        <w:br w:type="page"/>
      </w:r>
    </w:p>
    <w:p>
      <w:pPr>
        <w:pStyle w:val="4"/>
        <w:rPr>
          <w:color w:val="auto"/>
        </w:rPr>
      </w:pPr>
      <w:bookmarkStart w:id="98" w:name="_Toc376855814"/>
      <w:bookmarkStart w:id="99" w:name="_Toc458883640"/>
      <w:bookmarkStart w:id="100" w:name="_Toc341946646"/>
      <w:bookmarkStart w:id="101" w:name="_Toc4990"/>
      <w:bookmarkStart w:id="102" w:name="_Toc68101067"/>
      <w:r>
        <w:rPr>
          <w:rFonts w:hint="eastAsia"/>
          <w:color w:val="auto"/>
        </w:rPr>
        <w:t>三、区域环境质量</w:t>
      </w:r>
      <w:bookmarkEnd w:id="98"/>
      <w:bookmarkEnd w:id="99"/>
      <w:bookmarkEnd w:id="100"/>
      <w:r>
        <w:rPr>
          <w:rFonts w:hint="eastAsia"/>
          <w:color w:val="auto"/>
        </w:rPr>
        <w:t>现状、环境保护目标及评价标准</w:t>
      </w:r>
      <w:bookmarkEnd w:id="101"/>
      <w:bookmarkEnd w:id="102"/>
    </w:p>
    <w:tbl>
      <w:tblPr>
        <w:tblStyle w:val="37"/>
        <w:tblW w:w="938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59"/>
        <w:gridCol w:w="842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Align w:val="center"/>
          </w:tcPr>
          <w:p>
            <w:pPr>
              <w:adjustRightInd w:val="0"/>
              <w:snapToGrid w:val="0"/>
              <w:ind w:firstLine="0" w:firstLineChars="0"/>
              <w:rPr>
                <w:rFonts w:cs="Times New Roman" w:asciiTheme="minorEastAsia" w:hAnsiTheme="minorEastAsia"/>
                <w:b/>
                <w:color w:val="auto"/>
                <w:szCs w:val="24"/>
              </w:rPr>
            </w:pPr>
          </w:p>
          <w:p>
            <w:pPr>
              <w:adjustRightInd w:val="0"/>
              <w:snapToGrid w:val="0"/>
              <w:ind w:firstLine="0" w:firstLineChars="0"/>
              <w:jc w:val="center"/>
              <w:rPr>
                <w:rFonts w:cs="Times New Roman" w:asciiTheme="minorEastAsia" w:hAnsiTheme="minorEastAsia"/>
                <w:b/>
                <w:color w:val="auto"/>
                <w:szCs w:val="24"/>
              </w:rPr>
            </w:pPr>
            <w:r>
              <w:rPr>
                <w:rFonts w:hint="eastAsia" w:cs="Times New Roman" w:asciiTheme="minorEastAsia" w:hAnsiTheme="minorEastAsia"/>
                <w:b/>
                <w:color w:val="auto"/>
                <w:szCs w:val="24"/>
              </w:rPr>
              <w:t>区域环境质量现状</w:t>
            </w:r>
          </w:p>
        </w:tc>
        <w:tc>
          <w:tcPr>
            <w:tcW w:w="8423" w:type="dxa"/>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482"/>
              <w:textAlignment w:val="auto"/>
              <w:rPr>
                <w:color w:val="auto"/>
              </w:rPr>
            </w:pPr>
            <w:r>
              <w:rPr>
                <w:color w:val="auto"/>
              </w:rPr>
              <w:t>1</w:t>
            </w:r>
            <w:r>
              <w:rPr>
                <w:rFonts w:hint="eastAsia"/>
                <w:color w:val="auto"/>
              </w:rPr>
              <w:t>、大气环境</w:t>
            </w:r>
          </w:p>
          <w:p>
            <w:pPr>
              <w:keepNext w:val="0"/>
              <w:keepLines w:val="0"/>
              <w:pageBreakBefore w:val="0"/>
              <w:widowControl w:val="0"/>
              <w:kinsoku/>
              <w:wordWrap/>
              <w:overflowPunct/>
              <w:topLinePunct w:val="0"/>
              <w:autoSpaceDE/>
              <w:autoSpaceDN/>
              <w:bidi w:val="0"/>
              <w:adjustRightInd/>
              <w:snapToGrid/>
              <w:ind w:firstLine="480"/>
              <w:textAlignment w:val="auto"/>
              <w:rPr>
                <w:rFonts w:hint="default"/>
                <w:color w:val="auto"/>
              </w:rPr>
            </w:pPr>
            <w:r>
              <w:rPr>
                <w:rFonts w:hint="default"/>
                <w:color w:val="auto"/>
              </w:rPr>
              <w:t>本项目位于</w:t>
            </w:r>
            <w:r>
              <w:rPr>
                <w:rFonts w:hint="default"/>
                <w:color w:val="auto"/>
                <w:lang w:eastAsia="zh-CN"/>
              </w:rPr>
              <w:t>姚安</w:t>
            </w:r>
            <w:r>
              <w:rPr>
                <w:rFonts w:hint="default"/>
                <w:color w:val="auto"/>
              </w:rPr>
              <w:t>县内，</w:t>
            </w:r>
            <w:r>
              <w:rPr>
                <w:rFonts w:hint="eastAsia"/>
                <w:color w:val="auto"/>
                <w:sz w:val="24"/>
              </w:rPr>
              <w:t>根据</w:t>
            </w:r>
            <w:r>
              <w:rPr>
                <w:color w:val="auto"/>
                <w:sz w:val="24"/>
              </w:rPr>
              <w:t>楚雄州生态环境局</w:t>
            </w:r>
            <w:r>
              <w:rPr>
                <w:rFonts w:hint="eastAsia"/>
                <w:color w:val="auto"/>
                <w:sz w:val="24"/>
              </w:rPr>
              <w:t>姚安分局在2022年01月07日</w:t>
            </w:r>
            <w:r>
              <w:rPr>
                <w:color w:val="auto"/>
                <w:sz w:val="24"/>
              </w:rPr>
              <w:t>发布的</w:t>
            </w:r>
            <w:r>
              <w:rPr>
                <w:rFonts w:hint="eastAsia"/>
                <w:color w:val="auto"/>
                <w:sz w:val="24"/>
              </w:rPr>
              <w:t>《</w:t>
            </w:r>
            <w:r>
              <w:rPr>
                <w:color w:val="auto"/>
                <w:sz w:val="24"/>
              </w:rPr>
              <w:t>姚安县2021年第四季度环境质量状况通报</w:t>
            </w:r>
            <w:r>
              <w:rPr>
                <w:rFonts w:hint="eastAsia"/>
                <w:color w:val="auto"/>
                <w:sz w:val="24"/>
              </w:rPr>
              <w:t>》，</w:t>
            </w:r>
            <w:r>
              <w:rPr>
                <w:color w:val="auto"/>
                <w:sz w:val="24"/>
              </w:rPr>
              <w:t>2021年第四季度，有效监测天数为92天，其中“优”为92天，环境空气质量优良率为100%，与2020年同期持平。</w:t>
            </w:r>
            <w:r>
              <w:rPr>
                <w:rFonts w:hint="eastAsia"/>
                <w:color w:val="auto"/>
                <w:sz w:val="24"/>
              </w:rPr>
              <w:t>环境空气质量监测结果如下：PM</w:t>
            </w:r>
            <w:r>
              <w:rPr>
                <w:rFonts w:hint="eastAsia"/>
                <w:color w:val="auto"/>
                <w:sz w:val="24"/>
                <w:vertAlign w:val="subscript"/>
              </w:rPr>
              <w:t>10</w:t>
            </w:r>
            <w:r>
              <w:rPr>
                <w:rFonts w:hint="eastAsia"/>
                <w:color w:val="auto"/>
                <w:sz w:val="24"/>
              </w:rPr>
              <w:t>年均值为24μg/m</w:t>
            </w:r>
            <w:r>
              <w:rPr>
                <w:rFonts w:hint="eastAsia"/>
                <w:color w:val="auto"/>
                <w:sz w:val="24"/>
                <w:vertAlign w:val="superscript"/>
              </w:rPr>
              <w:t>3</w:t>
            </w:r>
            <w:r>
              <w:rPr>
                <w:rFonts w:hint="eastAsia"/>
                <w:color w:val="auto"/>
                <w:sz w:val="24"/>
              </w:rPr>
              <w:t>、PM</w:t>
            </w:r>
            <w:r>
              <w:rPr>
                <w:rFonts w:hint="eastAsia"/>
                <w:color w:val="auto"/>
                <w:sz w:val="24"/>
                <w:vertAlign w:val="subscript"/>
              </w:rPr>
              <w:t>2.5</w:t>
            </w:r>
            <w:r>
              <w:rPr>
                <w:rFonts w:hint="eastAsia"/>
                <w:color w:val="auto"/>
                <w:sz w:val="24"/>
              </w:rPr>
              <w:t>为9μg/m</w:t>
            </w:r>
            <w:r>
              <w:rPr>
                <w:rFonts w:hint="eastAsia"/>
                <w:color w:val="auto"/>
                <w:sz w:val="24"/>
                <w:vertAlign w:val="superscript"/>
              </w:rPr>
              <w:t>3</w:t>
            </w:r>
            <w:r>
              <w:rPr>
                <w:rFonts w:hint="eastAsia"/>
                <w:color w:val="auto"/>
                <w:sz w:val="24"/>
              </w:rPr>
              <w:t>、SO</w:t>
            </w:r>
            <w:r>
              <w:rPr>
                <w:rFonts w:hint="eastAsia"/>
                <w:color w:val="auto"/>
                <w:sz w:val="24"/>
                <w:vertAlign w:val="subscript"/>
              </w:rPr>
              <w:t>2</w:t>
            </w:r>
            <w:r>
              <w:rPr>
                <w:rFonts w:hint="eastAsia"/>
                <w:color w:val="auto"/>
                <w:sz w:val="24"/>
              </w:rPr>
              <w:t>为10μg/m</w:t>
            </w:r>
            <w:r>
              <w:rPr>
                <w:rFonts w:hint="eastAsia"/>
                <w:color w:val="auto"/>
                <w:sz w:val="24"/>
                <w:vertAlign w:val="superscript"/>
              </w:rPr>
              <w:t>3</w:t>
            </w:r>
            <w:r>
              <w:rPr>
                <w:rFonts w:hint="eastAsia"/>
                <w:color w:val="auto"/>
                <w:sz w:val="24"/>
              </w:rPr>
              <w:t>。</w:t>
            </w:r>
            <w:r>
              <w:rPr>
                <w:color w:val="auto"/>
                <w:sz w:val="24"/>
              </w:rPr>
              <w:t>项目区环境空气质量现状能够满足《环境空气质量标准》及其修改单（GB3095-2012）中二级标准要求</w:t>
            </w:r>
            <w:r>
              <w:rPr>
                <w:rFonts w:hint="eastAsia"/>
                <w:color w:val="auto"/>
                <w:sz w:val="24"/>
              </w:rPr>
              <w:t>，环境空气质量较好</w:t>
            </w:r>
            <w:r>
              <w:rPr>
                <w:rFonts w:hint="default"/>
                <w:color w:val="auto"/>
              </w:rPr>
              <w:t>。</w:t>
            </w:r>
          </w:p>
          <w:p>
            <w:pPr>
              <w:keepNext w:val="0"/>
              <w:keepLines w:val="0"/>
              <w:pageBreakBefore w:val="0"/>
              <w:widowControl w:val="0"/>
              <w:kinsoku/>
              <w:wordWrap/>
              <w:overflowPunct/>
              <w:topLinePunct w:val="0"/>
              <w:autoSpaceDE/>
              <w:autoSpaceDN/>
              <w:bidi w:val="0"/>
              <w:adjustRightInd/>
              <w:snapToGrid/>
              <w:ind w:firstLine="480"/>
              <w:textAlignment w:val="auto"/>
              <w:rPr>
                <w:rFonts w:hint="default"/>
                <w:color w:val="auto"/>
              </w:rPr>
            </w:pPr>
            <w:r>
              <w:rPr>
                <w:rFonts w:hint="default"/>
                <w:color w:val="auto"/>
              </w:rPr>
              <w:t>本项目位于</w:t>
            </w:r>
            <w:r>
              <w:rPr>
                <w:rFonts w:hint="default"/>
                <w:color w:val="auto"/>
                <w:lang w:val="zh-CN"/>
              </w:rPr>
              <w:t>姚安县栋川镇</w:t>
            </w:r>
            <w:r>
              <w:rPr>
                <w:rFonts w:hint="eastAsia"/>
                <w:color w:val="auto"/>
                <w:lang w:val="zh-CN"/>
              </w:rPr>
              <w:t>下栖霞路与春晖路交汇口西处</w:t>
            </w:r>
            <w:r>
              <w:rPr>
                <w:rFonts w:hint="default"/>
                <w:color w:val="auto"/>
              </w:rPr>
              <w:t>，地处</w:t>
            </w:r>
            <w:r>
              <w:rPr>
                <w:rFonts w:hint="default"/>
                <w:color w:val="auto"/>
                <w:lang w:val="en-US" w:eastAsia="zh-CN"/>
              </w:rPr>
              <w:t>乡镇</w:t>
            </w:r>
            <w:r>
              <w:rPr>
                <w:rFonts w:hint="default"/>
                <w:color w:val="auto"/>
              </w:rPr>
              <w:t>地区，属于《环境空气质量标准》（GB3095-2012）的二类区。经现场踏勘，项目周边除了受乡村生产生活影响外，无较大工业废气污染源，项目区环境空气质量较好。</w:t>
            </w:r>
          </w:p>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482"/>
              <w:textAlignment w:val="auto"/>
              <w:rPr>
                <w:color w:val="auto"/>
              </w:rPr>
            </w:pPr>
            <w:r>
              <w:rPr>
                <w:color w:val="auto"/>
              </w:rPr>
              <w:t>2</w:t>
            </w:r>
            <w:r>
              <w:rPr>
                <w:rFonts w:hint="eastAsia"/>
                <w:color w:val="auto"/>
              </w:rPr>
              <w:t>、地表水环境</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color w:val="auto"/>
              </w:rPr>
            </w:pPr>
            <w:r>
              <w:rPr>
                <w:rFonts w:hint="default"/>
                <w:color w:val="auto"/>
              </w:rPr>
              <w:t>根据《2019年楚雄州环境质量状况》，和同时根据楚雄州生态环境局发布的全州主要河流水质监测状况月报，姚安县蜻蛉河王家桥监测断面水质类别均为Ⅳ类，水质达到水功能区划水质目标要求。本项目附近地表水为项目</w:t>
            </w:r>
            <w:r>
              <w:rPr>
                <w:rFonts w:hint="default"/>
                <w:color w:val="auto"/>
                <w:lang w:val="en-US" w:eastAsia="zh-CN"/>
              </w:rPr>
              <w:t>东</w:t>
            </w:r>
            <w:r>
              <w:rPr>
                <w:rFonts w:hint="default"/>
                <w:color w:val="auto"/>
              </w:rPr>
              <w:t>面约</w:t>
            </w:r>
            <w:r>
              <w:rPr>
                <w:rFonts w:hint="default"/>
                <w:color w:val="auto"/>
                <w:lang w:val="en-US" w:eastAsia="zh-CN"/>
              </w:rPr>
              <w:t>4000</w:t>
            </w:r>
            <w:r>
              <w:rPr>
                <w:rFonts w:hint="default"/>
                <w:color w:val="auto"/>
              </w:rPr>
              <w:t>m处的</w:t>
            </w:r>
            <w:r>
              <w:rPr>
                <w:rFonts w:hint="default"/>
                <w:color w:val="auto"/>
                <w:lang w:val="en-US" w:eastAsia="zh-CN"/>
              </w:rPr>
              <w:t>蜻岭河</w:t>
            </w:r>
            <w:r>
              <w:rPr>
                <w:rFonts w:hint="default"/>
                <w:color w:val="auto"/>
              </w:rPr>
              <w:t>。</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color w:val="auto"/>
                <w:lang w:eastAsia="zh-CN"/>
              </w:rPr>
            </w:pPr>
            <w:r>
              <w:rPr>
                <w:rFonts w:hint="eastAsia"/>
                <w:color w:val="auto"/>
                <w:lang w:eastAsia="zh-CN"/>
              </w:rPr>
              <w:t>根据楚雄州生态环境局姚安分局在2022年01月07日发布的《姚安县2021年第四季度环境质量状况通报》，姚安县蜻蛉河王家桥监测断面水质监测情况如下：10月水质监测结果综合评价为Ⅴ类，中度污染，主要超标因子为总磷，11月水质监测结果综合评价为Ⅳ类，轻度污染，主要超标因子为五日生化需氧量，12月水质监测结果综合评价为Ⅲ类，水质状况总体为良。第四季度达到Ⅳ类水功能区划要求。目前，项目所在区域地表水环境质量不稳定，环境承载能力不强。</w:t>
            </w:r>
          </w:p>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482"/>
              <w:textAlignment w:val="auto"/>
              <w:rPr>
                <w:color w:val="auto"/>
              </w:rPr>
            </w:pPr>
            <w:r>
              <w:rPr>
                <w:color w:val="auto"/>
              </w:rPr>
              <w:t>3</w:t>
            </w:r>
            <w:r>
              <w:rPr>
                <w:rFonts w:hint="eastAsia"/>
                <w:color w:val="auto"/>
              </w:rPr>
              <w:t>、声环境</w:t>
            </w:r>
          </w:p>
          <w:p>
            <w:pPr>
              <w:ind w:firstLine="480"/>
              <w:rPr>
                <w:rFonts w:hint="default"/>
                <w:color w:val="auto"/>
              </w:rPr>
            </w:pPr>
            <w:r>
              <w:rPr>
                <w:rFonts w:hint="default"/>
                <w:color w:val="auto"/>
              </w:rPr>
              <w:t>本项目位于</w:t>
            </w:r>
            <w:r>
              <w:rPr>
                <w:rFonts w:hint="default"/>
                <w:color w:val="auto"/>
                <w:lang w:eastAsia="zh-CN"/>
              </w:rPr>
              <w:t>姚安县栋川镇</w:t>
            </w:r>
            <w:r>
              <w:rPr>
                <w:rFonts w:hint="eastAsia"/>
                <w:color w:val="auto"/>
                <w:lang w:eastAsia="zh-CN"/>
              </w:rPr>
              <w:t>下栖霞路与春晖路交汇口西处</w:t>
            </w:r>
            <w:r>
              <w:rPr>
                <w:rFonts w:hint="default"/>
                <w:color w:val="auto"/>
              </w:rPr>
              <w:t>，经现场踏勘，项目区除受</w:t>
            </w:r>
            <w:r>
              <w:rPr>
                <w:rFonts w:hint="eastAsia"/>
                <w:color w:val="auto"/>
                <w:lang w:eastAsia="zh-CN"/>
              </w:rPr>
              <w:t>周围居民</w:t>
            </w:r>
            <w:r>
              <w:rPr>
                <w:rFonts w:hint="default"/>
                <w:color w:val="auto"/>
              </w:rPr>
              <w:t>生产生活影响外，项目区无其他工业噪声污染源，项目区声环境质量较好。</w:t>
            </w:r>
          </w:p>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482"/>
              <w:textAlignment w:val="auto"/>
              <w:rPr>
                <w:color w:val="auto"/>
              </w:rPr>
            </w:pPr>
            <w:r>
              <w:rPr>
                <w:color w:val="auto"/>
              </w:rPr>
              <w:t>4</w:t>
            </w:r>
            <w:r>
              <w:rPr>
                <w:rFonts w:hint="eastAsia"/>
                <w:color w:val="auto"/>
              </w:rPr>
              <w:t>、生态环境</w:t>
            </w:r>
          </w:p>
          <w:p>
            <w:pPr>
              <w:keepNext w:val="0"/>
              <w:keepLines w:val="0"/>
              <w:widowControl/>
              <w:suppressLineNumbers w:val="0"/>
              <w:jc w:val="both"/>
              <w:rPr>
                <w:color w:val="auto"/>
              </w:rPr>
            </w:pPr>
            <w:r>
              <w:rPr>
                <w:rFonts w:hint="eastAsia"/>
                <w:color w:val="auto"/>
                <w:lang w:val="en-US" w:eastAsia="zh-CN"/>
              </w:rPr>
              <w:t>根据现场调查，项目区域生态环境为城乡生态环境，因人类活动影响，项目区内植被为较为常见的天然次生植被。评价区内生态环境一般，项目拟使用地范围内没有发现国家和省级重点保护野生动、植物，无国家保护动物分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76" w:hRule="atLeast"/>
          <w:jc w:val="center"/>
        </w:trPr>
        <w:tc>
          <w:tcPr>
            <w:tcW w:w="959" w:type="dxa"/>
            <w:vAlign w:val="center"/>
          </w:tcPr>
          <w:p>
            <w:pPr>
              <w:adjustRightInd w:val="0"/>
              <w:snapToGrid w:val="0"/>
              <w:ind w:firstLine="0" w:firstLineChars="0"/>
              <w:rPr>
                <w:rFonts w:cs="Times New Roman" w:asciiTheme="minorEastAsia" w:hAnsiTheme="minorEastAsia"/>
                <w:b/>
                <w:color w:val="auto"/>
                <w:szCs w:val="24"/>
              </w:rPr>
            </w:pPr>
            <w:r>
              <w:rPr>
                <w:rFonts w:hint="eastAsia" w:cs="Times New Roman" w:asciiTheme="minorEastAsia" w:hAnsiTheme="minorEastAsia"/>
                <w:b/>
                <w:color w:val="auto"/>
                <w:szCs w:val="24"/>
              </w:rPr>
              <w:t>环境保护目标</w:t>
            </w:r>
          </w:p>
        </w:tc>
        <w:tc>
          <w:tcPr>
            <w:tcW w:w="8423" w:type="dxa"/>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482"/>
              <w:textAlignment w:val="auto"/>
              <w:rPr>
                <w:color w:val="auto"/>
              </w:rPr>
            </w:pPr>
            <w:r>
              <w:rPr>
                <w:rFonts w:hint="eastAsia"/>
                <w:color w:val="auto"/>
              </w:rPr>
              <w:t>1、大气环境</w:t>
            </w:r>
          </w:p>
          <w:p>
            <w:pPr>
              <w:keepNext w:val="0"/>
              <w:keepLines w:val="0"/>
              <w:widowControl/>
              <w:suppressLineNumbers w:val="0"/>
              <w:jc w:val="both"/>
              <w:rPr>
                <w:rFonts w:hint="eastAsia" w:eastAsia="宋体" w:cs="Times New Roman"/>
                <w:color w:val="auto"/>
                <w:lang w:eastAsia="zh-CN"/>
              </w:rPr>
            </w:pPr>
            <w:r>
              <w:rPr>
                <w:rFonts w:hint="eastAsia"/>
                <w:color w:val="auto"/>
              </w:rPr>
              <w:t>大气环境</w:t>
            </w:r>
            <w:r>
              <w:rPr>
                <w:rFonts w:cs="Times New Roman"/>
                <w:color w:val="auto"/>
              </w:rPr>
              <w:t>按照《环境空气质量标准》（GB3095</w:t>
            </w:r>
            <w:r>
              <w:rPr>
                <w:rFonts w:ascii="宋体" w:hAnsi="宋体" w:eastAsia="宋体" w:cs="Times New Roman"/>
                <w:color w:val="auto"/>
              </w:rPr>
              <w:t>-</w:t>
            </w:r>
            <w:r>
              <w:rPr>
                <w:rFonts w:cs="Times New Roman"/>
                <w:color w:val="auto"/>
              </w:rPr>
              <w:t>2012）</w:t>
            </w:r>
            <w:r>
              <w:rPr>
                <w:rFonts w:hint="eastAsia" w:ascii="宋体" w:hAnsi="宋体" w:eastAsia="宋体" w:cs="宋体"/>
                <w:color w:val="auto"/>
                <w:kern w:val="0"/>
                <w:sz w:val="24"/>
                <w:szCs w:val="24"/>
                <w:lang w:val="en-US" w:eastAsia="zh-CN" w:bidi="ar"/>
              </w:rPr>
              <w:t>二类环境空气功能区进行保护</w:t>
            </w:r>
            <w:r>
              <w:rPr>
                <w:rFonts w:hint="eastAsia" w:eastAsia="宋体" w:cs="Times New Roman"/>
                <w:color w:val="auto"/>
                <w:lang w:eastAsia="zh-CN"/>
              </w:rPr>
              <w:t>，</w:t>
            </w:r>
            <w:r>
              <w:rPr>
                <w:rFonts w:hint="eastAsia"/>
                <w:color w:val="auto"/>
              </w:rPr>
              <w:t>保护目标为</w:t>
            </w:r>
            <w:r>
              <w:rPr>
                <w:rFonts w:hint="eastAsia"/>
                <w:color w:val="auto"/>
                <w:lang w:eastAsia="zh-CN"/>
              </w:rPr>
              <w:t>医院</w:t>
            </w:r>
            <w:r>
              <w:rPr>
                <w:rFonts w:hint="eastAsia"/>
                <w:color w:val="auto"/>
              </w:rPr>
              <w:t>周边500m范围内的</w:t>
            </w:r>
            <w:r>
              <w:rPr>
                <w:rFonts w:hint="eastAsia"/>
                <w:color w:val="auto"/>
                <w:lang w:val="en-US" w:eastAsia="zh-CN"/>
              </w:rPr>
              <w:t>村庄、</w:t>
            </w:r>
            <w:r>
              <w:rPr>
                <w:rFonts w:hint="eastAsia"/>
                <w:color w:val="auto"/>
              </w:rPr>
              <w:t>居民。</w:t>
            </w:r>
          </w:p>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482"/>
              <w:textAlignment w:val="auto"/>
              <w:rPr>
                <w:rFonts w:hint="eastAsia"/>
                <w:color w:val="auto"/>
              </w:rPr>
            </w:pPr>
            <w:r>
              <w:rPr>
                <w:rFonts w:hint="eastAsia"/>
                <w:color w:val="auto"/>
              </w:rPr>
              <w:t>2、声环境</w:t>
            </w:r>
          </w:p>
          <w:p>
            <w:pPr>
              <w:keepNext w:val="0"/>
              <w:keepLines w:val="0"/>
              <w:widowControl/>
              <w:suppressLineNumbers w:val="0"/>
              <w:jc w:val="both"/>
              <w:rPr>
                <w:rFonts w:hint="eastAsia" w:ascii="宋体" w:hAnsi="宋体" w:eastAsia="宋体" w:cs="宋体"/>
                <w:color w:val="auto"/>
                <w:kern w:val="0"/>
                <w:sz w:val="24"/>
                <w:szCs w:val="24"/>
                <w:lang w:val="en-US" w:eastAsia="zh-CN" w:bidi="ar"/>
              </w:rPr>
            </w:pPr>
            <w:r>
              <w:rPr>
                <w:rFonts w:hint="eastAsia"/>
                <w:color w:val="auto"/>
              </w:rPr>
              <w:t>声环境</w:t>
            </w:r>
            <w:r>
              <w:rPr>
                <w:rFonts w:cs="Times New Roman"/>
                <w:color w:val="auto"/>
              </w:rPr>
              <w:t>按照《声环境质量标准》（GB3096</w:t>
            </w:r>
            <w:r>
              <w:rPr>
                <w:rFonts w:ascii="宋体" w:hAnsi="宋体" w:eastAsia="宋体" w:cs="Times New Roman"/>
                <w:color w:val="auto"/>
              </w:rPr>
              <w:t>-</w:t>
            </w:r>
            <w:r>
              <w:rPr>
                <w:rFonts w:cs="Times New Roman"/>
                <w:color w:val="auto"/>
              </w:rPr>
              <w:t>2008）</w:t>
            </w:r>
            <w:r>
              <w:rPr>
                <w:rFonts w:hint="eastAsia" w:eastAsia="宋体" w:cs="Times New Roman"/>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类环境噪声功能区进行保护，保护范围为项目区周边</w:t>
            </w:r>
            <w:r>
              <w:rPr>
                <w:rFonts w:hint="default" w:ascii="Times New Roman" w:hAnsi="Times New Roman" w:eastAsia="宋体" w:cs="Times New Roman"/>
                <w:color w:val="auto"/>
                <w:kern w:val="0"/>
                <w:sz w:val="24"/>
                <w:szCs w:val="24"/>
                <w:lang w:val="en-US" w:eastAsia="zh-CN" w:bidi="ar"/>
              </w:rPr>
              <w:t>50m</w:t>
            </w:r>
            <w:r>
              <w:rPr>
                <w:rFonts w:hint="eastAsia" w:ascii="宋体" w:hAnsi="宋体" w:eastAsia="宋体" w:cs="宋体"/>
                <w:color w:val="auto"/>
                <w:kern w:val="0"/>
                <w:sz w:val="24"/>
                <w:szCs w:val="24"/>
                <w:lang w:val="en-US" w:eastAsia="zh-CN" w:bidi="ar"/>
              </w:rPr>
              <w:t>范围内的村庄、居民。</w:t>
            </w:r>
          </w:p>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482"/>
              <w:textAlignment w:val="auto"/>
              <w:rPr>
                <w:rFonts w:hint="eastAsia"/>
                <w:color w:val="auto"/>
              </w:rPr>
            </w:pPr>
            <w:r>
              <w:rPr>
                <w:rFonts w:hint="eastAsia"/>
                <w:color w:val="auto"/>
              </w:rPr>
              <w:t>3、地下水环境</w:t>
            </w:r>
          </w:p>
          <w:p>
            <w:pPr>
              <w:ind w:firstLine="480"/>
              <w:rPr>
                <w:rFonts w:cs="Times New Roman"/>
                <w:color w:val="auto"/>
              </w:rPr>
            </w:pPr>
            <w:r>
              <w:rPr>
                <w:rFonts w:hint="eastAsia" w:cs="Times New Roman"/>
                <w:color w:val="auto"/>
              </w:rPr>
              <w:t>根据调查，项目厂界500m范围内居民均使用自来水，无地下水集中式饮用水源和热水、矿泉水、温泉等特殊地下水资源，无地下水敏感目标。</w:t>
            </w:r>
          </w:p>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482"/>
              <w:textAlignment w:val="auto"/>
              <w:rPr>
                <w:rFonts w:hint="eastAsia"/>
                <w:color w:val="auto"/>
              </w:rPr>
            </w:pPr>
            <w:r>
              <w:rPr>
                <w:rFonts w:hint="eastAsia"/>
                <w:color w:val="auto"/>
              </w:rPr>
              <w:t>4、地表水环境</w:t>
            </w:r>
          </w:p>
          <w:p>
            <w:pPr>
              <w:ind w:firstLine="480"/>
              <w:rPr>
                <w:rFonts w:hint="eastAsia" w:cs="Times New Roman"/>
                <w:color w:val="auto"/>
              </w:rPr>
            </w:pPr>
            <w:r>
              <w:rPr>
                <w:rFonts w:hint="eastAsia"/>
                <w:color w:val="auto"/>
              </w:rPr>
              <w:t>项目附近主要地表水为</w:t>
            </w:r>
            <w:r>
              <w:rPr>
                <w:rFonts w:hint="eastAsia"/>
                <w:color w:val="auto"/>
                <w:lang w:eastAsia="zh-CN"/>
              </w:rPr>
              <w:t>医院</w:t>
            </w:r>
            <w:r>
              <w:rPr>
                <w:rFonts w:hint="eastAsia"/>
                <w:color w:val="auto"/>
                <w:lang w:val="en-US" w:eastAsia="zh-CN"/>
              </w:rPr>
              <w:t>东</w:t>
            </w:r>
            <w:r>
              <w:rPr>
                <w:rFonts w:hint="eastAsia"/>
                <w:color w:val="auto"/>
              </w:rPr>
              <w:t>面约</w:t>
            </w:r>
            <w:r>
              <w:rPr>
                <w:rFonts w:hint="eastAsia"/>
                <w:color w:val="auto"/>
                <w:lang w:val="en-US" w:eastAsia="zh-CN"/>
              </w:rPr>
              <w:t>4000</w:t>
            </w:r>
            <w:r>
              <w:rPr>
                <w:rFonts w:hint="eastAsia"/>
                <w:color w:val="auto"/>
              </w:rPr>
              <w:t>m处的蜻岭河。根据</w:t>
            </w:r>
            <w:r>
              <w:rPr>
                <w:rFonts w:hint="eastAsia" w:eastAsia="宋体" w:cs="Times New Roman"/>
                <w:color w:val="auto"/>
              </w:rPr>
              <w:t>《云南省地表水环境功能区划》（2010-2020），蜻蛉河（源头～入龙川江段）水环境功能为工业用水、农业用水，水质类别为</w:t>
            </w:r>
            <w:r>
              <w:rPr>
                <w:rFonts w:hint="eastAsia" w:ascii="宋体" w:hAnsi="宋体" w:cs="宋体"/>
                <w:color w:val="auto"/>
              </w:rPr>
              <w:t>Ⅳ</w:t>
            </w:r>
            <w:r>
              <w:rPr>
                <w:rFonts w:hint="eastAsia" w:eastAsia="宋体" w:cs="Times New Roman"/>
                <w:color w:val="auto"/>
              </w:rPr>
              <w:t>类，项目区地表水环境</w:t>
            </w:r>
            <w:r>
              <w:rPr>
                <w:rFonts w:hint="eastAsia"/>
                <w:color w:val="auto"/>
              </w:rPr>
              <w:t>按</w:t>
            </w:r>
            <w:r>
              <w:rPr>
                <w:rFonts w:hint="eastAsia" w:ascii="宋体" w:hAnsi="宋体" w:cs="宋体"/>
                <w:color w:val="auto"/>
              </w:rPr>
              <w:t>Ⅳ</w:t>
            </w:r>
            <w:r>
              <w:rPr>
                <w:rFonts w:hint="eastAsia" w:cs="Times New Roman"/>
                <w:color w:val="auto"/>
              </w:rPr>
              <w:t>类标准进行保护。</w:t>
            </w:r>
          </w:p>
          <w:p>
            <w:pPr>
              <w:ind w:firstLine="480"/>
              <w:rPr>
                <w:rFonts w:cs="Times New Roman" w:asciiTheme="minorEastAsia" w:hAnsiTheme="minorEastAsia"/>
                <w:bCs/>
                <w:color w:val="auto"/>
              </w:rPr>
            </w:pPr>
            <w:r>
              <w:rPr>
                <w:rFonts w:hint="eastAsia"/>
                <w:color w:val="auto"/>
                <w:kern w:val="0"/>
              </w:rPr>
              <w:t>项目场地及其周围内没有需要特殊保护的文物</w:t>
            </w:r>
            <w:r>
              <w:rPr>
                <w:rFonts w:hint="eastAsia"/>
                <w:color w:val="auto"/>
                <w:spacing w:val="-48"/>
                <w:kern w:val="0"/>
              </w:rPr>
              <w:t>、</w:t>
            </w:r>
            <w:r>
              <w:rPr>
                <w:rFonts w:hint="eastAsia"/>
                <w:color w:val="auto"/>
                <w:kern w:val="0"/>
              </w:rPr>
              <w:t>名胜、古迹和文化及自然遗产。</w:t>
            </w:r>
            <w:r>
              <w:rPr>
                <w:rFonts w:cs="Times New Roman" w:asciiTheme="minorEastAsia" w:hAnsiTheme="minorEastAsia"/>
                <w:bCs/>
                <w:color w:val="auto"/>
              </w:rPr>
              <w:t>本项目主要保护目标</w:t>
            </w:r>
            <w:r>
              <w:rPr>
                <w:rFonts w:hint="eastAsia" w:cs="Times New Roman" w:asciiTheme="minorEastAsia" w:hAnsiTheme="minorEastAsia"/>
                <w:bCs/>
                <w:color w:val="auto"/>
              </w:rPr>
              <w:t>见下表</w:t>
            </w:r>
            <w:r>
              <w:rPr>
                <w:rFonts w:cs="Times New Roman" w:asciiTheme="minorEastAsia" w:hAnsiTheme="minorEastAsia"/>
                <w:bCs/>
                <w:color w:val="auto"/>
              </w:rPr>
              <w:t>。</w:t>
            </w:r>
          </w:p>
          <w:p>
            <w:pPr>
              <w:pStyle w:val="67"/>
              <w:keepNext/>
              <w:keepLines w:val="0"/>
              <w:pageBreakBefore/>
              <w:widowControl w:val="0"/>
              <w:kinsoku/>
              <w:wordWrap/>
              <w:overflowPunct/>
              <w:topLinePunct w:val="0"/>
              <w:autoSpaceDE/>
              <w:autoSpaceDN/>
              <w:bidi w:val="0"/>
              <w:adjustRightInd/>
              <w:snapToGrid w:val="0"/>
              <w:spacing w:before="0" w:after="0" w:line="360" w:lineRule="auto"/>
              <w:ind w:firstLine="0"/>
              <w:textAlignment w:val="auto"/>
              <w:rPr>
                <w:rFonts w:hint="default" w:ascii="Times New Roman" w:hAnsi="Times New Roman" w:cs="Times New Roman" w:eastAsiaTheme="minorEastAsia"/>
                <w:b/>
                <w:bCs/>
                <w:color w:val="auto"/>
                <w:kern w:val="2"/>
                <w:sz w:val="21"/>
                <w:szCs w:val="21"/>
              </w:rPr>
            </w:pPr>
            <w:r>
              <w:rPr>
                <w:rFonts w:hint="default" w:ascii="Times New Roman" w:hAnsi="Times New Roman" w:cs="Times New Roman" w:eastAsiaTheme="minorEastAsia"/>
                <w:b/>
                <w:bCs/>
                <w:color w:val="auto"/>
                <w:kern w:val="2"/>
                <w:sz w:val="21"/>
                <w:szCs w:val="21"/>
              </w:rPr>
              <w:t>表</w:t>
            </w:r>
            <w:r>
              <w:rPr>
                <w:rFonts w:hint="default" w:ascii="Times New Roman" w:hAnsi="Times New Roman" w:cs="Times New Roman"/>
                <w:b/>
                <w:bCs/>
                <w:color w:val="auto"/>
                <w:kern w:val="2"/>
                <w:sz w:val="21"/>
                <w:szCs w:val="21"/>
              </w:rPr>
              <w:t xml:space="preserve">3-1  </w:t>
            </w:r>
            <w:r>
              <w:rPr>
                <w:rFonts w:hint="default" w:ascii="Times New Roman" w:hAnsi="Times New Roman" w:cs="Times New Roman" w:eastAsiaTheme="minorEastAsia"/>
                <w:b/>
                <w:bCs/>
                <w:color w:val="auto"/>
                <w:kern w:val="2"/>
                <w:sz w:val="21"/>
                <w:szCs w:val="21"/>
              </w:rPr>
              <w:t>主要保护目标一览表</w:t>
            </w:r>
          </w:p>
          <w:tbl>
            <w:tblPr>
              <w:tblStyle w:val="37"/>
              <w:tblW w:w="8207" w:type="dxa"/>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791"/>
              <w:gridCol w:w="2008"/>
              <w:gridCol w:w="1258"/>
              <w:gridCol w:w="1215"/>
              <w:gridCol w:w="1613"/>
              <w:gridCol w:w="1322"/>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jc w:val="center"/>
              </w:trPr>
              <w:tc>
                <w:tcPr>
                  <w:tcW w:w="791"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项目</w:t>
                  </w:r>
                </w:p>
              </w:tc>
              <w:tc>
                <w:tcPr>
                  <w:tcW w:w="2008"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保护目标</w:t>
                  </w:r>
                </w:p>
              </w:tc>
              <w:tc>
                <w:tcPr>
                  <w:tcW w:w="1258"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lang w:eastAsia="zh-CN"/>
                    </w:rPr>
                    <w:t>方位</w:t>
                  </w:r>
                  <w:r>
                    <w:rPr>
                      <w:rFonts w:hint="default" w:ascii="Times New Roman" w:hAnsi="Times New Roman" w:cs="Times New Roman"/>
                      <w:b/>
                      <w:bCs/>
                      <w:color w:val="auto"/>
                      <w:kern w:val="2"/>
                      <w:sz w:val="21"/>
                      <w:szCs w:val="21"/>
                    </w:rPr>
                    <w:t>距离</w:t>
                  </w:r>
                </w:p>
              </w:tc>
              <w:tc>
                <w:tcPr>
                  <w:tcW w:w="1215" w:type="dxa"/>
                  <w:tcBorders>
                    <w:right w:val="single" w:color="000000" w:sz="8" w:space="0"/>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人数</w:t>
                  </w:r>
                </w:p>
              </w:tc>
              <w:tc>
                <w:tcPr>
                  <w:tcW w:w="1613" w:type="dxa"/>
                  <w:tcBorders>
                    <w:left w:val="single" w:color="000000" w:sz="8" w:space="0"/>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b/>
                      <w:bCs/>
                      <w:color w:val="auto"/>
                      <w:kern w:val="2"/>
                      <w:sz w:val="21"/>
                      <w:szCs w:val="21"/>
                      <w:lang w:val="en-US" w:eastAsia="zh-CN"/>
                    </w:rPr>
                  </w:pPr>
                  <w:r>
                    <w:rPr>
                      <w:rFonts w:hint="default" w:ascii="Times New Roman" w:hAnsi="Times New Roman" w:cs="Times New Roman"/>
                      <w:b/>
                      <w:bCs/>
                      <w:color w:val="auto"/>
                      <w:kern w:val="2"/>
                      <w:sz w:val="21"/>
                      <w:szCs w:val="21"/>
                      <w:lang w:val="en-US" w:eastAsia="zh-CN"/>
                    </w:rPr>
                    <w:t>坐标</w:t>
                  </w:r>
                </w:p>
              </w:tc>
              <w:tc>
                <w:tcPr>
                  <w:tcW w:w="1322"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保护级别</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791" w:type="dxa"/>
                  <w:vMerge w:val="restart"/>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rPr>
                    <w:t>大气环境</w:t>
                  </w:r>
                </w:p>
              </w:tc>
              <w:tc>
                <w:tcPr>
                  <w:tcW w:w="2008"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zh-CN" w:eastAsia="zh-CN"/>
                    </w:rPr>
                  </w:pPr>
                  <w:r>
                    <w:rPr>
                      <w:rFonts w:hint="default" w:ascii="Times New Roman" w:hAnsi="Times New Roman" w:eastAsia="宋体" w:cs="Times New Roman"/>
                      <w:color w:val="auto"/>
                      <w:kern w:val="2"/>
                      <w:sz w:val="21"/>
                      <w:szCs w:val="21"/>
                      <w:lang w:val="zh-CN" w:eastAsia="zh-CN"/>
                    </w:rPr>
                    <w:t>荷城印象新家园小区</w:t>
                  </w:r>
                </w:p>
              </w:tc>
              <w:tc>
                <w:tcPr>
                  <w:tcW w:w="1258"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cs="Times New Roman"/>
                      <w:color w:val="auto"/>
                      <w:kern w:val="2"/>
                      <w:sz w:val="21"/>
                      <w:szCs w:val="21"/>
                      <w:lang w:val="zh-CN"/>
                    </w:rPr>
                  </w:pPr>
                  <w:r>
                    <w:rPr>
                      <w:rFonts w:hint="default" w:ascii="Times New Roman" w:hAnsi="Times New Roman" w:cs="Times New Roman"/>
                      <w:color w:val="auto"/>
                      <w:kern w:val="2"/>
                      <w:sz w:val="21"/>
                      <w:szCs w:val="21"/>
                      <w:lang w:val="zh-CN"/>
                    </w:rPr>
                    <w:t>东面约</w:t>
                  </w:r>
                  <w:r>
                    <w:rPr>
                      <w:rFonts w:hint="eastAsia" w:cs="Times New Roman"/>
                      <w:color w:val="auto"/>
                      <w:kern w:val="2"/>
                      <w:sz w:val="21"/>
                      <w:szCs w:val="21"/>
                      <w:lang w:val="en-US" w:eastAsia="zh-CN"/>
                    </w:rPr>
                    <w:t>70</w:t>
                  </w:r>
                  <w:r>
                    <w:rPr>
                      <w:rFonts w:hint="default" w:ascii="Times New Roman" w:hAnsi="Times New Roman" w:cs="Times New Roman"/>
                      <w:color w:val="auto"/>
                      <w:kern w:val="2"/>
                      <w:sz w:val="21"/>
                      <w:szCs w:val="21"/>
                    </w:rPr>
                    <w:t>m</w:t>
                  </w:r>
                </w:p>
              </w:tc>
              <w:tc>
                <w:tcPr>
                  <w:tcW w:w="1215" w:type="dxa"/>
                  <w:tcBorders>
                    <w:right w:val="single" w:color="000000" w:sz="8" w:space="0"/>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cs="Times New Roman"/>
                      <w:color w:val="auto"/>
                      <w:kern w:val="2"/>
                      <w:sz w:val="21"/>
                      <w:szCs w:val="21"/>
                      <w:lang w:val="zh-CN"/>
                    </w:rPr>
                  </w:pPr>
                  <w:r>
                    <w:rPr>
                      <w:rFonts w:hint="default" w:ascii="Times New Roman" w:hAnsi="Times New Roman" w:cs="Times New Roman"/>
                      <w:color w:val="auto"/>
                      <w:kern w:val="2"/>
                      <w:sz w:val="21"/>
                      <w:szCs w:val="21"/>
                      <w:lang w:val="en-US" w:eastAsia="zh-CN"/>
                    </w:rPr>
                    <w:t>300户，1100人</w:t>
                  </w:r>
                </w:p>
              </w:tc>
              <w:tc>
                <w:tcPr>
                  <w:tcW w:w="1613" w:type="dxa"/>
                  <w:tcBorders>
                    <w:left w:val="single" w:color="000000" w:sz="8" w:space="0"/>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E101.229863</w:t>
                  </w:r>
                </w:p>
                <w:p>
                  <w:pPr>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N25.509342</w:t>
                  </w:r>
                </w:p>
              </w:tc>
              <w:tc>
                <w:tcPr>
                  <w:tcW w:w="1322" w:type="dxa"/>
                  <w:vMerge w:val="restart"/>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rPr>
                    <w:t>《环境空气质量标准》（GB3095-2012）二级</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196" w:hRule="atLeast"/>
                <w:jc w:val="center"/>
              </w:trPr>
              <w:tc>
                <w:tcPr>
                  <w:tcW w:w="791" w:type="dxa"/>
                  <w:vMerge w:val="continue"/>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c>
                <w:tcPr>
                  <w:tcW w:w="2008"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姚安县2012年保障性住房（春晖小区）</w:t>
                  </w:r>
                </w:p>
              </w:tc>
              <w:tc>
                <w:tcPr>
                  <w:tcW w:w="1258"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cs="Times New Roman"/>
                      <w:color w:val="auto"/>
                      <w:kern w:val="2"/>
                      <w:sz w:val="21"/>
                      <w:szCs w:val="21"/>
                      <w:lang w:val="zh-CN"/>
                    </w:rPr>
                    <w:t>东面约</w:t>
                  </w:r>
                  <w:r>
                    <w:rPr>
                      <w:rFonts w:hint="default" w:ascii="Times New Roman" w:hAnsi="Times New Roman" w:cs="Times New Roman"/>
                      <w:color w:val="auto"/>
                      <w:kern w:val="2"/>
                      <w:sz w:val="21"/>
                      <w:szCs w:val="21"/>
                      <w:lang w:val="en-US" w:eastAsia="zh-CN"/>
                    </w:rPr>
                    <w:t>190</w:t>
                  </w:r>
                  <w:r>
                    <w:rPr>
                      <w:rFonts w:hint="default" w:ascii="Times New Roman" w:hAnsi="Times New Roman" w:cs="Times New Roman"/>
                      <w:color w:val="auto"/>
                      <w:kern w:val="2"/>
                      <w:sz w:val="21"/>
                      <w:szCs w:val="21"/>
                    </w:rPr>
                    <w:t>m</w:t>
                  </w:r>
                </w:p>
              </w:tc>
              <w:tc>
                <w:tcPr>
                  <w:tcW w:w="1215" w:type="dxa"/>
                  <w:tcBorders>
                    <w:right w:val="single" w:color="000000" w:sz="8" w:space="0"/>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rPr>
                    <w:t>400户</w:t>
                  </w:r>
                  <w:r>
                    <w:rPr>
                      <w:rFonts w:hint="default" w:ascii="Times New Roman" w:hAnsi="Times New Roman" w:cs="Times New Roman"/>
                      <w:color w:val="auto"/>
                      <w:kern w:val="2"/>
                      <w:sz w:val="21"/>
                      <w:szCs w:val="21"/>
                      <w:lang w:val="zh-CN"/>
                    </w:rPr>
                    <w:t>，</w:t>
                  </w:r>
                  <w:r>
                    <w:rPr>
                      <w:rFonts w:hint="default" w:ascii="Times New Roman" w:hAnsi="Times New Roman" w:cs="Times New Roman"/>
                      <w:color w:val="auto"/>
                      <w:kern w:val="2"/>
                      <w:sz w:val="21"/>
                      <w:szCs w:val="21"/>
                      <w:lang w:val="en-US" w:eastAsia="zh-CN"/>
                    </w:rPr>
                    <w:t>1300</w:t>
                  </w:r>
                  <w:r>
                    <w:rPr>
                      <w:rFonts w:hint="default" w:ascii="Times New Roman" w:hAnsi="Times New Roman" w:cs="Times New Roman"/>
                      <w:color w:val="auto"/>
                      <w:kern w:val="2"/>
                      <w:sz w:val="21"/>
                      <w:szCs w:val="21"/>
                      <w:lang w:val="zh-CN"/>
                    </w:rPr>
                    <w:t>人</w:t>
                  </w:r>
                </w:p>
              </w:tc>
              <w:tc>
                <w:tcPr>
                  <w:tcW w:w="1613" w:type="dxa"/>
                  <w:tcBorders>
                    <w:left w:val="single" w:color="000000" w:sz="8" w:space="0"/>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E101.229554</w:t>
                  </w:r>
                </w:p>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rPr>
                    <w:t>N25.511188</w:t>
                  </w:r>
                </w:p>
              </w:tc>
              <w:tc>
                <w:tcPr>
                  <w:tcW w:w="1322" w:type="dxa"/>
                  <w:vMerge w:val="continue"/>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cs="Times New Roman"/>
                      <w:color w:val="auto"/>
                      <w:kern w:val="2"/>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196" w:hRule="atLeast"/>
                <w:jc w:val="center"/>
              </w:trPr>
              <w:tc>
                <w:tcPr>
                  <w:tcW w:w="791" w:type="dxa"/>
                  <w:vMerge w:val="continue"/>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color w:val="auto"/>
                      <w:sz w:val="21"/>
                      <w:szCs w:val="21"/>
                    </w:rPr>
                  </w:pPr>
                </w:p>
              </w:tc>
              <w:tc>
                <w:tcPr>
                  <w:tcW w:w="2008"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姚安县疾控中心</w:t>
                  </w:r>
                </w:p>
              </w:tc>
              <w:tc>
                <w:tcPr>
                  <w:tcW w:w="1258"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北面约100m</w:t>
                  </w:r>
                </w:p>
              </w:tc>
              <w:tc>
                <w:tcPr>
                  <w:tcW w:w="1215" w:type="dxa"/>
                  <w:tcBorders>
                    <w:right w:val="single" w:color="000000" w:sz="8" w:space="0"/>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约350人</w:t>
                  </w:r>
                </w:p>
              </w:tc>
              <w:tc>
                <w:tcPr>
                  <w:tcW w:w="1613" w:type="dxa"/>
                  <w:tcBorders>
                    <w:left w:val="single" w:color="000000" w:sz="8" w:space="0"/>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eastAsia"/>
                      <w:color w:val="auto"/>
                      <w:sz w:val="21"/>
                      <w:szCs w:val="21"/>
                      <w:lang w:val="en-US" w:eastAsia="zh-CN"/>
                    </w:rPr>
                  </w:pPr>
                  <w:r>
                    <w:rPr>
                      <w:rFonts w:hint="eastAsia"/>
                      <w:color w:val="auto"/>
                      <w:sz w:val="21"/>
                      <w:szCs w:val="21"/>
                      <w:lang w:val="en-US" w:eastAsia="zh-CN"/>
                    </w:rPr>
                    <w:t>E101.228195</w:t>
                  </w:r>
                </w:p>
                <w:p>
                  <w:pPr>
                    <w:ind w:left="0" w:leftChars="0" w:right="0" w:rightChars="0" w:firstLine="0" w:firstLineChars="0"/>
                    <w:jc w:val="center"/>
                    <w:rPr>
                      <w:rFonts w:hint="eastAsia"/>
                      <w:color w:val="auto"/>
                      <w:sz w:val="21"/>
                      <w:szCs w:val="21"/>
                      <w:lang w:val="en-US" w:eastAsia="zh-CN"/>
                    </w:rPr>
                  </w:pPr>
                  <w:r>
                    <w:rPr>
                      <w:rFonts w:hint="eastAsia"/>
                      <w:color w:val="auto"/>
                      <w:sz w:val="21"/>
                      <w:szCs w:val="21"/>
                      <w:lang w:val="en-US" w:eastAsia="zh-CN"/>
                    </w:rPr>
                    <w:t>N25.510297</w:t>
                  </w:r>
                </w:p>
              </w:tc>
              <w:tc>
                <w:tcPr>
                  <w:tcW w:w="1322" w:type="dxa"/>
                  <w:vMerge w:val="continue"/>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eastAsia" w:cs="Times New Roman"/>
                      <w:color w:val="auto"/>
                      <w:kern w:val="2"/>
                      <w:sz w:val="21"/>
                      <w:szCs w:val="21"/>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1467" w:hRule="atLeast"/>
                <w:jc w:val="center"/>
              </w:trPr>
              <w:tc>
                <w:tcPr>
                  <w:tcW w:w="791" w:type="dxa"/>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地表水环境</w:t>
                  </w:r>
                </w:p>
              </w:tc>
              <w:tc>
                <w:tcPr>
                  <w:tcW w:w="3266" w:type="dxa"/>
                  <w:gridSpan w:val="2"/>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蜻岭河</w:t>
                  </w:r>
                </w:p>
              </w:tc>
              <w:tc>
                <w:tcPr>
                  <w:tcW w:w="4150" w:type="dxa"/>
                  <w:gridSpan w:val="3"/>
                  <w:tcBorders>
                    <w:tl2br w:val="nil"/>
                    <w:tr2bl w:val="nil"/>
                  </w:tcBorders>
                  <w:vAlign w:val="center"/>
                </w:tcPr>
                <w:p>
                  <w:pPr>
                    <w:pStyle w:val="146"/>
                    <w:keepNext w:val="0"/>
                    <w:keepLines w:val="0"/>
                    <w:pageBreakBefore w:val="0"/>
                    <w:widowControl w:val="0"/>
                    <w:kinsoku/>
                    <w:wordWrap/>
                    <w:overflowPunct/>
                    <w:topLinePunct w:val="0"/>
                    <w:bidi w:val="0"/>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《地表水环境质量标准》（GB3838-2002）Ⅳ类</w:t>
                  </w:r>
                </w:p>
              </w:tc>
            </w:tr>
          </w:tbl>
          <w:p>
            <w:pPr>
              <w:ind w:left="0" w:leftChars="0" w:firstLine="0" w:firstLineChars="0"/>
              <w:rPr>
                <w:rFonts w:hint="eastAsia"/>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Align w:val="center"/>
          </w:tcPr>
          <w:p>
            <w:pPr>
              <w:adjustRightInd w:val="0"/>
              <w:snapToGrid w:val="0"/>
              <w:ind w:left="0" w:leftChars="0" w:right="0" w:rightChars="0" w:firstLine="0" w:firstLineChars="0"/>
              <w:jc w:val="center"/>
              <w:rPr>
                <w:rFonts w:cs="Times New Roman" w:asciiTheme="minorEastAsia" w:hAnsiTheme="minorEastAsia"/>
                <w:b/>
                <w:color w:val="auto"/>
                <w:szCs w:val="24"/>
              </w:rPr>
            </w:pPr>
            <w:r>
              <w:rPr>
                <w:rFonts w:hint="eastAsia" w:cs="Times New Roman" w:asciiTheme="minorEastAsia" w:hAnsiTheme="minorEastAsia"/>
                <w:b/>
                <w:color w:val="auto"/>
                <w:szCs w:val="24"/>
              </w:rPr>
              <w:t>污染物排放控制标准</w:t>
            </w:r>
          </w:p>
        </w:tc>
        <w:tc>
          <w:tcPr>
            <w:tcW w:w="8423" w:type="dxa"/>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482"/>
              <w:textAlignment w:val="auto"/>
              <w:rPr>
                <w:rFonts w:hint="eastAsia"/>
                <w:color w:val="auto"/>
              </w:rPr>
            </w:pPr>
            <w:r>
              <w:rPr>
                <w:rFonts w:hint="eastAsia"/>
                <w:color w:val="auto"/>
              </w:rPr>
              <w:t>1、废气排放标准</w:t>
            </w:r>
          </w:p>
          <w:p>
            <w:pPr>
              <w:ind w:firstLine="480"/>
              <w:rPr>
                <w:color w:val="auto"/>
              </w:rPr>
            </w:pPr>
            <w:r>
              <w:rPr>
                <w:rFonts w:hint="eastAsia"/>
                <w:color w:val="auto"/>
              </w:rPr>
              <w:t>施工期扬尘执行《大气污染物综合排放标准》（GB16297-1996）表2中无组织排放标准，即颗粒物无组织排放监控浓度限值</w:t>
            </w:r>
            <w:r>
              <w:rPr>
                <w:color w:val="auto"/>
              </w:rPr>
              <w:t>≤</w:t>
            </w:r>
            <w:r>
              <w:rPr>
                <w:rFonts w:hint="eastAsia"/>
                <w:color w:val="auto"/>
              </w:rPr>
              <w:t>1.0</w:t>
            </w:r>
            <w:r>
              <w:rPr>
                <w:color w:val="auto"/>
              </w:rPr>
              <w:t>mg/m</w:t>
            </w:r>
            <w:r>
              <w:rPr>
                <w:color w:val="auto"/>
                <w:vertAlign w:val="superscript"/>
              </w:rPr>
              <w:t>3</w:t>
            </w:r>
            <w:r>
              <w:rPr>
                <w:rFonts w:hint="eastAsia"/>
                <w:color w:val="auto"/>
              </w:rPr>
              <w:t>。</w:t>
            </w:r>
          </w:p>
          <w:p>
            <w:pPr>
              <w:ind w:firstLine="480"/>
              <w:rPr>
                <w:rFonts w:hint="eastAsia" w:eastAsiaTheme="minorEastAsia"/>
                <w:color w:val="auto"/>
                <w:lang w:eastAsia="zh-CN"/>
              </w:rPr>
            </w:pPr>
            <w:r>
              <w:rPr>
                <w:rFonts w:hint="eastAsia"/>
                <w:color w:val="auto"/>
              </w:rPr>
              <w:t>运营期</w:t>
            </w:r>
            <w:r>
              <w:rPr>
                <w:color w:val="auto"/>
              </w:rPr>
              <w:t>废水处理站排放的废气执行《医疗机构水污染物排放标准》（GB 18466－2005）表3中</w:t>
            </w:r>
            <w:r>
              <w:rPr>
                <w:rFonts w:hint="eastAsia"/>
                <w:color w:val="auto"/>
              </w:rPr>
              <w:t>污水处理站周边大气污染物最高允许浓度</w:t>
            </w:r>
            <w:r>
              <w:rPr>
                <w:color w:val="auto"/>
              </w:rPr>
              <w:t>标准</w:t>
            </w:r>
            <w:r>
              <w:rPr>
                <w:rFonts w:hint="eastAsia"/>
                <w:color w:val="auto"/>
                <w:lang w:eastAsia="zh-CN"/>
              </w:rPr>
              <w:t>。</w:t>
            </w:r>
          </w:p>
          <w:p>
            <w:pPr>
              <w:pStyle w:val="67"/>
              <w:spacing w:line="360" w:lineRule="auto"/>
              <w:rPr>
                <w:color w:val="auto"/>
                <w:sz w:val="21"/>
                <w:szCs w:val="21"/>
              </w:rPr>
            </w:pPr>
            <w:r>
              <w:rPr>
                <w:rFonts w:hint="eastAsia"/>
                <w:color w:val="auto"/>
                <w:sz w:val="21"/>
                <w:szCs w:val="21"/>
              </w:rPr>
              <w:t>表</w:t>
            </w:r>
            <w:r>
              <w:rPr>
                <w:color w:val="auto"/>
                <w:sz w:val="21"/>
                <w:szCs w:val="21"/>
              </w:rPr>
              <w:t>3-2</w:t>
            </w:r>
            <w:r>
              <w:rPr>
                <w:rFonts w:hint="eastAsia"/>
                <w:color w:val="auto"/>
                <w:sz w:val="21"/>
                <w:szCs w:val="21"/>
              </w:rPr>
              <w:t xml:space="preserve"> </w:t>
            </w:r>
            <w:r>
              <w:rPr>
                <w:color w:val="auto"/>
                <w:sz w:val="21"/>
                <w:szCs w:val="21"/>
              </w:rPr>
              <w:t>污水处理站周边大气污染物最高允许浓度</w:t>
            </w:r>
          </w:p>
          <w:tbl>
            <w:tblPr>
              <w:tblStyle w:val="37"/>
              <w:tblW w:w="8207" w:type="dxa"/>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1305"/>
              <w:gridCol w:w="4085"/>
              <w:gridCol w:w="2817"/>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59" w:hRule="atLeast"/>
                <w:jc w:val="center"/>
              </w:trPr>
              <w:tc>
                <w:tcPr>
                  <w:tcW w:w="1305" w:type="dxa"/>
                  <w:tcBorders>
                    <w:tl2br w:val="nil"/>
                    <w:tr2bl w:val="nil"/>
                  </w:tcBorders>
                  <w:tcMar>
                    <w:left w:w="28" w:type="dxa"/>
                    <w:right w:w="28" w:type="dxa"/>
                  </w:tcMar>
                  <w:vAlign w:val="center"/>
                </w:tcPr>
                <w:p>
                  <w:pPr>
                    <w:pStyle w:val="146"/>
                    <w:spacing w:line="360" w:lineRule="auto"/>
                    <w:ind w:left="0" w:leftChars="0" w:right="0" w:rightChars="0"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序号</w:t>
                  </w:r>
                </w:p>
              </w:tc>
              <w:tc>
                <w:tcPr>
                  <w:tcW w:w="4085" w:type="dxa"/>
                  <w:tcBorders>
                    <w:tl2br w:val="nil"/>
                    <w:tr2bl w:val="nil"/>
                  </w:tcBorders>
                  <w:vAlign w:val="center"/>
                </w:tcPr>
                <w:p>
                  <w:pPr>
                    <w:pStyle w:val="146"/>
                    <w:spacing w:line="360" w:lineRule="auto"/>
                    <w:ind w:firstLine="480"/>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控制项目</w:t>
                  </w:r>
                </w:p>
              </w:tc>
              <w:tc>
                <w:tcPr>
                  <w:tcW w:w="2817" w:type="dxa"/>
                  <w:tcBorders>
                    <w:tl2br w:val="nil"/>
                    <w:tr2bl w:val="nil"/>
                  </w:tcBorders>
                  <w:vAlign w:val="center"/>
                </w:tcPr>
                <w:p>
                  <w:pPr>
                    <w:pStyle w:val="146"/>
                    <w:spacing w:line="360" w:lineRule="auto"/>
                    <w:ind w:firstLine="480"/>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标准值</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73" w:hRule="atLeast"/>
                <w:jc w:val="center"/>
              </w:trPr>
              <w:tc>
                <w:tcPr>
                  <w:tcW w:w="1305" w:type="dxa"/>
                  <w:tcBorders>
                    <w:tl2br w:val="nil"/>
                    <w:tr2bl w:val="nil"/>
                  </w:tcBorders>
                  <w:tcMar>
                    <w:left w:w="28" w:type="dxa"/>
                    <w:right w:w="28" w:type="dxa"/>
                  </w:tcMar>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w:t>
                  </w:r>
                </w:p>
              </w:tc>
              <w:tc>
                <w:tcPr>
                  <w:tcW w:w="4085" w:type="dxa"/>
                  <w:tcBorders>
                    <w:tl2br w:val="nil"/>
                    <w:tr2bl w:val="nil"/>
                  </w:tcBorders>
                  <w:vAlign w:val="center"/>
                </w:tcPr>
                <w:p>
                  <w:pPr>
                    <w:pStyle w:val="146"/>
                    <w:spacing w:line="360" w:lineRule="auto"/>
                    <w:ind w:firstLine="48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氨（mg/m</w:t>
                  </w:r>
                  <w:r>
                    <w:rPr>
                      <w:rFonts w:hint="default" w:ascii="Times New Roman" w:hAnsi="Times New Roman" w:cs="Times New Roman"/>
                      <w:color w:val="auto"/>
                      <w:kern w:val="2"/>
                      <w:sz w:val="21"/>
                      <w:szCs w:val="21"/>
                      <w:vertAlign w:val="superscript"/>
                    </w:rPr>
                    <w:t>3</w:t>
                  </w:r>
                  <w:r>
                    <w:rPr>
                      <w:rFonts w:hint="default" w:ascii="Times New Roman" w:hAnsi="Times New Roman" w:cs="Times New Roman"/>
                      <w:color w:val="auto"/>
                      <w:kern w:val="2"/>
                      <w:sz w:val="21"/>
                      <w:szCs w:val="21"/>
                    </w:rPr>
                    <w:t>）</w:t>
                  </w:r>
                </w:p>
              </w:tc>
              <w:tc>
                <w:tcPr>
                  <w:tcW w:w="2817" w:type="dxa"/>
                  <w:tcBorders>
                    <w:tl2br w:val="nil"/>
                    <w:tr2bl w:val="nil"/>
                  </w:tcBorders>
                  <w:vAlign w:val="center"/>
                </w:tcPr>
                <w:p>
                  <w:pPr>
                    <w:pStyle w:val="146"/>
                    <w:spacing w:line="360" w:lineRule="auto"/>
                    <w:ind w:firstLine="48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73" w:hRule="atLeast"/>
                <w:jc w:val="center"/>
              </w:trPr>
              <w:tc>
                <w:tcPr>
                  <w:tcW w:w="1305" w:type="dxa"/>
                  <w:tcBorders>
                    <w:tl2br w:val="nil"/>
                    <w:tr2bl w:val="nil"/>
                  </w:tcBorders>
                  <w:tcMar>
                    <w:left w:w="28" w:type="dxa"/>
                    <w:right w:w="28" w:type="dxa"/>
                  </w:tcMar>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w:t>
                  </w:r>
                </w:p>
              </w:tc>
              <w:tc>
                <w:tcPr>
                  <w:tcW w:w="4085" w:type="dxa"/>
                  <w:tcBorders>
                    <w:tl2br w:val="nil"/>
                    <w:tr2bl w:val="nil"/>
                  </w:tcBorders>
                  <w:vAlign w:val="center"/>
                </w:tcPr>
                <w:p>
                  <w:pPr>
                    <w:pStyle w:val="146"/>
                    <w:spacing w:line="360" w:lineRule="auto"/>
                    <w:ind w:firstLine="48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硫化氢（mg/m</w:t>
                  </w:r>
                  <w:r>
                    <w:rPr>
                      <w:rFonts w:hint="default" w:ascii="Times New Roman" w:hAnsi="Times New Roman" w:cs="Times New Roman"/>
                      <w:color w:val="auto"/>
                      <w:kern w:val="2"/>
                      <w:sz w:val="21"/>
                      <w:szCs w:val="21"/>
                      <w:vertAlign w:val="superscript"/>
                    </w:rPr>
                    <w:t>3</w:t>
                  </w:r>
                  <w:r>
                    <w:rPr>
                      <w:rFonts w:hint="default" w:ascii="Times New Roman" w:hAnsi="Times New Roman" w:cs="Times New Roman"/>
                      <w:color w:val="auto"/>
                      <w:kern w:val="2"/>
                      <w:sz w:val="21"/>
                      <w:szCs w:val="21"/>
                    </w:rPr>
                    <w:t>）</w:t>
                  </w:r>
                </w:p>
              </w:tc>
              <w:tc>
                <w:tcPr>
                  <w:tcW w:w="2817" w:type="dxa"/>
                  <w:tcBorders>
                    <w:tl2br w:val="nil"/>
                    <w:tr2bl w:val="nil"/>
                  </w:tcBorders>
                  <w:vAlign w:val="center"/>
                </w:tcPr>
                <w:p>
                  <w:pPr>
                    <w:pStyle w:val="146"/>
                    <w:spacing w:line="360" w:lineRule="auto"/>
                    <w:ind w:firstLine="48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0.03</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73" w:hRule="atLeast"/>
                <w:jc w:val="center"/>
              </w:trPr>
              <w:tc>
                <w:tcPr>
                  <w:tcW w:w="1305" w:type="dxa"/>
                  <w:tcBorders>
                    <w:tl2br w:val="nil"/>
                    <w:tr2bl w:val="nil"/>
                  </w:tcBorders>
                  <w:tcMar>
                    <w:left w:w="28" w:type="dxa"/>
                    <w:right w:w="28" w:type="dxa"/>
                  </w:tcMar>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w:t>
                  </w:r>
                </w:p>
              </w:tc>
              <w:tc>
                <w:tcPr>
                  <w:tcW w:w="4085" w:type="dxa"/>
                  <w:tcBorders>
                    <w:tl2br w:val="nil"/>
                    <w:tr2bl w:val="nil"/>
                  </w:tcBorders>
                  <w:vAlign w:val="center"/>
                </w:tcPr>
                <w:p>
                  <w:pPr>
                    <w:pStyle w:val="146"/>
                    <w:spacing w:line="360" w:lineRule="auto"/>
                    <w:ind w:firstLine="48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臭气浓度（无量纲）</w:t>
                  </w:r>
                </w:p>
              </w:tc>
              <w:tc>
                <w:tcPr>
                  <w:tcW w:w="2817" w:type="dxa"/>
                  <w:tcBorders>
                    <w:tl2br w:val="nil"/>
                    <w:tr2bl w:val="nil"/>
                  </w:tcBorders>
                  <w:vAlign w:val="center"/>
                </w:tcPr>
                <w:p>
                  <w:pPr>
                    <w:pStyle w:val="146"/>
                    <w:spacing w:line="360" w:lineRule="auto"/>
                    <w:ind w:firstLine="48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73" w:hRule="atLeast"/>
                <w:jc w:val="center"/>
              </w:trPr>
              <w:tc>
                <w:tcPr>
                  <w:tcW w:w="1305" w:type="dxa"/>
                  <w:tcBorders>
                    <w:tl2br w:val="nil"/>
                    <w:tr2bl w:val="nil"/>
                  </w:tcBorders>
                  <w:tcMar>
                    <w:left w:w="28" w:type="dxa"/>
                    <w:right w:w="28" w:type="dxa"/>
                  </w:tcMar>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w:t>
                  </w:r>
                </w:p>
              </w:tc>
              <w:tc>
                <w:tcPr>
                  <w:tcW w:w="4085" w:type="dxa"/>
                  <w:tcBorders>
                    <w:tl2br w:val="nil"/>
                    <w:tr2bl w:val="nil"/>
                  </w:tcBorders>
                  <w:vAlign w:val="center"/>
                </w:tcPr>
                <w:p>
                  <w:pPr>
                    <w:pStyle w:val="146"/>
                    <w:spacing w:line="360" w:lineRule="auto"/>
                    <w:ind w:firstLine="48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氯气（mg/m</w:t>
                  </w:r>
                  <w:r>
                    <w:rPr>
                      <w:rFonts w:hint="default" w:ascii="Times New Roman" w:hAnsi="Times New Roman" w:cs="Times New Roman"/>
                      <w:color w:val="auto"/>
                      <w:kern w:val="2"/>
                      <w:sz w:val="21"/>
                      <w:szCs w:val="21"/>
                      <w:vertAlign w:val="superscript"/>
                    </w:rPr>
                    <w:t>3</w:t>
                  </w:r>
                  <w:r>
                    <w:rPr>
                      <w:rFonts w:hint="default" w:ascii="Times New Roman" w:hAnsi="Times New Roman" w:cs="Times New Roman"/>
                      <w:color w:val="auto"/>
                      <w:kern w:val="2"/>
                      <w:sz w:val="21"/>
                      <w:szCs w:val="21"/>
                    </w:rPr>
                    <w:t>）</w:t>
                  </w:r>
                </w:p>
              </w:tc>
              <w:tc>
                <w:tcPr>
                  <w:tcW w:w="2817" w:type="dxa"/>
                  <w:tcBorders>
                    <w:tl2br w:val="nil"/>
                    <w:tr2bl w:val="nil"/>
                  </w:tcBorders>
                  <w:vAlign w:val="center"/>
                </w:tcPr>
                <w:p>
                  <w:pPr>
                    <w:pStyle w:val="146"/>
                    <w:spacing w:line="360" w:lineRule="auto"/>
                    <w:ind w:firstLine="48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0.1</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73" w:hRule="atLeast"/>
                <w:jc w:val="center"/>
              </w:trPr>
              <w:tc>
                <w:tcPr>
                  <w:tcW w:w="1305" w:type="dxa"/>
                  <w:tcBorders>
                    <w:tl2br w:val="nil"/>
                    <w:tr2bl w:val="nil"/>
                  </w:tcBorders>
                  <w:tcMar>
                    <w:left w:w="28" w:type="dxa"/>
                    <w:right w:w="28" w:type="dxa"/>
                  </w:tcMar>
                  <w:vAlign w:val="center"/>
                </w:tcPr>
                <w:p>
                  <w:pPr>
                    <w:pStyle w:val="146"/>
                    <w:spacing w:line="360" w:lineRule="auto"/>
                    <w:ind w:left="0" w:leftChars="0" w:right="0" w:rightChars="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w:t>
                  </w:r>
                </w:p>
              </w:tc>
              <w:tc>
                <w:tcPr>
                  <w:tcW w:w="4085" w:type="dxa"/>
                  <w:tcBorders>
                    <w:tl2br w:val="nil"/>
                    <w:tr2bl w:val="nil"/>
                  </w:tcBorders>
                  <w:vAlign w:val="center"/>
                </w:tcPr>
                <w:p>
                  <w:pPr>
                    <w:pStyle w:val="146"/>
                    <w:spacing w:line="360" w:lineRule="auto"/>
                    <w:ind w:firstLine="48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甲烷（指处理站内最高体积百分数％）</w:t>
                  </w:r>
                </w:p>
              </w:tc>
              <w:tc>
                <w:tcPr>
                  <w:tcW w:w="2817" w:type="dxa"/>
                  <w:tcBorders>
                    <w:tl2br w:val="nil"/>
                    <w:tr2bl w:val="nil"/>
                  </w:tcBorders>
                  <w:vAlign w:val="center"/>
                </w:tcPr>
                <w:p>
                  <w:pPr>
                    <w:pStyle w:val="146"/>
                    <w:spacing w:line="360" w:lineRule="auto"/>
                    <w:ind w:firstLine="48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w:t>
                  </w:r>
                </w:p>
              </w:tc>
            </w:tr>
          </w:tbl>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482"/>
              <w:textAlignment w:val="auto"/>
              <w:rPr>
                <w:rFonts w:hint="eastAsia"/>
                <w:color w:val="auto"/>
              </w:rPr>
            </w:pPr>
            <w:r>
              <w:rPr>
                <w:rFonts w:hint="eastAsia"/>
                <w:color w:val="auto"/>
              </w:rPr>
              <w:t>2、噪声排放标准</w:t>
            </w:r>
          </w:p>
          <w:p>
            <w:pPr>
              <w:ind w:firstLine="480"/>
              <w:rPr>
                <w:color w:val="auto"/>
              </w:rPr>
            </w:pPr>
            <w:r>
              <w:rPr>
                <w:rFonts w:hint="eastAsia"/>
                <w:color w:val="auto"/>
              </w:rPr>
              <w:t>施工现场噪声，</w:t>
            </w:r>
            <w:r>
              <w:rPr>
                <w:color w:val="auto"/>
              </w:rPr>
              <w:t>执行GB12523</w:t>
            </w:r>
            <w:r>
              <w:rPr>
                <w:rFonts w:hint="eastAsia"/>
                <w:color w:val="auto"/>
              </w:rPr>
              <w:t>-2011</w:t>
            </w:r>
            <w:r>
              <w:rPr>
                <w:color w:val="auto"/>
              </w:rPr>
              <w:t>《建筑施工场界</w:t>
            </w:r>
            <w:r>
              <w:rPr>
                <w:rFonts w:hint="eastAsia"/>
                <w:color w:val="auto"/>
              </w:rPr>
              <w:t>环境</w:t>
            </w:r>
            <w:r>
              <w:rPr>
                <w:color w:val="auto"/>
              </w:rPr>
              <w:t>噪声</w:t>
            </w:r>
            <w:r>
              <w:rPr>
                <w:rFonts w:hint="eastAsia"/>
                <w:color w:val="auto"/>
              </w:rPr>
              <w:t>排放</w:t>
            </w:r>
            <w:r>
              <w:rPr>
                <w:color w:val="auto"/>
              </w:rPr>
              <w:t>标准》。</w:t>
            </w:r>
          </w:p>
          <w:p>
            <w:pPr>
              <w:pStyle w:val="67"/>
              <w:spacing w:line="360" w:lineRule="auto"/>
              <w:rPr>
                <w:color w:val="auto"/>
                <w:sz w:val="21"/>
                <w:szCs w:val="21"/>
              </w:rPr>
            </w:pPr>
            <w:r>
              <w:rPr>
                <w:rFonts w:hint="eastAsia"/>
                <w:color w:val="auto"/>
                <w:sz w:val="21"/>
                <w:szCs w:val="21"/>
              </w:rPr>
              <w:t xml:space="preserve">表3-3 </w:t>
            </w:r>
            <w:r>
              <w:rPr>
                <w:color w:val="auto"/>
                <w:sz w:val="21"/>
                <w:szCs w:val="21"/>
              </w:rPr>
              <w:t>建筑施工场界</w:t>
            </w:r>
            <w:r>
              <w:rPr>
                <w:rFonts w:hint="eastAsia"/>
                <w:color w:val="auto"/>
                <w:sz w:val="21"/>
                <w:szCs w:val="21"/>
              </w:rPr>
              <w:t>环境</w:t>
            </w:r>
            <w:r>
              <w:rPr>
                <w:color w:val="auto"/>
                <w:sz w:val="21"/>
                <w:szCs w:val="21"/>
              </w:rPr>
              <w:t>噪声</w:t>
            </w:r>
            <w:r>
              <w:rPr>
                <w:rFonts w:hint="eastAsia"/>
                <w:color w:val="auto"/>
                <w:sz w:val="21"/>
                <w:szCs w:val="21"/>
              </w:rPr>
              <w:t xml:space="preserve">排放限值  </w:t>
            </w:r>
            <w:r>
              <w:rPr>
                <w:color w:val="auto"/>
                <w:sz w:val="21"/>
                <w:szCs w:val="21"/>
              </w:rPr>
              <w:t>单位：dB(A)</w:t>
            </w:r>
          </w:p>
          <w:tbl>
            <w:tblPr>
              <w:tblStyle w:val="37"/>
              <w:tblW w:w="8207"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3915"/>
              <w:gridCol w:w="429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915" w:type="dxa"/>
                  <w:tcBorders>
                    <w:tl2br w:val="nil"/>
                    <w:tr2bl w:val="nil"/>
                  </w:tcBorders>
                </w:tcPr>
                <w:p>
                  <w:pPr>
                    <w:pStyle w:val="146"/>
                    <w:spacing w:line="360" w:lineRule="auto"/>
                    <w:ind w:firstLine="48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p>
              </w:tc>
              <w:tc>
                <w:tcPr>
                  <w:tcW w:w="4292" w:type="dxa"/>
                  <w:tcBorders>
                    <w:tl2br w:val="nil"/>
                    <w:tr2bl w:val="nil"/>
                  </w:tcBorders>
                </w:tcPr>
                <w:p>
                  <w:pPr>
                    <w:pStyle w:val="146"/>
                    <w:spacing w:line="360" w:lineRule="auto"/>
                    <w:ind w:firstLine="48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3915" w:type="dxa"/>
                  <w:tcBorders>
                    <w:tl2br w:val="nil"/>
                    <w:tr2bl w:val="nil"/>
                  </w:tcBorders>
                  <w:vAlign w:val="center"/>
                </w:tcPr>
                <w:p>
                  <w:pPr>
                    <w:pStyle w:val="146"/>
                    <w:spacing w:line="360" w:lineRule="auto"/>
                    <w:ind w:firstLine="48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4292" w:type="dxa"/>
                  <w:tcBorders>
                    <w:tl2br w:val="nil"/>
                    <w:tr2bl w:val="nil"/>
                  </w:tcBorders>
                  <w:vAlign w:val="center"/>
                </w:tcPr>
                <w:p>
                  <w:pPr>
                    <w:pStyle w:val="146"/>
                    <w:spacing w:line="360" w:lineRule="auto"/>
                    <w:ind w:firstLine="48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r>
          </w:tbl>
          <w:p>
            <w:pPr>
              <w:ind w:firstLine="480"/>
              <w:rPr>
                <w:color w:val="auto"/>
              </w:rPr>
            </w:pPr>
            <w:r>
              <w:rPr>
                <w:color w:val="auto"/>
              </w:rPr>
              <w:t>营运期噪声执行《工业企业厂界环境噪声排放标准》（GB12348-2008）</w:t>
            </w:r>
            <w:r>
              <w:rPr>
                <w:rFonts w:hint="eastAsia"/>
                <w:color w:val="auto"/>
              </w:rPr>
              <w:t>2类标准。</w:t>
            </w:r>
          </w:p>
          <w:p>
            <w:pPr>
              <w:pStyle w:val="67"/>
              <w:spacing w:line="360" w:lineRule="auto"/>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表3-4 工业企业厂界环境噪声排放标准  Leq：dB（A）</w:t>
            </w:r>
          </w:p>
          <w:tbl>
            <w:tblPr>
              <w:tblStyle w:val="37"/>
              <w:tblW w:w="8207"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3291"/>
              <w:gridCol w:w="1353"/>
              <w:gridCol w:w="1206"/>
              <w:gridCol w:w="235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291" w:type="dxa"/>
                  <w:tcBorders>
                    <w:tl2br w:val="nil"/>
                    <w:tr2bl w:val="nil"/>
                  </w:tcBorders>
                  <w:vAlign w:val="center"/>
                </w:tcPr>
                <w:p>
                  <w:pPr>
                    <w:pStyle w:val="54"/>
                    <w:spacing w:line="360" w:lineRule="auto"/>
                    <w:ind w:left="0" w:leftChars="0" w:right="0" w:rightChars="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区域</w:t>
                  </w:r>
                </w:p>
              </w:tc>
              <w:tc>
                <w:tcPr>
                  <w:tcW w:w="1353" w:type="dxa"/>
                  <w:tcBorders>
                    <w:tl2br w:val="nil"/>
                    <w:tr2bl w:val="nil"/>
                  </w:tcBorders>
                  <w:vAlign w:val="center"/>
                </w:tcPr>
                <w:p>
                  <w:pPr>
                    <w:pStyle w:val="54"/>
                    <w:spacing w:line="360" w:lineRule="auto"/>
                    <w:ind w:left="0" w:leftChars="0" w:right="0" w:rightChars="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w:t>
                  </w:r>
                </w:p>
              </w:tc>
              <w:tc>
                <w:tcPr>
                  <w:tcW w:w="1206" w:type="dxa"/>
                  <w:tcBorders>
                    <w:tl2br w:val="nil"/>
                    <w:tr2bl w:val="nil"/>
                  </w:tcBorders>
                  <w:vAlign w:val="center"/>
                </w:tcPr>
                <w:p>
                  <w:pPr>
                    <w:pStyle w:val="54"/>
                    <w:spacing w:line="360" w:lineRule="auto"/>
                    <w:ind w:left="0" w:leftChars="0" w:right="0" w:rightChars="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w:t>
                  </w:r>
                </w:p>
              </w:tc>
              <w:tc>
                <w:tcPr>
                  <w:tcW w:w="2357" w:type="dxa"/>
                  <w:tcBorders>
                    <w:tl2br w:val="nil"/>
                    <w:tr2bl w:val="nil"/>
                  </w:tcBorders>
                  <w:vAlign w:val="center"/>
                </w:tcPr>
                <w:p>
                  <w:pPr>
                    <w:pStyle w:val="54"/>
                    <w:spacing w:line="360" w:lineRule="auto"/>
                    <w:ind w:left="0" w:leftChars="0" w:right="0" w:rightChars="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类别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291" w:type="dxa"/>
                  <w:tcBorders>
                    <w:tl2br w:val="nil"/>
                    <w:tr2bl w:val="nil"/>
                  </w:tcBorders>
                  <w:vAlign w:val="center"/>
                </w:tcPr>
                <w:p>
                  <w:pPr>
                    <w:pStyle w:val="54"/>
                    <w:spacing w:line="36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厂界四周</w:t>
                  </w:r>
                </w:p>
              </w:tc>
              <w:tc>
                <w:tcPr>
                  <w:tcW w:w="1353" w:type="dxa"/>
                  <w:tcBorders>
                    <w:tl2br w:val="nil"/>
                    <w:tr2bl w:val="nil"/>
                  </w:tcBorders>
                  <w:vAlign w:val="center"/>
                </w:tcPr>
                <w:p>
                  <w:pPr>
                    <w:pStyle w:val="54"/>
                    <w:spacing w:line="36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1206" w:type="dxa"/>
                  <w:tcBorders>
                    <w:tl2br w:val="nil"/>
                    <w:tr2bl w:val="nil"/>
                  </w:tcBorders>
                  <w:vAlign w:val="center"/>
                </w:tcPr>
                <w:p>
                  <w:pPr>
                    <w:pStyle w:val="54"/>
                    <w:spacing w:line="36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2357" w:type="dxa"/>
                  <w:tcBorders>
                    <w:tl2br w:val="nil"/>
                    <w:tr2bl w:val="nil"/>
                  </w:tcBorders>
                  <w:vAlign w:val="center"/>
                </w:tcPr>
                <w:p>
                  <w:pPr>
                    <w:pStyle w:val="54"/>
                    <w:spacing w:line="36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2类</w:t>
                  </w:r>
                </w:p>
              </w:tc>
            </w:tr>
          </w:tbl>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482"/>
              <w:textAlignment w:val="auto"/>
              <w:rPr>
                <w:rFonts w:hint="eastAsia"/>
                <w:color w:val="auto"/>
              </w:rPr>
            </w:pPr>
            <w:r>
              <w:rPr>
                <w:rFonts w:hint="eastAsia"/>
                <w:color w:val="auto"/>
              </w:rPr>
              <w:t>3、废水排放标准</w:t>
            </w:r>
          </w:p>
          <w:p>
            <w:pPr>
              <w:keepNext w:val="0"/>
              <w:keepLines w:val="0"/>
              <w:pageBreakBefore w:val="0"/>
              <w:widowControl w:val="0"/>
              <w:kinsoku/>
              <w:wordWrap/>
              <w:overflowPunct/>
              <w:topLinePunct w:val="0"/>
              <w:autoSpaceDE/>
              <w:autoSpaceDN/>
              <w:bidi w:val="0"/>
              <w:adjustRightInd/>
              <w:snapToGrid/>
              <w:ind w:firstLine="480"/>
              <w:textAlignment w:val="auto"/>
              <w:rPr>
                <w:color w:val="auto"/>
              </w:rPr>
            </w:pPr>
            <w:r>
              <w:rPr>
                <w:rFonts w:hint="default" w:ascii="Times New Roman" w:hAnsi="Times New Roman" w:cs="Times New Roman" w:eastAsiaTheme="minorEastAsia"/>
                <w:color w:val="auto"/>
                <w:lang w:eastAsia="zh-CN"/>
              </w:rPr>
              <w:t>项目产生的医疗废水</w:t>
            </w:r>
            <w:r>
              <w:rPr>
                <w:rFonts w:hint="eastAsia" w:ascii="Times New Roman" w:hAnsi="Times New Roman" w:cs="Times New Roman"/>
                <w:color w:val="auto"/>
                <w:lang w:eastAsia="zh-CN"/>
              </w:rPr>
              <w:t>沿污水管网收集后进入化粪池预处理，随后进入</w:t>
            </w:r>
            <w:r>
              <w:rPr>
                <w:rFonts w:hint="default" w:ascii="Times New Roman" w:hAnsi="Times New Roman" w:cs="Times New Roman" w:eastAsiaTheme="minorEastAsia"/>
                <w:color w:val="auto"/>
              </w:rPr>
              <w:t>项目自建的</w:t>
            </w:r>
            <w:r>
              <w:rPr>
                <w:rFonts w:hint="eastAsia" w:ascii="Times New Roman" w:hAnsi="Times New Roman" w:cs="Times New Roman"/>
                <w:color w:val="auto"/>
                <w:lang w:eastAsia="zh-CN"/>
              </w:rPr>
              <w:t>一体化</w:t>
            </w:r>
            <w:r>
              <w:rPr>
                <w:rFonts w:hint="default" w:ascii="Times New Roman" w:hAnsi="Times New Roman" w:cs="Times New Roman" w:eastAsiaTheme="minorEastAsia"/>
                <w:color w:val="auto"/>
              </w:rPr>
              <w:t>污水处理站处理达《医疗机构水污染物排放标准》</w:t>
            </w:r>
            <w:r>
              <w:rPr>
                <w:rFonts w:hint="eastAsia" w:cs="Times New Roman"/>
                <w:color w:val="auto"/>
                <w:lang w:eastAsia="zh-CN"/>
              </w:rPr>
              <w:t>（</w:t>
            </w:r>
            <w:r>
              <w:rPr>
                <w:rFonts w:hint="default" w:ascii="Times New Roman" w:hAnsi="Times New Roman" w:cs="Times New Roman" w:eastAsiaTheme="minorEastAsia"/>
                <w:color w:val="auto"/>
              </w:rPr>
              <w:t>GB18466-2005</w:t>
            </w:r>
            <w:r>
              <w:rPr>
                <w:rFonts w:hint="eastAsia" w:cs="Times New Roman"/>
                <w:color w:val="auto"/>
                <w:lang w:eastAsia="zh-CN"/>
              </w:rPr>
              <w:t>）</w:t>
            </w:r>
            <w:r>
              <w:rPr>
                <w:rFonts w:hint="default" w:ascii="Times New Roman" w:hAnsi="Times New Roman" w:cs="Times New Roman" w:eastAsiaTheme="minorEastAsia"/>
                <w:color w:val="auto"/>
              </w:rPr>
              <w:t>表2中预处理标准</w:t>
            </w:r>
            <w:r>
              <w:rPr>
                <w:rFonts w:hint="eastAsia" w:cs="Times New Roman"/>
                <w:color w:val="auto"/>
                <w:lang w:eastAsia="zh-CN"/>
              </w:rPr>
              <w:t>，氨氮执行</w:t>
            </w:r>
            <w:r>
              <w:rPr>
                <w:rFonts w:hint="default" w:ascii="Times New Roman" w:hAnsi="Times New Roman" w:cs="Times New Roman" w:eastAsiaTheme="minorEastAsia"/>
                <w:color w:val="auto"/>
                <w:lang w:val="en-US" w:eastAsia="zh-CN"/>
              </w:rPr>
              <w:t>《污水排入城镇下水道水质标准》（GB/T31962-2015）表1（</w:t>
            </w:r>
            <w:r>
              <w:rPr>
                <w:rFonts w:hint="eastAsia" w:cs="Times New Roman"/>
                <w:color w:val="auto"/>
                <w:lang w:val="en-US" w:eastAsia="zh-CN"/>
              </w:rPr>
              <w:t>B等级</w:t>
            </w:r>
            <w:r>
              <w:rPr>
                <w:rFonts w:hint="default" w:ascii="Times New Roman" w:hAnsi="Times New Roman" w:cs="Times New Roman" w:eastAsiaTheme="minorEastAsia"/>
                <w:color w:val="auto"/>
                <w:lang w:val="en-US" w:eastAsia="zh-CN"/>
              </w:rPr>
              <w:t>）标准</w:t>
            </w:r>
            <w:r>
              <w:rPr>
                <w:rFonts w:hint="default" w:ascii="Times New Roman" w:hAnsi="Times New Roman" w:cs="Times New Roman" w:eastAsiaTheme="minorEastAsia"/>
                <w:color w:val="auto"/>
              </w:rPr>
              <w:t>后，排入</w:t>
            </w:r>
            <w:r>
              <w:rPr>
                <w:rFonts w:hint="default" w:ascii="Times New Roman" w:hAnsi="Times New Roman" w:cs="Times New Roman" w:eastAsiaTheme="minorEastAsia"/>
                <w:color w:val="auto"/>
                <w:lang w:val="en-US" w:eastAsia="zh-CN"/>
              </w:rPr>
              <w:t>姚安县</w:t>
            </w:r>
            <w:r>
              <w:rPr>
                <w:rFonts w:hint="default" w:ascii="Times New Roman" w:hAnsi="Times New Roman" w:cs="Times New Roman" w:eastAsiaTheme="minorEastAsia"/>
                <w:color w:val="auto"/>
              </w:rPr>
              <w:t>污水管网，最终进入</w:t>
            </w:r>
            <w:r>
              <w:rPr>
                <w:rFonts w:hint="default" w:ascii="Times New Roman" w:hAnsi="Times New Roman" w:cs="Times New Roman" w:eastAsiaTheme="minorEastAsia"/>
                <w:color w:val="auto"/>
                <w:lang w:val="en-US" w:eastAsia="zh-CN"/>
              </w:rPr>
              <w:t>姚安县</w:t>
            </w:r>
            <w:r>
              <w:rPr>
                <w:rFonts w:hint="default" w:ascii="Times New Roman" w:hAnsi="Times New Roman" w:cs="Times New Roman" w:eastAsiaTheme="minorEastAsia"/>
                <w:color w:val="auto"/>
              </w:rPr>
              <w:t>污水处理厂统一处理，标准值详见表</w:t>
            </w:r>
            <w:r>
              <w:rPr>
                <w:rFonts w:hint="default" w:ascii="Times New Roman" w:hAnsi="Times New Roman" w:cs="Times New Roman" w:eastAsiaTheme="minorEastAsia"/>
                <w:color w:val="auto"/>
                <w:lang w:val="en-US" w:eastAsia="zh-CN"/>
              </w:rPr>
              <w:t>3-5</w:t>
            </w:r>
            <w:r>
              <w:rPr>
                <w:rFonts w:hint="default" w:ascii="Times New Roman" w:hAnsi="Times New Roman" w:cs="Times New Roman" w:eastAsiaTheme="minorEastAsia"/>
                <w:color w:val="auto"/>
              </w:rPr>
              <w:t>。</w:t>
            </w:r>
          </w:p>
          <w:p>
            <w:pPr>
              <w:pStyle w:val="67"/>
              <w:spacing w:line="360" w:lineRule="auto"/>
              <w:rPr>
                <w:color w:val="auto"/>
                <w:sz w:val="21"/>
                <w:szCs w:val="21"/>
              </w:rPr>
            </w:pPr>
            <w:r>
              <w:rPr>
                <w:rFonts w:hint="eastAsia"/>
                <w:color w:val="auto"/>
                <w:sz w:val="21"/>
                <w:szCs w:val="21"/>
              </w:rPr>
              <w:t>表3-</w:t>
            </w:r>
            <w:r>
              <w:rPr>
                <w:rFonts w:hint="eastAsia"/>
                <w:color w:val="auto"/>
                <w:sz w:val="21"/>
                <w:szCs w:val="21"/>
                <w:lang w:val="en-US" w:eastAsia="zh-CN"/>
              </w:rPr>
              <w:t>5</w:t>
            </w:r>
            <w:r>
              <w:rPr>
                <w:rFonts w:hint="eastAsia"/>
                <w:color w:val="auto"/>
                <w:sz w:val="21"/>
                <w:szCs w:val="21"/>
              </w:rPr>
              <w:t xml:space="preserve"> </w:t>
            </w:r>
            <w:r>
              <w:rPr>
                <w:rFonts w:hint="eastAsia"/>
                <w:color w:val="auto"/>
                <w:sz w:val="21"/>
                <w:szCs w:val="21"/>
                <w:lang w:val="en-US" w:eastAsia="zh-CN"/>
              </w:rPr>
              <w:t xml:space="preserve"> 污水管网建成后项目废水排放标准</w:t>
            </w:r>
            <w:r>
              <w:rPr>
                <w:rFonts w:hint="eastAsia"/>
                <w:color w:val="auto"/>
                <w:sz w:val="21"/>
                <w:szCs w:val="21"/>
              </w:rPr>
              <w:t xml:space="preserve">  单位：mg/L</w:t>
            </w:r>
          </w:p>
          <w:tbl>
            <w:tblPr>
              <w:tblStyle w:val="38"/>
              <w:tblW w:w="8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4"/>
              <w:gridCol w:w="4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84" w:type="dxa"/>
                  <w:vAlign w:val="center"/>
                </w:tcPr>
                <w:p>
                  <w:pPr>
                    <w:pStyle w:val="67"/>
                    <w:keepLines w:val="0"/>
                    <w:kinsoku/>
                    <w:wordWrap/>
                    <w:overflowPunct/>
                    <w:topLinePunct w:val="0"/>
                    <w:autoSpaceDE/>
                    <w:autoSpaceDN/>
                    <w:bidi w:val="0"/>
                    <w:adjustRightInd/>
                    <w:spacing w:before="0" w:after="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标准类别</w:t>
                  </w:r>
                </w:p>
              </w:tc>
              <w:tc>
                <w:tcPr>
                  <w:tcW w:w="4969" w:type="dxa"/>
                  <w:vAlign w:val="center"/>
                </w:tcPr>
                <w:p>
                  <w:pPr>
                    <w:pStyle w:val="67"/>
                    <w:keepLines w:val="0"/>
                    <w:kinsoku/>
                    <w:wordWrap/>
                    <w:overflowPunct/>
                    <w:topLinePunct w:val="0"/>
                    <w:autoSpaceDE/>
                    <w:autoSpaceDN/>
                    <w:bidi w:val="0"/>
                    <w:adjustRightInd/>
                    <w:spacing w:before="0" w:after="0" w:line="36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rPr>
                    <w:t>《医疗机构水污染物排放标准》GB18466-2005表2中预处理标准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4" w:type="dxa"/>
                  <w:vAlign w:val="top"/>
                </w:tcPr>
                <w:p>
                  <w:pPr>
                    <w:pStyle w:val="67"/>
                    <w:keepLines w:val="0"/>
                    <w:kinsoku/>
                    <w:wordWrap/>
                    <w:overflowPunct/>
                    <w:topLinePunct w:val="0"/>
                    <w:autoSpaceDE/>
                    <w:autoSpaceDN/>
                    <w:bidi w:val="0"/>
                    <w:adjustRightInd/>
                    <w:spacing w:before="0" w:after="0" w:line="36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b w:val="0"/>
                      <w:bCs w:val="0"/>
                      <w:color w:val="auto"/>
                      <w:sz w:val="21"/>
                      <w:szCs w:val="21"/>
                    </w:rPr>
                    <w:t>粪大肠菌群数</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lang w:val="en-US" w:eastAsia="zh-CN"/>
                    </w:rPr>
                    <w:t>MPN/L</w:t>
                  </w:r>
                  <w:r>
                    <w:rPr>
                      <w:rFonts w:hint="default" w:ascii="Times New Roman" w:hAnsi="Times New Roman" w:cs="Times New Roman"/>
                      <w:b w:val="0"/>
                      <w:bCs w:val="0"/>
                      <w:color w:val="auto"/>
                      <w:sz w:val="21"/>
                      <w:szCs w:val="21"/>
                      <w:lang w:eastAsia="zh-CN"/>
                    </w:rPr>
                    <w:t>）</w:t>
                  </w:r>
                </w:p>
              </w:tc>
              <w:tc>
                <w:tcPr>
                  <w:tcW w:w="4969" w:type="dxa"/>
                  <w:vAlign w:val="top"/>
                </w:tcPr>
                <w:p>
                  <w:pPr>
                    <w:pStyle w:val="67"/>
                    <w:keepLines w:val="0"/>
                    <w:kinsoku/>
                    <w:wordWrap/>
                    <w:overflowPunct/>
                    <w:topLinePunct w:val="0"/>
                    <w:autoSpaceDE/>
                    <w:autoSpaceDN/>
                    <w:bidi w:val="0"/>
                    <w:adjustRightInd/>
                    <w:spacing w:before="0" w:after="0" w:line="360" w:lineRule="auto"/>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4" w:type="dxa"/>
                  <w:vAlign w:val="top"/>
                </w:tcPr>
                <w:p>
                  <w:pPr>
                    <w:pStyle w:val="67"/>
                    <w:keepLines w:val="0"/>
                    <w:kinsoku/>
                    <w:wordWrap/>
                    <w:overflowPunct/>
                    <w:topLinePunct w:val="0"/>
                    <w:autoSpaceDE/>
                    <w:autoSpaceDN/>
                    <w:bidi w:val="0"/>
                    <w:adjustRightInd/>
                    <w:spacing w:before="0" w:after="0" w:line="36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肠道致病菌</w:t>
                  </w:r>
                </w:p>
              </w:tc>
              <w:tc>
                <w:tcPr>
                  <w:tcW w:w="4969" w:type="dxa"/>
                  <w:vAlign w:val="top"/>
                </w:tcPr>
                <w:p>
                  <w:pPr>
                    <w:pStyle w:val="67"/>
                    <w:keepLines w:val="0"/>
                    <w:kinsoku/>
                    <w:wordWrap/>
                    <w:overflowPunct/>
                    <w:topLinePunct w:val="0"/>
                    <w:autoSpaceDE/>
                    <w:autoSpaceDN/>
                    <w:bidi w:val="0"/>
                    <w:adjustRightInd/>
                    <w:spacing w:before="0" w:after="0" w:line="360" w:lineRule="auto"/>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4" w:type="dxa"/>
                  <w:vAlign w:val="top"/>
                </w:tcPr>
                <w:p>
                  <w:pPr>
                    <w:pStyle w:val="67"/>
                    <w:keepLines w:val="0"/>
                    <w:kinsoku/>
                    <w:wordWrap/>
                    <w:overflowPunct/>
                    <w:topLinePunct w:val="0"/>
                    <w:autoSpaceDE/>
                    <w:autoSpaceDN/>
                    <w:bidi w:val="0"/>
                    <w:adjustRightInd/>
                    <w:spacing w:before="0" w:after="0" w:line="36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肠道病毒</w:t>
                  </w:r>
                </w:p>
              </w:tc>
              <w:tc>
                <w:tcPr>
                  <w:tcW w:w="4969" w:type="dxa"/>
                  <w:vAlign w:val="top"/>
                </w:tcPr>
                <w:p>
                  <w:pPr>
                    <w:pStyle w:val="67"/>
                    <w:keepLines w:val="0"/>
                    <w:kinsoku/>
                    <w:wordWrap/>
                    <w:overflowPunct/>
                    <w:topLinePunct w:val="0"/>
                    <w:autoSpaceDE/>
                    <w:autoSpaceDN/>
                    <w:bidi w:val="0"/>
                    <w:adjustRightInd/>
                    <w:spacing w:before="0" w:after="0" w:line="360" w:lineRule="auto"/>
                    <w:ind w:firstLine="0" w:firstLineChars="0"/>
                    <w:textAlignment w:val="auto"/>
                    <w:rPr>
                      <w:rFonts w:hint="default" w:ascii="Times New Roman" w:hAnsi="Times New Roman" w:eastAsia="宋体" w:cs="Times New Roman"/>
                      <w:b w:val="0"/>
                      <w:bCs w:val="0"/>
                      <w:color w:val="auto"/>
                      <w:kern w:val="28"/>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4" w:type="dxa"/>
                  <w:vAlign w:val="top"/>
                </w:tcPr>
                <w:p>
                  <w:pPr>
                    <w:pStyle w:val="67"/>
                    <w:keepLines w:val="0"/>
                    <w:kinsoku/>
                    <w:wordWrap/>
                    <w:overflowPunct/>
                    <w:topLinePunct w:val="0"/>
                    <w:autoSpaceDE/>
                    <w:autoSpaceDN/>
                    <w:bidi w:val="0"/>
                    <w:adjustRightInd/>
                    <w:spacing w:before="0" w:after="0" w:line="36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pH</w:t>
                  </w:r>
                  <w:r>
                    <w:rPr>
                      <w:rFonts w:hint="eastAsia" w:cs="Times New Roman"/>
                      <w:b w:val="0"/>
                      <w:bCs w:val="0"/>
                      <w:color w:val="auto"/>
                      <w:sz w:val="21"/>
                      <w:szCs w:val="21"/>
                      <w:vertAlign w:val="baseline"/>
                      <w:lang w:val="en-US" w:eastAsia="zh-CN"/>
                    </w:rPr>
                    <w:t>（无量纲）</w:t>
                  </w:r>
                </w:p>
              </w:tc>
              <w:tc>
                <w:tcPr>
                  <w:tcW w:w="4969" w:type="dxa"/>
                  <w:vAlign w:val="top"/>
                </w:tcPr>
                <w:p>
                  <w:pPr>
                    <w:pStyle w:val="67"/>
                    <w:keepLines w:val="0"/>
                    <w:kinsoku/>
                    <w:wordWrap/>
                    <w:overflowPunct/>
                    <w:topLinePunct w:val="0"/>
                    <w:autoSpaceDE/>
                    <w:autoSpaceDN/>
                    <w:bidi w:val="0"/>
                    <w:adjustRightInd/>
                    <w:spacing w:before="0" w:after="0" w:line="360" w:lineRule="auto"/>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4" w:type="dxa"/>
                  <w:vAlign w:val="top"/>
                </w:tcPr>
                <w:p>
                  <w:pPr>
                    <w:pStyle w:val="67"/>
                    <w:keepLines w:val="0"/>
                    <w:kinsoku/>
                    <w:wordWrap/>
                    <w:overflowPunct/>
                    <w:topLinePunct w:val="0"/>
                    <w:autoSpaceDE/>
                    <w:autoSpaceDN/>
                    <w:bidi w:val="0"/>
                    <w:adjustRightInd/>
                    <w:spacing w:before="0" w:after="0" w:line="36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COD</w:t>
                  </w:r>
                </w:p>
              </w:tc>
              <w:tc>
                <w:tcPr>
                  <w:tcW w:w="4969" w:type="dxa"/>
                  <w:vAlign w:val="top"/>
                </w:tcPr>
                <w:p>
                  <w:pPr>
                    <w:pStyle w:val="67"/>
                    <w:keepLines w:val="0"/>
                    <w:kinsoku/>
                    <w:wordWrap/>
                    <w:overflowPunct/>
                    <w:topLinePunct w:val="0"/>
                    <w:autoSpaceDE/>
                    <w:autoSpaceDN/>
                    <w:bidi w:val="0"/>
                    <w:adjustRightInd/>
                    <w:spacing w:before="0" w:after="0" w:line="360" w:lineRule="auto"/>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4" w:type="dxa"/>
                  <w:vAlign w:val="top"/>
                </w:tcPr>
                <w:p>
                  <w:pPr>
                    <w:pStyle w:val="67"/>
                    <w:keepLines w:val="0"/>
                    <w:kinsoku/>
                    <w:wordWrap/>
                    <w:overflowPunct/>
                    <w:topLinePunct w:val="0"/>
                    <w:autoSpaceDE/>
                    <w:autoSpaceDN/>
                    <w:bidi w:val="0"/>
                    <w:adjustRightInd/>
                    <w:spacing w:before="0" w:after="0" w:line="36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BOD</w:t>
                  </w:r>
                  <w:r>
                    <w:rPr>
                      <w:rFonts w:hint="eastAsia" w:cs="Times New Roman"/>
                      <w:b w:val="0"/>
                      <w:bCs w:val="0"/>
                      <w:color w:val="auto"/>
                      <w:sz w:val="21"/>
                      <w:szCs w:val="21"/>
                      <w:vertAlign w:val="subscript"/>
                      <w:lang w:val="en-US" w:eastAsia="zh-CN"/>
                    </w:rPr>
                    <w:t>5</w:t>
                  </w:r>
                </w:p>
              </w:tc>
              <w:tc>
                <w:tcPr>
                  <w:tcW w:w="4969" w:type="dxa"/>
                  <w:vAlign w:val="top"/>
                </w:tcPr>
                <w:p>
                  <w:pPr>
                    <w:pStyle w:val="67"/>
                    <w:keepLines w:val="0"/>
                    <w:kinsoku/>
                    <w:wordWrap/>
                    <w:overflowPunct/>
                    <w:topLinePunct w:val="0"/>
                    <w:autoSpaceDE/>
                    <w:autoSpaceDN/>
                    <w:bidi w:val="0"/>
                    <w:adjustRightInd/>
                    <w:spacing w:before="0" w:after="0" w:line="360" w:lineRule="auto"/>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4" w:type="dxa"/>
                  <w:vAlign w:val="top"/>
                </w:tcPr>
                <w:p>
                  <w:pPr>
                    <w:pStyle w:val="67"/>
                    <w:keepLines w:val="0"/>
                    <w:kinsoku/>
                    <w:wordWrap/>
                    <w:overflowPunct/>
                    <w:topLinePunct w:val="0"/>
                    <w:autoSpaceDE/>
                    <w:autoSpaceDN/>
                    <w:bidi w:val="0"/>
                    <w:adjustRightInd/>
                    <w:spacing w:before="0" w:after="0" w:line="36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SS</w:t>
                  </w:r>
                </w:p>
              </w:tc>
              <w:tc>
                <w:tcPr>
                  <w:tcW w:w="4969" w:type="dxa"/>
                  <w:vAlign w:val="top"/>
                </w:tcPr>
                <w:p>
                  <w:pPr>
                    <w:pStyle w:val="67"/>
                    <w:keepLines w:val="0"/>
                    <w:kinsoku/>
                    <w:wordWrap/>
                    <w:overflowPunct/>
                    <w:topLinePunct w:val="0"/>
                    <w:autoSpaceDE/>
                    <w:autoSpaceDN/>
                    <w:bidi w:val="0"/>
                    <w:adjustRightInd/>
                    <w:spacing w:before="0" w:after="0" w:line="360" w:lineRule="auto"/>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4" w:type="dxa"/>
                  <w:vAlign w:val="top"/>
                </w:tcPr>
                <w:p>
                  <w:pPr>
                    <w:pStyle w:val="67"/>
                    <w:keepLines w:val="0"/>
                    <w:kinsoku/>
                    <w:wordWrap/>
                    <w:overflowPunct/>
                    <w:topLinePunct w:val="0"/>
                    <w:autoSpaceDE/>
                    <w:autoSpaceDN/>
                    <w:bidi w:val="0"/>
                    <w:adjustRightInd/>
                    <w:spacing w:before="0" w:after="0" w:line="36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动植物油</w:t>
                  </w:r>
                </w:p>
              </w:tc>
              <w:tc>
                <w:tcPr>
                  <w:tcW w:w="4969" w:type="dxa"/>
                  <w:vAlign w:val="top"/>
                </w:tcPr>
                <w:p>
                  <w:pPr>
                    <w:pStyle w:val="67"/>
                    <w:keepLines w:val="0"/>
                    <w:kinsoku/>
                    <w:wordWrap/>
                    <w:overflowPunct/>
                    <w:topLinePunct w:val="0"/>
                    <w:autoSpaceDE/>
                    <w:autoSpaceDN/>
                    <w:bidi w:val="0"/>
                    <w:adjustRightInd/>
                    <w:spacing w:before="0" w:after="0" w:line="360" w:lineRule="auto"/>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4" w:type="dxa"/>
                  <w:vAlign w:val="top"/>
                </w:tcPr>
                <w:p>
                  <w:pPr>
                    <w:pStyle w:val="67"/>
                    <w:keepLines w:val="0"/>
                    <w:kinsoku/>
                    <w:wordWrap/>
                    <w:overflowPunct/>
                    <w:topLinePunct w:val="0"/>
                    <w:autoSpaceDE/>
                    <w:autoSpaceDN/>
                    <w:bidi w:val="0"/>
                    <w:adjustRightInd/>
                    <w:spacing w:before="0" w:after="0" w:line="360" w:lineRule="auto"/>
                    <w:ind w:left="0" w:leftChars="0" w:right="0" w:righ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阴离子表面活性剂</w:t>
                  </w:r>
                </w:p>
              </w:tc>
              <w:tc>
                <w:tcPr>
                  <w:tcW w:w="4969" w:type="dxa"/>
                  <w:vAlign w:val="top"/>
                </w:tcPr>
                <w:p>
                  <w:pPr>
                    <w:pStyle w:val="67"/>
                    <w:keepLines w:val="0"/>
                    <w:kinsoku/>
                    <w:wordWrap/>
                    <w:overflowPunct/>
                    <w:topLinePunct w:val="0"/>
                    <w:autoSpaceDE/>
                    <w:autoSpaceDN/>
                    <w:bidi w:val="0"/>
                    <w:adjustRightInd/>
                    <w:spacing w:before="0" w:after="0" w:line="360" w:lineRule="auto"/>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4" w:type="dxa"/>
                  <w:vAlign w:val="top"/>
                </w:tcPr>
                <w:p>
                  <w:pPr>
                    <w:pStyle w:val="67"/>
                    <w:keepLines w:val="0"/>
                    <w:kinsoku/>
                    <w:wordWrap/>
                    <w:overflowPunct/>
                    <w:topLinePunct w:val="0"/>
                    <w:autoSpaceDE/>
                    <w:autoSpaceDN/>
                    <w:bidi w:val="0"/>
                    <w:adjustRightInd/>
                    <w:spacing w:before="0" w:after="0" w:line="360" w:lineRule="auto"/>
                    <w:ind w:left="0" w:leftChars="0" w:right="0" w:righ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色度/（稀释倍数）</w:t>
                  </w:r>
                </w:p>
              </w:tc>
              <w:tc>
                <w:tcPr>
                  <w:tcW w:w="4969" w:type="dxa"/>
                  <w:vAlign w:val="top"/>
                </w:tcPr>
                <w:p>
                  <w:pPr>
                    <w:pStyle w:val="67"/>
                    <w:keepLines w:val="0"/>
                    <w:kinsoku/>
                    <w:wordWrap/>
                    <w:overflowPunct/>
                    <w:topLinePunct w:val="0"/>
                    <w:autoSpaceDE/>
                    <w:autoSpaceDN/>
                    <w:bidi w:val="0"/>
                    <w:adjustRightInd/>
                    <w:spacing w:before="0" w:after="0" w:line="360" w:lineRule="auto"/>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4" w:type="dxa"/>
                  <w:vAlign w:val="top"/>
                </w:tcPr>
                <w:p>
                  <w:pPr>
                    <w:pStyle w:val="67"/>
                    <w:keepLines w:val="0"/>
                    <w:kinsoku/>
                    <w:wordWrap/>
                    <w:overflowPunct/>
                    <w:topLinePunct w:val="0"/>
                    <w:autoSpaceDE/>
                    <w:autoSpaceDN/>
                    <w:bidi w:val="0"/>
                    <w:adjustRightInd/>
                    <w:spacing w:before="0" w:after="0" w:line="360" w:lineRule="auto"/>
                    <w:ind w:left="0" w:leftChars="0" w:right="0" w:righ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挥发酚</w:t>
                  </w:r>
                </w:p>
              </w:tc>
              <w:tc>
                <w:tcPr>
                  <w:tcW w:w="4969" w:type="dxa"/>
                  <w:vAlign w:val="top"/>
                </w:tcPr>
                <w:p>
                  <w:pPr>
                    <w:pStyle w:val="67"/>
                    <w:keepLines w:val="0"/>
                    <w:kinsoku/>
                    <w:wordWrap/>
                    <w:overflowPunct/>
                    <w:topLinePunct w:val="0"/>
                    <w:autoSpaceDE/>
                    <w:autoSpaceDN/>
                    <w:bidi w:val="0"/>
                    <w:adjustRightInd/>
                    <w:spacing w:before="0" w:after="0" w:line="360" w:lineRule="auto"/>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4" w:type="dxa"/>
                  <w:vAlign w:val="top"/>
                </w:tcPr>
                <w:p>
                  <w:pPr>
                    <w:pStyle w:val="67"/>
                    <w:keepLines w:val="0"/>
                    <w:kinsoku/>
                    <w:wordWrap/>
                    <w:overflowPunct/>
                    <w:topLinePunct w:val="0"/>
                    <w:autoSpaceDE/>
                    <w:autoSpaceDN/>
                    <w:bidi w:val="0"/>
                    <w:adjustRightInd/>
                    <w:spacing w:before="0" w:after="0" w:line="360" w:lineRule="auto"/>
                    <w:ind w:left="0" w:leftChars="0" w:right="0" w:righ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总氰化物</w:t>
                  </w:r>
                </w:p>
              </w:tc>
              <w:tc>
                <w:tcPr>
                  <w:tcW w:w="4969" w:type="dxa"/>
                  <w:vAlign w:val="top"/>
                </w:tcPr>
                <w:p>
                  <w:pPr>
                    <w:pStyle w:val="67"/>
                    <w:keepLines w:val="0"/>
                    <w:kinsoku/>
                    <w:wordWrap/>
                    <w:overflowPunct/>
                    <w:topLinePunct w:val="0"/>
                    <w:autoSpaceDE/>
                    <w:autoSpaceDN/>
                    <w:bidi w:val="0"/>
                    <w:adjustRightInd/>
                    <w:spacing w:before="0" w:after="0" w:line="360" w:lineRule="auto"/>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4" w:type="dxa"/>
                  <w:vAlign w:val="top"/>
                </w:tcPr>
                <w:p>
                  <w:pPr>
                    <w:pStyle w:val="67"/>
                    <w:keepLines w:val="0"/>
                    <w:kinsoku/>
                    <w:wordWrap/>
                    <w:overflowPunct/>
                    <w:topLinePunct w:val="0"/>
                    <w:autoSpaceDE/>
                    <w:autoSpaceDN/>
                    <w:bidi w:val="0"/>
                    <w:adjustRightInd/>
                    <w:spacing w:before="0" w:after="0" w:line="360" w:lineRule="auto"/>
                    <w:ind w:left="0" w:leftChars="0" w:right="0" w:righ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总汞</w:t>
                  </w:r>
                </w:p>
              </w:tc>
              <w:tc>
                <w:tcPr>
                  <w:tcW w:w="4969" w:type="dxa"/>
                  <w:vAlign w:val="top"/>
                </w:tcPr>
                <w:p>
                  <w:pPr>
                    <w:pStyle w:val="67"/>
                    <w:keepLines w:val="0"/>
                    <w:kinsoku/>
                    <w:wordWrap/>
                    <w:overflowPunct/>
                    <w:topLinePunct w:val="0"/>
                    <w:autoSpaceDE/>
                    <w:autoSpaceDN/>
                    <w:bidi w:val="0"/>
                    <w:adjustRightInd/>
                    <w:spacing w:before="0" w:after="0" w:line="360" w:lineRule="auto"/>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4" w:type="dxa"/>
                  <w:vAlign w:val="top"/>
                </w:tcPr>
                <w:p>
                  <w:pPr>
                    <w:pStyle w:val="67"/>
                    <w:keepLines w:val="0"/>
                    <w:kinsoku/>
                    <w:wordWrap/>
                    <w:overflowPunct/>
                    <w:topLinePunct w:val="0"/>
                    <w:autoSpaceDE/>
                    <w:autoSpaceDN/>
                    <w:bidi w:val="0"/>
                    <w:adjustRightInd/>
                    <w:spacing w:before="0" w:after="0" w:line="360" w:lineRule="auto"/>
                    <w:ind w:left="0" w:leftChars="0" w:right="0" w:righ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总镉</w:t>
                  </w:r>
                </w:p>
              </w:tc>
              <w:tc>
                <w:tcPr>
                  <w:tcW w:w="4969" w:type="dxa"/>
                  <w:vAlign w:val="top"/>
                </w:tcPr>
                <w:p>
                  <w:pPr>
                    <w:pStyle w:val="67"/>
                    <w:keepLines w:val="0"/>
                    <w:kinsoku/>
                    <w:wordWrap/>
                    <w:overflowPunct/>
                    <w:topLinePunct w:val="0"/>
                    <w:autoSpaceDE/>
                    <w:autoSpaceDN/>
                    <w:bidi w:val="0"/>
                    <w:adjustRightInd/>
                    <w:spacing w:before="0" w:after="0" w:line="360" w:lineRule="auto"/>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4" w:type="dxa"/>
                  <w:vAlign w:val="top"/>
                </w:tcPr>
                <w:p>
                  <w:pPr>
                    <w:pStyle w:val="67"/>
                    <w:keepLines w:val="0"/>
                    <w:kinsoku/>
                    <w:wordWrap/>
                    <w:overflowPunct/>
                    <w:topLinePunct w:val="0"/>
                    <w:autoSpaceDE/>
                    <w:autoSpaceDN/>
                    <w:bidi w:val="0"/>
                    <w:adjustRightInd/>
                    <w:spacing w:before="0" w:after="0" w:line="360" w:lineRule="auto"/>
                    <w:ind w:left="0" w:leftChars="0" w:right="0" w:righ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总铬</w:t>
                  </w:r>
                </w:p>
              </w:tc>
              <w:tc>
                <w:tcPr>
                  <w:tcW w:w="4969" w:type="dxa"/>
                  <w:vAlign w:val="top"/>
                </w:tcPr>
                <w:p>
                  <w:pPr>
                    <w:pStyle w:val="67"/>
                    <w:keepLines w:val="0"/>
                    <w:kinsoku/>
                    <w:wordWrap/>
                    <w:overflowPunct/>
                    <w:topLinePunct w:val="0"/>
                    <w:autoSpaceDE/>
                    <w:autoSpaceDN/>
                    <w:bidi w:val="0"/>
                    <w:adjustRightInd/>
                    <w:spacing w:before="0" w:after="0" w:line="360" w:lineRule="auto"/>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4" w:type="dxa"/>
                  <w:vAlign w:val="top"/>
                </w:tcPr>
                <w:p>
                  <w:pPr>
                    <w:pStyle w:val="67"/>
                    <w:keepLines w:val="0"/>
                    <w:kinsoku/>
                    <w:wordWrap/>
                    <w:overflowPunct/>
                    <w:topLinePunct w:val="0"/>
                    <w:autoSpaceDE/>
                    <w:autoSpaceDN/>
                    <w:bidi w:val="0"/>
                    <w:adjustRightInd/>
                    <w:spacing w:before="0" w:after="0" w:line="360" w:lineRule="auto"/>
                    <w:ind w:left="0" w:leftChars="0" w:right="0" w:righ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六价铬</w:t>
                  </w:r>
                </w:p>
              </w:tc>
              <w:tc>
                <w:tcPr>
                  <w:tcW w:w="4969" w:type="dxa"/>
                  <w:vAlign w:val="top"/>
                </w:tcPr>
                <w:p>
                  <w:pPr>
                    <w:pStyle w:val="67"/>
                    <w:keepLines w:val="0"/>
                    <w:kinsoku/>
                    <w:wordWrap/>
                    <w:overflowPunct/>
                    <w:topLinePunct w:val="0"/>
                    <w:autoSpaceDE/>
                    <w:autoSpaceDN/>
                    <w:bidi w:val="0"/>
                    <w:adjustRightInd/>
                    <w:spacing w:before="0" w:after="0" w:line="360" w:lineRule="auto"/>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4" w:type="dxa"/>
                  <w:vAlign w:val="top"/>
                </w:tcPr>
                <w:p>
                  <w:pPr>
                    <w:pStyle w:val="67"/>
                    <w:keepLines w:val="0"/>
                    <w:kinsoku/>
                    <w:wordWrap/>
                    <w:overflowPunct/>
                    <w:topLinePunct w:val="0"/>
                    <w:autoSpaceDE/>
                    <w:autoSpaceDN/>
                    <w:bidi w:val="0"/>
                    <w:adjustRightInd/>
                    <w:spacing w:before="0" w:after="0" w:line="360" w:lineRule="auto"/>
                    <w:ind w:left="0" w:leftChars="0" w:right="0" w:righ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总砷</w:t>
                  </w:r>
                </w:p>
              </w:tc>
              <w:tc>
                <w:tcPr>
                  <w:tcW w:w="4969" w:type="dxa"/>
                  <w:vAlign w:val="top"/>
                </w:tcPr>
                <w:p>
                  <w:pPr>
                    <w:pStyle w:val="67"/>
                    <w:keepLines w:val="0"/>
                    <w:kinsoku/>
                    <w:wordWrap/>
                    <w:overflowPunct/>
                    <w:topLinePunct w:val="0"/>
                    <w:autoSpaceDE/>
                    <w:autoSpaceDN/>
                    <w:bidi w:val="0"/>
                    <w:adjustRightInd/>
                    <w:spacing w:before="0" w:after="0" w:line="360" w:lineRule="auto"/>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4" w:type="dxa"/>
                  <w:vAlign w:val="top"/>
                </w:tcPr>
                <w:p>
                  <w:pPr>
                    <w:pStyle w:val="67"/>
                    <w:keepLines w:val="0"/>
                    <w:kinsoku/>
                    <w:wordWrap/>
                    <w:overflowPunct/>
                    <w:topLinePunct w:val="0"/>
                    <w:autoSpaceDE/>
                    <w:autoSpaceDN/>
                    <w:bidi w:val="0"/>
                    <w:adjustRightInd/>
                    <w:spacing w:before="0" w:after="0" w:line="360" w:lineRule="auto"/>
                    <w:ind w:left="0" w:leftChars="0" w:right="0" w:righ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总铅</w:t>
                  </w:r>
                </w:p>
              </w:tc>
              <w:tc>
                <w:tcPr>
                  <w:tcW w:w="4969" w:type="dxa"/>
                  <w:vAlign w:val="top"/>
                </w:tcPr>
                <w:p>
                  <w:pPr>
                    <w:pStyle w:val="67"/>
                    <w:keepLines w:val="0"/>
                    <w:kinsoku/>
                    <w:wordWrap/>
                    <w:overflowPunct/>
                    <w:topLinePunct w:val="0"/>
                    <w:autoSpaceDE/>
                    <w:autoSpaceDN/>
                    <w:bidi w:val="0"/>
                    <w:adjustRightInd/>
                    <w:spacing w:before="0" w:after="0" w:line="360" w:lineRule="auto"/>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4" w:type="dxa"/>
                  <w:vAlign w:val="top"/>
                </w:tcPr>
                <w:p>
                  <w:pPr>
                    <w:pStyle w:val="67"/>
                    <w:keepLines w:val="0"/>
                    <w:kinsoku/>
                    <w:wordWrap/>
                    <w:overflowPunct/>
                    <w:topLinePunct w:val="0"/>
                    <w:autoSpaceDE/>
                    <w:autoSpaceDN/>
                    <w:bidi w:val="0"/>
                    <w:adjustRightInd/>
                    <w:spacing w:before="0" w:after="0" w:line="360" w:lineRule="auto"/>
                    <w:ind w:left="0" w:leftChars="0" w:right="0" w:righ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总银</w:t>
                  </w:r>
                </w:p>
              </w:tc>
              <w:tc>
                <w:tcPr>
                  <w:tcW w:w="4969" w:type="dxa"/>
                  <w:vAlign w:val="top"/>
                </w:tcPr>
                <w:p>
                  <w:pPr>
                    <w:pStyle w:val="67"/>
                    <w:keepLines w:val="0"/>
                    <w:kinsoku/>
                    <w:wordWrap/>
                    <w:overflowPunct/>
                    <w:topLinePunct w:val="0"/>
                    <w:autoSpaceDE/>
                    <w:autoSpaceDN/>
                    <w:bidi w:val="0"/>
                    <w:adjustRightInd/>
                    <w:spacing w:before="0" w:after="0" w:line="360" w:lineRule="auto"/>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4" w:type="dxa"/>
                  <w:vAlign w:val="top"/>
                </w:tcPr>
                <w:p>
                  <w:pPr>
                    <w:keepNext w:val="0"/>
                    <w:keepLines w:val="0"/>
                    <w:widowControl/>
                    <w:suppressLineNumbers w:val="0"/>
                    <w:kinsoku/>
                    <w:wordWrap/>
                    <w:overflowPunct/>
                    <w:topLinePunct w:val="0"/>
                    <w:autoSpaceDE/>
                    <w:autoSpaceDN/>
                    <w:bidi w:val="0"/>
                    <w:adjustRightInd/>
                    <w:spacing w:line="360" w:lineRule="auto"/>
                    <w:ind w:left="0" w:leftChars="0" w:right="0" w:righ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总α（Bq/L）</w:t>
                  </w:r>
                </w:p>
              </w:tc>
              <w:tc>
                <w:tcPr>
                  <w:tcW w:w="4969" w:type="dxa"/>
                  <w:vAlign w:val="top"/>
                </w:tcPr>
                <w:p>
                  <w:pPr>
                    <w:pStyle w:val="67"/>
                    <w:keepLines w:val="0"/>
                    <w:kinsoku/>
                    <w:wordWrap/>
                    <w:overflowPunct/>
                    <w:topLinePunct w:val="0"/>
                    <w:autoSpaceDE/>
                    <w:autoSpaceDN/>
                    <w:bidi w:val="0"/>
                    <w:adjustRightInd/>
                    <w:spacing w:before="0" w:after="0" w:line="360" w:lineRule="auto"/>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4" w:type="dxa"/>
                  <w:vAlign w:val="top"/>
                </w:tcPr>
                <w:p>
                  <w:pPr>
                    <w:keepNext w:val="0"/>
                    <w:keepLines w:val="0"/>
                    <w:widowControl/>
                    <w:suppressLineNumbers w:val="0"/>
                    <w:kinsoku/>
                    <w:wordWrap/>
                    <w:overflowPunct/>
                    <w:topLinePunct w:val="0"/>
                    <w:autoSpaceDE/>
                    <w:autoSpaceDN/>
                    <w:bidi w:val="0"/>
                    <w:adjustRightInd/>
                    <w:spacing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总β（Bq/L）</w:t>
                  </w:r>
                </w:p>
              </w:tc>
              <w:tc>
                <w:tcPr>
                  <w:tcW w:w="4969" w:type="dxa"/>
                  <w:vAlign w:val="top"/>
                </w:tcPr>
                <w:p>
                  <w:pPr>
                    <w:pStyle w:val="67"/>
                    <w:keepLines w:val="0"/>
                    <w:kinsoku/>
                    <w:wordWrap/>
                    <w:overflowPunct/>
                    <w:topLinePunct w:val="0"/>
                    <w:autoSpaceDE/>
                    <w:autoSpaceDN/>
                    <w:bidi w:val="0"/>
                    <w:adjustRightInd/>
                    <w:spacing w:before="0" w:after="0" w:line="360" w:lineRule="auto"/>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4" w:type="dxa"/>
                  <w:vAlign w:val="top"/>
                </w:tcPr>
                <w:p>
                  <w:pPr>
                    <w:keepNext w:val="0"/>
                    <w:keepLines w:val="0"/>
                    <w:widowControl/>
                    <w:suppressLineNumbers w:val="0"/>
                    <w:kinsoku/>
                    <w:wordWrap/>
                    <w:overflowPunct/>
                    <w:topLinePunct w:val="0"/>
                    <w:autoSpaceDE/>
                    <w:autoSpaceDN/>
                    <w:bidi w:val="0"/>
                    <w:adjustRightInd/>
                    <w:spacing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总余氯</w:t>
                  </w:r>
                  <w:r>
                    <w:rPr>
                      <w:rFonts w:hint="default" w:ascii="Times New Roman" w:hAnsi="Times New Roman" w:eastAsia="宋体" w:cs="Times New Roman"/>
                      <w:color w:val="auto"/>
                      <w:kern w:val="0"/>
                      <w:sz w:val="21"/>
                      <w:szCs w:val="21"/>
                      <w:vertAlign w:val="superscript"/>
                      <w:lang w:val="en-US" w:eastAsia="zh-CN" w:bidi="ar"/>
                    </w:rPr>
                    <w:t xml:space="preserve"> 1），2）</w:t>
                  </w:r>
                </w:p>
              </w:tc>
              <w:tc>
                <w:tcPr>
                  <w:tcW w:w="4969" w:type="dxa"/>
                  <w:vAlign w:val="top"/>
                </w:tcPr>
                <w:p>
                  <w:pPr>
                    <w:pStyle w:val="67"/>
                    <w:keepLines w:val="0"/>
                    <w:kinsoku/>
                    <w:wordWrap/>
                    <w:overflowPunct/>
                    <w:topLinePunct w:val="0"/>
                    <w:autoSpaceDE/>
                    <w:autoSpaceDN/>
                    <w:bidi w:val="0"/>
                    <w:adjustRightInd/>
                    <w:spacing w:before="0" w:after="0" w:line="360" w:lineRule="auto"/>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84" w:type="dxa"/>
                  <w:vAlign w:val="top"/>
                </w:tcPr>
                <w:p>
                  <w:pPr>
                    <w:keepNext w:val="0"/>
                    <w:keepLines w:val="0"/>
                    <w:widowControl/>
                    <w:suppressLineNumbers w:val="0"/>
                    <w:kinsoku/>
                    <w:wordWrap/>
                    <w:overflowPunct/>
                    <w:topLinePunct w:val="0"/>
                    <w:autoSpaceDE/>
                    <w:autoSpaceDN/>
                    <w:bidi w:val="0"/>
                    <w:adjustRightInd/>
                    <w:spacing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eastAsia="宋体" w:cs="Times New Roman"/>
                      <w:color w:val="auto"/>
                      <w:kern w:val="0"/>
                      <w:sz w:val="21"/>
                      <w:szCs w:val="21"/>
                      <w:lang w:val="en-US" w:eastAsia="zh-CN" w:bidi="ar"/>
                    </w:rPr>
                    <w:t>氨氮</w:t>
                  </w:r>
                </w:p>
              </w:tc>
              <w:tc>
                <w:tcPr>
                  <w:tcW w:w="4969" w:type="dxa"/>
                  <w:vAlign w:val="top"/>
                </w:tcPr>
                <w:p>
                  <w:pPr>
                    <w:pStyle w:val="67"/>
                    <w:keepLines w:val="0"/>
                    <w:kinsoku/>
                    <w:wordWrap/>
                    <w:overflowPunct/>
                    <w:topLinePunct w:val="0"/>
                    <w:autoSpaceDE/>
                    <w:autoSpaceDN/>
                    <w:bidi w:val="0"/>
                    <w:adjustRightInd/>
                    <w:spacing w:before="0" w:after="0" w:line="360" w:lineRule="auto"/>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53" w:type="dxa"/>
                  <w:gridSpan w:val="2"/>
                  <w:vAlign w:val="top"/>
                </w:tcPr>
                <w:p>
                  <w:pPr>
                    <w:keepLines w:val="0"/>
                    <w:widowControl/>
                    <w:kinsoku/>
                    <w:wordWrap/>
                    <w:overflowPunct/>
                    <w:topLinePunct w:val="0"/>
                    <w:autoSpaceDE/>
                    <w:autoSpaceDN/>
                    <w:bidi w:val="0"/>
                    <w:adjustRightInd/>
                    <w:spacing w:beforeLines="0" w:afterLines="0"/>
                    <w:ind w:firstLine="0" w:firstLineChars="0"/>
                    <w:jc w:val="both"/>
                    <w:textAlignment w:val="auto"/>
                    <w:rPr>
                      <w:rFonts w:hint="default"/>
                      <w:b w:val="0"/>
                      <w:bCs w:val="0"/>
                      <w:color w:val="auto"/>
                      <w:sz w:val="18"/>
                      <w:szCs w:val="18"/>
                    </w:rPr>
                  </w:pPr>
                  <w:r>
                    <w:rPr>
                      <w:rFonts w:hint="eastAsia"/>
                      <w:b w:val="0"/>
                      <w:bCs w:val="0"/>
                      <w:color w:val="auto"/>
                      <w:sz w:val="18"/>
                      <w:szCs w:val="18"/>
                    </w:rPr>
                    <w:t>注: 1)采用含氯消毒剂消毒的工艺控制要求为:</w:t>
                  </w:r>
                </w:p>
                <w:p>
                  <w:pPr>
                    <w:keepLines w:val="0"/>
                    <w:widowControl/>
                    <w:kinsoku/>
                    <w:wordWrap/>
                    <w:overflowPunct/>
                    <w:topLinePunct w:val="0"/>
                    <w:autoSpaceDE/>
                    <w:autoSpaceDN/>
                    <w:bidi w:val="0"/>
                    <w:adjustRightInd/>
                    <w:spacing w:beforeLines="0" w:afterLines="0"/>
                    <w:ind w:firstLine="0" w:firstLineChars="0"/>
                    <w:jc w:val="both"/>
                    <w:textAlignment w:val="auto"/>
                    <w:rPr>
                      <w:rFonts w:hint="default"/>
                      <w:b w:val="0"/>
                      <w:bCs w:val="0"/>
                      <w:color w:val="auto"/>
                      <w:sz w:val="18"/>
                      <w:szCs w:val="18"/>
                    </w:rPr>
                  </w:pPr>
                  <w:r>
                    <w:rPr>
                      <w:rFonts w:hint="eastAsia"/>
                      <w:b w:val="0"/>
                      <w:bCs w:val="0"/>
                      <w:color w:val="auto"/>
                      <w:sz w:val="18"/>
                      <w:szCs w:val="18"/>
                    </w:rPr>
                    <w:t xml:space="preserve">排放标准:消毒接触池接触时间≥1 h,接触池出口总余氯 3~ 10 mg/L。 </w:t>
                  </w:r>
                </w:p>
                <w:p>
                  <w:pPr>
                    <w:keepLines w:val="0"/>
                    <w:widowControl/>
                    <w:kinsoku/>
                    <w:wordWrap/>
                    <w:overflowPunct/>
                    <w:topLinePunct w:val="0"/>
                    <w:autoSpaceDE/>
                    <w:autoSpaceDN/>
                    <w:bidi w:val="0"/>
                    <w:adjustRightInd/>
                    <w:spacing w:beforeLines="0" w:afterLines="0"/>
                    <w:ind w:firstLine="0" w:firstLineChars="0"/>
                    <w:jc w:val="both"/>
                    <w:textAlignment w:val="auto"/>
                    <w:rPr>
                      <w:rFonts w:hint="eastAsia"/>
                      <w:b w:val="0"/>
                      <w:bCs w:val="0"/>
                      <w:color w:val="auto"/>
                      <w:sz w:val="18"/>
                      <w:szCs w:val="18"/>
                    </w:rPr>
                  </w:pPr>
                  <w:r>
                    <w:rPr>
                      <w:rFonts w:hint="eastAsia"/>
                      <w:b w:val="0"/>
                      <w:bCs w:val="0"/>
                      <w:color w:val="auto"/>
                      <w:sz w:val="18"/>
                      <w:szCs w:val="18"/>
                    </w:rPr>
                    <w:t xml:space="preserve">预处理标准:消毒接触池接触时间≥1 h,接触池出口总余氯 2~8 mg/L。 </w:t>
                  </w:r>
                </w:p>
                <w:p>
                  <w:pPr>
                    <w:keepLines w:val="0"/>
                    <w:widowControl/>
                    <w:kinsoku/>
                    <w:wordWrap/>
                    <w:overflowPunct/>
                    <w:topLinePunct w:val="0"/>
                    <w:autoSpaceDE/>
                    <w:autoSpaceDN/>
                    <w:bidi w:val="0"/>
                    <w:adjustRightInd/>
                    <w:spacing w:beforeLines="0" w:afterLines="0"/>
                    <w:ind w:firstLine="0" w:firstLineChars="0"/>
                    <w:jc w:val="both"/>
                    <w:textAlignment w:val="auto"/>
                    <w:rPr>
                      <w:rFonts w:hint="eastAsia"/>
                      <w:b w:val="0"/>
                      <w:bCs w:val="0"/>
                      <w:color w:val="auto"/>
                      <w:sz w:val="18"/>
                      <w:szCs w:val="18"/>
                    </w:rPr>
                  </w:pPr>
                  <w:r>
                    <w:rPr>
                      <w:rFonts w:hint="eastAsia"/>
                      <w:b w:val="0"/>
                      <w:bCs w:val="0"/>
                      <w:color w:val="auto"/>
                      <w:sz w:val="18"/>
                      <w:szCs w:val="18"/>
                      <w:lang w:val="en-US" w:eastAsia="zh-CN"/>
                    </w:rPr>
                    <w:t>2）</w:t>
                  </w:r>
                  <w:r>
                    <w:rPr>
                      <w:rFonts w:hint="eastAsia"/>
                      <w:b w:val="0"/>
                      <w:bCs w:val="0"/>
                      <w:color w:val="auto"/>
                      <w:sz w:val="18"/>
                      <w:szCs w:val="18"/>
                    </w:rPr>
                    <w:t>采用其他消毒剂对总余氯不做要求。</w:t>
                  </w:r>
                </w:p>
                <w:p>
                  <w:pPr>
                    <w:keepLines w:val="0"/>
                    <w:numPr>
                      <w:ilvl w:val="0"/>
                      <w:numId w:val="0"/>
                    </w:numPr>
                    <w:kinsoku/>
                    <w:wordWrap/>
                    <w:overflowPunct/>
                    <w:topLinePunct w:val="0"/>
                    <w:autoSpaceDE/>
                    <w:autoSpaceDN/>
                    <w:bidi w:val="0"/>
                    <w:adjustRightInd/>
                    <w:textAlignment w:val="auto"/>
                    <w:rPr>
                      <w:rFonts w:hint="default"/>
                      <w:b w:val="0"/>
                      <w:bCs w:val="0"/>
                      <w:color w:val="auto"/>
                      <w:sz w:val="18"/>
                      <w:szCs w:val="18"/>
                      <w:lang w:val="en-US" w:eastAsia="zh-CN"/>
                    </w:rPr>
                  </w:pPr>
                  <w:r>
                    <w:rPr>
                      <w:rFonts w:hint="eastAsia"/>
                      <w:b w:val="0"/>
                      <w:bCs w:val="0"/>
                      <w:color w:val="auto"/>
                      <w:sz w:val="18"/>
                      <w:szCs w:val="18"/>
                      <w:lang w:val="en-US" w:eastAsia="zh-CN"/>
                    </w:rPr>
                    <w:t>3）氨氮执行《污水排入城镇下水道水质标准》（GB/T31962-2015）表1（B等级）标准。</w:t>
                  </w:r>
                </w:p>
              </w:tc>
            </w:tr>
          </w:tbl>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482"/>
              <w:textAlignment w:val="auto"/>
              <w:rPr>
                <w:rFonts w:hint="eastAsia"/>
                <w:color w:val="auto"/>
              </w:rPr>
            </w:pPr>
            <w:r>
              <w:rPr>
                <w:rFonts w:hint="eastAsia"/>
                <w:color w:val="auto"/>
              </w:rPr>
              <w:t>4、固废</w:t>
            </w:r>
          </w:p>
          <w:p>
            <w:pPr>
              <w:keepNext w:val="0"/>
              <w:keepLines w:val="0"/>
              <w:pageBreakBefore w:val="0"/>
              <w:widowControl w:val="0"/>
              <w:kinsoku/>
              <w:wordWrap/>
              <w:overflowPunct/>
              <w:topLinePunct w:val="0"/>
              <w:autoSpaceDE/>
              <w:autoSpaceDN/>
              <w:bidi w:val="0"/>
              <w:adjustRightInd/>
              <w:snapToGrid/>
              <w:ind w:firstLine="480"/>
              <w:textAlignment w:val="auto"/>
              <w:rPr>
                <w:color w:val="auto"/>
              </w:rPr>
            </w:pPr>
            <w:r>
              <w:rPr>
                <w:rFonts w:hint="default" w:ascii="Times New Roman" w:hAnsi="Times New Roman" w:cs="Times New Roman" w:eastAsiaTheme="minorEastAsia"/>
                <w:color w:val="auto"/>
              </w:rPr>
              <w:t>本项目医疗废物执行《医疗废物处理处置污染控制标准》（GB39707-2020）和《危险废物贮存污染控制标准》（GB18597-2001），废水处理站污泥</w:t>
            </w:r>
            <w:r>
              <w:rPr>
                <w:rFonts w:hint="eastAsia" w:ascii="Times New Roman" w:hAnsi="Times New Roman" w:cs="Times New Roman"/>
                <w:color w:val="auto"/>
                <w:lang w:eastAsia="zh-CN"/>
              </w:rPr>
              <w:t>采用熟石灰消毒后，</w:t>
            </w:r>
            <w:r>
              <w:rPr>
                <w:rFonts w:hint="default" w:ascii="Times New Roman" w:hAnsi="Times New Roman" w:cs="Times New Roman" w:eastAsiaTheme="minorEastAsia"/>
                <w:color w:val="auto"/>
              </w:rPr>
              <w:t>执行《医疗机构水污染排放标准》（GB18466-2005）中的污泥控制标准。</w:t>
            </w:r>
          </w:p>
          <w:p>
            <w:pPr>
              <w:pStyle w:val="67"/>
              <w:keepNext/>
              <w:keepLines w:val="0"/>
              <w:pageBreakBefore/>
              <w:widowControl w:val="0"/>
              <w:kinsoku/>
              <w:wordWrap/>
              <w:overflowPunct/>
              <w:topLinePunct w:val="0"/>
              <w:autoSpaceDE/>
              <w:autoSpaceDN/>
              <w:bidi w:val="0"/>
              <w:adjustRightInd/>
              <w:snapToGrid w:val="0"/>
              <w:spacing w:before="0" w:after="0" w:line="360" w:lineRule="auto"/>
              <w:textAlignment w:val="auto"/>
              <w:rPr>
                <w:color w:val="auto"/>
                <w:sz w:val="21"/>
                <w:szCs w:val="21"/>
              </w:rPr>
            </w:pPr>
            <w:r>
              <w:rPr>
                <w:rFonts w:hint="eastAsia"/>
                <w:color w:val="auto"/>
                <w:sz w:val="21"/>
                <w:szCs w:val="21"/>
              </w:rPr>
              <w:t>表3-</w:t>
            </w:r>
            <w:r>
              <w:rPr>
                <w:rFonts w:hint="eastAsia"/>
                <w:color w:val="auto"/>
                <w:sz w:val="21"/>
                <w:szCs w:val="21"/>
                <w:lang w:val="en-US" w:eastAsia="zh-CN"/>
              </w:rPr>
              <w:t>6</w:t>
            </w:r>
            <w:r>
              <w:rPr>
                <w:rFonts w:hint="eastAsia"/>
                <w:color w:val="auto"/>
                <w:sz w:val="21"/>
                <w:szCs w:val="21"/>
              </w:rPr>
              <w:t xml:space="preserve"> </w:t>
            </w:r>
            <w:r>
              <w:rPr>
                <w:color w:val="auto"/>
                <w:sz w:val="21"/>
                <w:szCs w:val="21"/>
              </w:rPr>
              <w:t>医疗机构污泥排放标准值</w:t>
            </w:r>
          </w:p>
          <w:tbl>
            <w:tblPr>
              <w:tblStyle w:val="37"/>
              <w:tblW w:w="8207"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726"/>
              <w:gridCol w:w="1479"/>
              <w:gridCol w:w="1325"/>
              <w:gridCol w:w="1144"/>
              <w:gridCol w:w="1103"/>
              <w:gridCol w:w="143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95" w:hRule="atLeast"/>
                <w:jc w:val="center"/>
              </w:trPr>
              <w:tc>
                <w:tcPr>
                  <w:tcW w:w="172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医疗机构类别</w:t>
                  </w:r>
                </w:p>
              </w:tc>
              <w:tc>
                <w:tcPr>
                  <w:tcW w:w="1479" w:type="dxa"/>
                  <w:tcBorders>
                    <w:tl2br w:val="nil"/>
                    <w:tr2bl w:val="nil"/>
                  </w:tcBorders>
                  <w:vAlign w:val="center"/>
                </w:tcPr>
                <w:p>
                  <w:pPr>
                    <w:pStyle w:val="54"/>
                    <w:spacing w:line="36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粪大肠菌群数</w:t>
                  </w:r>
                </w:p>
                <w:p>
                  <w:pPr>
                    <w:pStyle w:val="54"/>
                    <w:spacing w:line="36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（MPN/g）</w:t>
                  </w:r>
                </w:p>
              </w:tc>
              <w:tc>
                <w:tcPr>
                  <w:tcW w:w="132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肠道致病菌</w:t>
                  </w:r>
                </w:p>
              </w:tc>
              <w:tc>
                <w:tcPr>
                  <w:tcW w:w="1144"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肠道病毒</w:t>
                  </w:r>
                </w:p>
              </w:tc>
              <w:tc>
                <w:tcPr>
                  <w:tcW w:w="1103"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结核杆菌</w:t>
                  </w:r>
                </w:p>
              </w:tc>
              <w:tc>
                <w:tcPr>
                  <w:tcW w:w="1430" w:type="dxa"/>
                  <w:tcBorders>
                    <w:tl2br w:val="nil"/>
                    <w:tr2bl w:val="nil"/>
                  </w:tcBorders>
                  <w:vAlign w:val="center"/>
                </w:tcPr>
                <w:p>
                  <w:pPr>
                    <w:pStyle w:val="54"/>
                    <w:spacing w:line="36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蛔虫卵死亡率(%)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726"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综合性医疗机构</w:t>
                  </w:r>
                </w:p>
              </w:tc>
              <w:tc>
                <w:tcPr>
                  <w:tcW w:w="1479"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w:t>
                  </w:r>
                </w:p>
              </w:tc>
              <w:tc>
                <w:tcPr>
                  <w:tcW w:w="1325"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44"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03"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430" w:type="dxa"/>
                  <w:tcBorders>
                    <w:tl2br w:val="nil"/>
                    <w:tr2bl w:val="nil"/>
                  </w:tcBorders>
                  <w:vAlign w:val="center"/>
                </w:tcPr>
                <w:p>
                  <w:pPr>
                    <w:pStyle w:val="146"/>
                    <w:spacing w:line="36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&gt;95</w:t>
                  </w:r>
                </w:p>
              </w:tc>
            </w:tr>
          </w:tbl>
          <w:p>
            <w:pPr>
              <w:autoSpaceDE w:val="0"/>
              <w:autoSpaceDN w:val="0"/>
              <w:adjustRightInd w:val="0"/>
              <w:snapToGrid w:val="0"/>
              <w:spacing w:line="240" w:lineRule="auto"/>
              <w:ind w:firstLine="0" w:firstLineChars="0"/>
              <w:jc w:val="left"/>
              <w:rPr>
                <w:rFonts w:ascii="仿宋" w:eastAsia="仿宋" w:cs="仿宋" w:hAnsiTheme="minorHAnsi"/>
                <w:color w:val="auto"/>
                <w:kern w:val="0"/>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Align w:val="center"/>
          </w:tcPr>
          <w:p>
            <w:pPr>
              <w:adjustRightInd w:val="0"/>
              <w:snapToGrid w:val="0"/>
              <w:ind w:firstLine="0" w:firstLineChars="0"/>
              <w:rPr>
                <w:rFonts w:cs="Times New Roman" w:asciiTheme="minorEastAsia" w:hAnsiTheme="minorEastAsia"/>
                <w:b/>
                <w:color w:val="auto"/>
                <w:szCs w:val="24"/>
              </w:rPr>
            </w:pPr>
            <w:r>
              <w:rPr>
                <w:rFonts w:hint="eastAsia" w:cs="Times New Roman" w:asciiTheme="minorEastAsia" w:hAnsiTheme="minorEastAsia"/>
                <w:b/>
                <w:color w:val="auto"/>
                <w:szCs w:val="24"/>
              </w:rPr>
              <w:t>总量控制指标</w:t>
            </w:r>
          </w:p>
        </w:tc>
        <w:tc>
          <w:tcPr>
            <w:tcW w:w="8423" w:type="dxa"/>
          </w:tcPr>
          <w:p>
            <w:pPr>
              <w:ind w:firstLine="480"/>
              <w:rPr>
                <w:rFonts w:hint="eastAsia"/>
                <w:color w:val="auto"/>
              </w:rPr>
            </w:pPr>
            <w:r>
              <w:rPr>
                <w:rFonts w:hint="eastAsia"/>
                <w:color w:val="auto"/>
              </w:rPr>
              <w:t>根据《建设项目环境影响报告表编制技术指南（污染影响类）（试行）》，确定本项目总量控制指标如下：</w:t>
            </w:r>
          </w:p>
          <w:p>
            <w:pPr>
              <w:ind w:firstLine="480"/>
              <w:rPr>
                <w:rFonts w:hint="eastAsia" w:eastAsiaTheme="minorEastAsia"/>
                <w:color w:val="auto"/>
                <w:lang w:val="en-US" w:eastAsia="zh-CN"/>
              </w:rPr>
            </w:pPr>
            <w:r>
              <w:rPr>
                <w:rFonts w:hint="eastAsia"/>
                <w:color w:val="auto"/>
                <w:lang w:eastAsia="zh-CN"/>
              </w:rPr>
              <w:t>无。</w:t>
            </w:r>
          </w:p>
          <w:p>
            <w:pPr>
              <w:ind w:firstLine="480"/>
              <w:rPr>
                <w:rFonts w:hint="eastAsia"/>
                <w:color w:val="auto"/>
                <w:lang w:val="en-US" w:eastAsia="zh-CN"/>
              </w:rPr>
            </w:pPr>
          </w:p>
          <w:p>
            <w:pPr>
              <w:ind w:firstLine="480"/>
              <w:rPr>
                <w:rFonts w:hint="eastAsia"/>
                <w:color w:val="auto"/>
                <w:lang w:val="en-US" w:eastAsia="zh-CN"/>
              </w:rPr>
            </w:pPr>
          </w:p>
          <w:p>
            <w:pPr>
              <w:ind w:firstLine="480"/>
              <w:rPr>
                <w:rFonts w:hint="eastAsia"/>
                <w:color w:val="auto"/>
                <w:lang w:val="en-US" w:eastAsia="zh-CN"/>
              </w:rPr>
            </w:pPr>
          </w:p>
          <w:p>
            <w:pPr>
              <w:ind w:firstLine="480"/>
              <w:rPr>
                <w:rFonts w:hint="eastAsia"/>
                <w:color w:val="auto"/>
                <w:lang w:val="en-US" w:eastAsia="zh-CN"/>
              </w:rPr>
            </w:pPr>
          </w:p>
          <w:p>
            <w:pPr>
              <w:ind w:firstLine="480"/>
              <w:rPr>
                <w:rFonts w:hint="eastAsia"/>
                <w:color w:val="auto"/>
                <w:lang w:val="en-US" w:eastAsia="zh-CN"/>
              </w:rPr>
            </w:pPr>
          </w:p>
          <w:p>
            <w:pPr>
              <w:ind w:firstLine="480"/>
              <w:rPr>
                <w:rFonts w:hint="eastAsia"/>
                <w:color w:val="auto"/>
                <w:lang w:val="en-US" w:eastAsia="zh-CN"/>
              </w:rPr>
            </w:pPr>
          </w:p>
          <w:p>
            <w:pPr>
              <w:ind w:firstLine="480"/>
              <w:rPr>
                <w:rFonts w:hint="eastAsia"/>
                <w:color w:val="auto"/>
                <w:lang w:val="en-US" w:eastAsia="zh-CN"/>
              </w:rPr>
            </w:pPr>
          </w:p>
          <w:p>
            <w:pPr>
              <w:ind w:firstLine="480"/>
              <w:rPr>
                <w:rFonts w:hint="eastAsia"/>
                <w:color w:val="auto"/>
                <w:lang w:val="en-US" w:eastAsia="zh-CN"/>
              </w:rPr>
            </w:pPr>
          </w:p>
          <w:p>
            <w:pPr>
              <w:ind w:firstLine="480"/>
              <w:rPr>
                <w:rFonts w:hint="eastAsia"/>
                <w:color w:val="auto"/>
                <w:lang w:val="en-US" w:eastAsia="zh-CN"/>
              </w:rPr>
            </w:pPr>
          </w:p>
          <w:p>
            <w:pPr>
              <w:ind w:firstLine="480"/>
              <w:rPr>
                <w:rFonts w:hint="eastAsia"/>
                <w:color w:val="auto"/>
                <w:lang w:val="en-US" w:eastAsia="zh-CN"/>
              </w:rPr>
            </w:pPr>
          </w:p>
          <w:p>
            <w:pPr>
              <w:ind w:firstLine="480"/>
              <w:rPr>
                <w:rFonts w:hint="eastAsia"/>
                <w:color w:val="auto"/>
                <w:lang w:val="en-US" w:eastAsia="zh-CN"/>
              </w:rPr>
            </w:pPr>
          </w:p>
          <w:p>
            <w:pPr>
              <w:ind w:left="0" w:leftChars="0" w:firstLine="0" w:firstLineChars="0"/>
              <w:rPr>
                <w:rFonts w:hint="eastAsia"/>
                <w:color w:val="auto"/>
                <w:lang w:val="en-US" w:eastAsia="zh-CN"/>
              </w:rPr>
            </w:pPr>
          </w:p>
        </w:tc>
      </w:tr>
    </w:tbl>
    <w:p>
      <w:pPr>
        <w:widowControl/>
        <w:ind w:firstLine="480"/>
        <w:jc w:val="left"/>
        <w:rPr>
          <w:rFonts w:cs="Times New Roman" w:asciiTheme="minorEastAsia" w:hAnsiTheme="minorEastAsia"/>
          <w:color w:val="auto"/>
          <w:szCs w:val="20"/>
        </w:rPr>
      </w:pPr>
      <w:r>
        <w:rPr>
          <w:rFonts w:cs="Times New Roman" w:asciiTheme="minorEastAsia" w:hAnsiTheme="minorEastAsia"/>
          <w:color w:val="auto"/>
          <w:szCs w:val="20"/>
        </w:rPr>
        <w:br w:type="page"/>
      </w:r>
    </w:p>
    <w:p>
      <w:pPr>
        <w:pStyle w:val="4"/>
        <w:rPr>
          <w:color w:val="auto"/>
        </w:rPr>
      </w:pPr>
      <w:bookmarkStart w:id="103" w:name="_Toc341946647"/>
      <w:bookmarkStart w:id="104" w:name="_Toc458883641"/>
      <w:bookmarkStart w:id="105" w:name="_Toc376855815"/>
      <w:bookmarkStart w:id="106" w:name="_Toc68101068"/>
      <w:bookmarkStart w:id="107" w:name="_Toc22527"/>
      <w:r>
        <w:rPr>
          <w:rFonts w:hint="eastAsia"/>
          <w:color w:val="auto"/>
        </w:rPr>
        <w:t>四、</w:t>
      </w:r>
      <w:bookmarkEnd w:id="103"/>
      <w:bookmarkEnd w:id="104"/>
      <w:bookmarkEnd w:id="105"/>
      <w:r>
        <w:rPr>
          <w:rFonts w:hint="eastAsia"/>
          <w:color w:val="auto"/>
        </w:rPr>
        <w:t>主要环境影响和保护措施</w:t>
      </w:r>
      <w:bookmarkEnd w:id="106"/>
      <w:bookmarkEnd w:id="107"/>
    </w:p>
    <w:tbl>
      <w:tblPr>
        <w:tblStyle w:val="37"/>
        <w:tblpPr w:leftFromText="180" w:rightFromText="180" w:vertAnchor="text" w:tblpXSpec="center" w:tblpY="1"/>
        <w:tblOverlap w:val="never"/>
        <w:tblW w:w="962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59"/>
        <w:gridCol w:w="86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37" w:hRule="atLeast"/>
        </w:trPr>
        <w:tc>
          <w:tcPr>
            <w:tcW w:w="959" w:type="dxa"/>
            <w:vAlign w:val="center"/>
          </w:tcPr>
          <w:p>
            <w:pPr>
              <w:ind w:firstLine="0" w:firstLineChars="0"/>
              <w:jc w:val="center"/>
              <w:rPr>
                <w:rFonts w:cs="Times New Roman" w:asciiTheme="minorEastAsia" w:hAnsiTheme="minorEastAsia"/>
                <w:b/>
                <w:bCs/>
                <w:color w:val="auto"/>
                <w:szCs w:val="20"/>
              </w:rPr>
            </w:pPr>
            <w:r>
              <w:rPr>
                <w:rFonts w:hint="eastAsia" w:cs="Times New Roman" w:asciiTheme="minorEastAsia" w:hAnsiTheme="minorEastAsia"/>
                <w:b/>
                <w:bCs/>
                <w:color w:val="auto"/>
                <w:szCs w:val="20"/>
              </w:rPr>
              <w:t>施工期环境保护措施</w:t>
            </w:r>
          </w:p>
        </w:tc>
        <w:tc>
          <w:tcPr>
            <w:tcW w:w="8669" w:type="dxa"/>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0"/>
              </w:rPr>
            </w:pPr>
            <w:r>
              <w:rPr>
                <w:rFonts w:hint="default" w:ascii="Times New Roman" w:hAnsi="Times New Roman" w:eastAsia="宋体" w:cs="Times New Roman"/>
                <w:b/>
                <w:bCs/>
                <w:color w:val="auto"/>
                <w:sz w:val="24"/>
                <w:szCs w:val="20"/>
              </w:rPr>
              <w:t>一</w:t>
            </w:r>
            <w:r>
              <w:rPr>
                <w:rFonts w:hint="default" w:ascii="Times New Roman" w:hAnsi="Times New Roman" w:eastAsia="宋体" w:cs="Times New Roman"/>
                <w:b/>
                <w:bCs/>
                <w:color w:val="auto"/>
                <w:sz w:val="24"/>
                <w:szCs w:val="20"/>
                <w:lang w:eastAsia="zh-CN"/>
              </w:rPr>
              <w:t>、</w:t>
            </w:r>
            <w:r>
              <w:rPr>
                <w:rFonts w:hint="default" w:ascii="Times New Roman" w:hAnsi="Times New Roman" w:eastAsia="宋体" w:cs="Times New Roman"/>
                <w:b/>
                <w:bCs/>
                <w:color w:val="auto"/>
                <w:sz w:val="24"/>
                <w:szCs w:val="20"/>
              </w:rPr>
              <w:t>施工期工艺流程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Dutch" w:hAnsi="Dutch" w:eastAsia="宋体" w:cs="Times New Roman"/>
                <w:color w:val="auto"/>
                <w:sz w:val="24"/>
                <w:szCs w:val="20"/>
              </w:rPr>
            </w:pPr>
            <w:r>
              <w:rPr>
                <w:rFonts w:hint="default" w:ascii="Times New Roman" w:hAnsi="Times New Roman" w:eastAsia="宋体" w:cs="Times New Roman"/>
                <w:color w:val="auto"/>
                <w:sz w:val="24"/>
                <w:szCs w:val="20"/>
              </w:rPr>
              <w:t>施工期产生的污染物主要为废气、废水、噪声及固体废弃物，从污染角度分析，项目施工期的工艺流程及产污情况详见下图：</w:t>
            </w:r>
          </w:p>
          <w:p>
            <w:pPr>
              <w:spacing w:line="360" w:lineRule="auto"/>
              <w:ind w:left="0" w:leftChars="0" w:right="0" w:rightChars="0"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288915" cy="3526155"/>
                  <wp:effectExtent l="0" t="0" r="12700" b="8255"/>
                  <wp:wrapTopAndBottom/>
                  <wp:docPr id="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16"/>
                          <pic:cNvPicPr>
                            <a:picLocks noChangeAspect="1"/>
                          </pic:cNvPicPr>
                        </pic:nvPicPr>
                        <pic:blipFill>
                          <a:blip r:embed="rId25"/>
                          <a:stretch>
                            <a:fillRect/>
                          </a:stretch>
                        </pic:blipFill>
                        <pic:spPr>
                          <a:xfrm>
                            <a:off x="0" y="0"/>
                            <a:ext cx="5288915" cy="3526155"/>
                          </a:xfrm>
                          <a:prstGeom prst="rect">
                            <a:avLst/>
                          </a:prstGeom>
                          <a:noFill/>
                          <a:ln>
                            <a:noFill/>
                          </a:ln>
                        </pic:spPr>
                      </pic:pic>
                    </a:graphicData>
                  </a:graphic>
                </wp:anchor>
              </w:drawing>
            </w:r>
            <w:r>
              <w:rPr>
                <w:rFonts w:hint="default" w:ascii="Times New Roman" w:hAnsi="Times New Roman" w:cs="Times New Roman"/>
                <w:b/>
                <w:bCs/>
                <w:color w:val="auto"/>
                <w:sz w:val="21"/>
                <w:szCs w:val="21"/>
                <w:lang w:eastAsia="zh-CN"/>
              </w:rPr>
              <w:t>图</w:t>
            </w:r>
            <w:r>
              <w:rPr>
                <w:rFonts w:hint="default" w:ascii="Times New Roman" w:hAnsi="Times New Roman" w:cs="Times New Roman"/>
                <w:b/>
                <w:bCs/>
                <w:color w:val="auto"/>
                <w:sz w:val="21"/>
                <w:szCs w:val="21"/>
                <w:lang w:val="en-US" w:eastAsia="zh-CN"/>
              </w:rPr>
              <w:t>4-1 施工期工艺流程及产污环节</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b/>
                <w:bCs/>
                <w:color w:val="auto"/>
                <w:sz w:val="24"/>
                <w:szCs w:val="20"/>
                <w:lang w:val="en-US" w:eastAsia="zh-CN"/>
              </w:rPr>
            </w:pPr>
            <w:r>
              <w:rPr>
                <w:rFonts w:hint="default" w:ascii="Times New Roman" w:hAnsi="Times New Roman" w:eastAsia="宋体" w:cs="Times New Roman"/>
                <w:b/>
                <w:bCs/>
                <w:color w:val="auto"/>
                <w:sz w:val="24"/>
                <w:szCs w:val="20"/>
                <w:lang w:val="en-US" w:eastAsia="zh-CN"/>
              </w:rPr>
              <w:t>施工期污染环节及污染物源强核算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bCs/>
                <w:color w:val="auto"/>
                <w:sz w:val="24"/>
                <w:szCs w:val="20"/>
                <w:lang w:val="en-US" w:eastAsia="zh-CN"/>
              </w:rPr>
            </w:pPr>
            <w:r>
              <w:rPr>
                <w:rFonts w:hint="eastAsia" w:ascii="Times New Roman" w:hAnsi="Times New Roman" w:eastAsia="宋体" w:cs="Times New Roman"/>
                <w:b/>
                <w:bCs/>
                <w:color w:val="auto"/>
                <w:sz w:val="24"/>
                <w:szCs w:val="20"/>
                <w:lang w:val="en-US" w:eastAsia="zh-CN"/>
              </w:rPr>
              <w:t>（一）“三场”设置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Times New Roman" w:hAnsi="Times New Roman" w:eastAsia="宋体" w:cs="Times New Roman"/>
                <w:b/>
                <w:bCs/>
                <w:color w:val="auto"/>
                <w:kern w:val="2"/>
                <w:sz w:val="24"/>
                <w:szCs w:val="20"/>
                <w:lang w:eastAsia="zh-CN"/>
              </w:rPr>
            </w:pPr>
            <w:r>
              <w:rPr>
                <w:rFonts w:hint="eastAsia" w:ascii="Times New Roman" w:hAnsi="Times New Roman" w:eastAsia="宋体" w:cs="Times New Roman"/>
                <w:b/>
                <w:bCs/>
                <w:color w:val="auto"/>
                <w:kern w:val="2"/>
                <w:sz w:val="24"/>
                <w:szCs w:val="20"/>
                <w:lang w:val="en-US" w:eastAsia="zh-CN"/>
              </w:rPr>
              <w:t>1、</w:t>
            </w:r>
            <w:r>
              <w:rPr>
                <w:rFonts w:hint="default" w:ascii="Times New Roman" w:hAnsi="Times New Roman" w:eastAsia="宋体" w:cs="Times New Roman"/>
                <w:b/>
                <w:bCs/>
                <w:color w:val="auto"/>
                <w:kern w:val="2"/>
                <w:sz w:val="24"/>
                <w:szCs w:val="20"/>
                <w:lang w:eastAsia="zh-CN"/>
              </w:rPr>
              <w:t>施工营地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kern w:val="2"/>
                <w:sz w:val="24"/>
                <w:szCs w:val="20"/>
              </w:rPr>
            </w:pPr>
            <w:r>
              <w:rPr>
                <w:rFonts w:hint="default" w:ascii="Times New Roman" w:hAnsi="Times New Roman" w:eastAsia="宋体" w:cs="Times New Roman"/>
                <w:color w:val="auto"/>
                <w:kern w:val="2"/>
                <w:sz w:val="24"/>
                <w:szCs w:val="20"/>
              </w:rPr>
              <w:t>项目所在地交通方便，便于前期</w:t>
            </w:r>
            <w:r>
              <w:rPr>
                <w:rFonts w:hint="default" w:ascii="Times New Roman" w:hAnsi="Times New Roman" w:eastAsia="宋体" w:cs="Times New Roman"/>
                <w:color w:val="auto"/>
                <w:kern w:val="2"/>
                <w:sz w:val="24"/>
                <w:szCs w:val="20"/>
                <w:lang w:eastAsia="zh-CN"/>
              </w:rPr>
              <w:t>“</w:t>
            </w:r>
            <w:r>
              <w:rPr>
                <w:rFonts w:hint="default" w:ascii="Times New Roman" w:hAnsi="Times New Roman" w:eastAsia="宋体" w:cs="Times New Roman"/>
                <w:color w:val="auto"/>
                <w:kern w:val="2"/>
                <w:sz w:val="24"/>
                <w:szCs w:val="20"/>
              </w:rPr>
              <w:t>三通一平</w:t>
            </w:r>
            <w:r>
              <w:rPr>
                <w:rFonts w:hint="default" w:ascii="Times New Roman" w:hAnsi="Times New Roman" w:eastAsia="宋体" w:cs="Times New Roman"/>
                <w:color w:val="auto"/>
                <w:kern w:val="2"/>
                <w:sz w:val="24"/>
                <w:szCs w:val="20"/>
                <w:lang w:eastAsia="zh-CN"/>
              </w:rPr>
              <w:t>”</w:t>
            </w:r>
            <w:r>
              <w:rPr>
                <w:rFonts w:hint="default" w:ascii="Times New Roman" w:hAnsi="Times New Roman" w:eastAsia="宋体" w:cs="Times New Roman"/>
                <w:color w:val="auto"/>
                <w:kern w:val="2"/>
                <w:sz w:val="24"/>
                <w:szCs w:val="20"/>
              </w:rPr>
              <w:t>工作的开展。施工场地内在场地一侧设置临时的施工办公用房，采用简易</w:t>
            </w:r>
            <w:r>
              <w:rPr>
                <w:rFonts w:hint="default" w:ascii="Times New Roman" w:hAnsi="Times New Roman" w:eastAsia="宋体" w:cs="Times New Roman"/>
                <w:color w:val="auto"/>
                <w:kern w:val="2"/>
                <w:sz w:val="24"/>
                <w:szCs w:val="20"/>
                <w:lang w:eastAsia="zh-CN"/>
              </w:rPr>
              <w:t>板房</w:t>
            </w:r>
            <w:r>
              <w:rPr>
                <w:rFonts w:hint="default" w:ascii="Times New Roman" w:hAnsi="Times New Roman" w:eastAsia="宋体" w:cs="Times New Roman"/>
                <w:color w:val="auto"/>
                <w:kern w:val="2"/>
                <w:sz w:val="24"/>
                <w:szCs w:val="20"/>
              </w:rPr>
              <w:t>，不设置临时施工建筑，工程完工后进行拆除。施工人员均为当地人</w:t>
            </w:r>
            <w:r>
              <w:rPr>
                <w:rFonts w:hint="default" w:ascii="Times New Roman" w:hAnsi="Times New Roman" w:eastAsia="宋体" w:cs="Times New Roman"/>
                <w:color w:val="auto"/>
                <w:kern w:val="2"/>
                <w:sz w:val="24"/>
                <w:szCs w:val="20"/>
                <w:lang w:eastAsia="zh-CN"/>
              </w:rPr>
              <w:t>，</w:t>
            </w:r>
            <w:r>
              <w:rPr>
                <w:rFonts w:hint="default" w:ascii="Times New Roman" w:hAnsi="Times New Roman" w:eastAsia="宋体" w:cs="Times New Roman"/>
                <w:color w:val="auto"/>
                <w:kern w:val="2"/>
                <w:sz w:val="24"/>
                <w:szCs w:val="20"/>
              </w:rPr>
              <w:t>故施工人员不在厂内食宿。施工机械开工后进驻场地，按工程进度安排不同的机械入场，布置位置不固定。本项目场地及营地布设情况符合工程实际，严格按照环保要求做到文明施工，减少对周围环境的不利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default" w:ascii="Times New Roman" w:hAnsi="Times New Roman" w:eastAsia="宋体" w:cs="Times New Roman"/>
                <w:b/>
                <w:bCs/>
                <w:color w:val="auto"/>
                <w:kern w:val="2"/>
                <w:sz w:val="24"/>
                <w:lang w:val="en-US" w:eastAsia="zh-CN" w:bidi="ar-SA"/>
              </w:rPr>
            </w:pPr>
            <w:r>
              <w:rPr>
                <w:rFonts w:hint="eastAsia" w:ascii="Times New Roman" w:hAnsi="Times New Roman" w:eastAsia="宋体" w:cs="Times New Roman"/>
                <w:b/>
                <w:bCs/>
                <w:color w:val="auto"/>
                <w:kern w:val="2"/>
                <w:sz w:val="24"/>
                <w:lang w:val="en-US" w:eastAsia="zh-CN" w:bidi="ar-SA"/>
              </w:rPr>
              <w:t>2、</w:t>
            </w:r>
            <w:r>
              <w:rPr>
                <w:rFonts w:hint="default" w:ascii="Times New Roman" w:hAnsi="Times New Roman" w:eastAsia="宋体" w:cs="Times New Roman"/>
                <w:b/>
                <w:bCs/>
                <w:color w:val="auto"/>
                <w:kern w:val="2"/>
                <w:sz w:val="24"/>
                <w:lang w:val="en-US" w:eastAsia="zh-CN" w:bidi="ar-SA"/>
              </w:rPr>
              <w:t>取料场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kern w:val="2"/>
                <w:sz w:val="24"/>
                <w:lang w:val="en-US" w:eastAsia="zh-CN" w:bidi="ar-SA"/>
              </w:rPr>
            </w:pPr>
            <w:r>
              <w:rPr>
                <w:rFonts w:hint="default" w:ascii="Times New Roman" w:hAnsi="Times New Roman" w:eastAsia="宋体" w:cs="Times New Roman"/>
                <w:color w:val="auto"/>
                <w:kern w:val="2"/>
                <w:sz w:val="24"/>
                <w:lang w:val="en-US" w:eastAsia="zh-CN" w:bidi="ar-SA"/>
              </w:rPr>
              <w:t>本项目施工使用商品混凝土，不在场地内设混凝土拌合场所。项目所需的建筑材料来源于项目周边地区，项目建设用钢材、水泥、沙、石材料等从周边具有合法开采手续的企业购买。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default" w:ascii="Times New Roman" w:hAnsi="Times New Roman" w:eastAsia="宋体" w:cs="Times New Roman"/>
                <w:b/>
                <w:bCs/>
                <w:color w:val="auto"/>
                <w:kern w:val="2"/>
                <w:sz w:val="24"/>
                <w:lang w:val="en-US" w:eastAsia="zh-CN" w:bidi="ar-SA"/>
              </w:rPr>
            </w:pPr>
            <w:r>
              <w:rPr>
                <w:rFonts w:hint="eastAsia" w:ascii="Times New Roman" w:hAnsi="Times New Roman" w:eastAsia="宋体" w:cs="Times New Roman"/>
                <w:b/>
                <w:bCs/>
                <w:color w:val="auto"/>
                <w:kern w:val="2"/>
                <w:sz w:val="24"/>
                <w:lang w:val="en-US" w:eastAsia="zh-CN" w:bidi="ar-SA"/>
              </w:rPr>
              <w:t>3、</w:t>
            </w:r>
            <w:r>
              <w:rPr>
                <w:rFonts w:hint="default" w:ascii="Times New Roman" w:hAnsi="Times New Roman" w:eastAsia="宋体" w:cs="Times New Roman"/>
                <w:b/>
                <w:bCs/>
                <w:color w:val="auto"/>
                <w:kern w:val="2"/>
                <w:sz w:val="24"/>
                <w:lang w:val="en-US" w:eastAsia="zh-CN" w:bidi="ar-SA"/>
              </w:rPr>
              <w:t>取土场和弃渣场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kern w:val="2"/>
                <w:sz w:val="24"/>
                <w:lang w:val="en-US" w:eastAsia="zh-CN" w:bidi="ar-SA"/>
              </w:rPr>
              <w:t>本项目不设取土场、采石场；另外，工程挖填平衡，项目不设置弃渣场。</w:t>
            </w:r>
            <w:r>
              <w:rPr>
                <w:rFonts w:hint="default" w:ascii="Times New Roman" w:hAnsi="Times New Roman" w:eastAsia="宋体" w:cs="Times New Roman"/>
                <w:color w:val="auto"/>
                <w:kern w:val="2"/>
                <w:sz w:val="24"/>
                <w:szCs w:val="20"/>
              </w:rPr>
              <w:t>工程施工方式与其他同类工程建筑施工方式相同，按国家相关规范执行，符合工程实际和有关要求。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项目施工期为20</w:t>
            </w:r>
            <w:r>
              <w:rPr>
                <w:rFonts w:hint="eastAsia" w:ascii="Times New Roman" w:hAnsi="Times New Roman" w:eastAsia="宋体" w:cs="Times New Roman"/>
                <w:color w:val="auto"/>
                <w:sz w:val="24"/>
                <w:szCs w:val="20"/>
                <w:lang w:val="en-US" w:eastAsia="zh-CN"/>
              </w:rPr>
              <w:t>22</w:t>
            </w:r>
            <w:r>
              <w:rPr>
                <w:rFonts w:hint="default" w:ascii="Times New Roman" w:hAnsi="Times New Roman" w:eastAsia="宋体" w:cs="Times New Roman"/>
                <w:color w:val="auto"/>
                <w:sz w:val="24"/>
                <w:szCs w:val="20"/>
              </w:rPr>
              <w:t>年</w:t>
            </w:r>
            <w:r>
              <w:rPr>
                <w:rFonts w:hint="eastAsia" w:ascii="Times New Roman" w:hAnsi="Times New Roman" w:eastAsia="宋体" w:cs="Times New Roman"/>
                <w:color w:val="auto"/>
                <w:sz w:val="24"/>
                <w:szCs w:val="20"/>
                <w:lang w:val="en-US" w:eastAsia="zh-CN"/>
              </w:rPr>
              <w:t>3</w:t>
            </w:r>
            <w:r>
              <w:rPr>
                <w:rFonts w:hint="default" w:ascii="Times New Roman" w:hAnsi="Times New Roman" w:eastAsia="宋体" w:cs="Times New Roman"/>
                <w:color w:val="auto"/>
                <w:sz w:val="24"/>
                <w:szCs w:val="20"/>
              </w:rPr>
              <w:t>月~20</w:t>
            </w:r>
            <w:r>
              <w:rPr>
                <w:rFonts w:hint="eastAsia" w:ascii="Times New Roman" w:hAnsi="Times New Roman" w:eastAsia="宋体" w:cs="Times New Roman"/>
                <w:color w:val="auto"/>
                <w:sz w:val="24"/>
                <w:szCs w:val="20"/>
                <w:lang w:val="en-US" w:eastAsia="zh-CN"/>
              </w:rPr>
              <w:t>24</w:t>
            </w:r>
            <w:r>
              <w:rPr>
                <w:rFonts w:hint="default" w:ascii="Times New Roman" w:hAnsi="Times New Roman" w:eastAsia="宋体" w:cs="Times New Roman"/>
                <w:color w:val="auto"/>
                <w:sz w:val="24"/>
                <w:szCs w:val="20"/>
              </w:rPr>
              <w:t>年12月，施工工期共</w:t>
            </w:r>
            <w:r>
              <w:rPr>
                <w:rFonts w:hint="eastAsia" w:ascii="Times New Roman" w:hAnsi="Times New Roman" w:eastAsia="宋体" w:cs="Times New Roman"/>
                <w:color w:val="auto"/>
                <w:sz w:val="24"/>
                <w:szCs w:val="20"/>
                <w:lang w:val="en-US" w:eastAsia="zh-CN"/>
              </w:rPr>
              <w:t>30</w:t>
            </w:r>
            <w:r>
              <w:rPr>
                <w:rFonts w:hint="default" w:ascii="Times New Roman" w:hAnsi="Times New Roman" w:eastAsia="宋体" w:cs="Times New Roman"/>
                <w:color w:val="auto"/>
                <w:sz w:val="24"/>
                <w:szCs w:val="20"/>
              </w:rPr>
              <w:t>个月。施工人员50人，均不在厂内食宿。故施工期项目产生的污染物质主要有施工扬尘、运输车辆废气、施工废水、施工噪声、挖填方弃土和建筑垃圾，具体产生情况分析如下。</w:t>
            </w:r>
          </w:p>
          <w:p>
            <w:pPr>
              <w:spacing w:line="360" w:lineRule="auto"/>
              <w:ind w:firstLine="352" w:firstLineChars="147"/>
              <w:rPr>
                <w:rFonts w:hint="eastAsia" w:ascii="Dutch" w:hAnsi="Dutch" w:eastAsia="宋体" w:cs="Times New Roman"/>
                <w:b/>
                <w:color w:val="auto"/>
                <w:sz w:val="24"/>
                <w:szCs w:val="20"/>
                <w:lang w:val="en-US" w:eastAsia="zh-CN"/>
              </w:rPr>
            </w:pPr>
            <w:r>
              <w:rPr>
                <w:rFonts w:hint="eastAsia" w:ascii="Dutch" w:hAnsi="Dutch" w:eastAsia="宋体" w:cs="Times New Roman"/>
                <w:b/>
                <w:color w:val="auto"/>
                <w:sz w:val="24"/>
                <w:szCs w:val="20"/>
                <w:lang w:val="en-US" w:eastAsia="zh-CN"/>
              </w:rPr>
              <w:t>（二）污染物环境影响分析及防治措施</w:t>
            </w:r>
          </w:p>
          <w:p>
            <w:pPr>
              <w:spacing w:line="360" w:lineRule="auto"/>
              <w:ind w:firstLine="352" w:firstLineChars="147"/>
              <w:rPr>
                <w:rFonts w:ascii="Dutch" w:hAnsi="Dutch" w:eastAsia="宋体" w:cs="Times New Roman"/>
                <w:b/>
                <w:color w:val="auto"/>
                <w:sz w:val="24"/>
                <w:szCs w:val="20"/>
              </w:rPr>
            </w:pPr>
            <w:r>
              <w:rPr>
                <w:rFonts w:hint="eastAsia" w:ascii="Dutch" w:hAnsi="Dutch" w:eastAsia="宋体" w:cs="Times New Roman"/>
                <w:b/>
                <w:color w:val="auto"/>
                <w:sz w:val="24"/>
                <w:szCs w:val="20"/>
                <w:lang w:val="en-US" w:eastAsia="zh-CN"/>
              </w:rPr>
              <w:t>1</w:t>
            </w:r>
            <w:r>
              <w:rPr>
                <w:rFonts w:hint="eastAsia" w:ascii="Dutch" w:hAnsi="Dutch" w:eastAsia="宋体" w:cs="Times New Roman"/>
                <w:b/>
                <w:color w:val="auto"/>
                <w:sz w:val="24"/>
                <w:szCs w:val="20"/>
              </w:rPr>
              <w:t>、</w:t>
            </w:r>
            <w:r>
              <w:rPr>
                <w:rFonts w:ascii="Dutch" w:hAnsi="Dutch" w:eastAsia="宋体" w:cs="Times New Roman"/>
                <w:b/>
                <w:color w:val="auto"/>
                <w:sz w:val="24"/>
                <w:szCs w:val="20"/>
              </w:rPr>
              <w:t>废气</w:t>
            </w:r>
          </w:p>
          <w:p>
            <w:pPr>
              <w:spacing w:line="360" w:lineRule="auto"/>
              <w:ind w:firstLine="360" w:firstLineChars="150"/>
              <w:rPr>
                <w:rFonts w:ascii="Dutch" w:hAnsi="Dutch" w:eastAsia="宋体" w:cs="Times New Roman"/>
                <w:color w:val="auto"/>
                <w:sz w:val="24"/>
                <w:szCs w:val="20"/>
              </w:rPr>
            </w:pPr>
            <w:r>
              <w:rPr>
                <w:rFonts w:ascii="Dutch" w:hAnsi="Dutch" w:eastAsia="宋体" w:cs="Times New Roman"/>
                <w:color w:val="auto"/>
                <w:sz w:val="24"/>
                <w:szCs w:val="20"/>
              </w:rPr>
              <w:t>项目装饰工程主要为简单装修，无油漆粉刷</w:t>
            </w:r>
            <w:r>
              <w:rPr>
                <w:rFonts w:hint="eastAsia" w:ascii="Dutch" w:hAnsi="Dutch" w:eastAsia="宋体" w:cs="Times New Roman"/>
                <w:color w:val="auto"/>
                <w:sz w:val="24"/>
                <w:szCs w:val="20"/>
              </w:rPr>
              <w:t>。</w:t>
            </w:r>
            <w:r>
              <w:rPr>
                <w:rFonts w:ascii="Dutch" w:hAnsi="Dutch" w:eastAsia="宋体" w:cs="Times New Roman"/>
                <w:color w:val="auto"/>
                <w:sz w:val="24"/>
                <w:szCs w:val="20"/>
              </w:rPr>
              <w:t>施工期污染源主要来自两个方面，一是</w:t>
            </w:r>
            <w:r>
              <w:rPr>
                <w:rFonts w:ascii="Dutch" w:hAnsi="Dutch" w:eastAsia="宋体" w:cs="Times New Roman"/>
                <w:bCs/>
                <w:color w:val="auto"/>
                <w:kern w:val="0"/>
                <w:sz w:val="24"/>
                <w:szCs w:val="20"/>
              </w:rPr>
              <w:t>施工期土方开挖、地表裸露、车辆运输中产生的地表扬尘，二是</w:t>
            </w:r>
            <w:r>
              <w:rPr>
                <w:rFonts w:ascii="Dutch" w:hAnsi="Dutch" w:eastAsia="宋体" w:cs="Times New Roman"/>
                <w:color w:val="auto"/>
                <w:sz w:val="24"/>
                <w:szCs w:val="20"/>
              </w:rPr>
              <w:t>施工机械产生的废气及汽车尾气。</w:t>
            </w:r>
          </w:p>
          <w:p>
            <w:pPr>
              <w:spacing w:line="360" w:lineRule="auto"/>
              <w:ind w:firstLine="480" w:firstLineChars="200"/>
              <w:rPr>
                <w:rFonts w:ascii="Dutch" w:hAnsi="Dutch" w:eastAsia="宋体" w:cs="Times New Roman"/>
                <w:b/>
                <w:bCs/>
                <w:color w:val="auto"/>
                <w:kern w:val="0"/>
                <w:sz w:val="24"/>
                <w:szCs w:val="20"/>
              </w:rPr>
            </w:pPr>
            <w:r>
              <w:rPr>
                <w:rFonts w:ascii="Dutch" w:hAnsi="Dutch" w:eastAsia="宋体" w:cs="Times New Roman"/>
                <w:b/>
                <w:bCs/>
                <w:color w:val="auto"/>
                <w:kern w:val="0"/>
                <w:sz w:val="24"/>
                <w:szCs w:val="20"/>
              </w:rPr>
              <w:t>（1）扬尘</w:t>
            </w:r>
            <w:r>
              <w:rPr>
                <w:rFonts w:hint="eastAsia" w:ascii="Dutch" w:hAnsi="Dutch" w:eastAsia="宋体" w:cs="Times New Roman"/>
                <w:b/>
                <w:bCs/>
                <w:color w:val="auto"/>
                <w:kern w:val="0"/>
                <w:sz w:val="24"/>
                <w:szCs w:val="20"/>
              </w:rPr>
              <w:t>源强及环境影响分析</w:t>
            </w:r>
          </w:p>
          <w:p>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rFonts w:ascii="Dutch" w:hAnsi="Dutch" w:eastAsia="宋体" w:cs="Times New Roman"/>
                <w:color w:val="auto"/>
                <w:sz w:val="24"/>
                <w:szCs w:val="20"/>
              </w:rPr>
            </w:pPr>
            <w:r>
              <w:rPr>
                <w:rFonts w:ascii="Dutch" w:hAnsi="Dutch" w:eastAsia="宋体" w:cs="Times New Roman"/>
                <w:color w:val="auto"/>
                <w:sz w:val="24"/>
                <w:szCs w:val="20"/>
              </w:rPr>
              <w:fldChar w:fldCharType="begin"/>
            </w:r>
            <w:r>
              <w:rPr>
                <w:rFonts w:ascii="Dutch" w:hAnsi="Dutch" w:eastAsia="宋体" w:cs="Times New Roman"/>
                <w:color w:val="auto"/>
                <w:sz w:val="24"/>
                <w:szCs w:val="20"/>
              </w:rPr>
              <w:instrText xml:space="preserve"> = 1 \* GB3 </w:instrText>
            </w:r>
            <w:r>
              <w:rPr>
                <w:rFonts w:ascii="Dutch" w:hAnsi="Dutch" w:eastAsia="宋体" w:cs="Times New Roman"/>
                <w:color w:val="auto"/>
                <w:sz w:val="24"/>
                <w:szCs w:val="20"/>
              </w:rPr>
              <w:fldChar w:fldCharType="separate"/>
            </w:r>
            <w:r>
              <w:rPr>
                <w:rFonts w:hint="eastAsia" w:ascii="宋体" w:hAnsi="宋体" w:eastAsia="宋体" w:cs="宋体"/>
                <w:color w:val="auto"/>
                <w:sz w:val="24"/>
                <w:szCs w:val="20"/>
              </w:rPr>
              <w:t>①</w:t>
            </w:r>
            <w:r>
              <w:rPr>
                <w:rFonts w:ascii="Dutch" w:hAnsi="Dutch" w:eastAsia="宋体" w:cs="Times New Roman"/>
                <w:color w:val="auto"/>
                <w:sz w:val="24"/>
                <w:szCs w:val="20"/>
              </w:rPr>
              <w:fldChar w:fldCharType="end"/>
            </w:r>
            <w:r>
              <w:rPr>
                <w:rFonts w:ascii="Dutch" w:hAnsi="Dutch" w:eastAsia="宋体" w:cs="Times New Roman"/>
                <w:color w:val="auto"/>
                <w:sz w:val="24"/>
                <w:szCs w:val="20"/>
              </w:rPr>
              <w:t>土石方开挖、露天堆场和裸露场地的风力扬尘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Dutch" w:hAnsi="Dutch" w:eastAsia="宋体"/>
                <w:color w:val="auto"/>
                <w:sz w:val="24"/>
              </w:rPr>
            </w:pPr>
            <w:r>
              <w:rPr>
                <w:rFonts w:ascii="Dutch" w:hAnsi="Dutch"/>
                <w:color w:val="auto"/>
                <w:kern w:val="52"/>
                <w:sz w:val="24"/>
                <w:szCs w:val="24"/>
                <w:lang w:val="en-GB"/>
              </w:rPr>
              <w:t>根据云南省环境监测中心站对建筑施工现场的扬尘污染监测，在距施工现场边界50m处，TSP浓度最大达到4.53mg/m</w:t>
            </w:r>
            <w:r>
              <w:rPr>
                <w:rFonts w:ascii="Dutch" w:hAnsi="Dutch"/>
                <w:color w:val="auto"/>
                <w:kern w:val="52"/>
                <w:sz w:val="24"/>
                <w:szCs w:val="24"/>
                <w:vertAlign w:val="superscript"/>
                <w:lang w:val="en-GB"/>
              </w:rPr>
              <w:t>3</w:t>
            </w:r>
            <w:r>
              <w:rPr>
                <w:rFonts w:ascii="Dutch" w:hAnsi="Dutch"/>
                <w:color w:val="auto"/>
                <w:kern w:val="52"/>
                <w:sz w:val="24"/>
                <w:szCs w:val="24"/>
                <w:lang w:val="en-GB"/>
              </w:rPr>
              <w:t>，至150m处仍可达到1.51mg/m</w:t>
            </w:r>
            <w:r>
              <w:rPr>
                <w:rFonts w:ascii="Dutch" w:hAnsi="Dutch"/>
                <w:color w:val="auto"/>
                <w:kern w:val="52"/>
                <w:sz w:val="24"/>
                <w:szCs w:val="24"/>
                <w:vertAlign w:val="superscript"/>
                <w:lang w:val="en-GB"/>
              </w:rPr>
              <w:t>3</w:t>
            </w:r>
            <w:r>
              <w:rPr>
                <w:rFonts w:ascii="Dutch" w:hAnsi="Dutch"/>
                <w:color w:val="auto"/>
                <w:kern w:val="52"/>
                <w:sz w:val="24"/>
                <w:szCs w:val="24"/>
                <w:lang w:val="en-GB"/>
              </w:rPr>
              <w:t>，只有在200m处才低于1.0mg/m</w:t>
            </w:r>
            <w:r>
              <w:rPr>
                <w:rFonts w:ascii="Dutch" w:hAnsi="Dutch"/>
                <w:color w:val="auto"/>
                <w:kern w:val="52"/>
                <w:sz w:val="24"/>
                <w:szCs w:val="24"/>
                <w:vertAlign w:val="superscript"/>
                <w:lang w:val="en-GB"/>
              </w:rPr>
              <w:t>3</w:t>
            </w:r>
            <w:r>
              <w:rPr>
                <w:rFonts w:ascii="Dutch" w:hAnsi="Dutch"/>
                <w:color w:val="auto"/>
                <w:kern w:val="52"/>
                <w:sz w:val="24"/>
                <w:szCs w:val="24"/>
                <w:lang w:val="en-GB"/>
              </w:rPr>
              <w:t>。经以上分析，施工期无组织排放的扬尘污染的范</w:t>
            </w:r>
            <w:r>
              <w:rPr>
                <w:rFonts w:hint="eastAsia" w:ascii="Dutch" w:hAnsi="Dutch"/>
                <w:color w:val="auto"/>
                <w:kern w:val="52"/>
                <w:sz w:val="24"/>
                <w:szCs w:val="24"/>
                <w:lang w:val="en-GB"/>
              </w:rPr>
              <w:t>围主要集中在2</w:t>
            </w:r>
            <w:r>
              <w:rPr>
                <w:rFonts w:ascii="Dutch" w:hAnsi="Dutch"/>
                <w:color w:val="auto"/>
                <w:kern w:val="52"/>
                <w:sz w:val="24"/>
                <w:szCs w:val="24"/>
                <w:lang w:val="en-GB"/>
              </w:rPr>
              <w:t>00m</w:t>
            </w:r>
            <w:r>
              <w:rPr>
                <w:rFonts w:hint="eastAsia" w:ascii="Dutch" w:hAnsi="Dutch"/>
                <w:color w:val="auto"/>
                <w:kern w:val="52"/>
                <w:sz w:val="24"/>
                <w:szCs w:val="24"/>
                <w:lang w:val="en-GB"/>
              </w:rPr>
              <w:t>以内。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Dutch" w:hAnsi="Dutch" w:eastAsia="宋体"/>
                <w:color w:val="auto"/>
                <w:sz w:val="24"/>
              </w:rPr>
            </w:pPr>
            <w:r>
              <w:rPr>
                <w:rFonts w:hint="eastAsia" w:ascii="Dutch" w:hAnsi="Dutch" w:eastAsia="宋体"/>
                <w:color w:val="auto"/>
                <w:sz w:val="24"/>
              </w:rPr>
              <w:t>②车辆行驶的动力起尘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Dutch" w:hAnsi="Dutch" w:eastAsia="宋体"/>
                <w:color w:val="auto"/>
                <w:sz w:val="24"/>
              </w:rPr>
            </w:pPr>
            <w:r>
              <w:rPr>
                <w:rFonts w:hint="eastAsia" w:ascii="Dutch" w:hAnsi="Dutch" w:eastAsia="宋体"/>
                <w:color w:val="auto"/>
                <w:sz w:val="24"/>
              </w:rPr>
              <w:t>根据资料，车辆行驶产生的扬尘占总扬尘的60％以上。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Dutch" w:hAnsi="Dutch" w:eastAsia="宋体"/>
                <w:color w:val="auto"/>
                <w:sz w:val="24"/>
              </w:rPr>
            </w:pPr>
            <w:r>
              <w:rPr>
                <w:rFonts w:hint="eastAsia" w:ascii="Dutch" w:hAnsi="Dutch" w:eastAsia="宋体"/>
                <w:color w:val="auto"/>
                <w:sz w:val="24"/>
              </w:rPr>
              <w:t>在完全干燥情况下，可按下列经验公式计算：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ascii="Dutch" w:hAnsi="Dutch"/>
                <w:color w:val="auto"/>
                <w:kern w:val="28"/>
                <w:position w:val="-28"/>
                <w:sz w:val="24"/>
              </w:rPr>
            </w:pPr>
            <w:r>
              <w:rPr>
                <w:rFonts w:ascii="Dutch" w:hAnsi="Dutch"/>
                <w:color w:val="auto"/>
                <w:kern w:val="28"/>
                <w:position w:val="-28"/>
                <w:sz w:val="24"/>
              </w:rPr>
              <w:drawing>
                <wp:inline distT="0" distB="0" distL="114300" distR="114300">
                  <wp:extent cx="1955800" cy="474345"/>
                  <wp:effectExtent l="0" t="0" r="0" b="825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6"/>
                          <a:stretch>
                            <a:fillRect/>
                          </a:stretch>
                        </pic:blipFill>
                        <pic:spPr>
                          <a:xfrm>
                            <a:off x="0" y="0"/>
                            <a:ext cx="1955800" cy="474345"/>
                          </a:xfrm>
                          <a:prstGeom prst="rect">
                            <a:avLst/>
                          </a:prstGeom>
                          <a:noFill/>
                          <a:ln>
                            <a:noFill/>
                          </a:ln>
                        </pic:spPr>
                      </pic:pic>
                    </a:graphicData>
                  </a:graphic>
                </wp:inline>
              </w:drawing>
            </w:r>
          </w:p>
          <w:p>
            <w:pPr>
              <w:spacing w:line="440" w:lineRule="exact"/>
              <w:ind w:firstLine="493" w:firstLineChars="0"/>
              <w:rPr>
                <w:rFonts w:ascii="Dutch" w:hAnsi="Dutch" w:eastAsia="宋体" w:cs="Times New Roman"/>
                <w:color w:val="auto"/>
                <w:kern w:val="28"/>
                <w:sz w:val="24"/>
                <w:szCs w:val="20"/>
              </w:rPr>
            </w:pPr>
            <w:r>
              <w:rPr>
                <w:rFonts w:ascii="Dutch" w:hAnsi="Dutch" w:eastAsia="宋体" w:cs="Times New Roman"/>
                <w:color w:val="auto"/>
                <w:kern w:val="28"/>
                <w:sz w:val="24"/>
                <w:szCs w:val="20"/>
              </w:rPr>
              <w:t>式中：Q——汽车行驶的扬尘，kg/km·辆；</w:t>
            </w:r>
          </w:p>
          <w:p>
            <w:pPr>
              <w:spacing w:line="440" w:lineRule="exact"/>
              <w:ind w:firstLine="493" w:firstLineChars="0"/>
              <w:rPr>
                <w:rFonts w:ascii="Dutch" w:hAnsi="Dutch" w:eastAsia="宋体" w:cs="Times New Roman"/>
                <w:color w:val="auto"/>
                <w:kern w:val="28"/>
                <w:sz w:val="24"/>
                <w:szCs w:val="20"/>
              </w:rPr>
            </w:pPr>
            <w:r>
              <w:rPr>
                <w:rFonts w:ascii="Dutch" w:hAnsi="Dutch" w:eastAsia="宋体" w:cs="Times New Roman"/>
                <w:color w:val="auto"/>
                <w:kern w:val="28"/>
                <w:sz w:val="24"/>
                <w:szCs w:val="20"/>
              </w:rPr>
              <w:t xml:space="preserve">      V——汽车速度，km/h；</w:t>
            </w:r>
          </w:p>
          <w:p>
            <w:pPr>
              <w:spacing w:line="440" w:lineRule="exact"/>
              <w:ind w:firstLine="493" w:firstLineChars="0"/>
              <w:rPr>
                <w:rFonts w:ascii="Dutch" w:hAnsi="Dutch" w:eastAsia="宋体" w:cs="Times New Roman"/>
                <w:color w:val="auto"/>
                <w:kern w:val="28"/>
                <w:sz w:val="24"/>
                <w:szCs w:val="20"/>
              </w:rPr>
            </w:pPr>
            <w:r>
              <w:rPr>
                <w:rFonts w:ascii="Dutch" w:hAnsi="Dutch" w:eastAsia="宋体" w:cs="Times New Roman"/>
                <w:color w:val="auto"/>
                <w:kern w:val="28"/>
                <w:sz w:val="24"/>
                <w:szCs w:val="20"/>
              </w:rPr>
              <w:t xml:space="preserve">      W——汽车载重量，t；</w:t>
            </w:r>
          </w:p>
          <w:p>
            <w:pPr>
              <w:spacing w:line="440" w:lineRule="exact"/>
              <w:ind w:firstLine="493" w:firstLineChars="0"/>
              <w:rPr>
                <w:rFonts w:ascii="Dutch" w:hAnsi="Dutch" w:eastAsia="宋体" w:cs="Times New Roman"/>
                <w:color w:val="auto"/>
                <w:kern w:val="28"/>
                <w:sz w:val="24"/>
                <w:szCs w:val="20"/>
              </w:rPr>
            </w:pPr>
            <w:r>
              <w:rPr>
                <w:rFonts w:ascii="Dutch" w:hAnsi="Dutch" w:eastAsia="宋体" w:cs="Times New Roman"/>
                <w:color w:val="auto"/>
                <w:kern w:val="28"/>
                <w:sz w:val="24"/>
                <w:szCs w:val="20"/>
              </w:rPr>
              <w:t xml:space="preserve">      P——道路表面粉尘量，kg/m</w:t>
            </w:r>
            <w:r>
              <w:rPr>
                <w:rFonts w:ascii="Dutch" w:hAnsi="Dutch" w:eastAsia="宋体" w:cs="Times New Roman"/>
                <w:color w:val="auto"/>
                <w:kern w:val="28"/>
                <w:sz w:val="24"/>
                <w:szCs w:val="20"/>
                <w:vertAlign w:val="superscript"/>
              </w:rPr>
              <w:t>2</w:t>
            </w:r>
            <w:r>
              <w:rPr>
                <w:rFonts w:ascii="Dutch" w:hAnsi="Dutch" w:eastAsia="宋体" w:cs="Times New Roman"/>
                <w:color w:val="auto"/>
                <w:kern w:val="28"/>
                <w:sz w:val="24"/>
                <w:szCs w:val="20"/>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eastAsia="宋体" w:cs="Times New Roman"/>
                <w:color w:val="auto"/>
                <w:kern w:val="2"/>
                <w:sz w:val="24"/>
                <w:szCs w:val="20"/>
              </w:rPr>
            </w:pPr>
            <w:r>
              <w:rPr>
                <w:rFonts w:hint="default" w:ascii="Times New Roman" w:hAnsi="Times New Roman" w:eastAsia="宋体" w:cs="Times New Roman"/>
                <w:color w:val="auto"/>
                <w:kern w:val="2"/>
                <w:sz w:val="24"/>
                <w:szCs w:val="20"/>
              </w:rPr>
              <w:t>运输材料、土石方车辆在施工区内行驶距离按400m计，平均每天发空车及载重车各5辆，空车重约10t，载重车重约40t，以10km/h的速度行驶。据本项目的实际情况，对道路路况以0.1kg/m</w:t>
            </w:r>
            <w:r>
              <w:rPr>
                <w:rFonts w:hint="default" w:ascii="Times New Roman" w:hAnsi="Times New Roman" w:eastAsia="宋体" w:cs="Times New Roman"/>
                <w:color w:val="auto"/>
                <w:kern w:val="2"/>
                <w:sz w:val="24"/>
                <w:szCs w:val="20"/>
                <w:vertAlign w:val="superscript"/>
              </w:rPr>
              <w:t>2</w:t>
            </w:r>
            <w:r>
              <w:rPr>
                <w:rFonts w:hint="default" w:ascii="Times New Roman" w:hAnsi="Times New Roman" w:eastAsia="宋体" w:cs="Times New Roman"/>
                <w:color w:val="auto"/>
                <w:kern w:val="2"/>
                <w:sz w:val="24"/>
                <w:szCs w:val="20"/>
              </w:rPr>
              <w:t>计，则运输车辆动力起尘量为3.52kg/d，合0.63t/a。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eastAsia="宋体" w:cs="Times New Roman"/>
                <w:color w:val="auto"/>
                <w:kern w:val="2"/>
                <w:sz w:val="24"/>
                <w:szCs w:val="20"/>
              </w:rPr>
            </w:pPr>
            <w:r>
              <w:rPr>
                <w:rFonts w:hint="eastAsia" w:ascii="Times New Roman" w:hAnsi="Times New Roman" w:eastAsia="宋体" w:cs="Times New Roman"/>
                <w:color w:val="auto"/>
                <w:kern w:val="2"/>
                <w:sz w:val="24"/>
                <w:szCs w:val="20"/>
                <w:lang w:eastAsia="zh-CN"/>
              </w:rPr>
              <w:t>③</w:t>
            </w:r>
            <w:r>
              <w:rPr>
                <w:rFonts w:hint="default" w:ascii="Times New Roman" w:hAnsi="Times New Roman" w:eastAsia="宋体" w:cs="Times New Roman"/>
                <w:color w:val="auto"/>
                <w:kern w:val="2"/>
                <w:sz w:val="24"/>
                <w:szCs w:val="20"/>
              </w:rPr>
              <w:t>施工机械、车辆废气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eastAsia="宋体" w:cs="Times New Roman"/>
                <w:color w:val="auto"/>
                <w:kern w:val="2"/>
                <w:sz w:val="24"/>
                <w:szCs w:val="20"/>
              </w:rPr>
            </w:pPr>
            <w:r>
              <w:rPr>
                <w:rFonts w:hint="default" w:ascii="Times New Roman" w:hAnsi="Times New Roman" w:eastAsia="宋体" w:cs="Times New Roman"/>
                <w:color w:val="auto"/>
                <w:kern w:val="2"/>
                <w:sz w:val="24"/>
                <w:szCs w:val="20"/>
              </w:rPr>
              <w:t>施工机械主要有铲土机、挖土机、打桩机、空压机及各种运输车辆。大部分使用柴油作为能源，少量使用汽油，这部分机械主要在土石方开挖、运输、填埋阶段使用，是废气的主要来源。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eastAsia="宋体" w:cs="Times New Roman"/>
                <w:color w:val="auto"/>
                <w:kern w:val="2"/>
                <w:sz w:val="24"/>
                <w:szCs w:val="20"/>
              </w:rPr>
            </w:pPr>
            <w:r>
              <w:rPr>
                <w:rFonts w:hint="default" w:ascii="Times New Roman" w:hAnsi="Times New Roman" w:eastAsia="宋体" w:cs="Times New Roman"/>
                <w:color w:val="auto"/>
                <w:kern w:val="2"/>
                <w:sz w:val="24"/>
                <w:szCs w:val="20"/>
              </w:rPr>
              <w:t>项目建设施工中施工机械运行产生的废气、运输车辆运输产生的尾气均是由柴油和汽油燃烧后所产生，为影响空气环境的主要污染物之一。主要污染成份是烯烃类、CO和NO</w:t>
            </w:r>
            <w:r>
              <w:rPr>
                <w:rFonts w:hint="default" w:ascii="Times New Roman" w:hAnsi="Times New Roman" w:eastAsia="宋体" w:cs="Times New Roman"/>
                <w:color w:val="auto"/>
                <w:kern w:val="2"/>
                <w:sz w:val="24"/>
                <w:szCs w:val="20"/>
                <w:vertAlign w:val="subscript"/>
              </w:rPr>
              <w:t>X</w:t>
            </w:r>
            <w:r>
              <w:rPr>
                <w:rFonts w:hint="default" w:ascii="Times New Roman" w:hAnsi="Times New Roman" w:eastAsia="宋体" w:cs="Times New Roman"/>
                <w:color w:val="auto"/>
                <w:kern w:val="2"/>
                <w:sz w:val="24"/>
                <w:szCs w:val="20"/>
              </w:rPr>
              <w:t>，属无组织排放。在其余工段使用的机械如电钻、电焊机、角向磨光机等一般以电为能源，不会产生机械尾气。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eastAsia="宋体" w:cs="Times New Roman"/>
                <w:color w:val="auto"/>
                <w:kern w:val="2"/>
                <w:sz w:val="24"/>
                <w:szCs w:val="20"/>
              </w:rPr>
            </w:pPr>
            <w:r>
              <w:rPr>
                <w:rFonts w:hint="default" w:ascii="Times New Roman" w:hAnsi="Times New Roman" w:eastAsia="宋体" w:cs="Times New Roman"/>
                <w:color w:val="auto"/>
                <w:kern w:val="2"/>
                <w:sz w:val="24"/>
                <w:szCs w:val="20"/>
              </w:rPr>
              <w:t>施工机械废气集中产生于项目施工的初期阶段，施工机械废气主要是CO、碳氢化合物等，其产生量及废气中污染物浓度视其使用频率及发动机对燃料的燃烧情况而异。施工机械废气属于低架点源无组织排放性质，具有间断性产生、产生量较小、产生点相对分散、易被稀释扩散等特点。加之项目区施工范围相对较大，施工场地周围较空旷，大气扩散条件相对较好，故一般情况下，施工机械和运输车辆所产生的废气污染在空气中经自然扩散和稀释后，产生和排放量均很小，为无组织排放。因此，项目施工期烟气对周围环境影响较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both"/>
              <w:textAlignment w:val="auto"/>
              <w:rPr>
                <w:rFonts w:hint="eastAsia" w:ascii="Times New Roman" w:hAnsi="Times New Roman" w:eastAsia="宋体" w:cs="Times New Roman"/>
                <w:b/>
                <w:bCs/>
                <w:color w:val="auto"/>
                <w:kern w:val="2"/>
                <w:sz w:val="24"/>
                <w:szCs w:val="20"/>
                <w:lang w:eastAsia="zh-CN"/>
              </w:rPr>
            </w:pPr>
            <w:r>
              <w:rPr>
                <w:rFonts w:hint="eastAsia" w:ascii="Times New Roman" w:hAnsi="Times New Roman" w:eastAsia="宋体" w:cs="Times New Roman"/>
                <w:b/>
                <w:bCs/>
                <w:color w:val="auto"/>
                <w:kern w:val="2"/>
                <w:sz w:val="24"/>
                <w:szCs w:val="20"/>
                <w:lang w:val="en-US" w:eastAsia="zh-CN"/>
              </w:rPr>
              <w:t>（2）</w:t>
            </w:r>
            <w:r>
              <w:rPr>
                <w:rFonts w:hint="eastAsia" w:ascii="Times New Roman" w:hAnsi="Times New Roman" w:eastAsia="宋体" w:cs="Times New Roman"/>
                <w:b/>
                <w:bCs/>
                <w:color w:val="auto"/>
                <w:kern w:val="2"/>
                <w:sz w:val="24"/>
                <w:szCs w:val="20"/>
                <w:lang w:eastAsia="zh-CN"/>
              </w:rPr>
              <w:t>防治措施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imes New Roman" w:hAnsi="Times New Roman" w:eastAsia="宋体" w:cs="Times New Roman"/>
                <w:color w:val="auto"/>
                <w:kern w:val="2"/>
                <w:sz w:val="24"/>
                <w:szCs w:val="20"/>
                <w:lang w:val="en-US" w:eastAsia="zh-CN"/>
              </w:rPr>
            </w:pPr>
            <w:r>
              <w:rPr>
                <w:rFonts w:hint="eastAsia" w:ascii="Times New Roman" w:hAnsi="Times New Roman" w:eastAsia="宋体" w:cs="Times New Roman"/>
                <w:color w:val="auto"/>
                <w:kern w:val="2"/>
                <w:sz w:val="24"/>
                <w:szCs w:val="20"/>
                <w:lang w:eastAsia="zh-CN"/>
              </w:rPr>
              <w:t>①土石方开挖、露天堆场和裸露场地产生的扬尘，厂界四周采用雾化喷淋、设置</w:t>
            </w:r>
            <w:r>
              <w:rPr>
                <w:rFonts w:hint="eastAsia" w:ascii="Times New Roman" w:hAnsi="Times New Roman" w:eastAsia="宋体" w:cs="Times New Roman"/>
                <w:color w:val="auto"/>
                <w:kern w:val="2"/>
                <w:sz w:val="24"/>
                <w:szCs w:val="20"/>
                <w:lang w:val="en-US" w:eastAsia="zh-CN"/>
              </w:rPr>
              <w:t>临时围挡进行降尘；开挖的土石方和露天堆场采用雾化喷淋的措施，采用无纺布进行遮盖。根据实际生产经验呢，采取上述措施后，产生的粉尘可得到有效抑制。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imes New Roman" w:hAnsi="Times New Roman" w:eastAsia="宋体" w:cs="Times New Roman"/>
                <w:color w:val="auto"/>
                <w:kern w:val="2"/>
                <w:sz w:val="24"/>
                <w:szCs w:val="20"/>
                <w:lang w:val="en-US" w:eastAsia="zh-CN"/>
              </w:rPr>
            </w:pPr>
            <w:r>
              <w:rPr>
                <w:rFonts w:hint="eastAsia" w:ascii="Times New Roman" w:hAnsi="Times New Roman" w:eastAsia="宋体" w:cs="Times New Roman"/>
                <w:color w:val="auto"/>
                <w:kern w:val="2"/>
                <w:sz w:val="24"/>
                <w:szCs w:val="20"/>
                <w:lang w:val="en-US" w:eastAsia="zh-CN"/>
              </w:rPr>
              <w:t>②建筑材料运输车辆采取减速行驶，毡布遮盖的措施降低粉尘；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default" w:ascii="Times New Roman" w:hAnsi="Times New Roman" w:eastAsia="宋体" w:cs="Times New Roman"/>
                <w:color w:val="auto"/>
                <w:kern w:val="2"/>
                <w:sz w:val="24"/>
                <w:szCs w:val="20"/>
                <w:lang w:val="en-US" w:eastAsia="zh-CN"/>
              </w:rPr>
            </w:pPr>
            <w:r>
              <w:rPr>
                <w:rFonts w:hint="eastAsia" w:ascii="Times New Roman" w:hAnsi="Times New Roman" w:eastAsia="宋体" w:cs="Times New Roman"/>
                <w:color w:val="auto"/>
                <w:kern w:val="2"/>
                <w:sz w:val="24"/>
                <w:szCs w:val="20"/>
                <w:lang w:val="en-US" w:eastAsia="zh-CN"/>
              </w:rPr>
              <w:t>③施工机械、车辆产生的废气，产生的废气量较少，经过自然扩散以及周围植被的吸收后对周围环境影响较小。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eastAsia="宋体" w:cs="Times New Roman"/>
                <w:b/>
                <w:bCs/>
                <w:color w:val="auto"/>
                <w:kern w:val="2"/>
                <w:sz w:val="24"/>
                <w:szCs w:val="20"/>
                <w:lang w:val="en-US" w:eastAsia="zh-CN"/>
              </w:rPr>
            </w:pPr>
            <w:r>
              <w:rPr>
                <w:rFonts w:hint="eastAsia" w:ascii="Times New Roman" w:hAnsi="Times New Roman" w:eastAsia="宋体" w:cs="Times New Roman"/>
                <w:b/>
                <w:bCs/>
                <w:color w:val="auto"/>
                <w:kern w:val="2"/>
                <w:sz w:val="24"/>
                <w:szCs w:val="20"/>
                <w:lang w:val="en-US" w:eastAsia="zh-CN"/>
              </w:rPr>
              <w:t>2</w:t>
            </w:r>
            <w:r>
              <w:rPr>
                <w:rFonts w:hint="default" w:ascii="Times New Roman" w:hAnsi="Times New Roman" w:eastAsia="宋体" w:cs="Times New Roman"/>
                <w:b/>
                <w:bCs/>
                <w:color w:val="auto"/>
                <w:kern w:val="2"/>
                <w:sz w:val="24"/>
                <w:szCs w:val="20"/>
                <w:lang w:val="en-US" w:eastAsia="zh-CN"/>
              </w:rPr>
              <w:t>、废水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eastAsia="宋体" w:cs="Times New Roman"/>
                <w:color w:val="auto"/>
                <w:kern w:val="2"/>
                <w:sz w:val="24"/>
                <w:szCs w:val="20"/>
                <w:lang w:val="en-US" w:eastAsia="zh-CN"/>
              </w:rPr>
            </w:pPr>
            <w:r>
              <w:rPr>
                <w:rFonts w:hint="default" w:ascii="Times New Roman" w:hAnsi="Times New Roman" w:eastAsia="宋体" w:cs="Times New Roman"/>
                <w:color w:val="auto"/>
                <w:kern w:val="2"/>
                <w:sz w:val="24"/>
                <w:szCs w:val="20"/>
                <w:lang w:val="en-US" w:eastAsia="zh-CN"/>
              </w:rPr>
              <w:t>项目施工期的废水排放主要来自建筑施工人员的生活污水、施工废水，主要污染因子为BOD、COD、NH</w:t>
            </w:r>
            <w:r>
              <w:rPr>
                <w:rFonts w:hint="default" w:ascii="Times New Roman" w:hAnsi="Times New Roman" w:eastAsia="宋体" w:cs="Times New Roman"/>
                <w:color w:val="auto"/>
                <w:kern w:val="2"/>
                <w:sz w:val="24"/>
                <w:szCs w:val="20"/>
                <w:vertAlign w:val="subscript"/>
                <w:lang w:val="en-US" w:eastAsia="zh-CN"/>
              </w:rPr>
              <w:t>3</w:t>
            </w:r>
            <w:r>
              <w:rPr>
                <w:rFonts w:hint="default" w:ascii="Times New Roman" w:hAnsi="Times New Roman" w:eastAsia="宋体" w:cs="Times New Roman"/>
                <w:color w:val="auto"/>
                <w:kern w:val="2"/>
                <w:sz w:val="24"/>
                <w:szCs w:val="20"/>
                <w:lang w:val="en-US" w:eastAsia="zh-CN"/>
              </w:rPr>
              <w:t>-N、SS等。施工废水主要为建筑保养废水、机械清洗废水等，主要污染因子为SS。</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imes New Roman" w:hAnsi="Times New Roman" w:eastAsia="宋体" w:cs="Times New Roman"/>
                <w:b/>
                <w:bCs/>
                <w:color w:val="auto"/>
                <w:kern w:val="2"/>
                <w:sz w:val="24"/>
                <w:szCs w:val="20"/>
                <w:lang w:val="en-US" w:eastAsia="zh-CN"/>
              </w:rPr>
            </w:pPr>
            <w:r>
              <w:rPr>
                <w:rFonts w:hint="eastAsia" w:ascii="Times New Roman" w:hAnsi="Times New Roman" w:eastAsia="宋体" w:cs="Times New Roman"/>
                <w:b/>
                <w:bCs/>
                <w:color w:val="auto"/>
                <w:kern w:val="2"/>
                <w:sz w:val="24"/>
                <w:szCs w:val="20"/>
                <w:lang w:val="en-US" w:eastAsia="zh-CN"/>
              </w:rPr>
              <w:t>废水源强及环境影响分析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eastAsia="宋体" w:cs="Times New Roman"/>
                <w:color w:val="auto"/>
                <w:kern w:val="2"/>
                <w:sz w:val="24"/>
                <w:szCs w:val="20"/>
                <w:lang w:val="en-US" w:eastAsia="zh-CN"/>
              </w:rPr>
            </w:pPr>
            <w:r>
              <w:rPr>
                <w:rFonts w:hint="eastAsia" w:ascii="Times New Roman" w:hAnsi="Times New Roman" w:eastAsia="宋体" w:cs="Times New Roman"/>
                <w:b/>
                <w:bCs/>
                <w:color w:val="auto"/>
                <w:kern w:val="2"/>
                <w:sz w:val="24"/>
                <w:szCs w:val="20"/>
                <w:lang w:val="en-US" w:eastAsia="zh-CN"/>
              </w:rPr>
              <w:t>①</w:t>
            </w:r>
            <w:r>
              <w:rPr>
                <w:rFonts w:hint="default" w:ascii="Times New Roman" w:hAnsi="Times New Roman" w:eastAsia="宋体" w:cs="Times New Roman"/>
                <w:b/>
                <w:bCs/>
                <w:color w:val="auto"/>
                <w:kern w:val="2"/>
                <w:sz w:val="24"/>
                <w:szCs w:val="20"/>
                <w:lang w:val="en-US" w:eastAsia="zh-CN"/>
              </w:rPr>
              <w:t>施工废水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eastAsia="宋体" w:cs="Times New Roman"/>
                <w:color w:val="auto"/>
                <w:kern w:val="2"/>
                <w:sz w:val="24"/>
                <w:szCs w:val="20"/>
                <w:lang w:val="en-US" w:eastAsia="zh-CN"/>
              </w:rPr>
            </w:pPr>
            <w:r>
              <w:rPr>
                <w:rFonts w:hint="default" w:ascii="Times New Roman" w:hAnsi="Times New Roman" w:eastAsia="宋体" w:cs="Times New Roman"/>
                <w:color w:val="auto"/>
                <w:kern w:val="2"/>
                <w:sz w:val="24"/>
                <w:szCs w:val="20"/>
                <w:lang w:val="en-US" w:eastAsia="zh-CN"/>
              </w:rPr>
              <w:t>工程施工混凝土采用商品混凝土，施工废水主要是施工机械设备维修、清洗产生的少量废水，经类比调查可知，本项目施工废水产生量约为5m³/d，含有的污染物主要是SS和石油类，类比相关资料，污染物产生浓度约为：SS 400mg/L、石油类30mg/L，工程施工期建筑施工废水产生量见4-1。</w:t>
            </w:r>
          </w:p>
          <w:p>
            <w:pPr>
              <w:spacing w:line="360" w:lineRule="auto"/>
              <w:ind w:firstLine="0" w:firstLineChars="0"/>
              <w:jc w:val="center"/>
              <w:rPr>
                <w:rFonts w:ascii="Dutch" w:hAnsi="Dutch" w:eastAsia="宋体" w:cs="Times New Roman"/>
                <w:b/>
                <w:color w:val="auto"/>
                <w:sz w:val="21"/>
                <w:szCs w:val="21"/>
                <w:highlight w:val="none"/>
              </w:rPr>
            </w:pPr>
            <w:r>
              <w:rPr>
                <w:rFonts w:ascii="Dutch" w:hAnsi="Dutch" w:eastAsia="宋体" w:cs="Times New Roman"/>
                <w:b/>
                <w:color w:val="auto"/>
                <w:sz w:val="21"/>
                <w:szCs w:val="21"/>
                <w:highlight w:val="none"/>
              </w:rPr>
              <w:t>表</w:t>
            </w:r>
            <w:r>
              <w:rPr>
                <w:rFonts w:hint="eastAsia" w:ascii="Dutch" w:hAnsi="Dutch" w:eastAsia="宋体" w:cs="Times New Roman"/>
                <w:b/>
                <w:color w:val="auto"/>
                <w:sz w:val="21"/>
                <w:szCs w:val="21"/>
                <w:highlight w:val="none"/>
                <w:lang w:val="en-US" w:eastAsia="zh-CN"/>
              </w:rPr>
              <w:t>4</w:t>
            </w:r>
            <w:r>
              <w:rPr>
                <w:rFonts w:hint="eastAsia" w:ascii="Dutch" w:hAnsi="Dutch" w:eastAsia="宋体" w:cs="Times New Roman"/>
                <w:b/>
                <w:color w:val="auto"/>
                <w:sz w:val="21"/>
                <w:szCs w:val="21"/>
                <w:highlight w:val="none"/>
              </w:rPr>
              <w:t xml:space="preserve">-1 </w:t>
            </w:r>
            <w:r>
              <w:rPr>
                <w:rFonts w:ascii="Dutch" w:hAnsi="Dutch" w:eastAsia="宋体" w:cs="Times New Roman"/>
                <w:b/>
                <w:color w:val="auto"/>
                <w:sz w:val="21"/>
                <w:szCs w:val="21"/>
                <w:highlight w:val="none"/>
              </w:rPr>
              <w:t>施工废水产生量一览表</w:t>
            </w:r>
          </w:p>
          <w:tbl>
            <w:tblPr>
              <w:tblStyle w:val="37"/>
              <w:tblW w:w="846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254"/>
              <w:gridCol w:w="1543"/>
              <w:gridCol w:w="1828"/>
              <w:gridCol w:w="183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2" w:hRule="atLeast"/>
                <w:jc w:val="center"/>
              </w:trPr>
              <w:tc>
                <w:tcPr>
                  <w:tcW w:w="1922"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jc w:val="center"/>
                    <w:rPr>
                      <w:rFonts w:hint="default" w:ascii="Times New Roman" w:hAnsi="Times New Roman" w:cs="Times New Roman"/>
                      <w:b/>
                      <w:color w:val="auto"/>
                      <w:sz w:val="21"/>
                    </w:rPr>
                  </w:pPr>
                  <w:r>
                    <w:rPr>
                      <w:rFonts w:hint="default" w:ascii="Times New Roman" w:hAnsi="Times New Roman" w:eastAsia="宋体" w:cs="Times New Roman"/>
                      <w:b/>
                      <w:color w:val="auto"/>
                      <w:sz w:val="21"/>
                    </w:rPr>
                    <w:t>类别</w:t>
                  </w:r>
                </w:p>
              </w:tc>
              <w:tc>
                <w:tcPr>
                  <w:tcW w:w="91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jc w:val="center"/>
                    <w:rPr>
                      <w:rFonts w:hint="default" w:ascii="Times New Roman" w:hAnsi="Times New Roman" w:cs="Times New Roman"/>
                      <w:b/>
                      <w:color w:val="auto"/>
                      <w:sz w:val="21"/>
                    </w:rPr>
                  </w:pPr>
                  <w:r>
                    <w:rPr>
                      <w:rFonts w:hint="default" w:ascii="Times New Roman" w:hAnsi="Times New Roman" w:eastAsia="宋体" w:cs="Times New Roman"/>
                      <w:b/>
                      <w:color w:val="auto"/>
                      <w:sz w:val="21"/>
                    </w:rPr>
                    <w:t>污水总量</w:t>
                  </w:r>
                </w:p>
              </w:tc>
              <w:tc>
                <w:tcPr>
                  <w:tcW w:w="1080"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jc w:val="center"/>
                    <w:rPr>
                      <w:rFonts w:hint="default" w:ascii="Times New Roman" w:hAnsi="Times New Roman" w:cs="Times New Roman"/>
                      <w:b/>
                      <w:color w:val="auto"/>
                      <w:sz w:val="21"/>
                      <w:vertAlign w:val="subscript"/>
                    </w:rPr>
                  </w:pPr>
                  <w:r>
                    <w:rPr>
                      <w:rFonts w:hint="default" w:ascii="Times New Roman" w:hAnsi="Times New Roman" w:cs="Times New Roman"/>
                      <w:b/>
                      <w:color w:val="auto"/>
                      <w:sz w:val="21"/>
                    </w:rPr>
                    <w:t>SS</w:t>
                  </w:r>
                </w:p>
              </w:tc>
              <w:tc>
                <w:tcPr>
                  <w:tcW w:w="1085"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jc w:val="center"/>
                    <w:rPr>
                      <w:rFonts w:hint="default" w:ascii="Times New Roman" w:hAnsi="Times New Roman" w:cs="Times New Roman"/>
                      <w:b/>
                      <w:color w:val="auto"/>
                      <w:sz w:val="21"/>
                    </w:rPr>
                  </w:pPr>
                  <w:r>
                    <w:rPr>
                      <w:rFonts w:hint="default" w:ascii="Times New Roman" w:hAnsi="Times New Roman" w:eastAsia="宋体" w:cs="Times New Roman"/>
                      <w:b/>
                      <w:color w:val="auto"/>
                      <w:sz w:val="21"/>
                    </w:rPr>
                    <w:t>石油类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8" w:hRule="atLeast"/>
                <w:jc w:val="center"/>
              </w:trPr>
              <w:tc>
                <w:tcPr>
                  <w:tcW w:w="1922"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jc w:val="center"/>
                    <w:rPr>
                      <w:rFonts w:hint="default" w:ascii="Times New Roman" w:hAnsi="Times New Roman" w:cs="Times New Roman"/>
                      <w:color w:val="auto"/>
                      <w:sz w:val="21"/>
                    </w:rPr>
                  </w:pPr>
                  <w:r>
                    <w:rPr>
                      <w:rFonts w:hint="default" w:ascii="Times New Roman" w:hAnsi="Times New Roman" w:eastAsia="宋体" w:cs="Times New Roman"/>
                      <w:color w:val="auto"/>
                      <w:sz w:val="21"/>
                    </w:rPr>
                    <w:t>产生量（t/a）</w:t>
                  </w:r>
                </w:p>
              </w:tc>
              <w:tc>
                <w:tcPr>
                  <w:tcW w:w="91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jc w:val="center"/>
                    <w:rPr>
                      <w:rFonts w:hint="default" w:ascii="Times New Roman" w:hAnsi="Times New Roman" w:cs="Times New Roman"/>
                      <w:color w:val="auto"/>
                      <w:sz w:val="21"/>
                    </w:rPr>
                  </w:pPr>
                  <w:r>
                    <w:rPr>
                      <w:rFonts w:hint="default" w:ascii="Times New Roman" w:hAnsi="Times New Roman" w:cs="Times New Roman"/>
                      <w:color w:val="auto"/>
                      <w:sz w:val="21"/>
                    </w:rPr>
                    <w:t>1825</w:t>
                  </w:r>
                </w:p>
              </w:tc>
              <w:tc>
                <w:tcPr>
                  <w:tcW w:w="1080"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jc w:val="center"/>
                    <w:rPr>
                      <w:rFonts w:hint="default" w:ascii="Times New Roman" w:hAnsi="Times New Roman" w:cs="Times New Roman"/>
                      <w:color w:val="auto"/>
                      <w:sz w:val="21"/>
                    </w:rPr>
                  </w:pPr>
                  <w:r>
                    <w:rPr>
                      <w:rFonts w:hint="default" w:ascii="Times New Roman" w:hAnsi="Times New Roman" w:cs="Times New Roman"/>
                      <w:color w:val="auto"/>
                      <w:sz w:val="21"/>
                    </w:rPr>
                    <w:t>0.73</w:t>
                  </w:r>
                </w:p>
              </w:tc>
              <w:tc>
                <w:tcPr>
                  <w:tcW w:w="1085"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jc w:val="center"/>
                    <w:rPr>
                      <w:rFonts w:hint="default" w:ascii="Times New Roman" w:hAnsi="Times New Roman" w:cs="Times New Roman"/>
                      <w:color w:val="auto"/>
                      <w:sz w:val="21"/>
                    </w:rPr>
                  </w:pPr>
                  <w:r>
                    <w:rPr>
                      <w:rFonts w:hint="default" w:ascii="Times New Roman" w:hAnsi="Times New Roman" w:cs="Times New Roman"/>
                      <w:color w:val="auto"/>
                      <w:sz w:val="21"/>
                    </w:rPr>
                    <w:t>0.055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9" w:hRule="atLeast"/>
                <w:jc w:val="center"/>
              </w:trPr>
              <w:tc>
                <w:tcPr>
                  <w:tcW w:w="1922"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jc w:val="center"/>
                    <w:rPr>
                      <w:rFonts w:hint="default" w:ascii="Times New Roman" w:hAnsi="Times New Roman" w:cs="Times New Roman"/>
                      <w:color w:val="auto"/>
                      <w:sz w:val="21"/>
                    </w:rPr>
                  </w:pPr>
                  <w:r>
                    <w:rPr>
                      <w:rFonts w:hint="default" w:ascii="Times New Roman" w:hAnsi="Times New Roman" w:eastAsia="宋体" w:cs="Times New Roman"/>
                      <w:color w:val="auto"/>
                      <w:sz w:val="21"/>
                    </w:rPr>
                    <w:t>浓度（mg/L）</w:t>
                  </w:r>
                </w:p>
              </w:tc>
              <w:tc>
                <w:tcPr>
                  <w:tcW w:w="91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jc w:val="center"/>
                    <w:rPr>
                      <w:rFonts w:hint="default" w:ascii="Times New Roman" w:hAnsi="Times New Roman" w:cs="Times New Roman"/>
                      <w:color w:val="auto"/>
                      <w:sz w:val="21"/>
                    </w:rPr>
                  </w:pPr>
                  <w:r>
                    <w:rPr>
                      <w:rFonts w:hint="default" w:ascii="Times New Roman" w:hAnsi="Times New Roman" w:cs="Times New Roman"/>
                      <w:color w:val="auto"/>
                      <w:sz w:val="21"/>
                    </w:rPr>
                    <w:t>----</w:t>
                  </w:r>
                </w:p>
              </w:tc>
              <w:tc>
                <w:tcPr>
                  <w:tcW w:w="1080"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jc w:val="center"/>
                    <w:rPr>
                      <w:rFonts w:hint="default" w:ascii="Times New Roman" w:hAnsi="Times New Roman" w:cs="Times New Roman"/>
                      <w:color w:val="auto"/>
                      <w:sz w:val="21"/>
                    </w:rPr>
                  </w:pPr>
                  <w:r>
                    <w:rPr>
                      <w:rFonts w:hint="default" w:ascii="Times New Roman" w:hAnsi="Times New Roman" w:cs="Times New Roman"/>
                      <w:color w:val="auto"/>
                      <w:sz w:val="21"/>
                    </w:rPr>
                    <w:t>400</w:t>
                  </w:r>
                </w:p>
              </w:tc>
              <w:tc>
                <w:tcPr>
                  <w:tcW w:w="1085"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jc w:val="center"/>
                    <w:rPr>
                      <w:rFonts w:hint="default" w:ascii="Times New Roman" w:hAnsi="Times New Roman" w:cs="Times New Roman"/>
                      <w:color w:val="auto"/>
                      <w:sz w:val="21"/>
                    </w:rPr>
                  </w:pPr>
                  <w:r>
                    <w:rPr>
                      <w:rFonts w:hint="default" w:ascii="Times New Roman" w:hAnsi="Times New Roman" w:cs="Times New Roman"/>
                      <w:color w:val="auto"/>
                      <w:sz w:val="21"/>
                    </w:rPr>
                    <w:t>30</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imes New Roman" w:hAnsi="Times New Roman" w:eastAsia="宋体" w:cs="Times New Roman"/>
                <w:b/>
                <w:bCs/>
                <w:color w:val="auto"/>
                <w:kern w:val="2"/>
                <w:sz w:val="24"/>
                <w:szCs w:val="20"/>
                <w:lang w:val="en-US" w:eastAsia="zh-CN"/>
              </w:rPr>
            </w:pPr>
            <w:r>
              <w:rPr>
                <w:rFonts w:hint="eastAsia" w:ascii="Times New Roman" w:hAnsi="Times New Roman" w:eastAsia="宋体" w:cs="Times New Roman"/>
                <w:b/>
                <w:bCs/>
                <w:color w:val="auto"/>
                <w:kern w:val="2"/>
                <w:sz w:val="24"/>
                <w:szCs w:val="20"/>
                <w:lang w:val="en-US" w:eastAsia="zh-CN"/>
              </w:rPr>
              <w:t>②生活废水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Dutch" w:hAnsi="Dutch" w:eastAsia="宋体" w:cs="Times New Roman"/>
                <w:b w:val="0"/>
                <w:bCs w:val="0"/>
                <w:color w:val="auto"/>
                <w:sz w:val="24"/>
                <w:szCs w:val="20"/>
                <w:lang w:val="en-US" w:eastAsia="zh-CN"/>
              </w:rPr>
            </w:pPr>
            <w:r>
              <w:rPr>
                <w:rFonts w:hint="eastAsia" w:ascii="Times New Roman" w:hAnsi="Times New Roman" w:eastAsia="宋体" w:cs="Times New Roman"/>
                <w:b w:val="0"/>
                <w:bCs w:val="0"/>
                <w:color w:val="auto"/>
                <w:kern w:val="2"/>
                <w:sz w:val="24"/>
                <w:szCs w:val="20"/>
                <w:lang w:val="en-US" w:eastAsia="zh-CN"/>
              </w:rPr>
              <w:t>本项目施工期生活污水主要是施工人员产生，因项目施工期施工人员不在现场吃住，厕所设为旱厕，现场无洗浴、炊事、厕所等生活污水排放。</w:t>
            </w:r>
            <w:r>
              <w:rPr>
                <w:rFonts w:ascii="Dutch" w:hAnsi="Dutch" w:eastAsia="宋体" w:cs="Times New Roman"/>
                <w:b w:val="0"/>
                <w:bCs w:val="0"/>
                <w:color w:val="auto"/>
                <w:sz w:val="24"/>
                <w:szCs w:val="20"/>
              </w:rPr>
              <w:t>生活污水产生量按照施工高峰期人员50人计，本项目施工期施工人员生活污水主要是洗手废水，用水量按6L/人·d计，总用水量为0.3m</w:t>
            </w:r>
            <w:r>
              <w:rPr>
                <w:rFonts w:ascii="Dutch" w:hAnsi="Dutch" w:eastAsia="宋体" w:cs="Times New Roman"/>
                <w:b w:val="0"/>
                <w:bCs w:val="0"/>
                <w:color w:val="auto"/>
                <w:sz w:val="24"/>
                <w:szCs w:val="20"/>
                <w:vertAlign w:val="superscript"/>
              </w:rPr>
              <w:t>3</w:t>
            </w:r>
            <w:r>
              <w:rPr>
                <w:rFonts w:ascii="Dutch" w:hAnsi="Dutch" w:eastAsia="宋体" w:cs="Times New Roman"/>
                <w:b w:val="0"/>
                <w:bCs w:val="0"/>
                <w:color w:val="auto"/>
                <w:sz w:val="24"/>
                <w:szCs w:val="20"/>
              </w:rPr>
              <w:t>/d，排水量按80%计算，生活污水产生量为0.24m</w:t>
            </w:r>
            <w:r>
              <w:rPr>
                <w:rFonts w:ascii="Dutch" w:hAnsi="Dutch" w:eastAsia="宋体" w:cs="Times New Roman"/>
                <w:b w:val="0"/>
                <w:bCs w:val="0"/>
                <w:color w:val="auto"/>
                <w:sz w:val="24"/>
                <w:szCs w:val="20"/>
                <w:vertAlign w:val="superscript"/>
              </w:rPr>
              <w:t>3</w:t>
            </w:r>
            <w:r>
              <w:rPr>
                <w:rFonts w:ascii="Dutch" w:hAnsi="Dutch" w:eastAsia="宋体" w:cs="Times New Roman"/>
                <w:b w:val="0"/>
                <w:bCs w:val="0"/>
                <w:color w:val="auto"/>
                <w:sz w:val="24"/>
                <w:szCs w:val="20"/>
              </w:rPr>
              <w:t>/d</w:t>
            </w:r>
            <w:r>
              <w:rPr>
                <w:rFonts w:hint="eastAsia" w:ascii="Dutch" w:hAnsi="Dutch" w:eastAsia="宋体" w:cs="Times New Roman"/>
                <w:b w:val="0"/>
                <w:bCs w:val="0"/>
                <w:color w:val="auto"/>
                <w:sz w:val="24"/>
                <w:szCs w:val="20"/>
                <w:lang w:eastAsia="zh-CN"/>
              </w:rPr>
              <w:t>。施工废水经一个有效容积为</w:t>
            </w:r>
            <w:r>
              <w:rPr>
                <w:rFonts w:hint="eastAsia" w:ascii="Dutch" w:hAnsi="Dutch" w:eastAsia="宋体" w:cs="Times New Roman"/>
                <w:b w:val="0"/>
                <w:bCs w:val="0"/>
                <w:color w:val="auto"/>
                <w:sz w:val="24"/>
                <w:szCs w:val="20"/>
                <w:lang w:val="en-US" w:eastAsia="zh-CN"/>
              </w:rPr>
              <w:t>5m³的临时沉淀池沉淀收集后用于场地洒水降尘，不外排。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Dutch" w:hAnsi="Dutch" w:eastAsia="宋体" w:cs="Times New Roman"/>
                <w:b w:val="0"/>
                <w:bCs w:val="0"/>
                <w:color w:val="auto"/>
                <w:sz w:val="24"/>
                <w:szCs w:val="20"/>
                <w:lang w:val="en-US" w:eastAsia="zh-CN"/>
              </w:rPr>
            </w:pPr>
            <w:r>
              <w:rPr>
                <w:rFonts w:hint="eastAsia" w:ascii="Dutch" w:hAnsi="Dutch" w:eastAsia="宋体" w:cs="Times New Roman"/>
                <w:b w:val="0"/>
                <w:bCs w:val="0"/>
                <w:color w:val="auto"/>
                <w:sz w:val="24"/>
                <w:szCs w:val="20"/>
                <w:lang w:val="en-US" w:eastAsia="zh-CN"/>
              </w:rPr>
              <w:t>综上所述，施工期产生的废水经收集后用于场地洒水降尘，对周围环境影响较小。</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imes New Roman" w:hAnsi="Times New Roman" w:eastAsia="宋体" w:cs="Times New Roman"/>
                <w:b/>
                <w:bCs/>
                <w:color w:val="auto"/>
                <w:kern w:val="2"/>
                <w:sz w:val="24"/>
                <w:szCs w:val="20"/>
                <w:lang w:val="en-US" w:eastAsia="zh-CN"/>
              </w:rPr>
            </w:pPr>
            <w:r>
              <w:rPr>
                <w:rFonts w:hint="eastAsia" w:ascii="Times New Roman" w:hAnsi="Times New Roman" w:eastAsia="宋体" w:cs="Times New Roman"/>
                <w:b/>
                <w:bCs/>
                <w:color w:val="auto"/>
                <w:kern w:val="2"/>
                <w:sz w:val="24"/>
                <w:szCs w:val="20"/>
                <w:lang w:val="en-US" w:eastAsia="zh-CN"/>
              </w:rPr>
              <w:t>防治措施</w:t>
            </w:r>
          </w:p>
          <w:p>
            <w:pPr>
              <w:spacing w:line="360" w:lineRule="auto"/>
              <w:ind w:firstLine="480" w:firstLineChars="200"/>
              <w:rPr>
                <w:rFonts w:ascii="Dutch" w:hAnsi="Dutch" w:eastAsia="宋体" w:cs="Times New Roman"/>
                <w:color w:val="auto"/>
                <w:sz w:val="24"/>
                <w:szCs w:val="20"/>
              </w:rPr>
            </w:pPr>
            <w:r>
              <w:rPr>
                <w:rFonts w:hint="eastAsia" w:ascii="Times New Roman" w:hAnsi="Times New Roman" w:eastAsia="宋体" w:cs="Times New Roman"/>
                <w:color w:val="auto"/>
                <w:sz w:val="24"/>
                <w:szCs w:val="20"/>
              </w:rPr>
              <w:t>根据</w:t>
            </w:r>
            <w:r>
              <w:rPr>
                <w:rFonts w:ascii="Times New Roman" w:hAnsi="Times New Roman" w:eastAsia="宋体" w:cs="Times New Roman"/>
                <w:color w:val="auto"/>
                <w:sz w:val="24"/>
                <w:szCs w:val="20"/>
              </w:rPr>
              <w:t>工程分析，本项目施工期施工人员</w:t>
            </w:r>
            <w:r>
              <w:rPr>
                <w:rFonts w:hint="eastAsia" w:ascii="Times New Roman" w:hAnsi="Times New Roman" w:eastAsia="宋体" w:cs="Times New Roman"/>
                <w:color w:val="auto"/>
                <w:sz w:val="24"/>
                <w:szCs w:val="20"/>
                <w:lang w:eastAsia="zh-CN"/>
              </w:rPr>
              <w:t>产生的</w:t>
            </w:r>
            <w:r>
              <w:rPr>
                <w:rFonts w:ascii="Times New Roman" w:hAnsi="Times New Roman" w:eastAsia="宋体" w:cs="Times New Roman"/>
                <w:color w:val="auto"/>
                <w:sz w:val="24"/>
                <w:szCs w:val="20"/>
              </w:rPr>
              <w:t>生活废水经</w:t>
            </w:r>
            <w:r>
              <w:rPr>
                <w:rFonts w:hint="eastAsia" w:ascii="Times New Roman" w:hAnsi="Times New Roman" w:eastAsia="宋体" w:cs="Times New Roman"/>
                <w:color w:val="auto"/>
                <w:sz w:val="24"/>
                <w:szCs w:val="20"/>
                <w:lang w:eastAsia="zh-CN"/>
              </w:rPr>
              <w:t>一个废水收集桶</w:t>
            </w:r>
            <w:r>
              <w:rPr>
                <w:rFonts w:ascii="Times New Roman" w:hAnsi="Times New Roman" w:eastAsia="宋体" w:cs="Times New Roman"/>
                <w:color w:val="auto"/>
                <w:sz w:val="24"/>
                <w:szCs w:val="20"/>
              </w:rPr>
              <w:t>收集</w:t>
            </w:r>
            <w:r>
              <w:rPr>
                <w:rFonts w:hint="eastAsia" w:ascii="Times New Roman" w:hAnsi="Times New Roman" w:eastAsia="宋体" w:cs="Times New Roman"/>
                <w:color w:val="auto"/>
                <w:sz w:val="24"/>
                <w:szCs w:val="20"/>
                <w:lang w:eastAsia="zh-CN"/>
              </w:rPr>
              <w:t>沉淀</w:t>
            </w:r>
            <w:r>
              <w:rPr>
                <w:rFonts w:ascii="Times New Roman" w:hAnsi="Times New Roman" w:eastAsia="宋体" w:cs="Times New Roman"/>
                <w:color w:val="auto"/>
                <w:sz w:val="24"/>
                <w:szCs w:val="20"/>
              </w:rPr>
              <w:t>后用于施工场地洒水抑尘，不外排。故本项目施工期生活污水不外排，对区域水环境</w:t>
            </w:r>
            <w:r>
              <w:rPr>
                <w:rFonts w:ascii="Dutch" w:hAnsi="Dutch" w:eastAsia="宋体" w:cs="Times New Roman"/>
                <w:color w:val="auto"/>
                <w:sz w:val="24"/>
                <w:szCs w:val="20"/>
              </w:rPr>
              <w:t>影响较小。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imes New Roman" w:hAnsi="Times New Roman" w:eastAsia="宋体" w:cs="Times New Roman"/>
                <w:b/>
                <w:bCs/>
                <w:color w:val="auto"/>
                <w:kern w:val="2"/>
                <w:sz w:val="24"/>
                <w:szCs w:val="20"/>
                <w:lang w:val="en-US" w:eastAsia="zh-CN"/>
              </w:rPr>
            </w:pPr>
            <w:r>
              <w:rPr>
                <w:rFonts w:hint="eastAsia" w:ascii="Times New Roman" w:hAnsi="Times New Roman" w:eastAsia="宋体" w:cs="Times New Roman"/>
                <w:b/>
                <w:bCs/>
                <w:color w:val="auto"/>
                <w:kern w:val="2"/>
                <w:sz w:val="24"/>
                <w:szCs w:val="20"/>
                <w:lang w:val="en-US" w:eastAsia="zh-CN"/>
              </w:rPr>
              <w:t>3、固体废物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imes New Roman" w:hAnsi="Times New Roman" w:eastAsia="宋体" w:cs="Times New Roman"/>
                <w:b w:val="0"/>
                <w:bCs w:val="0"/>
                <w:color w:val="auto"/>
                <w:kern w:val="2"/>
                <w:sz w:val="24"/>
                <w:szCs w:val="20"/>
                <w:lang w:val="en-US" w:eastAsia="zh-CN"/>
              </w:rPr>
            </w:pPr>
            <w:r>
              <w:rPr>
                <w:rFonts w:hint="eastAsia" w:ascii="Times New Roman" w:hAnsi="Times New Roman" w:eastAsia="宋体" w:cs="Times New Roman"/>
                <w:b w:val="0"/>
                <w:bCs w:val="0"/>
                <w:color w:val="auto"/>
                <w:kern w:val="2"/>
                <w:sz w:val="24"/>
                <w:szCs w:val="20"/>
                <w:lang w:val="en-US" w:eastAsia="zh-CN"/>
              </w:rPr>
              <w:t>项目施工期固体物主要为施工过程中开挖的土方、建筑垃圾、装修垃圾以及施工人员产生的生活垃圾。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imes New Roman" w:hAnsi="Times New Roman" w:eastAsia="宋体" w:cs="Times New Roman"/>
                <w:b/>
                <w:bCs/>
                <w:color w:val="auto"/>
                <w:kern w:val="2"/>
                <w:sz w:val="24"/>
                <w:szCs w:val="20"/>
                <w:lang w:val="en-US" w:eastAsia="zh-CN"/>
              </w:rPr>
            </w:pPr>
            <w:r>
              <w:rPr>
                <w:rFonts w:hint="eastAsia" w:ascii="Times New Roman" w:hAnsi="Times New Roman" w:eastAsia="宋体" w:cs="Times New Roman"/>
                <w:b/>
                <w:bCs/>
                <w:color w:val="auto"/>
                <w:kern w:val="2"/>
                <w:sz w:val="24"/>
                <w:szCs w:val="20"/>
                <w:lang w:val="en-US" w:eastAsia="zh-CN"/>
              </w:rPr>
              <w:t>（1）固体废物环境影响分析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eastAsia="宋体" w:cs="Times New Roman"/>
                <w:b/>
                <w:bCs/>
                <w:color w:val="auto"/>
                <w:kern w:val="2"/>
                <w:sz w:val="24"/>
                <w:szCs w:val="20"/>
                <w:lang w:val="en-US" w:eastAsia="zh-CN"/>
              </w:rPr>
            </w:pPr>
            <w:r>
              <w:rPr>
                <w:rFonts w:hint="eastAsia" w:ascii="Times New Roman" w:hAnsi="Times New Roman" w:eastAsia="宋体" w:cs="Times New Roman"/>
                <w:b/>
                <w:bCs/>
                <w:color w:val="auto"/>
                <w:kern w:val="2"/>
                <w:sz w:val="24"/>
                <w:szCs w:val="20"/>
                <w:lang w:val="en-US" w:eastAsia="zh-CN"/>
              </w:rPr>
              <w:t>①</w:t>
            </w:r>
            <w:r>
              <w:rPr>
                <w:rFonts w:hint="default" w:ascii="Times New Roman" w:hAnsi="Times New Roman" w:eastAsia="宋体" w:cs="Times New Roman"/>
                <w:b/>
                <w:bCs/>
                <w:color w:val="auto"/>
                <w:kern w:val="2"/>
                <w:sz w:val="24"/>
                <w:szCs w:val="20"/>
                <w:lang w:val="en-US" w:eastAsia="zh-CN"/>
              </w:rPr>
              <w:t>建筑垃圾</w:t>
            </w:r>
          </w:p>
          <w:p>
            <w:pPr>
              <w:widowControl/>
              <w:spacing w:line="360" w:lineRule="auto"/>
              <w:ind w:firstLine="480" w:firstLineChars="200"/>
              <w:rPr>
                <w:rFonts w:ascii="Dutch" w:hAnsi="Dutch" w:eastAsia="宋体" w:cs="Times New Roman"/>
                <w:color w:val="auto"/>
                <w:sz w:val="24"/>
                <w:szCs w:val="20"/>
              </w:rPr>
            </w:pPr>
            <w:r>
              <w:rPr>
                <w:rFonts w:ascii="Dutch" w:hAnsi="Dutch" w:eastAsia="宋体" w:cs="Times New Roman"/>
                <w:color w:val="auto"/>
                <w:sz w:val="24"/>
                <w:szCs w:val="20"/>
              </w:rPr>
              <w:t>建筑垃圾是在施工中地基的开挖及施工后期建筑物的建设、维修、拆除过程产生的。整体搬迁工程施工期建筑垃圾主要有废钢筋和各种废钢配件，金属管线废料、木屑、刨花、各种装饰材料的包装箱、包装袋等、散落的砂浆和混凝土，碎砖和碎混凝土块。据类比调查，一般建筑垃圾发生量约为20kg/m</w:t>
            </w:r>
            <w:r>
              <w:rPr>
                <w:rFonts w:ascii="Dutch" w:hAnsi="Dutch" w:eastAsia="宋体" w:cs="Times New Roman"/>
                <w:color w:val="auto"/>
                <w:sz w:val="24"/>
                <w:szCs w:val="20"/>
                <w:vertAlign w:val="superscript"/>
              </w:rPr>
              <w:t>2</w:t>
            </w:r>
            <w:r>
              <w:rPr>
                <w:rFonts w:ascii="Dutch" w:hAnsi="Dutch" w:eastAsia="宋体" w:cs="Times New Roman"/>
                <w:color w:val="auto"/>
                <w:sz w:val="24"/>
                <w:szCs w:val="20"/>
              </w:rPr>
              <w:t>，即单位建筑面积的发生量为20kg。本项目建筑面积为</w:t>
            </w:r>
            <w:r>
              <w:rPr>
                <w:rFonts w:hint="eastAsia" w:ascii="Dutch" w:hAnsi="Dutch" w:eastAsia="宋体" w:cs="Times New Roman"/>
                <w:color w:val="auto"/>
                <w:sz w:val="24"/>
                <w:szCs w:val="20"/>
              </w:rPr>
              <w:t>16643.26</w:t>
            </w:r>
            <w:r>
              <w:rPr>
                <w:rFonts w:ascii="Dutch" w:hAnsi="Dutch" w:eastAsia="宋体" w:cs="Times New Roman"/>
                <w:color w:val="auto"/>
                <w:sz w:val="24"/>
                <w:szCs w:val="20"/>
              </w:rPr>
              <w:t>m</w:t>
            </w:r>
            <w:r>
              <w:rPr>
                <w:rFonts w:ascii="Dutch" w:hAnsi="Dutch" w:eastAsia="宋体" w:cs="Times New Roman"/>
                <w:color w:val="auto"/>
                <w:sz w:val="24"/>
                <w:szCs w:val="20"/>
                <w:vertAlign w:val="superscript"/>
              </w:rPr>
              <w:t>2</w:t>
            </w:r>
            <w:r>
              <w:rPr>
                <w:rFonts w:ascii="Dutch" w:hAnsi="Dutch" w:eastAsia="宋体" w:cs="Times New Roman"/>
                <w:color w:val="auto"/>
                <w:sz w:val="24"/>
                <w:szCs w:val="20"/>
              </w:rPr>
              <w:t>，则项目施工期间建筑垃圾发生量</w:t>
            </w:r>
            <w:r>
              <w:rPr>
                <w:rFonts w:hint="eastAsia" w:ascii="Dutch" w:hAnsi="Dutch" w:eastAsia="宋体" w:cs="Times New Roman"/>
                <w:color w:val="auto"/>
                <w:sz w:val="24"/>
                <w:szCs w:val="20"/>
              </w:rPr>
              <w:t>约</w:t>
            </w:r>
            <w:r>
              <w:rPr>
                <w:rFonts w:ascii="Dutch" w:hAnsi="Dutch" w:eastAsia="宋体" w:cs="Times New Roman"/>
                <w:color w:val="auto"/>
                <w:sz w:val="24"/>
                <w:szCs w:val="20"/>
              </w:rPr>
              <w:t>为</w:t>
            </w:r>
            <w:r>
              <w:rPr>
                <w:rFonts w:hint="eastAsia" w:ascii="Dutch" w:hAnsi="Dutch" w:eastAsia="宋体" w:cs="Times New Roman"/>
                <w:color w:val="auto"/>
                <w:sz w:val="24"/>
                <w:szCs w:val="20"/>
                <w:lang w:val="en-US" w:eastAsia="zh-CN"/>
              </w:rPr>
              <w:t>332.8652</w:t>
            </w:r>
            <w:r>
              <w:rPr>
                <w:rFonts w:ascii="Dutch" w:hAnsi="Dutch" w:eastAsia="宋体" w:cs="Times New Roman"/>
                <w:color w:val="auto"/>
                <w:sz w:val="24"/>
                <w:szCs w:val="20"/>
              </w:rPr>
              <w:t>t。工程施工阶段建筑垃圾，通过施工中有效控制和竣工后现场清理工作，经分类收集，废钢件材料及废木板由废品收购站收购，不能回收的全部由建设单位运往当地主管部门指定地点处理。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imes New Roman" w:hAnsi="Times New Roman" w:eastAsia="宋体" w:cs="Times New Roman"/>
                <w:b/>
                <w:bCs/>
                <w:color w:val="auto"/>
                <w:kern w:val="2"/>
                <w:sz w:val="24"/>
                <w:szCs w:val="20"/>
                <w:lang w:val="en-US" w:eastAsia="zh-CN"/>
              </w:rPr>
            </w:pPr>
            <w:r>
              <w:rPr>
                <w:rFonts w:hint="eastAsia" w:ascii="Times New Roman" w:hAnsi="Times New Roman" w:eastAsia="宋体" w:cs="Times New Roman"/>
                <w:b/>
                <w:bCs/>
                <w:color w:val="auto"/>
                <w:kern w:val="2"/>
                <w:sz w:val="24"/>
                <w:szCs w:val="20"/>
                <w:lang w:val="en-US" w:eastAsia="zh-CN"/>
              </w:rPr>
              <w:t>②生活垃圾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imes New Roman" w:hAnsi="Times New Roman" w:eastAsia="宋体" w:cs="Times New Roman"/>
                <w:b w:val="0"/>
                <w:bCs w:val="0"/>
                <w:color w:val="auto"/>
                <w:kern w:val="2"/>
                <w:sz w:val="24"/>
                <w:szCs w:val="20"/>
                <w:lang w:val="en-US" w:eastAsia="zh-CN"/>
              </w:rPr>
            </w:pPr>
            <w:r>
              <w:rPr>
                <w:rFonts w:hint="eastAsia" w:ascii="Times New Roman" w:hAnsi="Times New Roman" w:eastAsia="宋体" w:cs="Times New Roman"/>
                <w:b w:val="0"/>
                <w:bCs w:val="0"/>
                <w:color w:val="auto"/>
                <w:kern w:val="2"/>
                <w:sz w:val="24"/>
                <w:szCs w:val="20"/>
                <w:lang w:val="en-US" w:eastAsia="zh-CN"/>
              </w:rPr>
              <w:t>通过工程分析可得，本项目施工期生活垃圾产生量为25kg/d，9.125t/a，产生量不大，经临时垃圾桶集中收集后，委托环卫部门清运。旱厕委托附近的村民清掏，并清运作农田肥料，不对外排放。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both"/>
              <w:textAlignment w:val="auto"/>
              <w:rPr>
                <w:rFonts w:hint="eastAsia" w:ascii="Times New Roman" w:hAnsi="Times New Roman" w:eastAsia="宋体" w:cs="Times New Roman"/>
                <w:b/>
                <w:bCs/>
                <w:color w:val="auto"/>
                <w:kern w:val="2"/>
                <w:sz w:val="24"/>
                <w:szCs w:val="20"/>
                <w:lang w:val="en-US" w:eastAsia="zh-CN"/>
              </w:rPr>
            </w:pPr>
            <w:r>
              <w:rPr>
                <w:rFonts w:hint="eastAsia" w:ascii="Times New Roman" w:hAnsi="Times New Roman" w:eastAsia="宋体" w:cs="Times New Roman"/>
                <w:b/>
                <w:bCs/>
                <w:color w:val="auto"/>
                <w:kern w:val="2"/>
                <w:sz w:val="24"/>
                <w:szCs w:val="20"/>
                <w:lang w:val="en-US" w:eastAsia="zh-CN"/>
              </w:rPr>
              <w:t>（2）固体废物处置措施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default" w:ascii="Times New Roman" w:hAnsi="Times New Roman" w:eastAsia="宋体" w:cs="Times New Roman"/>
                <w:b w:val="0"/>
                <w:bCs w:val="0"/>
                <w:color w:val="auto"/>
                <w:kern w:val="2"/>
                <w:sz w:val="24"/>
                <w:szCs w:val="20"/>
                <w:lang w:val="en-US" w:eastAsia="zh-CN"/>
              </w:rPr>
            </w:pPr>
            <w:r>
              <w:rPr>
                <w:rFonts w:hint="default" w:ascii="Times New Roman" w:hAnsi="Times New Roman" w:eastAsia="宋体" w:cs="Times New Roman"/>
                <w:b w:val="0"/>
                <w:bCs w:val="0"/>
                <w:color w:val="auto"/>
                <w:kern w:val="2"/>
                <w:sz w:val="24"/>
                <w:szCs w:val="20"/>
                <w:lang w:val="en-US" w:eastAsia="zh-CN"/>
              </w:rPr>
              <w:t>施工产生的各类垃圾废弃物应堆置在规定的地点，不得随意抛弃建筑材料、残土、旧料和其他杂物。建筑垃圾是在施工中地基的开挖及施工后期建筑物的建设、维修过程产生的。工程施工期建筑垃圾主要有废钢筋和各种废钢配件，金属管线废料、木屑、刨花、各种装饰材料的包装箱、包装袋等、散落的砂浆和混凝土，碎砖和碎混凝土块。本项目施工期间建筑垃圾经分类收集，废钢件材料及废木板由废品收购站收购，不能回收的全部由建设单位运往当地主管部门指定的地点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default" w:ascii="Times New Roman" w:hAnsi="Times New Roman" w:eastAsia="宋体" w:cs="Times New Roman"/>
                <w:b w:val="0"/>
                <w:bCs w:val="0"/>
                <w:color w:val="auto"/>
                <w:kern w:val="2"/>
                <w:sz w:val="24"/>
                <w:szCs w:val="20"/>
                <w:lang w:val="en-US" w:eastAsia="zh-CN"/>
              </w:rPr>
            </w:pPr>
            <w:r>
              <w:rPr>
                <w:rFonts w:hint="default" w:ascii="Times New Roman" w:hAnsi="Times New Roman" w:eastAsia="宋体" w:cs="Times New Roman"/>
                <w:b w:val="0"/>
                <w:bCs w:val="0"/>
                <w:color w:val="auto"/>
                <w:kern w:val="2"/>
                <w:sz w:val="24"/>
                <w:szCs w:val="20"/>
                <w:lang w:val="en-US" w:eastAsia="zh-CN"/>
              </w:rPr>
              <w:t>施工产生的各类垃圾废弃物应堆置在规定的地点，不得随意抛弃建筑材料、残土、旧料和其他杂物。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default" w:ascii="Times New Roman" w:hAnsi="Times New Roman" w:eastAsia="宋体" w:cs="Times New Roman"/>
                <w:b w:val="0"/>
                <w:bCs w:val="0"/>
                <w:color w:val="auto"/>
                <w:kern w:val="2"/>
                <w:sz w:val="24"/>
                <w:szCs w:val="20"/>
                <w:lang w:val="en-US" w:eastAsia="zh-CN"/>
              </w:rPr>
            </w:pPr>
            <w:r>
              <w:rPr>
                <w:rFonts w:hint="default" w:ascii="Times New Roman" w:hAnsi="Times New Roman" w:eastAsia="宋体" w:cs="Times New Roman"/>
                <w:b w:val="0"/>
                <w:bCs w:val="0"/>
                <w:color w:val="auto"/>
                <w:kern w:val="2"/>
                <w:sz w:val="24"/>
                <w:szCs w:val="20"/>
                <w:lang w:val="en-US" w:eastAsia="zh-CN"/>
              </w:rPr>
              <w:t>生活垃圾经临时垃圾桶集中收集后，委托环卫部门清运。旱厕委托附近的村民清掏，并清运作农田肥料，不对外排放。</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imes New Roman" w:hAnsi="Times New Roman" w:eastAsia="宋体" w:cs="Times New Roman"/>
                <w:b/>
                <w:bCs/>
                <w:color w:val="auto"/>
                <w:kern w:val="2"/>
                <w:sz w:val="24"/>
                <w:szCs w:val="20"/>
                <w:lang w:val="en-US" w:eastAsia="zh-CN"/>
              </w:rPr>
            </w:pPr>
            <w:r>
              <w:rPr>
                <w:rFonts w:hint="eastAsia" w:ascii="Times New Roman" w:hAnsi="Times New Roman" w:eastAsia="宋体" w:cs="Times New Roman"/>
                <w:b/>
                <w:bCs/>
                <w:color w:val="auto"/>
                <w:kern w:val="2"/>
                <w:sz w:val="24"/>
                <w:szCs w:val="20"/>
                <w:lang w:val="en-US" w:eastAsia="zh-CN"/>
              </w:rPr>
              <w:t>噪声</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Chars="0" w:firstLine="480" w:firstLineChars="200"/>
              <w:textAlignment w:val="auto"/>
              <w:rPr>
                <w:rFonts w:hint="eastAsia" w:ascii="Dutch" w:hAnsi="Dutch" w:eastAsia="宋体" w:cs="Times New Roman"/>
                <w:b/>
                <w:bCs/>
                <w:color w:val="auto"/>
                <w:sz w:val="24"/>
                <w:szCs w:val="20"/>
                <w:lang w:eastAsia="zh-CN"/>
              </w:rPr>
            </w:pPr>
            <w:r>
              <w:rPr>
                <w:rFonts w:hint="eastAsia" w:ascii="Dutch" w:hAnsi="Dutch" w:eastAsia="宋体" w:cs="Times New Roman"/>
                <w:b/>
                <w:bCs/>
                <w:color w:val="auto"/>
                <w:sz w:val="24"/>
                <w:szCs w:val="20"/>
                <w:lang w:eastAsia="zh-CN"/>
              </w:rPr>
              <w:t>源强分析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Dutch" w:hAnsi="Dutch" w:eastAsia="宋体" w:cs="Times New Roman"/>
                <w:color w:val="auto"/>
                <w:sz w:val="24"/>
                <w:szCs w:val="20"/>
              </w:rPr>
            </w:pPr>
            <w:r>
              <w:rPr>
                <w:rFonts w:ascii="Dutch" w:hAnsi="Dutch" w:eastAsia="宋体" w:cs="Times New Roman"/>
                <w:color w:val="auto"/>
                <w:sz w:val="24"/>
                <w:szCs w:val="20"/>
              </w:rPr>
              <w:t>项目施工期的噪声主要来自于建筑施工机械设备、装修机械和运输车辆运行噪声。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Dutch" w:hAnsi="Dutch" w:eastAsia="宋体" w:cs="Times New Roman"/>
                <w:color w:val="auto"/>
                <w:sz w:val="24"/>
                <w:szCs w:val="20"/>
                <w:lang w:val="en-US" w:eastAsia="zh-CN"/>
              </w:rPr>
            </w:pPr>
            <w:r>
              <w:rPr>
                <w:rFonts w:ascii="Dutch" w:hAnsi="Dutch" w:eastAsia="宋体" w:cs="Times New Roman"/>
                <w:color w:val="auto"/>
                <w:sz w:val="24"/>
                <w:szCs w:val="20"/>
              </w:rPr>
              <w:t>工程在施工过程中推土机、挖掘机作业及运输车辆等产生的噪声会对声环境造成一定污染。这些机械的单体声级一般均在75~110dB(A)。施工噪声比较突出的主要是基础挖掘施工场地以及施工运输道路。运输噪声为不连续性噪声，施工场地噪声为连续噪声。根据本工程的特点，施工期间的主要噪声源见</w:t>
            </w:r>
            <w:r>
              <w:rPr>
                <w:rFonts w:hint="eastAsia" w:ascii="Dutch" w:hAnsi="Dutch" w:eastAsia="宋体" w:cs="Times New Roman"/>
                <w:color w:val="auto"/>
                <w:sz w:val="24"/>
                <w:szCs w:val="20"/>
                <w:lang w:eastAsia="zh-CN"/>
              </w:rPr>
              <w:t>表</w:t>
            </w:r>
            <w:r>
              <w:rPr>
                <w:rFonts w:hint="eastAsia" w:ascii="Dutch" w:hAnsi="Dutch" w:eastAsia="宋体" w:cs="Times New Roman"/>
                <w:color w:val="auto"/>
                <w:sz w:val="24"/>
                <w:szCs w:val="20"/>
                <w:lang w:val="en-US" w:eastAsia="zh-CN"/>
              </w:rPr>
              <w:t>4-2。</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Dutch" w:hAnsi="Dutch" w:eastAsia="宋体" w:cs="Times New Roman"/>
                <w:bCs/>
                <w:color w:val="auto"/>
                <w:sz w:val="21"/>
                <w:szCs w:val="21"/>
              </w:rPr>
            </w:pPr>
            <w:r>
              <w:rPr>
                <w:rFonts w:hint="eastAsia" w:ascii="Dutch" w:hAnsi="Dutch" w:eastAsia="宋体" w:cs="Times New Roman"/>
                <w:b/>
                <w:bCs/>
                <w:color w:val="auto"/>
                <w:sz w:val="21"/>
                <w:szCs w:val="21"/>
              </w:rPr>
              <w:t>表</w:t>
            </w:r>
            <w:r>
              <w:rPr>
                <w:rFonts w:hint="eastAsia" w:ascii="Dutch" w:hAnsi="Dutch" w:eastAsia="宋体" w:cs="Times New Roman"/>
                <w:b/>
                <w:bCs/>
                <w:color w:val="auto"/>
                <w:sz w:val="21"/>
                <w:szCs w:val="21"/>
                <w:lang w:val="en-US" w:eastAsia="zh-CN"/>
              </w:rPr>
              <w:t>4-2</w:t>
            </w:r>
            <w:r>
              <w:rPr>
                <w:rFonts w:hint="eastAsia" w:ascii="Dutch" w:hAnsi="Dutch" w:eastAsia="宋体" w:cs="Times New Roman"/>
                <w:b/>
                <w:bCs/>
                <w:color w:val="auto"/>
                <w:sz w:val="21"/>
                <w:szCs w:val="21"/>
              </w:rPr>
              <w:t xml:space="preserve"> </w:t>
            </w:r>
            <w:r>
              <w:rPr>
                <w:rFonts w:ascii="Dutch" w:hAnsi="Dutch" w:eastAsia="宋体" w:cs="Times New Roman"/>
                <w:b/>
                <w:bCs/>
                <w:color w:val="auto"/>
                <w:sz w:val="21"/>
                <w:szCs w:val="21"/>
              </w:rPr>
              <w:t xml:space="preserve">建筑施工机械噪声声级 </w:t>
            </w:r>
            <w:r>
              <w:rPr>
                <w:rFonts w:hint="eastAsia" w:ascii="Dutch" w:hAnsi="Dutch" w:eastAsia="宋体" w:cs="Times New Roman"/>
                <w:b/>
                <w:bCs/>
                <w:color w:val="auto"/>
                <w:sz w:val="21"/>
                <w:szCs w:val="21"/>
                <w:lang w:val="en-US" w:eastAsia="zh-CN"/>
              </w:rPr>
              <w:t xml:space="preserve">    </w:t>
            </w:r>
            <w:r>
              <w:rPr>
                <w:rFonts w:ascii="Dutch" w:hAnsi="Dutch" w:eastAsia="宋体" w:cs="Times New Roman"/>
                <w:b/>
                <w:bCs/>
                <w:color w:val="auto"/>
                <w:sz w:val="21"/>
                <w:szCs w:val="21"/>
              </w:rPr>
              <w:t xml:space="preserve">单位：dB(A) </w:t>
            </w:r>
          </w:p>
          <w:tbl>
            <w:tblPr>
              <w:tblStyle w:val="37"/>
              <w:tblW w:w="850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 w:type="dxa"/>
                <w:bottom w:w="0" w:type="dxa"/>
                <w:right w:w="10" w:type="dxa"/>
              </w:tblCellMar>
            </w:tblPr>
            <w:tblGrid>
              <w:gridCol w:w="2489"/>
              <w:gridCol w:w="2725"/>
              <w:gridCol w:w="328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40" w:hRule="atLeast"/>
                <w:jc w:val="center"/>
              </w:trPr>
              <w:tc>
                <w:tcPr>
                  <w:tcW w:w="2489"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b/>
                      <w:color w:val="auto"/>
                      <w:kern w:val="0"/>
                      <w:sz w:val="21"/>
                      <w:lang w:val="zh-CN"/>
                    </w:rPr>
                  </w:pPr>
                  <w:r>
                    <w:rPr>
                      <w:rFonts w:hint="eastAsia" w:ascii="宋体" w:hAnsi="宋体" w:eastAsia="宋体"/>
                      <w:b/>
                      <w:color w:val="auto"/>
                      <w:kern w:val="0"/>
                      <w:sz w:val="21"/>
                      <w:lang w:val="zh-CN"/>
                    </w:rPr>
                    <w:t>施工阶段</w:t>
                  </w:r>
                </w:p>
              </w:tc>
              <w:tc>
                <w:tcPr>
                  <w:tcW w:w="2725"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b/>
                      <w:color w:val="auto"/>
                      <w:kern w:val="0"/>
                      <w:sz w:val="21"/>
                      <w:lang w:val="zh-CN"/>
                    </w:rPr>
                  </w:pPr>
                  <w:r>
                    <w:rPr>
                      <w:rFonts w:hint="eastAsia" w:ascii="宋体" w:hAnsi="宋体" w:eastAsia="宋体"/>
                      <w:b/>
                      <w:color w:val="auto"/>
                      <w:kern w:val="0"/>
                      <w:sz w:val="21"/>
                      <w:lang w:val="zh-CN"/>
                    </w:rPr>
                    <w:t>声源</w:t>
                  </w:r>
                </w:p>
              </w:tc>
              <w:tc>
                <w:tcPr>
                  <w:tcW w:w="3288"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ind w:left="645" w:leftChars="269" w:firstLine="105" w:firstLineChars="50"/>
                    <w:rPr>
                      <w:rFonts w:hint="default"/>
                      <w:b/>
                      <w:color w:val="auto"/>
                      <w:kern w:val="0"/>
                      <w:sz w:val="21"/>
                      <w:lang w:val="zh-CN"/>
                    </w:rPr>
                  </w:pPr>
                  <w:r>
                    <w:rPr>
                      <w:rFonts w:hint="eastAsia" w:ascii="宋体" w:hAnsi="宋体" w:eastAsia="宋体"/>
                      <w:b/>
                      <w:color w:val="auto"/>
                      <w:kern w:val="0"/>
                      <w:sz w:val="21"/>
                      <w:lang w:val="zh-CN"/>
                    </w:rPr>
                    <w:t>声级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178" w:hRule="atLeast"/>
                <w:jc w:val="center"/>
              </w:trPr>
              <w:tc>
                <w:tcPr>
                  <w:tcW w:w="2489" w:type="dxa"/>
                  <w:vMerge w:val="restart"/>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eastAsia" w:ascii="宋体" w:hAnsi="宋体" w:eastAsia="宋体"/>
                      <w:color w:val="auto"/>
                      <w:kern w:val="0"/>
                      <w:sz w:val="21"/>
                      <w:lang w:val="zh-CN"/>
                    </w:rPr>
                    <w:t>土石方阶段</w:t>
                  </w:r>
                </w:p>
              </w:tc>
              <w:tc>
                <w:tcPr>
                  <w:tcW w:w="2725"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eastAsia" w:ascii="宋体" w:hAnsi="宋体" w:eastAsia="宋体"/>
                      <w:color w:val="auto"/>
                      <w:kern w:val="0"/>
                      <w:sz w:val="21"/>
                      <w:lang w:val="zh-CN"/>
                    </w:rPr>
                    <w:t>挖掘机</w:t>
                  </w:r>
                </w:p>
              </w:tc>
              <w:tc>
                <w:tcPr>
                  <w:tcW w:w="3288"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default"/>
                      <w:color w:val="auto"/>
                      <w:kern w:val="0"/>
                      <w:sz w:val="21"/>
                      <w:lang w:val="zh-CN"/>
                    </w:rPr>
                    <w:t>78</w:t>
                  </w:r>
                  <w:r>
                    <w:rPr>
                      <w:rFonts w:hint="eastAsia" w:ascii="宋体" w:hAnsi="宋体" w:eastAsia="宋体"/>
                      <w:color w:val="auto"/>
                      <w:kern w:val="0"/>
                      <w:sz w:val="21"/>
                      <w:lang w:val="zh-CN"/>
                    </w:rPr>
                    <w:t>～96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412" w:hRule="atLeast"/>
                <w:jc w:val="center"/>
              </w:trPr>
              <w:tc>
                <w:tcPr>
                  <w:tcW w:w="2489" w:type="dxa"/>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p>
              </w:tc>
              <w:tc>
                <w:tcPr>
                  <w:tcW w:w="2725"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eastAsia" w:ascii="宋体" w:hAnsi="宋体" w:eastAsia="宋体"/>
                      <w:color w:val="auto"/>
                      <w:kern w:val="0"/>
                      <w:sz w:val="21"/>
                      <w:lang w:val="zh-CN"/>
                    </w:rPr>
                    <w:t>推土机</w:t>
                  </w:r>
                </w:p>
              </w:tc>
              <w:tc>
                <w:tcPr>
                  <w:tcW w:w="3288"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default"/>
                      <w:color w:val="auto"/>
                      <w:kern w:val="0"/>
                      <w:sz w:val="21"/>
                      <w:lang w:val="zh-CN"/>
                    </w:rPr>
                    <w:t>80</w:t>
                  </w:r>
                  <w:r>
                    <w:rPr>
                      <w:rFonts w:hint="eastAsia" w:ascii="宋体" w:hAnsi="宋体" w:eastAsia="宋体"/>
                      <w:color w:val="auto"/>
                      <w:kern w:val="0"/>
                      <w:sz w:val="21"/>
                      <w:lang w:val="zh-CN"/>
                    </w:rPr>
                    <w:t>～95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378" w:hRule="atLeast"/>
                <w:jc w:val="center"/>
              </w:trPr>
              <w:tc>
                <w:tcPr>
                  <w:tcW w:w="2489" w:type="dxa"/>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p>
              </w:tc>
              <w:tc>
                <w:tcPr>
                  <w:tcW w:w="2725"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eastAsia" w:ascii="宋体" w:hAnsi="宋体" w:eastAsia="宋体"/>
                      <w:color w:val="auto"/>
                      <w:kern w:val="0"/>
                      <w:sz w:val="21"/>
                      <w:lang w:val="zh-CN"/>
                    </w:rPr>
                    <w:t>装载机</w:t>
                  </w:r>
                </w:p>
              </w:tc>
              <w:tc>
                <w:tcPr>
                  <w:tcW w:w="3288"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default"/>
                      <w:color w:val="auto"/>
                      <w:kern w:val="0"/>
                      <w:sz w:val="21"/>
                      <w:lang w:val="zh-CN"/>
                    </w:rPr>
                    <w:t>85</w:t>
                  </w:r>
                  <w:r>
                    <w:rPr>
                      <w:rFonts w:hint="eastAsia" w:ascii="宋体" w:hAnsi="宋体" w:eastAsia="宋体"/>
                      <w:color w:val="auto"/>
                      <w:kern w:val="0"/>
                      <w:sz w:val="21"/>
                      <w:lang w:val="zh-CN"/>
                    </w:rPr>
                    <w:t>～95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470" w:hRule="atLeast"/>
                <w:jc w:val="center"/>
              </w:trPr>
              <w:tc>
                <w:tcPr>
                  <w:tcW w:w="2489"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eastAsia" w:ascii="宋体" w:hAnsi="宋体" w:eastAsia="宋体"/>
                      <w:color w:val="auto"/>
                      <w:kern w:val="0"/>
                      <w:sz w:val="21"/>
                      <w:lang w:val="zh-CN"/>
                    </w:rPr>
                    <w:t>打桩阶段</w:t>
                  </w:r>
                </w:p>
              </w:tc>
              <w:tc>
                <w:tcPr>
                  <w:tcW w:w="2725"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eastAsia" w:ascii="宋体" w:hAnsi="宋体" w:eastAsia="宋体"/>
                      <w:color w:val="auto"/>
                      <w:kern w:val="0"/>
                      <w:sz w:val="21"/>
                      <w:lang w:val="zh-CN"/>
                    </w:rPr>
                    <w:t>静压打桩机</w:t>
                  </w:r>
                </w:p>
              </w:tc>
              <w:tc>
                <w:tcPr>
                  <w:tcW w:w="3288"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default"/>
                      <w:color w:val="auto"/>
                      <w:kern w:val="0"/>
                      <w:sz w:val="21"/>
                      <w:lang w:val="zh-CN"/>
                    </w:rPr>
                    <w:t>90</w:t>
                  </w:r>
                  <w:r>
                    <w:rPr>
                      <w:rFonts w:hint="eastAsia" w:ascii="宋体" w:hAnsi="宋体" w:eastAsia="宋体"/>
                      <w:color w:val="auto"/>
                      <w:kern w:val="0"/>
                      <w:sz w:val="21"/>
                      <w:lang w:val="zh-CN"/>
                    </w:rPr>
                    <w:t>～95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264" w:hRule="atLeast"/>
                <w:jc w:val="center"/>
              </w:trPr>
              <w:tc>
                <w:tcPr>
                  <w:tcW w:w="2489" w:type="dxa"/>
                  <w:vMerge w:val="restart"/>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eastAsia" w:ascii="宋体" w:hAnsi="宋体" w:eastAsia="宋体"/>
                      <w:color w:val="auto"/>
                      <w:kern w:val="0"/>
                      <w:sz w:val="21"/>
                      <w:lang w:val="zh-CN"/>
                    </w:rPr>
                    <w:t>结构阶段</w:t>
                  </w:r>
                </w:p>
              </w:tc>
              <w:tc>
                <w:tcPr>
                  <w:tcW w:w="2725"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eastAsia" w:ascii="宋体" w:hAnsi="宋体" w:eastAsia="宋体"/>
                      <w:color w:val="auto"/>
                      <w:kern w:val="0"/>
                      <w:sz w:val="21"/>
                      <w:lang w:val="zh-CN"/>
                    </w:rPr>
                    <w:t>振捣机</w:t>
                  </w:r>
                </w:p>
              </w:tc>
              <w:tc>
                <w:tcPr>
                  <w:tcW w:w="3288"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default"/>
                      <w:color w:val="auto"/>
                      <w:kern w:val="0"/>
                      <w:sz w:val="21"/>
                      <w:lang w:val="zh-CN"/>
                    </w:rPr>
                    <w:t>100</w:t>
                  </w:r>
                  <w:r>
                    <w:rPr>
                      <w:rFonts w:hint="eastAsia" w:ascii="宋体" w:hAnsi="宋体" w:eastAsia="宋体"/>
                      <w:color w:val="auto"/>
                      <w:kern w:val="0"/>
                      <w:sz w:val="21"/>
                      <w:lang w:val="zh-CN"/>
                    </w:rPr>
                    <w:t>～105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200" w:hRule="atLeast"/>
                <w:jc w:val="center"/>
              </w:trPr>
              <w:tc>
                <w:tcPr>
                  <w:tcW w:w="2489" w:type="dxa"/>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p>
              </w:tc>
              <w:tc>
                <w:tcPr>
                  <w:tcW w:w="2725"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eastAsia" w:ascii="宋体" w:hAnsi="宋体" w:eastAsia="宋体"/>
                      <w:color w:val="auto"/>
                      <w:kern w:val="0"/>
                      <w:sz w:val="21"/>
                      <w:lang w:val="zh-CN"/>
                    </w:rPr>
                    <w:t>切割机</w:t>
                  </w:r>
                </w:p>
              </w:tc>
              <w:tc>
                <w:tcPr>
                  <w:tcW w:w="3288"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default"/>
                      <w:color w:val="auto"/>
                      <w:kern w:val="0"/>
                      <w:sz w:val="21"/>
                      <w:lang w:val="zh-CN"/>
                    </w:rPr>
                    <w:t>100</w:t>
                  </w:r>
                  <w:r>
                    <w:rPr>
                      <w:rFonts w:hint="eastAsia" w:ascii="宋体" w:hAnsi="宋体" w:eastAsia="宋体"/>
                      <w:color w:val="auto"/>
                      <w:kern w:val="0"/>
                      <w:sz w:val="21"/>
                      <w:lang w:val="zh-CN"/>
                    </w:rPr>
                    <w:t>～110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292" w:hRule="atLeast"/>
                <w:jc w:val="center"/>
              </w:trPr>
              <w:tc>
                <w:tcPr>
                  <w:tcW w:w="2489" w:type="dxa"/>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p>
              </w:tc>
              <w:tc>
                <w:tcPr>
                  <w:tcW w:w="2725"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eastAsia" w:ascii="宋体" w:hAnsi="宋体" w:eastAsia="宋体"/>
                      <w:color w:val="auto"/>
                      <w:kern w:val="0"/>
                      <w:sz w:val="21"/>
                      <w:lang w:val="zh-CN"/>
                    </w:rPr>
                    <w:t>模板拆卸</w:t>
                  </w:r>
                </w:p>
              </w:tc>
              <w:tc>
                <w:tcPr>
                  <w:tcW w:w="3288"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default"/>
                      <w:color w:val="auto"/>
                      <w:kern w:val="0"/>
                      <w:sz w:val="21"/>
                      <w:lang w:val="zh-CN"/>
                    </w:rPr>
                    <w:t>95</w:t>
                  </w:r>
                  <w:r>
                    <w:rPr>
                      <w:rFonts w:hint="eastAsia" w:ascii="宋体" w:hAnsi="宋体" w:eastAsia="宋体"/>
                      <w:color w:val="auto"/>
                      <w:kern w:val="0"/>
                      <w:sz w:val="21"/>
                      <w:lang w:val="zh-CN"/>
                    </w:rPr>
                    <w:t>～105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370" w:hRule="atLeast"/>
                <w:jc w:val="center"/>
              </w:trPr>
              <w:tc>
                <w:tcPr>
                  <w:tcW w:w="2489" w:type="dxa"/>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p>
              </w:tc>
              <w:tc>
                <w:tcPr>
                  <w:tcW w:w="2725"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eastAsia" w:ascii="宋体" w:hAnsi="宋体" w:eastAsia="宋体"/>
                      <w:color w:val="auto"/>
                      <w:kern w:val="0"/>
                      <w:sz w:val="21"/>
                      <w:lang w:val="zh-CN"/>
                    </w:rPr>
                    <w:t>混凝土运送车</w:t>
                  </w:r>
                </w:p>
              </w:tc>
              <w:tc>
                <w:tcPr>
                  <w:tcW w:w="3288"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default"/>
                      <w:color w:val="auto"/>
                      <w:kern w:val="0"/>
                      <w:sz w:val="21"/>
                      <w:lang w:val="zh-CN"/>
                    </w:rPr>
                    <w:t>80</w:t>
                  </w:r>
                  <w:r>
                    <w:rPr>
                      <w:rFonts w:hint="eastAsia" w:ascii="宋体" w:hAnsi="宋体" w:eastAsia="宋体"/>
                      <w:color w:val="auto"/>
                      <w:kern w:val="0"/>
                      <w:sz w:val="21"/>
                      <w:lang w:val="zh-CN"/>
                    </w:rPr>
                    <w:t>～85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290" w:hRule="atLeast"/>
                <w:jc w:val="center"/>
              </w:trPr>
              <w:tc>
                <w:tcPr>
                  <w:tcW w:w="2489" w:type="dxa"/>
                  <w:vMerge w:val="restart"/>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eastAsia" w:ascii="宋体" w:hAnsi="宋体" w:eastAsia="宋体"/>
                      <w:color w:val="auto"/>
                      <w:kern w:val="0"/>
                      <w:sz w:val="21"/>
                      <w:lang w:val="zh-CN"/>
                    </w:rPr>
                    <w:t>室内外装修阶段</w:t>
                  </w:r>
                </w:p>
              </w:tc>
              <w:tc>
                <w:tcPr>
                  <w:tcW w:w="2725"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eastAsia" w:ascii="宋体" w:hAnsi="宋体" w:eastAsia="宋体"/>
                      <w:color w:val="auto"/>
                      <w:kern w:val="0"/>
                      <w:sz w:val="21"/>
                      <w:lang w:val="zh-CN"/>
                    </w:rPr>
                    <w:t>电锯</w:t>
                  </w:r>
                </w:p>
              </w:tc>
              <w:tc>
                <w:tcPr>
                  <w:tcW w:w="3288"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ind w:left="100"/>
                    <w:jc w:val="center"/>
                    <w:rPr>
                      <w:rFonts w:hint="default"/>
                      <w:color w:val="auto"/>
                      <w:kern w:val="0"/>
                      <w:sz w:val="21"/>
                      <w:lang w:val="zh-CN"/>
                    </w:rPr>
                  </w:pPr>
                  <w:r>
                    <w:rPr>
                      <w:rFonts w:hint="default"/>
                      <w:color w:val="auto"/>
                      <w:kern w:val="0"/>
                      <w:sz w:val="21"/>
                      <w:lang w:val="zh-CN"/>
                    </w:rPr>
                    <w:t>100</w:t>
                  </w:r>
                  <w:r>
                    <w:rPr>
                      <w:rFonts w:hint="eastAsia" w:ascii="宋体" w:hAnsi="宋体" w:eastAsia="宋体"/>
                      <w:color w:val="auto"/>
                      <w:kern w:val="0"/>
                      <w:sz w:val="21"/>
                      <w:lang w:val="zh-CN"/>
                    </w:rPr>
                    <w:t>～110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424" w:hRule="atLeast"/>
                <w:jc w:val="center"/>
              </w:trPr>
              <w:tc>
                <w:tcPr>
                  <w:tcW w:w="2489" w:type="dxa"/>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p>
              </w:tc>
              <w:tc>
                <w:tcPr>
                  <w:tcW w:w="2725"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eastAsia" w:ascii="宋体" w:hAnsi="宋体" w:eastAsia="宋体"/>
                      <w:color w:val="auto"/>
                      <w:sz w:val="21"/>
                    </w:rPr>
                    <w:t>砂浆机</w:t>
                  </w:r>
                </w:p>
              </w:tc>
              <w:tc>
                <w:tcPr>
                  <w:tcW w:w="3288"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ind w:left="100"/>
                    <w:jc w:val="center"/>
                    <w:rPr>
                      <w:rFonts w:hint="default"/>
                      <w:color w:val="auto"/>
                      <w:kern w:val="0"/>
                      <w:sz w:val="21"/>
                      <w:lang w:val="zh-CN"/>
                    </w:rPr>
                  </w:pPr>
                  <w:r>
                    <w:rPr>
                      <w:rFonts w:hint="default"/>
                      <w:color w:val="auto"/>
                      <w:kern w:val="0"/>
                      <w:sz w:val="21"/>
                      <w:lang w:val="zh-CN"/>
                    </w:rPr>
                    <w:t>75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269" w:hRule="atLeast"/>
                <w:jc w:val="center"/>
              </w:trPr>
              <w:tc>
                <w:tcPr>
                  <w:tcW w:w="2489" w:type="dxa"/>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p>
              </w:tc>
              <w:tc>
                <w:tcPr>
                  <w:tcW w:w="2725"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sz w:val="21"/>
                    </w:rPr>
                  </w:pPr>
                  <w:r>
                    <w:rPr>
                      <w:rFonts w:hint="eastAsia" w:ascii="宋体" w:hAnsi="宋体" w:eastAsia="宋体"/>
                      <w:color w:val="auto"/>
                      <w:kern w:val="0"/>
                      <w:sz w:val="21"/>
                      <w:lang w:val="zh-CN"/>
                    </w:rPr>
                    <w:t>升降机</w:t>
                  </w:r>
                </w:p>
              </w:tc>
              <w:tc>
                <w:tcPr>
                  <w:tcW w:w="3288"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ind w:left="100"/>
                    <w:jc w:val="center"/>
                    <w:rPr>
                      <w:rFonts w:hint="default"/>
                      <w:color w:val="auto"/>
                      <w:kern w:val="0"/>
                      <w:sz w:val="21"/>
                      <w:lang w:val="zh-CN"/>
                    </w:rPr>
                  </w:pPr>
                  <w:r>
                    <w:rPr>
                      <w:rFonts w:hint="default"/>
                      <w:color w:val="auto"/>
                      <w:kern w:val="0"/>
                      <w:sz w:val="21"/>
                      <w:lang w:val="zh-CN"/>
                    </w:rPr>
                    <w:t>80</w:t>
                  </w:r>
                  <w:r>
                    <w:rPr>
                      <w:rFonts w:hint="eastAsia" w:ascii="宋体" w:hAnsi="宋体" w:eastAsia="宋体"/>
                      <w:color w:val="auto"/>
                      <w:kern w:val="0"/>
                      <w:sz w:val="21"/>
                      <w:lang w:val="zh-CN"/>
                    </w:rPr>
                    <w:t>～90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269" w:hRule="atLeast"/>
                <w:jc w:val="center"/>
              </w:trPr>
              <w:tc>
                <w:tcPr>
                  <w:tcW w:w="2489" w:type="dxa"/>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p>
              </w:tc>
              <w:tc>
                <w:tcPr>
                  <w:tcW w:w="2725"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eastAsia" w:ascii="宋体" w:hAnsi="宋体" w:eastAsia="宋体"/>
                      <w:color w:val="auto"/>
                      <w:kern w:val="0"/>
                      <w:sz w:val="21"/>
                      <w:lang w:val="zh-CN"/>
                    </w:rPr>
                    <w:t>切割机</w:t>
                  </w:r>
                </w:p>
              </w:tc>
              <w:tc>
                <w:tcPr>
                  <w:tcW w:w="3288"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ind w:left="100"/>
                    <w:jc w:val="center"/>
                    <w:rPr>
                      <w:rFonts w:hint="default"/>
                      <w:color w:val="auto"/>
                      <w:kern w:val="0"/>
                      <w:sz w:val="21"/>
                      <w:lang w:val="zh-CN"/>
                    </w:rPr>
                  </w:pPr>
                  <w:r>
                    <w:rPr>
                      <w:rFonts w:hint="default"/>
                      <w:color w:val="auto"/>
                      <w:kern w:val="0"/>
                      <w:sz w:val="21"/>
                      <w:lang w:val="zh-CN"/>
                    </w:rPr>
                    <w:t>100</w:t>
                  </w:r>
                  <w:r>
                    <w:rPr>
                      <w:rFonts w:hint="eastAsia" w:ascii="宋体" w:hAnsi="宋体" w:eastAsia="宋体"/>
                      <w:color w:val="auto"/>
                      <w:kern w:val="0"/>
                      <w:sz w:val="21"/>
                      <w:lang w:val="zh-CN"/>
                    </w:rPr>
                    <w:t>～110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19" w:hRule="atLeast"/>
                <w:jc w:val="center"/>
              </w:trPr>
              <w:tc>
                <w:tcPr>
                  <w:tcW w:w="2489" w:type="dxa"/>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p>
              </w:tc>
              <w:tc>
                <w:tcPr>
                  <w:tcW w:w="2725"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jc w:val="center"/>
                    <w:rPr>
                      <w:rFonts w:hint="default"/>
                      <w:color w:val="auto"/>
                      <w:kern w:val="0"/>
                      <w:sz w:val="21"/>
                      <w:lang w:val="zh-CN"/>
                    </w:rPr>
                  </w:pPr>
                  <w:r>
                    <w:rPr>
                      <w:rFonts w:hint="eastAsia" w:ascii="宋体" w:hAnsi="宋体" w:eastAsia="宋体"/>
                      <w:color w:val="auto"/>
                      <w:kern w:val="0"/>
                      <w:sz w:val="21"/>
                      <w:lang w:val="zh-CN"/>
                    </w:rPr>
                    <w:t>轻型载重卡车</w:t>
                  </w:r>
                </w:p>
              </w:tc>
              <w:tc>
                <w:tcPr>
                  <w:tcW w:w="3288" w:type="dxa"/>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ind w:left="100"/>
                    <w:jc w:val="center"/>
                    <w:rPr>
                      <w:rFonts w:hint="default"/>
                      <w:color w:val="auto"/>
                      <w:kern w:val="0"/>
                      <w:sz w:val="21"/>
                      <w:lang w:val="zh-CN"/>
                    </w:rPr>
                  </w:pPr>
                  <w:r>
                    <w:rPr>
                      <w:rFonts w:hint="default"/>
                      <w:color w:val="auto"/>
                      <w:kern w:val="0"/>
                      <w:sz w:val="21"/>
                      <w:lang w:val="zh-CN"/>
                    </w:rPr>
                    <w:t>75</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default" w:ascii="Times New Roman" w:hAnsi="Times New Roman" w:eastAsia="宋体" w:cs="Times New Roman"/>
                <w:color w:val="auto"/>
                <w:sz w:val="24"/>
                <w:szCs w:val="20"/>
                <w:lang w:val="en-US" w:eastAsia="zh-CN"/>
              </w:rPr>
            </w:pPr>
            <w:r>
              <w:rPr>
                <w:rFonts w:hint="default" w:ascii="Times New Roman" w:hAnsi="Times New Roman" w:eastAsia="宋体" w:cs="Times New Roman"/>
                <w:color w:val="auto"/>
                <w:sz w:val="24"/>
                <w:szCs w:val="20"/>
                <w:lang w:val="en-US" w:eastAsia="zh-CN"/>
              </w:rPr>
              <w:t>施工噪声比较突出的主要是基础挖掘施工场地以及施工运输道路。运输噪声为不连续性噪声，施工场地噪声为连续噪声。施工机械预测噪声预测结果见表4-3：</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表4-3  各主要施工机械在不同距离处的贡献值     单位: dB（A）</w:t>
            </w:r>
          </w:p>
          <w:tbl>
            <w:tblPr>
              <w:tblStyle w:val="37"/>
              <w:tblW w:w="85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01"/>
              <w:gridCol w:w="713"/>
              <w:gridCol w:w="749"/>
              <w:gridCol w:w="740"/>
              <w:gridCol w:w="740"/>
              <w:gridCol w:w="739"/>
              <w:gridCol w:w="740"/>
              <w:gridCol w:w="740"/>
              <w:gridCol w:w="740"/>
              <w:gridCol w:w="741"/>
              <w:gridCol w:w="72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00"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b/>
                      <w:color w:val="auto"/>
                      <w:sz w:val="21"/>
                    </w:rPr>
                  </w:pPr>
                  <w:r>
                    <w:rPr>
                      <w:rFonts w:hint="eastAsia" w:ascii="宋体" w:hAnsi="宋体" w:eastAsia="宋体"/>
                      <w:b/>
                      <w:color w:val="auto"/>
                      <w:sz w:val="21"/>
                    </w:rPr>
                    <w:t>设备名称</w:t>
                  </w:r>
                </w:p>
              </w:tc>
              <w:tc>
                <w:tcPr>
                  <w:tcW w:w="415"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b/>
                      <w:color w:val="auto"/>
                      <w:sz w:val="21"/>
                    </w:rPr>
                  </w:pPr>
                  <w:r>
                    <w:rPr>
                      <w:rFonts w:hint="eastAsia" w:ascii="宋体" w:hAnsi="宋体" w:eastAsia="宋体"/>
                      <w:b/>
                      <w:color w:val="auto"/>
                      <w:sz w:val="21"/>
                    </w:rPr>
                    <w:t>阶段</w:t>
                  </w:r>
                </w:p>
              </w:tc>
              <w:tc>
                <w:tcPr>
                  <w:tcW w:w="436"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b/>
                      <w:color w:val="auto"/>
                      <w:sz w:val="21"/>
                    </w:rPr>
                  </w:pPr>
                  <w:r>
                    <w:rPr>
                      <w:rFonts w:hint="default"/>
                      <w:b/>
                      <w:color w:val="auto"/>
                      <w:sz w:val="21"/>
                    </w:rPr>
                    <w:t>10m</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b/>
                      <w:color w:val="auto"/>
                      <w:sz w:val="21"/>
                    </w:rPr>
                  </w:pPr>
                  <w:r>
                    <w:rPr>
                      <w:rFonts w:hint="default"/>
                      <w:b/>
                      <w:color w:val="auto"/>
                      <w:sz w:val="21"/>
                    </w:rPr>
                    <w:t>20m</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b/>
                      <w:color w:val="auto"/>
                      <w:sz w:val="21"/>
                    </w:rPr>
                  </w:pPr>
                  <w:r>
                    <w:rPr>
                      <w:rFonts w:hint="default"/>
                      <w:b/>
                      <w:color w:val="auto"/>
                      <w:sz w:val="21"/>
                    </w:rPr>
                    <w:t>30m</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b/>
                      <w:color w:val="auto"/>
                      <w:sz w:val="21"/>
                    </w:rPr>
                  </w:pPr>
                  <w:r>
                    <w:rPr>
                      <w:rFonts w:hint="default"/>
                      <w:b/>
                      <w:color w:val="auto"/>
                      <w:sz w:val="21"/>
                    </w:rPr>
                    <w:t>40m</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b/>
                      <w:color w:val="auto"/>
                      <w:sz w:val="21"/>
                    </w:rPr>
                  </w:pPr>
                  <w:r>
                    <w:rPr>
                      <w:rFonts w:hint="default"/>
                      <w:b/>
                      <w:color w:val="auto"/>
                      <w:sz w:val="21"/>
                    </w:rPr>
                    <w:t>50m</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b/>
                      <w:color w:val="auto"/>
                      <w:sz w:val="21"/>
                    </w:rPr>
                  </w:pPr>
                  <w:r>
                    <w:rPr>
                      <w:rFonts w:hint="default"/>
                      <w:b/>
                      <w:color w:val="auto"/>
                      <w:sz w:val="21"/>
                    </w:rPr>
                    <w:t>60m</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b/>
                      <w:color w:val="auto"/>
                      <w:sz w:val="21"/>
                    </w:rPr>
                  </w:pPr>
                  <w:r>
                    <w:rPr>
                      <w:rFonts w:hint="default"/>
                      <w:b/>
                      <w:color w:val="auto"/>
                      <w:sz w:val="21"/>
                    </w:rPr>
                    <w:t>100m</w:t>
                  </w:r>
                </w:p>
              </w:tc>
              <w:tc>
                <w:tcPr>
                  <w:tcW w:w="432"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b/>
                      <w:color w:val="auto"/>
                      <w:sz w:val="21"/>
                    </w:rPr>
                  </w:pPr>
                  <w:r>
                    <w:rPr>
                      <w:rFonts w:hint="default"/>
                      <w:b/>
                      <w:color w:val="auto"/>
                      <w:sz w:val="21"/>
                    </w:rPr>
                    <w:t>200m</w:t>
                  </w:r>
                </w:p>
              </w:tc>
              <w:tc>
                <w:tcPr>
                  <w:tcW w:w="425"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b/>
                      <w:color w:val="auto"/>
                      <w:sz w:val="21"/>
                    </w:rPr>
                  </w:pPr>
                  <w:r>
                    <w:rPr>
                      <w:rFonts w:hint="default"/>
                      <w:b/>
                      <w:color w:val="auto"/>
                      <w:sz w:val="21"/>
                    </w:rPr>
                    <w:t>500m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00" w:type="pct"/>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ind w:left="0" w:leftChars="0" w:right="0" w:rightChars="0" w:firstLine="0" w:firstLineChars="0"/>
                    <w:jc w:val="center"/>
                    <w:rPr>
                      <w:rFonts w:hint="default"/>
                      <w:color w:val="auto"/>
                      <w:kern w:val="0"/>
                      <w:sz w:val="21"/>
                      <w:lang w:val="zh-CN"/>
                    </w:rPr>
                  </w:pPr>
                  <w:r>
                    <w:rPr>
                      <w:rFonts w:hint="eastAsia" w:ascii="宋体" w:hAnsi="宋体" w:eastAsia="宋体"/>
                      <w:color w:val="auto"/>
                      <w:kern w:val="0"/>
                      <w:sz w:val="21"/>
                      <w:lang w:val="zh-CN"/>
                    </w:rPr>
                    <w:t>挖掘机</w:t>
                  </w:r>
                </w:p>
              </w:tc>
              <w:tc>
                <w:tcPr>
                  <w:tcW w:w="415" w:type="pct"/>
                  <w:vMerge w:val="restar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eastAsia" w:ascii="宋体" w:hAnsi="宋体" w:eastAsia="宋体"/>
                      <w:color w:val="auto"/>
                      <w:sz w:val="21"/>
                    </w:rPr>
                    <w:t>主体建筑</w:t>
                  </w:r>
                </w:p>
                <w:p>
                  <w:pPr>
                    <w:spacing w:beforeLines="0" w:afterLines="0" w:line="360" w:lineRule="auto"/>
                    <w:ind w:left="0" w:leftChars="0" w:right="0" w:rightChars="0" w:firstLine="0" w:firstLineChars="0"/>
                    <w:jc w:val="center"/>
                    <w:rPr>
                      <w:rFonts w:hint="default"/>
                      <w:color w:val="auto"/>
                      <w:sz w:val="21"/>
                    </w:rPr>
                  </w:pPr>
                  <w:r>
                    <w:rPr>
                      <w:rFonts w:hint="eastAsia" w:ascii="宋体" w:hAnsi="宋体" w:eastAsia="宋体"/>
                      <w:color w:val="auto"/>
                      <w:sz w:val="21"/>
                    </w:rPr>
                    <w:t>建设</w:t>
                  </w:r>
                  <w:r>
                    <w:rPr>
                      <w:rFonts w:hint="eastAsia" w:ascii="宋体" w:hAnsi="宋体" w:eastAsia="宋体"/>
                      <w:color w:val="auto"/>
                      <w:kern w:val="0"/>
                      <w:sz w:val="21"/>
                      <w:lang w:val="zh-CN"/>
                    </w:rPr>
                    <w:t>阶段</w:t>
                  </w:r>
                </w:p>
              </w:tc>
              <w:tc>
                <w:tcPr>
                  <w:tcW w:w="436"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75.0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67.5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63.0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59.9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57.5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55.9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49.9</w:t>
                  </w:r>
                </w:p>
              </w:tc>
              <w:tc>
                <w:tcPr>
                  <w:tcW w:w="432"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42.2</w:t>
                  </w:r>
                </w:p>
              </w:tc>
              <w:tc>
                <w:tcPr>
                  <w:tcW w:w="425"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34.2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12" w:hRule="atLeast"/>
                <w:jc w:val="center"/>
              </w:trPr>
              <w:tc>
                <w:tcPr>
                  <w:tcW w:w="700" w:type="pct"/>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ind w:left="0" w:leftChars="0" w:right="0" w:rightChars="0" w:firstLine="0" w:firstLineChars="0"/>
                    <w:jc w:val="center"/>
                    <w:rPr>
                      <w:rFonts w:hint="default"/>
                      <w:color w:val="auto"/>
                      <w:kern w:val="0"/>
                      <w:sz w:val="21"/>
                      <w:lang w:val="zh-CN"/>
                    </w:rPr>
                  </w:pPr>
                  <w:r>
                    <w:rPr>
                      <w:rFonts w:hint="eastAsia" w:ascii="宋体" w:hAnsi="宋体" w:eastAsia="宋体"/>
                      <w:color w:val="auto"/>
                      <w:kern w:val="0"/>
                      <w:sz w:val="21"/>
                      <w:lang w:val="zh-CN"/>
                    </w:rPr>
                    <w:t>装载机</w:t>
                  </w:r>
                </w:p>
              </w:tc>
              <w:tc>
                <w:tcPr>
                  <w:tcW w:w="415" w:type="pct"/>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p>
              </w:tc>
              <w:tc>
                <w:tcPr>
                  <w:tcW w:w="436"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70.0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62.5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58.0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54.9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52.5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50.9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44.9</w:t>
                  </w:r>
                </w:p>
              </w:tc>
              <w:tc>
                <w:tcPr>
                  <w:tcW w:w="432"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37.2</w:t>
                  </w:r>
                </w:p>
              </w:tc>
              <w:tc>
                <w:tcPr>
                  <w:tcW w:w="425"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29.2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700" w:type="pct"/>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ind w:left="0" w:leftChars="0" w:right="0" w:rightChars="0" w:firstLine="0" w:firstLineChars="0"/>
                    <w:jc w:val="center"/>
                    <w:rPr>
                      <w:rFonts w:hint="default"/>
                      <w:color w:val="auto"/>
                      <w:kern w:val="0"/>
                      <w:sz w:val="21"/>
                      <w:lang w:val="zh-CN"/>
                    </w:rPr>
                  </w:pPr>
                  <w:r>
                    <w:rPr>
                      <w:rFonts w:hint="eastAsia" w:ascii="宋体" w:hAnsi="宋体" w:eastAsia="宋体"/>
                      <w:color w:val="auto"/>
                      <w:kern w:val="0"/>
                      <w:sz w:val="21"/>
                      <w:lang w:val="zh-CN"/>
                    </w:rPr>
                    <w:t>打桩机</w:t>
                  </w:r>
                </w:p>
              </w:tc>
              <w:tc>
                <w:tcPr>
                  <w:tcW w:w="415" w:type="pct"/>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p>
              </w:tc>
              <w:tc>
                <w:tcPr>
                  <w:tcW w:w="436"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85.0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77.5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73.0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69.9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67.5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65.9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59.9</w:t>
                  </w:r>
                </w:p>
              </w:tc>
              <w:tc>
                <w:tcPr>
                  <w:tcW w:w="432"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52.2</w:t>
                  </w:r>
                </w:p>
              </w:tc>
              <w:tc>
                <w:tcPr>
                  <w:tcW w:w="425"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44.2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00" w:type="pct"/>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ind w:left="0" w:leftChars="0" w:right="0" w:rightChars="0" w:firstLine="0" w:firstLineChars="0"/>
                    <w:jc w:val="center"/>
                    <w:rPr>
                      <w:rFonts w:hint="default"/>
                      <w:color w:val="auto"/>
                      <w:kern w:val="0"/>
                      <w:sz w:val="21"/>
                      <w:lang w:val="zh-CN"/>
                    </w:rPr>
                  </w:pPr>
                  <w:r>
                    <w:rPr>
                      <w:rFonts w:hint="eastAsia" w:ascii="宋体" w:hAnsi="宋体" w:eastAsia="宋体"/>
                      <w:color w:val="auto"/>
                      <w:kern w:val="0"/>
                      <w:sz w:val="21"/>
                      <w:lang w:val="zh-CN"/>
                    </w:rPr>
                    <w:t>振捣机</w:t>
                  </w:r>
                </w:p>
              </w:tc>
              <w:tc>
                <w:tcPr>
                  <w:tcW w:w="415" w:type="pct"/>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p>
              </w:tc>
              <w:tc>
                <w:tcPr>
                  <w:tcW w:w="436"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80.0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72.5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68.0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64.9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62.5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60.9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54.9</w:t>
                  </w:r>
                </w:p>
              </w:tc>
              <w:tc>
                <w:tcPr>
                  <w:tcW w:w="432"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47.2</w:t>
                  </w:r>
                </w:p>
              </w:tc>
              <w:tc>
                <w:tcPr>
                  <w:tcW w:w="425"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39.2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00" w:type="pct"/>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ind w:left="0" w:leftChars="0" w:right="0" w:rightChars="0" w:firstLine="0" w:firstLineChars="0"/>
                    <w:jc w:val="center"/>
                    <w:rPr>
                      <w:rFonts w:hint="default"/>
                      <w:color w:val="auto"/>
                      <w:kern w:val="0"/>
                      <w:sz w:val="21"/>
                      <w:lang w:val="zh-CN"/>
                    </w:rPr>
                  </w:pPr>
                  <w:r>
                    <w:rPr>
                      <w:rFonts w:hint="eastAsia" w:ascii="宋体" w:hAnsi="宋体" w:eastAsia="宋体"/>
                      <w:color w:val="auto"/>
                      <w:kern w:val="0"/>
                      <w:sz w:val="21"/>
                      <w:lang w:val="zh-CN"/>
                    </w:rPr>
                    <w:t>切割机</w:t>
                  </w:r>
                </w:p>
              </w:tc>
              <w:tc>
                <w:tcPr>
                  <w:tcW w:w="415" w:type="pct"/>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p>
              </w:tc>
              <w:tc>
                <w:tcPr>
                  <w:tcW w:w="436"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85.0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77.5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73.0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69.9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67.5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65.9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59.9</w:t>
                  </w:r>
                </w:p>
              </w:tc>
              <w:tc>
                <w:tcPr>
                  <w:tcW w:w="432"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52.2</w:t>
                  </w:r>
                </w:p>
              </w:tc>
              <w:tc>
                <w:tcPr>
                  <w:tcW w:w="425"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44.2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00" w:type="pct"/>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ind w:left="0" w:leftChars="0" w:right="0" w:rightChars="0" w:firstLine="0" w:firstLineChars="0"/>
                    <w:jc w:val="center"/>
                    <w:rPr>
                      <w:rFonts w:hint="default"/>
                      <w:color w:val="auto"/>
                      <w:kern w:val="0"/>
                      <w:sz w:val="21"/>
                      <w:lang w:val="zh-CN"/>
                    </w:rPr>
                  </w:pPr>
                  <w:r>
                    <w:rPr>
                      <w:rFonts w:hint="eastAsia" w:ascii="宋体" w:hAnsi="宋体" w:eastAsia="宋体"/>
                      <w:color w:val="auto"/>
                      <w:kern w:val="0"/>
                      <w:sz w:val="21"/>
                      <w:lang w:val="zh-CN"/>
                    </w:rPr>
                    <w:t>模板拆卸</w:t>
                  </w:r>
                </w:p>
              </w:tc>
              <w:tc>
                <w:tcPr>
                  <w:tcW w:w="415" w:type="pct"/>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p>
              </w:tc>
              <w:tc>
                <w:tcPr>
                  <w:tcW w:w="436"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80.0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72.5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68.0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64.9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62.5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60.9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54.9</w:t>
                  </w:r>
                </w:p>
              </w:tc>
              <w:tc>
                <w:tcPr>
                  <w:tcW w:w="432"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47.2</w:t>
                  </w:r>
                </w:p>
              </w:tc>
              <w:tc>
                <w:tcPr>
                  <w:tcW w:w="425"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39.2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00" w:type="pct"/>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ind w:left="0" w:leftChars="0" w:right="0" w:rightChars="0" w:firstLine="0" w:firstLineChars="0"/>
                    <w:jc w:val="center"/>
                    <w:rPr>
                      <w:rFonts w:hint="default"/>
                      <w:color w:val="auto"/>
                      <w:kern w:val="0"/>
                      <w:sz w:val="21"/>
                      <w:lang w:val="zh-CN"/>
                    </w:rPr>
                  </w:pPr>
                  <w:r>
                    <w:rPr>
                      <w:rFonts w:hint="eastAsia" w:ascii="宋体" w:hAnsi="宋体" w:eastAsia="宋体"/>
                      <w:color w:val="auto"/>
                      <w:kern w:val="0"/>
                      <w:sz w:val="21"/>
                      <w:lang w:val="zh-CN"/>
                    </w:rPr>
                    <w:t>搅拌机</w:t>
                  </w:r>
                </w:p>
              </w:tc>
              <w:tc>
                <w:tcPr>
                  <w:tcW w:w="415" w:type="pct"/>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p>
              </w:tc>
              <w:tc>
                <w:tcPr>
                  <w:tcW w:w="436"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85.0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77.5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73.0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69.9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67.5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65.9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59.9</w:t>
                  </w:r>
                </w:p>
              </w:tc>
              <w:tc>
                <w:tcPr>
                  <w:tcW w:w="432"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52.2</w:t>
                  </w:r>
                </w:p>
              </w:tc>
              <w:tc>
                <w:tcPr>
                  <w:tcW w:w="425"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44.2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700"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eastAsia" w:ascii="宋体" w:hAnsi="宋体" w:eastAsia="宋体"/>
                      <w:color w:val="auto"/>
                      <w:sz w:val="21"/>
                    </w:rPr>
                    <w:t>噪声叠加</w:t>
                  </w:r>
                </w:p>
              </w:tc>
              <w:tc>
                <w:tcPr>
                  <w:tcW w:w="415" w:type="pct"/>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p>
              </w:tc>
              <w:tc>
                <w:tcPr>
                  <w:tcW w:w="436"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90.8</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83.2</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78.8</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75.7</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73.3</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71.7</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65.7</w:t>
                  </w:r>
                </w:p>
              </w:tc>
              <w:tc>
                <w:tcPr>
                  <w:tcW w:w="432"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60.5</w:t>
                  </w:r>
                </w:p>
              </w:tc>
              <w:tc>
                <w:tcPr>
                  <w:tcW w:w="425"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12" w:hRule="atLeast"/>
                <w:jc w:val="center"/>
              </w:trPr>
              <w:tc>
                <w:tcPr>
                  <w:tcW w:w="700" w:type="pct"/>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ind w:left="0" w:leftChars="0" w:right="0" w:rightChars="0" w:firstLine="0" w:firstLineChars="0"/>
                    <w:jc w:val="center"/>
                    <w:rPr>
                      <w:rFonts w:hint="default"/>
                      <w:color w:val="auto"/>
                      <w:kern w:val="0"/>
                      <w:sz w:val="21"/>
                      <w:lang w:val="zh-CN"/>
                    </w:rPr>
                  </w:pPr>
                  <w:r>
                    <w:rPr>
                      <w:rFonts w:hint="eastAsia" w:ascii="宋体" w:hAnsi="宋体" w:eastAsia="宋体"/>
                      <w:color w:val="auto"/>
                      <w:kern w:val="0"/>
                      <w:sz w:val="21"/>
                      <w:lang w:val="zh-CN"/>
                    </w:rPr>
                    <w:t>电锯</w:t>
                  </w:r>
                </w:p>
              </w:tc>
              <w:tc>
                <w:tcPr>
                  <w:tcW w:w="415" w:type="pct"/>
                  <w:vMerge w:val="restar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both"/>
                    <w:rPr>
                      <w:rFonts w:hint="default"/>
                      <w:b/>
                      <w:color w:val="auto"/>
                      <w:sz w:val="21"/>
                    </w:rPr>
                  </w:pPr>
                  <w:r>
                    <w:rPr>
                      <w:rFonts w:hint="eastAsia" w:ascii="宋体" w:hAnsi="宋体" w:eastAsia="宋体"/>
                      <w:color w:val="auto"/>
                      <w:kern w:val="0"/>
                      <w:sz w:val="21"/>
                      <w:lang w:val="zh-CN"/>
                    </w:rPr>
                    <w:t>室内外装修阶段</w:t>
                  </w:r>
                </w:p>
              </w:tc>
              <w:tc>
                <w:tcPr>
                  <w:tcW w:w="436"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85.0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77.5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73.0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69.9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67.5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65.9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59.9</w:t>
                  </w:r>
                </w:p>
              </w:tc>
              <w:tc>
                <w:tcPr>
                  <w:tcW w:w="432"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52.2</w:t>
                  </w:r>
                </w:p>
              </w:tc>
              <w:tc>
                <w:tcPr>
                  <w:tcW w:w="425"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44.2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00" w:type="pct"/>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ind w:left="0" w:leftChars="0" w:right="0" w:rightChars="0" w:firstLine="0" w:firstLineChars="0"/>
                    <w:jc w:val="center"/>
                    <w:rPr>
                      <w:rFonts w:hint="default"/>
                      <w:color w:val="auto"/>
                      <w:kern w:val="0"/>
                      <w:sz w:val="21"/>
                      <w:lang w:val="zh-CN"/>
                    </w:rPr>
                  </w:pPr>
                  <w:r>
                    <w:rPr>
                      <w:rFonts w:hint="eastAsia" w:ascii="宋体" w:hAnsi="宋体" w:eastAsia="宋体"/>
                      <w:color w:val="auto"/>
                      <w:kern w:val="0"/>
                      <w:sz w:val="21"/>
                      <w:lang w:val="zh-CN"/>
                    </w:rPr>
                    <w:t>沙浆机</w:t>
                  </w:r>
                </w:p>
              </w:tc>
              <w:tc>
                <w:tcPr>
                  <w:tcW w:w="415" w:type="pct"/>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b/>
                      <w:color w:val="auto"/>
                      <w:sz w:val="21"/>
                    </w:rPr>
                  </w:pPr>
                </w:p>
              </w:tc>
              <w:tc>
                <w:tcPr>
                  <w:tcW w:w="436"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50.0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42.5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38.0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34.9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32.5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30.9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24.9</w:t>
                  </w:r>
                </w:p>
              </w:tc>
              <w:tc>
                <w:tcPr>
                  <w:tcW w:w="432"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17.2</w:t>
                  </w:r>
                </w:p>
              </w:tc>
              <w:tc>
                <w:tcPr>
                  <w:tcW w:w="425"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9.2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00" w:type="pct"/>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ind w:left="0" w:leftChars="0" w:right="0" w:rightChars="0" w:firstLine="0" w:firstLineChars="0"/>
                    <w:jc w:val="center"/>
                    <w:rPr>
                      <w:rFonts w:hint="default"/>
                      <w:color w:val="auto"/>
                      <w:kern w:val="0"/>
                      <w:sz w:val="21"/>
                      <w:lang w:val="zh-CN"/>
                    </w:rPr>
                  </w:pPr>
                  <w:r>
                    <w:rPr>
                      <w:rFonts w:hint="eastAsia" w:ascii="宋体" w:hAnsi="宋体" w:eastAsia="宋体"/>
                      <w:color w:val="auto"/>
                      <w:kern w:val="0"/>
                      <w:sz w:val="21"/>
                      <w:lang w:val="zh-CN"/>
                    </w:rPr>
                    <w:t>升降机</w:t>
                  </w:r>
                </w:p>
              </w:tc>
              <w:tc>
                <w:tcPr>
                  <w:tcW w:w="415" w:type="pct"/>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b/>
                      <w:color w:val="auto"/>
                      <w:sz w:val="21"/>
                    </w:rPr>
                  </w:pPr>
                </w:p>
              </w:tc>
              <w:tc>
                <w:tcPr>
                  <w:tcW w:w="436"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60.0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57.5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53.0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49.9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47.5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45.9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39.9</w:t>
                  </w:r>
                </w:p>
              </w:tc>
              <w:tc>
                <w:tcPr>
                  <w:tcW w:w="432"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32.2</w:t>
                  </w:r>
                </w:p>
              </w:tc>
              <w:tc>
                <w:tcPr>
                  <w:tcW w:w="425"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24.2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00" w:type="pct"/>
                  <w:tcBorders>
                    <w:top w:val="single" w:color="auto" w:sz="6" w:space="0"/>
                    <w:left w:val="single" w:color="auto" w:sz="6" w:space="0"/>
                    <w:bottom w:val="single" w:color="auto" w:sz="6" w:space="0"/>
                    <w:right w:val="single" w:color="auto" w:sz="6" w:space="0"/>
                    <w:tl2br w:val="nil"/>
                    <w:tr2bl w:val="nil"/>
                  </w:tcBorders>
                  <w:noWrap w:val="0"/>
                  <w:vAlign w:val="center"/>
                </w:tcPr>
                <w:p>
                  <w:pPr>
                    <w:autoSpaceDE w:val="0"/>
                    <w:autoSpaceDN w:val="0"/>
                    <w:adjustRightInd w:val="0"/>
                    <w:spacing w:beforeLines="0" w:afterLines="0" w:line="360" w:lineRule="auto"/>
                    <w:ind w:left="0" w:leftChars="0" w:right="0" w:rightChars="0" w:firstLine="0" w:firstLineChars="0"/>
                    <w:jc w:val="center"/>
                    <w:rPr>
                      <w:rFonts w:hint="default"/>
                      <w:color w:val="auto"/>
                      <w:kern w:val="0"/>
                      <w:sz w:val="21"/>
                      <w:lang w:val="zh-CN"/>
                    </w:rPr>
                  </w:pPr>
                  <w:r>
                    <w:rPr>
                      <w:rFonts w:hint="eastAsia" w:ascii="宋体" w:hAnsi="宋体" w:eastAsia="宋体"/>
                      <w:color w:val="auto"/>
                      <w:kern w:val="0"/>
                      <w:sz w:val="21"/>
                      <w:lang w:val="zh-CN"/>
                    </w:rPr>
                    <w:t>切割机</w:t>
                  </w:r>
                </w:p>
              </w:tc>
              <w:tc>
                <w:tcPr>
                  <w:tcW w:w="415" w:type="pct"/>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b/>
                      <w:color w:val="auto"/>
                      <w:sz w:val="21"/>
                    </w:rPr>
                  </w:pPr>
                </w:p>
              </w:tc>
              <w:tc>
                <w:tcPr>
                  <w:tcW w:w="436"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85.0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77.5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73.0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69.9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67.5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65.9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59.9</w:t>
                  </w:r>
                </w:p>
              </w:tc>
              <w:tc>
                <w:tcPr>
                  <w:tcW w:w="432"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52.2</w:t>
                  </w:r>
                </w:p>
              </w:tc>
              <w:tc>
                <w:tcPr>
                  <w:tcW w:w="425"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44.2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700"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eastAsia" w:ascii="宋体" w:hAnsi="宋体" w:eastAsia="宋体"/>
                      <w:color w:val="auto"/>
                      <w:sz w:val="21"/>
                    </w:rPr>
                    <w:t>噪声叠加</w:t>
                  </w:r>
                </w:p>
              </w:tc>
              <w:tc>
                <w:tcPr>
                  <w:tcW w:w="415" w:type="pct"/>
                  <w:vMerge w:val="continue"/>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p>
              </w:tc>
              <w:tc>
                <w:tcPr>
                  <w:tcW w:w="436"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88.0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80.5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76.0</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72.9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70.5</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68.9</w:t>
                  </w:r>
                </w:p>
              </w:tc>
              <w:tc>
                <w:tcPr>
                  <w:tcW w:w="431"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62.9</w:t>
                  </w:r>
                </w:p>
              </w:tc>
              <w:tc>
                <w:tcPr>
                  <w:tcW w:w="432"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57.0</w:t>
                  </w:r>
                </w:p>
              </w:tc>
              <w:tc>
                <w:tcPr>
                  <w:tcW w:w="425" w:type="pct"/>
                  <w:tcBorders>
                    <w:top w:val="single" w:color="auto" w:sz="6" w:space="0"/>
                    <w:left w:val="single" w:color="auto" w:sz="6" w:space="0"/>
                    <w:bottom w:val="single" w:color="auto" w:sz="6" w:space="0"/>
                    <w:right w:val="single" w:color="auto" w:sz="6" w:space="0"/>
                    <w:tl2br w:val="nil"/>
                    <w:tr2bl w:val="nil"/>
                  </w:tcBorders>
                  <w:noWrap w:val="0"/>
                  <w:vAlign w:val="center"/>
                </w:tcPr>
                <w:p>
                  <w:pPr>
                    <w:spacing w:beforeLines="0" w:afterLines="0" w:line="360" w:lineRule="auto"/>
                    <w:ind w:left="0" w:leftChars="0" w:right="0" w:rightChars="0" w:firstLine="0" w:firstLineChars="0"/>
                    <w:jc w:val="center"/>
                    <w:rPr>
                      <w:rFonts w:hint="default"/>
                      <w:color w:val="auto"/>
                      <w:sz w:val="21"/>
                    </w:rPr>
                  </w:pPr>
                  <w:r>
                    <w:rPr>
                      <w:rFonts w:hint="default"/>
                      <w:color w:val="auto"/>
                      <w:sz w:val="21"/>
                    </w:rPr>
                    <w:t>47.2</w:t>
                  </w:r>
                </w:p>
              </w:tc>
            </w:tr>
          </w:tbl>
          <w:p>
            <w:pPr>
              <w:autoSpaceDE w:val="0"/>
              <w:autoSpaceDN w:val="0"/>
              <w:adjustRightInd w:val="0"/>
              <w:spacing w:line="360" w:lineRule="auto"/>
              <w:ind w:firstLine="480" w:firstLineChars="200"/>
              <w:rPr>
                <w:rFonts w:hint="eastAsia" w:ascii="Dutch" w:hAnsi="Dutch" w:eastAsia="宋体" w:cs="Times New Roman"/>
                <w:color w:val="auto"/>
                <w:sz w:val="24"/>
                <w:szCs w:val="20"/>
              </w:rPr>
            </w:pPr>
            <w:r>
              <w:rPr>
                <w:rFonts w:ascii="Dutch" w:hAnsi="Dutch" w:eastAsia="宋体" w:cs="Times New Roman"/>
                <w:color w:val="auto"/>
                <w:sz w:val="24"/>
                <w:szCs w:val="20"/>
              </w:rPr>
              <w:t>根据</w:t>
            </w:r>
            <w:r>
              <w:rPr>
                <w:rFonts w:hint="eastAsia" w:ascii="Dutch" w:hAnsi="Dutch" w:eastAsia="宋体" w:cs="Times New Roman"/>
                <w:color w:val="auto"/>
                <w:sz w:val="24"/>
                <w:szCs w:val="20"/>
              </w:rPr>
              <w:t>表</w:t>
            </w:r>
            <w:r>
              <w:rPr>
                <w:rFonts w:hint="eastAsia" w:ascii="Dutch" w:hAnsi="Dutch" w:eastAsia="宋体" w:cs="Times New Roman"/>
                <w:color w:val="auto"/>
                <w:sz w:val="24"/>
                <w:szCs w:val="20"/>
                <w:lang w:val="en-US" w:eastAsia="zh-CN"/>
              </w:rPr>
              <w:t>4-3</w:t>
            </w:r>
            <w:r>
              <w:rPr>
                <w:rFonts w:ascii="Dutch" w:hAnsi="Dutch" w:eastAsia="宋体" w:cs="Times New Roman"/>
                <w:color w:val="auto"/>
                <w:sz w:val="24"/>
                <w:szCs w:val="20"/>
              </w:rPr>
              <w:t>可知，在施工机械全部同时使用的情况下，本项目结构阶段场界噪声多声源叠加值62m范围外满足《建筑施工场界噪声限值》（GB12523-2011）昼间70dB（A）要求，500m范围外满足《建筑施工场界噪声限值》（GB12523-2011）夜间55dB（A）的要求；装修阶段场界噪声多声源叠加值51m范围内超过《建筑施工场界噪声限值》（GB12523-2011）昼间70dB（A）要求，201m范围内超过《建筑施工场界噪声限值》（GB12523-2011）夜间55dB（A）的要求。</w:t>
            </w:r>
          </w:p>
          <w:p>
            <w:pPr>
              <w:widowControl w:val="0"/>
              <w:adjustRightInd w:val="0"/>
              <w:snapToGrid w:val="0"/>
              <w:spacing w:line="360" w:lineRule="auto"/>
              <w:ind w:firstLine="480" w:firstLineChars="200"/>
              <w:jc w:val="both"/>
              <w:rPr>
                <w:rFonts w:hint="eastAsia" w:ascii="Dutch" w:hAnsi="Dutch" w:eastAsia="宋体" w:cs="Times New Roman"/>
                <w:color w:val="auto"/>
                <w:kern w:val="2"/>
                <w:sz w:val="24"/>
                <w:szCs w:val="18"/>
                <w:lang w:val="en-US" w:eastAsia="zh-CN" w:bidi="ar-SA"/>
              </w:rPr>
            </w:pPr>
            <w:r>
              <w:rPr>
                <w:rFonts w:ascii="Dutch" w:hAnsi="Dutch" w:eastAsia="宋体" w:cs="Times New Roman"/>
                <w:color w:val="auto"/>
                <w:kern w:val="2"/>
                <w:sz w:val="24"/>
                <w:szCs w:val="24"/>
                <w:lang w:val="en-US" w:eastAsia="zh-CN" w:bidi="ar-SA"/>
              </w:rPr>
              <w:t>结合</w:t>
            </w:r>
            <w:r>
              <w:rPr>
                <w:rFonts w:hint="eastAsia" w:ascii="Dutch" w:hAnsi="Dutch" w:eastAsia="宋体" w:cs="Times New Roman"/>
                <w:color w:val="auto"/>
                <w:kern w:val="2"/>
                <w:sz w:val="24"/>
                <w:szCs w:val="24"/>
                <w:lang w:val="en-US" w:eastAsia="zh-CN" w:bidi="ar-SA"/>
              </w:rPr>
              <w:t>表4-3</w:t>
            </w:r>
            <w:r>
              <w:rPr>
                <w:rFonts w:ascii="Dutch" w:hAnsi="Dutch" w:eastAsia="宋体" w:cs="Times New Roman"/>
                <w:color w:val="auto"/>
                <w:kern w:val="2"/>
                <w:sz w:val="24"/>
                <w:szCs w:val="24"/>
                <w:lang w:val="en-US" w:eastAsia="zh-CN" w:bidi="ar-SA"/>
              </w:rPr>
              <w:t>可知，大型施工设备发出的噪声衰减到</w:t>
            </w:r>
            <w:r>
              <w:rPr>
                <w:rFonts w:hint="eastAsia" w:ascii="Dutch" w:hAnsi="Dutch" w:eastAsia="宋体" w:cs="Times New Roman"/>
                <w:color w:val="auto"/>
                <w:kern w:val="2"/>
                <w:sz w:val="24"/>
                <w:szCs w:val="24"/>
                <w:lang w:val="en-US" w:eastAsia="zh-CN" w:bidi="ar-SA"/>
              </w:rPr>
              <w:t>80</w:t>
            </w:r>
            <w:r>
              <w:rPr>
                <w:rFonts w:ascii="Dutch" w:hAnsi="Dutch" w:eastAsia="宋体" w:cs="Times New Roman"/>
                <w:color w:val="auto"/>
                <w:kern w:val="2"/>
                <w:sz w:val="24"/>
                <w:szCs w:val="24"/>
                <w:lang w:val="en-US" w:eastAsia="zh-CN" w:bidi="ar-SA"/>
              </w:rPr>
              <w:t>m处不能满足《建筑施工厂界环境噪声排放标准》（GB12523-2011）的排放要求限值，以上预测的噪声值是各个机械运行时的噪声值，实际施工中，大型机械不可能都同时使用，噪声值将比叠加值小，同时项目在工棚内作业，噪声损失通常在25~30dB，由此，项目在到达厂界</w:t>
            </w:r>
            <w:r>
              <w:rPr>
                <w:rFonts w:hint="eastAsia" w:ascii="Dutch" w:hAnsi="Dutch" w:eastAsia="宋体" w:cs="Times New Roman"/>
                <w:color w:val="auto"/>
                <w:kern w:val="2"/>
                <w:sz w:val="24"/>
                <w:szCs w:val="24"/>
                <w:lang w:val="en-US" w:eastAsia="zh-CN" w:bidi="ar-SA"/>
              </w:rPr>
              <w:t>30</w:t>
            </w:r>
            <w:r>
              <w:rPr>
                <w:rFonts w:ascii="Dutch" w:hAnsi="Dutch" w:eastAsia="宋体" w:cs="Times New Roman"/>
                <w:color w:val="auto"/>
                <w:kern w:val="2"/>
                <w:sz w:val="24"/>
                <w:szCs w:val="24"/>
                <w:lang w:val="en-US" w:eastAsia="zh-CN" w:bidi="ar-SA"/>
              </w:rPr>
              <w:t>m处的噪声值为</w:t>
            </w:r>
            <w:r>
              <w:rPr>
                <w:rFonts w:hint="eastAsia" w:ascii="Dutch" w:hAnsi="Dutch" w:eastAsia="宋体" w:cs="Times New Roman"/>
                <w:color w:val="auto"/>
                <w:kern w:val="2"/>
                <w:sz w:val="24"/>
                <w:szCs w:val="24"/>
                <w:lang w:val="en-US" w:eastAsia="zh-CN" w:bidi="ar-SA"/>
              </w:rPr>
              <w:t>53.8</w:t>
            </w:r>
            <w:r>
              <w:rPr>
                <w:rFonts w:ascii="Dutch" w:hAnsi="Dutch" w:eastAsia="宋体" w:cs="Times New Roman"/>
                <w:color w:val="auto"/>
                <w:kern w:val="2"/>
                <w:sz w:val="24"/>
                <w:szCs w:val="24"/>
                <w:lang w:val="en-US" w:eastAsia="zh-CN" w:bidi="ar-SA"/>
              </w:rPr>
              <w:t>~</w:t>
            </w:r>
            <w:r>
              <w:rPr>
                <w:rFonts w:hint="eastAsia" w:ascii="Dutch" w:hAnsi="Dutch" w:eastAsia="宋体" w:cs="Times New Roman"/>
                <w:color w:val="auto"/>
                <w:kern w:val="2"/>
                <w:sz w:val="24"/>
                <w:szCs w:val="24"/>
                <w:lang w:val="en-US" w:eastAsia="zh-CN" w:bidi="ar-SA"/>
              </w:rPr>
              <w:t>38</w:t>
            </w:r>
            <w:r>
              <w:rPr>
                <w:rFonts w:ascii="Dutch" w:hAnsi="Dutch" w:eastAsia="宋体" w:cs="Times New Roman"/>
                <w:color w:val="auto"/>
                <w:kern w:val="2"/>
                <w:sz w:val="24"/>
                <w:szCs w:val="24"/>
                <w:lang w:val="en-US" w:eastAsia="zh-CN" w:bidi="ar-SA"/>
              </w:rPr>
              <w:t>dB，能满足《建筑施工厂界环境噪声排放标准》（GB12523-2011）的排放要求限值</w:t>
            </w:r>
            <w:r>
              <w:rPr>
                <w:rFonts w:hint="eastAsia" w:ascii="Dutch" w:hAnsi="Dutch" w:eastAsia="宋体" w:cs="Times New Roman"/>
                <w:color w:val="auto"/>
                <w:kern w:val="2"/>
                <w:sz w:val="24"/>
                <w:szCs w:val="24"/>
                <w:lang w:val="en-US" w:eastAsia="zh-CN" w:bidi="ar-SA"/>
              </w:rPr>
              <w:t>。</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Dutch" w:hAnsi="Dutch" w:eastAsia="宋体" w:cs="Times New Roman"/>
                <w:b/>
                <w:bCs/>
                <w:color w:val="auto"/>
                <w:kern w:val="2"/>
                <w:sz w:val="24"/>
                <w:szCs w:val="18"/>
                <w:lang w:val="en-US" w:eastAsia="zh-CN" w:bidi="ar-SA"/>
              </w:rPr>
            </w:pPr>
            <w:r>
              <w:rPr>
                <w:rFonts w:hint="eastAsia" w:ascii="Dutch" w:hAnsi="Dutch" w:eastAsia="宋体" w:cs="Times New Roman"/>
                <w:b/>
                <w:bCs/>
                <w:color w:val="auto"/>
                <w:kern w:val="2"/>
                <w:sz w:val="24"/>
                <w:szCs w:val="18"/>
                <w:lang w:val="en-US" w:eastAsia="zh-CN" w:bidi="ar-SA"/>
              </w:rPr>
              <w:t>噪声控制措施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imes New Roman" w:hAnsi="Times New Roman" w:eastAsia="宋体" w:cs="Times New Roman"/>
                <w:color w:val="auto"/>
                <w:kern w:val="2"/>
                <w:sz w:val="24"/>
                <w:szCs w:val="18"/>
                <w:lang w:val="en-US" w:eastAsia="zh-CN" w:bidi="ar-SA"/>
              </w:rPr>
            </w:pPr>
            <w:r>
              <w:rPr>
                <w:rFonts w:hint="eastAsia" w:ascii="Times New Roman" w:hAnsi="Times New Roman" w:eastAsia="宋体" w:cs="Times New Roman"/>
                <w:color w:val="auto"/>
                <w:kern w:val="2"/>
                <w:sz w:val="24"/>
                <w:szCs w:val="18"/>
                <w:lang w:val="en-US" w:eastAsia="zh-CN" w:bidi="ar-SA"/>
              </w:rPr>
              <w:t>①</w:t>
            </w:r>
            <w:r>
              <w:rPr>
                <w:rFonts w:hint="default" w:ascii="Times New Roman" w:hAnsi="Times New Roman" w:eastAsia="宋体" w:cs="Times New Roman"/>
                <w:color w:val="auto"/>
                <w:kern w:val="2"/>
                <w:sz w:val="24"/>
                <w:szCs w:val="18"/>
                <w:lang w:val="en-US" w:eastAsia="zh-CN" w:bidi="ar-SA"/>
              </w:rPr>
              <w:t>加强管理，合理施工，认真落实各项防治措施，同时与周围居民协调好关系，并注意听取周围单位的合理意见，就能尽量避免扰民事件的发生</w:t>
            </w:r>
            <w:r>
              <w:rPr>
                <w:rFonts w:hint="eastAsia" w:ascii="Times New Roman" w:hAnsi="Times New Roman" w:eastAsia="宋体" w:cs="Times New Roman"/>
                <w:color w:val="auto"/>
                <w:kern w:val="2"/>
                <w:sz w:val="24"/>
                <w:szCs w:val="18"/>
                <w:lang w:val="en-US" w:eastAsia="zh-CN" w:bidi="ar-SA"/>
              </w:rPr>
              <w:t>。</w:t>
            </w:r>
            <w:r>
              <w:rPr>
                <w:rFonts w:hint="default" w:ascii="Times New Roman" w:hAnsi="Times New Roman" w:eastAsia="宋体" w:cs="Times New Roman"/>
                <w:color w:val="auto"/>
                <w:kern w:val="2"/>
                <w:sz w:val="24"/>
                <w:szCs w:val="18"/>
                <w:lang w:val="en-US" w:eastAsia="zh-CN" w:bidi="ar-SA"/>
              </w:rPr>
              <w:t>施工期结束后，相应的噪声污染即随之消失，不会对周围环境产生长期不良影响</w:t>
            </w:r>
            <w:r>
              <w:rPr>
                <w:rFonts w:hint="eastAsia" w:ascii="Times New Roman" w:hAnsi="Times New Roman" w:eastAsia="宋体" w:cs="Times New Roman"/>
                <w:color w:val="auto"/>
                <w:kern w:val="2"/>
                <w:sz w:val="24"/>
                <w:szCs w:val="18"/>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imes New Roman" w:hAnsi="Times New Roman" w:eastAsia="宋体" w:cs="Times New Roman"/>
                <w:color w:val="auto"/>
                <w:kern w:val="2"/>
                <w:sz w:val="24"/>
                <w:szCs w:val="18"/>
                <w:lang w:val="en-US" w:eastAsia="zh-CN" w:bidi="ar-SA"/>
              </w:rPr>
            </w:pPr>
            <w:r>
              <w:rPr>
                <w:rFonts w:hint="eastAsia" w:ascii="Times New Roman" w:hAnsi="Times New Roman" w:eastAsia="宋体" w:cs="Times New Roman"/>
                <w:color w:val="auto"/>
                <w:kern w:val="2"/>
                <w:sz w:val="24"/>
                <w:szCs w:val="18"/>
                <w:lang w:val="en-US" w:eastAsia="zh-CN" w:bidi="ar-SA"/>
              </w:rPr>
              <w:t>②夜间（22:00-6:00）、中午（12:00-14:00）期间不施工。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Times New Roman" w:hAnsi="Times New Roman" w:eastAsia="宋体" w:cs="Times New Roman"/>
                <w:color w:val="auto"/>
                <w:kern w:val="2"/>
                <w:sz w:val="24"/>
                <w:szCs w:val="18"/>
                <w:lang w:val="en-US" w:eastAsia="zh-CN" w:bidi="ar-SA"/>
              </w:rPr>
            </w:pPr>
            <w:r>
              <w:rPr>
                <w:rFonts w:hint="eastAsia" w:ascii="Times New Roman" w:hAnsi="Times New Roman" w:eastAsia="宋体" w:cs="Times New Roman"/>
                <w:color w:val="auto"/>
                <w:kern w:val="2"/>
                <w:sz w:val="24"/>
                <w:szCs w:val="18"/>
                <w:lang w:val="en-US" w:eastAsia="zh-CN" w:bidi="ar-SA"/>
              </w:rPr>
              <w:t>③运输车辆进入项目区后禁止鸣喇叭、减速行驶；空闲设备关闭，减少噪声的产生。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default" w:ascii="Times New Roman" w:hAnsi="Times New Roman" w:eastAsia="宋体" w:cs="Times New Roman"/>
                <w:color w:val="auto"/>
                <w:kern w:val="2"/>
                <w:sz w:val="24"/>
                <w:szCs w:val="18"/>
                <w:lang w:val="en-US" w:eastAsia="zh-CN" w:bidi="ar-SA"/>
              </w:rPr>
            </w:pPr>
            <w:r>
              <w:rPr>
                <w:rFonts w:hint="eastAsia" w:eastAsia="宋体" w:cs="Times New Roman"/>
                <w:color w:val="auto"/>
                <w:kern w:val="2"/>
                <w:sz w:val="24"/>
                <w:szCs w:val="18"/>
                <w:lang w:val="en-US" w:eastAsia="zh-CN" w:bidi="ar-SA"/>
              </w:rPr>
              <w:t>④因必须连续作业夜间进行施工，须提前向生态环境管理部门办理夜间施工证明，并告之附近居民。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default" w:ascii="Dutch" w:hAnsi="Dutch" w:eastAsia="宋体" w:cs="Times New Roman"/>
                <w:b/>
                <w:bCs/>
                <w:color w:val="auto"/>
                <w:sz w:val="24"/>
                <w:szCs w:val="20"/>
                <w:lang w:val="en-US" w:eastAsia="zh-CN"/>
              </w:rPr>
            </w:pPr>
            <w:r>
              <w:rPr>
                <w:rFonts w:hint="default" w:ascii="Dutch" w:hAnsi="Dutch" w:eastAsia="宋体" w:cs="Times New Roman"/>
                <w:b/>
                <w:bCs/>
                <w:color w:val="auto"/>
                <w:sz w:val="24"/>
                <w:szCs w:val="20"/>
                <w:lang w:val="en-US" w:eastAsia="zh-CN"/>
              </w:rPr>
              <w:t>5、生态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ascii="Dutch" w:hAnsi="Dutch" w:eastAsia="宋体" w:cs="Times New Roman"/>
                <w:b/>
                <w:bCs/>
                <w:color w:val="auto"/>
                <w:sz w:val="24"/>
                <w:szCs w:val="20"/>
                <w:lang w:val="en-US" w:eastAsia="zh-CN"/>
              </w:rPr>
            </w:pPr>
            <w:r>
              <w:rPr>
                <w:rFonts w:hint="eastAsia" w:ascii="Dutch" w:hAnsi="Dutch" w:eastAsia="宋体" w:cs="Times New Roman"/>
                <w:b/>
                <w:bCs/>
                <w:color w:val="auto"/>
                <w:sz w:val="24"/>
                <w:szCs w:val="20"/>
                <w:lang w:val="en-US" w:eastAsia="zh-CN"/>
              </w:rPr>
              <w:t>（1）生态环境影响分析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default" w:ascii="Dutch" w:hAnsi="Dutch" w:eastAsia="宋体" w:cs="Times New Roman"/>
                <w:color w:val="auto"/>
                <w:sz w:val="24"/>
                <w:szCs w:val="20"/>
                <w:lang w:val="en-US" w:eastAsia="zh-CN"/>
              </w:rPr>
            </w:pPr>
            <w:r>
              <w:rPr>
                <w:rFonts w:hint="default" w:ascii="Dutch" w:hAnsi="Dutch" w:eastAsia="宋体" w:cs="Times New Roman"/>
                <w:color w:val="auto"/>
                <w:sz w:val="24"/>
                <w:szCs w:val="20"/>
                <w:lang w:val="en-US" w:eastAsia="zh-CN"/>
              </w:rPr>
              <w:t>施工期将进行土地平整、建筑物基础开挖、道路修筑等施工活动，若不加强管理，将造成表土裸露、松动，土壤抗蚀能力减弱，雨季侵蚀强度加大，如果不加强施工期的管理，加强防范措施，将加剧水土流失。水土流失会对工程所在区域的水土资源及生态环境带来一定影响，其可能产生的危害有以下几个方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default" w:ascii="Dutch" w:hAnsi="Dutch" w:eastAsia="宋体" w:cs="Times New Roman"/>
                <w:color w:val="auto"/>
                <w:sz w:val="24"/>
                <w:szCs w:val="20"/>
                <w:lang w:val="en-US" w:eastAsia="zh-CN"/>
              </w:rPr>
            </w:pPr>
            <w:r>
              <w:rPr>
                <w:rFonts w:hint="eastAsia" w:ascii="Dutch" w:hAnsi="Dutch" w:eastAsia="宋体" w:cs="Times New Roman"/>
                <w:color w:val="auto"/>
                <w:sz w:val="24"/>
                <w:szCs w:val="20"/>
                <w:lang w:val="en-US" w:eastAsia="zh-CN"/>
              </w:rPr>
              <w:t>①</w:t>
            </w:r>
            <w:r>
              <w:rPr>
                <w:rFonts w:hint="default" w:ascii="Dutch" w:hAnsi="Dutch" w:eastAsia="宋体" w:cs="Times New Roman"/>
                <w:color w:val="auto"/>
                <w:sz w:val="24"/>
                <w:szCs w:val="20"/>
                <w:lang w:val="en-US" w:eastAsia="zh-CN"/>
              </w:rPr>
              <w:t>导致区域内水土流失加剧，区域环境受到影响；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default" w:ascii="Dutch" w:hAnsi="Dutch" w:eastAsia="宋体" w:cs="Times New Roman"/>
                <w:color w:val="auto"/>
                <w:sz w:val="24"/>
                <w:szCs w:val="20"/>
                <w:lang w:val="en-US" w:eastAsia="zh-CN"/>
              </w:rPr>
            </w:pPr>
            <w:r>
              <w:rPr>
                <w:rFonts w:hint="eastAsia" w:ascii="Dutch" w:hAnsi="Dutch" w:eastAsia="宋体" w:cs="Times New Roman"/>
                <w:color w:val="auto"/>
                <w:sz w:val="24"/>
                <w:szCs w:val="20"/>
                <w:lang w:val="en-US" w:eastAsia="zh-CN"/>
              </w:rPr>
              <w:t>②</w:t>
            </w:r>
            <w:r>
              <w:rPr>
                <w:rFonts w:hint="default" w:ascii="Dutch" w:hAnsi="Dutch" w:eastAsia="宋体" w:cs="Times New Roman"/>
                <w:color w:val="auto"/>
                <w:sz w:val="24"/>
                <w:szCs w:val="20"/>
                <w:lang w:val="en-US" w:eastAsia="zh-CN"/>
              </w:rPr>
              <w:t>对主体工程安全运行的影响。水土流失将影响本工程的施工建设和运行，工程施工期产生的建筑垃圾若不能及时有效地处理，将又会产生新的水土流失。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default" w:ascii="Dutch" w:hAnsi="Dutch" w:eastAsia="宋体" w:cs="Times New Roman"/>
                <w:color w:val="auto"/>
                <w:sz w:val="24"/>
                <w:szCs w:val="20"/>
                <w:lang w:val="en-US" w:eastAsia="zh-CN"/>
              </w:rPr>
            </w:pPr>
            <w:r>
              <w:rPr>
                <w:rFonts w:hint="eastAsia" w:ascii="Dutch" w:hAnsi="Dutch" w:eastAsia="宋体" w:cs="Times New Roman"/>
                <w:color w:val="auto"/>
                <w:sz w:val="24"/>
                <w:szCs w:val="20"/>
                <w:lang w:val="en-US" w:eastAsia="zh-CN"/>
              </w:rPr>
              <w:t>③</w:t>
            </w:r>
            <w:r>
              <w:rPr>
                <w:rFonts w:hint="default" w:ascii="Dutch" w:hAnsi="Dutch" w:eastAsia="宋体" w:cs="Times New Roman"/>
                <w:color w:val="auto"/>
                <w:sz w:val="24"/>
                <w:szCs w:val="20"/>
                <w:lang w:val="en-US" w:eastAsia="zh-CN"/>
              </w:rPr>
              <w:t>工程土方开挖、运输及材料运输的散落物在大风天气容易造成扬尘，且对周边环境有一定的影响。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jc w:val="both"/>
              <w:textAlignment w:val="auto"/>
              <w:rPr>
                <w:rFonts w:hint="eastAsia" w:ascii="Dutch" w:hAnsi="Dutch" w:eastAsia="宋体" w:cs="Times New Roman"/>
                <w:b/>
                <w:bCs/>
                <w:color w:val="auto"/>
                <w:sz w:val="24"/>
                <w:szCs w:val="20"/>
                <w:lang w:val="en-US" w:eastAsia="zh-CN"/>
              </w:rPr>
            </w:pPr>
            <w:r>
              <w:rPr>
                <w:rFonts w:hint="eastAsia" w:ascii="Dutch" w:hAnsi="Dutch" w:eastAsia="宋体" w:cs="Times New Roman"/>
                <w:b/>
                <w:bCs/>
                <w:color w:val="auto"/>
                <w:sz w:val="24"/>
                <w:szCs w:val="20"/>
                <w:lang w:val="en-US" w:eastAsia="zh-CN"/>
              </w:rPr>
              <w:t>（2）生态环境保护措施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rPr>
                <w:rFonts w:hint="default" w:ascii="Dutch" w:hAnsi="Dutch" w:eastAsia="宋体" w:cs="Times New Roman"/>
                <w:color w:val="auto"/>
                <w:sz w:val="24"/>
                <w:szCs w:val="20"/>
                <w:lang w:val="en-US" w:eastAsia="zh-CN"/>
              </w:rPr>
            </w:pPr>
            <w:r>
              <w:rPr>
                <w:rFonts w:hint="default" w:ascii="Dutch" w:hAnsi="Dutch" w:eastAsia="宋体" w:cs="Times New Roman"/>
                <w:color w:val="auto"/>
                <w:sz w:val="24"/>
                <w:szCs w:val="20"/>
                <w:lang w:val="en-US" w:eastAsia="zh-CN"/>
              </w:rPr>
              <w:t>项目施工场地较为平整，土石方量不是很大，故挖方过程中引起水土流失的可能性较小；但建设过程中施工期的土石渣料，不可避免的会产生部分水土流失；项目引起的水土流失会造成排水管网或河道的堵塞，严重时可能引起洪涝灾害。建设单位应采取设置临时雨水排水设施和夯实裸露地面等措施控制水土流失，并且施工应尽量在原有地形上进行，并采取“建成一片、绿化一片”的方式组织施工，使绿化的生态环境效益尽快能够体现，而且可以减小水土流失影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959" w:type="dxa"/>
            <w:vAlign w:val="center"/>
          </w:tcPr>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Cs/>
                <w:color w:val="auto"/>
                <w:szCs w:val="20"/>
              </w:rPr>
            </w:pPr>
            <w:r>
              <w:rPr>
                <w:rFonts w:hint="eastAsia" w:cs="Times New Roman" w:asciiTheme="minorEastAsia" w:hAnsiTheme="minorEastAsia"/>
                <w:b/>
                <w:bCs/>
                <w:color w:val="auto"/>
                <w:szCs w:val="20"/>
              </w:rPr>
              <w:t>运营期环境影响及保护措施</w:t>
            </w:r>
          </w:p>
          <w:p>
            <w:pPr>
              <w:ind w:firstLine="600"/>
              <w:jc w:val="center"/>
              <w:rPr>
                <w:rFonts w:cs="Times New Roman" w:asciiTheme="minorEastAsia" w:hAnsiTheme="minorEastAsia"/>
                <w:bCs/>
                <w:color w:val="auto"/>
                <w:sz w:val="30"/>
                <w:szCs w:val="30"/>
              </w:rPr>
            </w:pPr>
          </w:p>
          <w:p>
            <w:pPr>
              <w:ind w:firstLine="600"/>
              <w:jc w:val="center"/>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Cs/>
                <w:color w:val="auto"/>
                <w:szCs w:val="2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Cs/>
                <w:color w:val="auto"/>
                <w:szCs w:val="2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Cs/>
                <w:color w:val="auto"/>
                <w:szCs w:val="20"/>
              </w:rPr>
            </w:pPr>
            <w:r>
              <w:rPr>
                <w:rFonts w:hint="eastAsia" w:cs="Times New Roman" w:asciiTheme="minorEastAsia" w:hAnsiTheme="minorEastAsia"/>
                <w:b/>
                <w:bCs/>
                <w:color w:val="auto"/>
                <w:szCs w:val="20"/>
              </w:rPr>
              <w:t>运营期环境影响及保护措施</w:t>
            </w: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Cs/>
                <w:color w:val="auto"/>
                <w:szCs w:val="20"/>
              </w:rPr>
            </w:pPr>
            <w:r>
              <w:rPr>
                <w:rFonts w:hint="eastAsia" w:cs="Times New Roman" w:asciiTheme="minorEastAsia" w:hAnsiTheme="minorEastAsia"/>
                <w:b/>
                <w:bCs/>
                <w:color w:val="auto"/>
                <w:szCs w:val="20"/>
              </w:rPr>
              <w:t>运营期环境影响及保护措施</w:t>
            </w: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Cs/>
                <w:color w:val="auto"/>
                <w:szCs w:val="20"/>
              </w:rPr>
            </w:pPr>
            <w:r>
              <w:rPr>
                <w:rFonts w:hint="eastAsia" w:cs="Times New Roman" w:asciiTheme="minorEastAsia" w:hAnsiTheme="minorEastAsia"/>
                <w:b/>
                <w:bCs/>
                <w:color w:val="auto"/>
                <w:szCs w:val="20"/>
              </w:rPr>
              <w:t>运营期环境影响及保护措施</w:t>
            </w: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Cs/>
                <w:color w:val="auto"/>
                <w:szCs w:val="20"/>
              </w:rPr>
            </w:pPr>
            <w:r>
              <w:rPr>
                <w:rFonts w:hint="eastAsia" w:cs="Times New Roman" w:asciiTheme="minorEastAsia" w:hAnsiTheme="minorEastAsia"/>
                <w:b/>
                <w:bCs/>
                <w:color w:val="auto"/>
                <w:szCs w:val="20"/>
              </w:rPr>
              <w:t>运营期环境影响及保护措施</w:t>
            </w: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Cs/>
                <w:color w:val="auto"/>
                <w:szCs w:val="20"/>
              </w:rPr>
            </w:pPr>
            <w:r>
              <w:rPr>
                <w:rFonts w:hint="eastAsia" w:cs="Times New Roman" w:asciiTheme="minorEastAsia" w:hAnsiTheme="minorEastAsia"/>
                <w:b/>
                <w:bCs/>
                <w:color w:val="auto"/>
                <w:szCs w:val="20"/>
              </w:rPr>
              <w:t>运营期环境影响及保护措施</w:t>
            </w: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Cs/>
                <w:color w:val="auto"/>
                <w:szCs w:val="20"/>
              </w:rPr>
            </w:pPr>
            <w:r>
              <w:rPr>
                <w:rFonts w:hint="eastAsia" w:cs="Times New Roman" w:asciiTheme="minorEastAsia" w:hAnsiTheme="minorEastAsia"/>
                <w:b/>
                <w:bCs/>
                <w:color w:val="auto"/>
                <w:szCs w:val="20"/>
              </w:rPr>
              <w:t>运营期环境影响及保护措施</w:t>
            </w: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198" w:firstLineChars="66"/>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Cs/>
                <w:color w:val="auto"/>
                <w:szCs w:val="20"/>
              </w:rPr>
            </w:pPr>
            <w:r>
              <w:rPr>
                <w:rFonts w:hint="eastAsia" w:cs="Times New Roman" w:asciiTheme="minorEastAsia" w:hAnsiTheme="minorEastAsia"/>
                <w:b/>
                <w:bCs/>
                <w:color w:val="auto"/>
                <w:szCs w:val="20"/>
              </w:rPr>
              <w:t>运营期环境影响及保护措施</w:t>
            </w: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Cs/>
                <w:color w:val="auto"/>
                <w:szCs w:val="20"/>
              </w:rPr>
            </w:pPr>
            <w:r>
              <w:rPr>
                <w:rFonts w:hint="eastAsia" w:cs="Times New Roman" w:asciiTheme="minorEastAsia" w:hAnsiTheme="minorEastAsia"/>
                <w:b/>
                <w:bCs/>
                <w:color w:val="auto"/>
                <w:szCs w:val="20"/>
              </w:rPr>
              <w:t>运营期环境影响及保护措施</w:t>
            </w: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Cs/>
                <w:color w:val="auto"/>
                <w:szCs w:val="20"/>
              </w:rPr>
            </w:pPr>
            <w:r>
              <w:rPr>
                <w:rFonts w:hint="eastAsia" w:cs="Times New Roman" w:asciiTheme="minorEastAsia" w:hAnsiTheme="minorEastAsia"/>
                <w:b/>
                <w:bCs/>
                <w:color w:val="auto"/>
                <w:szCs w:val="20"/>
              </w:rPr>
              <w:t>运营期环境影响及保护措施</w:t>
            </w: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Cs/>
                <w:color w:val="auto"/>
                <w:szCs w:val="20"/>
              </w:rPr>
            </w:pPr>
            <w:r>
              <w:rPr>
                <w:rFonts w:hint="eastAsia" w:cs="Times New Roman" w:asciiTheme="minorEastAsia" w:hAnsiTheme="minorEastAsia"/>
                <w:b/>
                <w:bCs/>
                <w:color w:val="auto"/>
                <w:szCs w:val="20"/>
              </w:rPr>
              <w:t>运营期环境影响及保护措施</w:t>
            </w: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Cs/>
                <w:color w:val="auto"/>
                <w:szCs w:val="20"/>
              </w:rPr>
            </w:pPr>
            <w:r>
              <w:rPr>
                <w:rFonts w:hint="eastAsia" w:cs="Times New Roman" w:asciiTheme="minorEastAsia" w:hAnsiTheme="minorEastAsia"/>
                <w:b/>
                <w:bCs/>
                <w:color w:val="auto"/>
                <w:szCs w:val="20"/>
              </w:rPr>
              <w:t>运营期环境影响及保护措施</w:t>
            </w: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Cs/>
                <w:color w:val="auto"/>
                <w:szCs w:val="20"/>
              </w:rPr>
            </w:pPr>
            <w:r>
              <w:rPr>
                <w:rFonts w:hint="eastAsia" w:cs="Times New Roman" w:asciiTheme="minorEastAsia" w:hAnsiTheme="minorEastAsia"/>
                <w:b/>
                <w:bCs/>
                <w:color w:val="auto"/>
                <w:szCs w:val="20"/>
              </w:rPr>
              <w:t>运营期环境影响及保护措施</w:t>
            </w: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
                <w:bCs/>
                <w:color w:val="auto"/>
                <w:szCs w:val="20"/>
              </w:rPr>
            </w:pPr>
          </w:p>
          <w:p>
            <w:pPr>
              <w:ind w:firstLine="0" w:firstLineChars="0"/>
              <w:jc w:val="center"/>
              <w:rPr>
                <w:rFonts w:cs="Times New Roman" w:asciiTheme="minorEastAsia" w:hAnsiTheme="minorEastAsia"/>
                <w:bCs/>
                <w:color w:val="auto"/>
                <w:szCs w:val="20"/>
              </w:rPr>
            </w:pPr>
            <w:r>
              <w:rPr>
                <w:rFonts w:hint="eastAsia" w:cs="Times New Roman" w:asciiTheme="minorEastAsia" w:hAnsiTheme="minorEastAsia"/>
                <w:b/>
                <w:bCs/>
                <w:color w:val="auto"/>
                <w:szCs w:val="20"/>
              </w:rPr>
              <w:t>运营期环境影响及保护措施</w:t>
            </w: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p>
            <w:pPr>
              <w:ind w:firstLine="600"/>
              <w:rPr>
                <w:rFonts w:cs="Times New Roman" w:asciiTheme="minorEastAsia" w:hAnsiTheme="minorEastAsia"/>
                <w:bCs/>
                <w:color w:val="auto"/>
                <w:sz w:val="30"/>
                <w:szCs w:val="30"/>
              </w:rPr>
            </w:pPr>
          </w:p>
        </w:tc>
        <w:tc>
          <w:tcPr>
            <w:tcW w:w="8669" w:type="dxa"/>
            <w:vAlign w:val="center"/>
          </w:tcPr>
          <w:p>
            <w:pPr>
              <w:pStyle w:val="34"/>
              <w:ind w:firstLine="482"/>
              <w:rPr>
                <w:color w:val="auto"/>
              </w:rPr>
            </w:pPr>
            <w:r>
              <w:rPr>
                <w:color w:val="auto"/>
              </w:rPr>
              <w:t>1</w:t>
            </w:r>
            <w:r>
              <w:rPr>
                <w:rFonts w:hint="eastAsia"/>
                <w:color w:val="auto"/>
              </w:rPr>
              <w:t>、废气</w:t>
            </w:r>
          </w:p>
          <w:p>
            <w:pPr>
              <w:ind w:firstLine="480"/>
              <w:rPr>
                <w:color w:val="auto"/>
              </w:rPr>
            </w:pPr>
            <w:r>
              <w:rPr>
                <w:rFonts w:hint="eastAsia"/>
                <w:color w:val="auto"/>
              </w:rPr>
              <w:t>项目</w:t>
            </w:r>
            <w:r>
              <w:rPr>
                <w:color w:val="auto"/>
              </w:rPr>
              <w:t>主要废气排放为</w:t>
            </w:r>
            <w:r>
              <w:rPr>
                <w:rFonts w:hint="eastAsia"/>
                <w:color w:val="auto"/>
              </w:rPr>
              <w:t>：废水处理站、医院消毒、医疗废物和生活垃圾等产生的异味，发电机废气，以及食堂油烟。</w:t>
            </w:r>
          </w:p>
          <w:p>
            <w:pPr>
              <w:ind w:firstLine="480"/>
              <w:rPr>
                <w:rFonts w:hint="eastAsia" w:eastAsiaTheme="minorEastAsia"/>
                <w:b/>
                <w:bCs/>
                <w:color w:val="auto"/>
                <w:lang w:eastAsia="zh-CN"/>
              </w:rPr>
            </w:pPr>
            <w:r>
              <w:rPr>
                <w:rFonts w:hint="eastAsia"/>
                <w:b/>
                <w:bCs/>
                <w:color w:val="auto"/>
              </w:rPr>
              <w:t>（1）</w:t>
            </w:r>
            <w:r>
              <w:rPr>
                <w:rFonts w:hint="eastAsia"/>
                <w:b/>
                <w:bCs/>
                <w:color w:val="auto"/>
                <w:lang w:eastAsia="zh-CN"/>
              </w:rPr>
              <w:t>源强及环境影响分析</w:t>
            </w:r>
          </w:p>
          <w:p>
            <w:pPr>
              <w:ind w:firstLine="480"/>
              <w:rPr>
                <w:color w:val="auto"/>
              </w:rPr>
            </w:pPr>
            <w:r>
              <w:rPr>
                <w:rFonts w:hint="eastAsia"/>
                <w:color w:val="auto"/>
                <w:lang w:val="en-US" w:eastAsia="zh-CN"/>
              </w:rPr>
              <w:t>1）</w:t>
            </w:r>
            <w:r>
              <w:rPr>
                <w:rFonts w:hint="eastAsia"/>
                <w:color w:val="auto"/>
              </w:rPr>
              <w:t>备用发电机组烟气</w:t>
            </w:r>
          </w:p>
          <w:p>
            <w:pPr>
              <w:ind w:firstLine="480"/>
              <w:rPr>
                <w:color w:val="auto"/>
              </w:rPr>
            </w:pPr>
            <w:r>
              <w:rPr>
                <w:rFonts w:hint="eastAsia"/>
                <w:color w:val="auto"/>
              </w:rPr>
              <w:t>为防止停电造成医用设备不能正常运行，医院在</w:t>
            </w:r>
            <w:r>
              <w:rPr>
                <w:rFonts w:hint="eastAsia"/>
                <w:color w:val="auto"/>
                <w:lang w:val="en-US" w:eastAsia="zh-CN"/>
              </w:rPr>
              <w:t>地下一层</w:t>
            </w:r>
            <w:r>
              <w:rPr>
                <w:rFonts w:hint="eastAsia"/>
                <w:color w:val="auto"/>
              </w:rPr>
              <w:t>发电机房设置有一台</w:t>
            </w:r>
            <w:r>
              <w:rPr>
                <w:rFonts w:hint="eastAsia"/>
                <w:color w:val="auto"/>
                <w:lang w:val="en-US" w:eastAsia="zh-CN"/>
              </w:rPr>
              <w:t>250</w:t>
            </w:r>
            <w:r>
              <w:rPr>
                <w:rFonts w:hint="eastAsia"/>
                <w:color w:val="auto"/>
              </w:rPr>
              <w:t>kW的柴油发电机，发电过程中会产生一定量的燃油烟气，废气中主要污染物为</w:t>
            </w:r>
            <w:r>
              <w:rPr>
                <w:color w:val="auto"/>
              </w:rPr>
              <w:t>CO</w:t>
            </w:r>
            <w:r>
              <w:rPr>
                <w:rFonts w:hint="eastAsia"/>
                <w:color w:val="auto"/>
              </w:rPr>
              <w:t>、</w:t>
            </w:r>
            <w:r>
              <w:rPr>
                <w:color w:val="auto"/>
              </w:rPr>
              <w:t>HC</w:t>
            </w:r>
            <w:r>
              <w:rPr>
                <w:rFonts w:hint="eastAsia"/>
                <w:color w:val="auto"/>
              </w:rPr>
              <w:t>、</w:t>
            </w:r>
            <w:r>
              <w:rPr>
                <w:color w:val="auto"/>
              </w:rPr>
              <w:t>PM</w:t>
            </w:r>
            <w:r>
              <w:rPr>
                <w:color w:val="auto"/>
                <w:vertAlign w:val="subscript"/>
              </w:rPr>
              <w:t>10</w:t>
            </w:r>
            <w:r>
              <w:rPr>
                <w:rFonts w:hint="eastAsia"/>
                <w:color w:val="auto"/>
              </w:rPr>
              <w:t>、</w:t>
            </w:r>
            <w:r>
              <w:rPr>
                <w:color w:val="auto"/>
              </w:rPr>
              <w:t>NO</w:t>
            </w:r>
            <w:r>
              <w:rPr>
                <w:color w:val="auto"/>
                <w:vertAlign w:val="subscript"/>
              </w:rPr>
              <w:t>x</w:t>
            </w:r>
            <w:r>
              <w:rPr>
                <w:rFonts w:hint="eastAsia"/>
                <w:color w:val="auto"/>
              </w:rPr>
              <w:t>等。柴油发电机房将发动机烟气用管道引到室外绿化地排放，项目区域内供电系统较为稳定，备用发电机使用频率较低，废气产生量小对环境影响很小。</w:t>
            </w:r>
          </w:p>
          <w:p>
            <w:pPr>
              <w:ind w:firstLine="480"/>
              <w:rPr>
                <w:color w:val="auto"/>
              </w:rPr>
            </w:pPr>
            <w:r>
              <w:rPr>
                <w:rFonts w:hint="eastAsia"/>
                <w:color w:val="auto"/>
                <w:lang w:val="en-US" w:eastAsia="zh-CN"/>
              </w:rPr>
              <w:t>2）</w:t>
            </w:r>
            <w:r>
              <w:rPr>
                <w:rFonts w:hint="eastAsia"/>
                <w:color w:val="auto"/>
              </w:rPr>
              <w:t>异味</w:t>
            </w:r>
          </w:p>
          <w:p>
            <w:pPr>
              <w:ind w:firstLine="480"/>
              <w:rPr>
                <w:color w:val="auto"/>
              </w:rPr>
            </w:pPr>
            <w:r>
              <w:rPr>
                <w:color w:val="auto"/>
              </w:rPr>
              <w:fldChar w:fldCharType="begin"/>
            </w:r>
            <w:r>
              <w:rPr>
                <w:color w:val="auto"/>
              </w:rPr>
              <w:instrText xml:space="preserve"> </w:instrText>
            </w:r>
            <w:r>
              <w:rPr>
                <w:rFonts w:hint="eastAsia"/>
                <w:color w:val="auto"/>
              </w:rPr>
              <w:instrText xml:space="preserve">= 1 \* GB3</w:instrText>
            </w:r>
            <w:r>
              <w:rPr>
                <w:color w:val="auto"/>
              </w:rPr>
              <w:instrText xml:space="preserve"> </w:instrText>
            </w:r>
            <w:r>
              <w:rPr>
                <w:color w:val="auto"/>
              </w:rPr>
              <w:fldChar w:fldCharType="separate"/>
            </w:r>
            <w:r>
              <w:rPr>
                <w:rFonts w:hint="eastAsia"/>
                <w:color w:val="auto"/>
              </w:rPr>
              <w:t>①</w:t>
            </w:r>
            <w:r>
              <w:rPr>
                <w:color w:val="auto"/>
              </w:rPr>
              <w:fldChar w:fldCharType="end"/>
            </w:r>
            <w:r>
              <w:rPr>
                <w:color w:val="auto"/>
              </w:rPr>
              <w:t>污</w:t>
            </w:r>
            <w:r>
              <w:rPr>
                <w:rFonts w:hint="eastAsia"/>
                <w:color w:val="auto"/>
              </w:rPr>
              <w:t>水</w:t>
            </w:r>
            <w:r>
              <w:rPr>
                <w:color w:val="auto"/>
              </w:rPr>
              <w:t>处</w:t>
            </w:r>
            <w:r>
              <w:rPr>
                <w:rFonts w:hint="eastAsia"/>
                <w:color w:val="auto"/>
              </w:rPr>
              <w:t>理设</w:t>
            </w:r>
            <w:r>
              <w:rPr>
                <w:color w:val="auto"/>
              </w:rPr>
              <w:t>施异</w:t>
            </w:r>
            <w:r>
              <w:rPr>
                <w:rFonts w:hint="eastAsia"/>
                <w:color w:val="auto"/>
              </w:rPr>
              <w:t>味</w:t>
            </w:r>
          </w:p>
          <w:p>
            <w:pPr>
              <w:ind w:firstLine="480"/>
              <w:rPr>
                <w:color w:val="auto"/>
                <w:highlight w:val="none"/>
              </w:rPr>
            </w:pPr>
            <w:r>
              <w:rPr>
                <w:rFonts w:hint="eastAsia"/>
                <w:color w:val="auto"/>
                <w:highlight w:val="none"/>
              </w:rPr>
              <w:t>医院污水处理系统为地埋式，异味散发量很小，污水处理站位于</w:t>
            </w:r>
            <w:r>
              <w:rPr>
                <w:rFonts w:hint="eastAsia"/>
                <w:color w:val="auto"/>
                <w:highlight w:val="none"/>
                <w:lang w:eastAsia="zh-CN"/>
              </w:rPr>
              <w:t>住院部综合楼南面的地下一层</w:t>
            </w:r>
            <w:r>
              <w:rPr>
                <w:rFonts w:hint="eastAsia"/>
                <w:color w:val="auto"/>
                <w:highlight w:val="none"/>
                <w:lang w:val="en-US" w:eastAsia="zh-CN"/>
              </w:rPr>
              <w:t>，污水处理站采取地埋式，并加盖，产生的异味很少，经过自然扩散后</w:t>
            </w:r>
            <w:r>
              <w:rPr>
                <w:rFonts w:hint="eastAsia"/>
                <w:color w:val="auto"/>
                <w:highlight w:val="none"/>
              </w:rPr>
              <w:t>对人群和周围大气环境影响很小。</w:t>
            </w:r>
          </w:p>
          <w:p>
            <w:pPr>
              <w:ind w:firstLine="480"/>
              <w:rPr>
                <w:color w:val="auto"/>
                <w:highlight w:val="none"/>
              </w:rPr>
            </w:pPr>
            <w:r>
              <w:rPr>
                <w:color w:val="auto"/>
                <w:highlight w:val="none"/>
              </w:rPr>
              <w:fldChar w:fldCharType="begin"/>
            </w:r>
            <w:r>
              <w:rPr>
                <w:color w:val="auto"/>
                <w:highlight w:val="none"/>
              </w:rPr>
              <w:instrText xml:space="preserve"> </w:instrText>
            </w:r>
            <w:r>
              <w:rPr>
                <w:rFonts w:hint="eastAsia"/>
                <w:color w:val="auto"/>
                <w:highlight w:val="none"/>
              </w:rPr>
              <w:instrText xml:space="preserve">= 2 \* GB3</w:instrText>
            </w:r>
            <w:r>
              <w:rPr>
                <w:color w:val="auto"/>
                <w:highlight w:val="none"/>
              </w:rPr>
              <w:instrText xml:space="preserve"> </w:instrText>
            </w:r>
            <w:r>
              <w:rPr>
                <w:color w:val="auto"/>
                <w:highlight w:val="none"/>
              </w:rPr>
              <w:fldChar w:fldCharType="separate"/>
            </w:r>
            <w:r>
              <w:rPr>
                <w:rFonts w:hint="eastAsia"/>
                <w:color w:val="auto"/>
                <w:highlight w:val="none"/>
              </w:rPr>
              <w:t>②</w:t>
            </w:r>
            <w:r>
              <w:rPr>
                <w:color w:val="auto"/>
                <w:highlight w:val="none"/>
              </w:rPr>
              <w:fldChar w:fldCharType="end"/>
            </w:r>
            <w:r>
              <w:rPr>
                <w:rFonts w:hint="eastAsia"/>
                <w:color w:val="auto"/>
                <w:highlight w:val="none"/>
              </w:rPr>
              <w:t>消毒异味</w:t>
            </w:r>
          </w:p>
          <w:p>
            <w:pPr>
              <w:ind w:firstLine="480"/>
              <w:rPr>
                <w:color w:val="auto"/>
              </w:rPr>
            </w:pPr>
            <w:r>
              <w:rPr>
                <w:color w:val="auto"/>
              </w:rPr>
              <w:t>为降低</w:t>
            </w:r>
            <w:r>
              <w:rPr>
                <w:rFonts w:hint="eastAsia"/>
                <w:color w:val="auto"/>
                <w:lang w:eastAsia="zh-CN"/>
              </w:rPr>
              <w:t>医院</w:t>
            </w:r>
            <w:r>
              <w:rPr>
                <w:rFonts w:hint="eastAsia"/>
                <w:color w:val="auto"/>
              </w:rPr>
              <w:t>内</w:t>
            </w:r>
            <w:r>
              <w:rPr>
                <w:color w:val="auto"/>
              </w:rPr>
              <w:t>空气中的含菌量，院内经常使用</w:t>
            </w:r>
            <w:r>
              <w:rPr>
                <w:rFonts w:hint="eastAsia"/>
                <w:color w:val="auto"/>
              </w:rPr>
              <w:t>次氯酸钠、过氧乙酸等</w:t>
            </w:r>
            <w:r>
              <w:rPr>
                <w:color w:val="auto"/>
              </w:rPr>
              <w:t>消毒剂对楼道、卫生间等进行消毒处理，此过程中会有少量异味产生；</w:t>
            </w:r>
            <w:r>
              <w:rPr>
                <w:rFonts w:hint="eastAsia"/>
                <w:color w:val="auto"/>
              </w:rPr>
              <w:t>此外，项目对衣物进行洗涤消毒过程采用的次氯酸钠消毒间也会产生少量异味。医院消毒异味主要为消毒剂挥发产生，其产生量不大，且主要在室内产生，在保证正常通风换气的情况下，对院内人群和周围环境影响不大。</w:t>
            </w:r>
          </w:p>
          <w:p>
            <w:pPr>
              <w:ind w:firstLine="480"/>
              <w:rPr>
                <w:color w:val="auto"/>
              </w:rPr>
            </w:pPr>
            <w:r>
              <w:rPr>
                <w:color w:val="auto"/>
              </w:rPr>
              <w:fldChar w:fldCharType="begin"/>
            </w:r>
            <w:r>
              <w:rPr>
                <w:color w:val="auto"/>
              </w:rPr>
              <w:instrText xml:space="preserve"> </w:instrText>
            </w:r>
            <w:r>
              <w:rPr>
                <w:rFonts w:hint="eastAsia"/>
                <w:color w:val="auto"/>
              </w:rPr>
              <w:instrText xml:space="preserve">= 3 \* GB3</w:instrText>
            </w:r>
            <w:r>
              <w:rPr>
                <w:color w:val="auto"/>
              </w:rPr>
              <w:instrText xml:space="preserve"> </w:instrText>
            </w:r>
            <w:r>
              <w:rPr>
                <w:color w:val="auto"/>
              </w:rPr>
              <w:fldChar w:fldCharType="separate"/>
            </w:r>
            <w:r>
              <w:rPr>
                <w:rFonts w:hint="eastAsia"/>
                <w:color w:val="auto"/>
              </w:rPr>
              <w:t>③</w:t>
            </w:r>
            <w:r>
              <w:rPr>
                <w:color w:val="auto"/>
              </w:rPr>
              <w:fldChar w:fldCharType="end"/>
            </w:r>
            <w:r>
              <w:rPr>
                <w:rFonts w:hint="eastAsia"/>
                <w:color w:val="auto"/>
                <w:lang w:val="en-US" w:eastAsia="zh-CN"/>
              </w:rPr>
              <w:t>医疗</w:t>
            </w:r>
            <w:r>
              <w:rPr>
                <w:rFonts w:hint="eastAsia"/>
                <w:color w:val="auto"/>
              </w:rPr>
              <w:t>废物暂存间异味</w:t>
            </w:r>
          </w:p>
          <w:p>
            <w:pPr>
              <w:ind w:left="0" w:leftChars="0" w:firstLine="0" w:firstLineChars="0"/>
              <w:rPr>
                <w:rFonts w:hint="eastAsia"/>
                <w:color w:val="auto"/>
              </w:rPr>
            </w:pPr>
            <w:r>
              <w:rPr>
                <w:rFonts w:hint="eastAsia"/>
                <w:color w:val="auto"/>
              </w:rPr>
              <w:t>医疗废物暂存间主要用于临时存储项目内产生的医疗固废，医疗固废上残留的药品、血液、体液</w:t>
            </w:r>
            <w:r>
              <w:rPr>
                <w:rFonts w:hint="eastAsia"/>
                <w:color w:val="auto"/>
                <w:lang w:val="en-US" w:eastAsia="zh-CN"/>
              </w:rPr>
              <w:t>及</w:t>
            </w:r>
            <w:r>
              <w:rPr>
                <w:rFonts w:hint="eastAsia"/>
                <w:color w:val="auto"/>
              </w:rPr>
              <w:t>排泄物污染等在临时贮存过程中会有恶臭产生。医院医疗废物装入收集</w:t>
            </w:r>
            <w:r>
              <w:rPr>
                <w:rFonts w:hint="eastAsia"/>
                <w:color w:val="auto"/>
                <w:lang w:val="en-US" w:eastAsia="zh-CN"/>
              </w:rPr>
              <w:t>箱</w:t>
            </w:r>
            <w:r>
              <w:rPr>
                <w:rFonts w:hint="eastAsia"/>
                <w:color w:val="auto"/>
              </w:rPr>
              <w:t>后放置于周转箱内</w:t>
            </w:r>
            <w:r>
              <w:rPr>
                <w:rFonts w:hint="eastAsia"/>
                <w:color w:val="auto"/>
                <w:lang w:eastAsia="zh-CN"/>
              </w:rPr>
              <w:t>，</w:t>
            </w:r>
            <w:r>
              <w:rPr>
                <w:rFonts w:hint="eastAsia"/>
                <w:color w:val="auto"/>
              </w:rPr>
              <w:t>医疗废物暂存间位于</w:t>
            </w:r>
            <w:r>
              <w:rPr>
                <w:rFonts w:hint="eastAsia"/>
                <w:color w:val="auto"/>
                <w:lang w:eastAsia="zh-CN"/>
              </w:rPr>
              <w:t>主入口门卫消控室旁边的</w:t>
            </w:r>
            <w:r>
              <w:rPr>
                <w:rFonts w:hint="eastAsia"/>
                <w:color w:val="auto"/>
              </w:rPr>
              <w:t>独立房间内，平时暂存间均处于密闭状态，散发到外界的异味很小，暂存时间短，暂存时间不超过48小时，对周围环境影响较小。</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Theme="minorEastAsia"/>
                <w:color w:val="auto"/>
                <w:lang w:val="en-US" w:eastAsia="zh-CN"/>
              </w:rPr>
            </w:pPr>
            <w:r>
              <w:rPr>
                <w:rFonts w:hint="eastAsia"/>
                <w:color w:val="auto"/>
                <w:highlight w:val="none"/>
                <w:lang w:val="en-US" w:eastAsia="zh-CN"/>
              </w:rPr>
              <w:t>根据《医疗废物管理条例》</w:t>
            </w:r>
            <w:r>
              <w:rPr>
                <w:rFonts w:hint="eastAsia"/>
                <w:color w:val="auto"/>
                <w:highlight w:val="none"/>
              </w:rPr>
              <w:t>第十七条</w:t>
            </w:r>
            <w:r>
              <w:rPr>
                <w:rFonts w:hint="eastAsia"/>
                <w:color w:val="auto"/>
                <w:highlight w:val="none"/>
                <w:lang w:eastAsia="zh-CN"/>
              </w:rPr>
              <w:t>：</w:t>
            </w:r>
            <w:r>
              <w:rPr>
                <w:rFonts w:hint="default"/>
                <w:color w:val="auto"/>
                <w:highlight w:val="none"/>
              </w:rPr>
              <w:t>医疗卫生机构应当建立医疗废物的暂时贮存设施、设备，不得露天存放医疗废物</w:t>
            </w:r>
            <w:r>
              <w:rPr>
                <w:rFonts w:hint="eastAsia"/>
                <w:color w:val="auto"/>
                <w:highlight w:val="none"/>
                <w:lang w:eastAsia="zh-CN"/>
              </w:rPr>
              <w:t>，</w:t>
            </w:r>
            <w:r>
              <w:rPr>
                <w:rFonts w:hint="default"/>
                <w:color w:val="auto"/>
                <w:highlight w:val="none"/>
              </w:rPr>
              <w:t>医疗废物暂时贮存的时间不得超过2天</w:t>
            </w:r>
            <w:r>
              <w:rPr>
                <w:rFonts w:hint="eastAsia"/>
                <w:color w:val="auto"/>
                <w:highlight w:val="none"/>
                <w:lang w:eastAsia="zh-CN"/>
              </w:rPr>
              <w:t>；</w:t>
            </w:r>
            <w:r>
              <w:rPr>
                <w:rFonts w:hint="eastAsia"/>
                <w:color w:val="auto"/>
                <w:highlight w:val="none"/>
                <w:lang w:val="en-US" w:eastAsia="zh-CN"/>
              </w:rPr>
              <w:t>根据《医疗卫生机构医疗废物管理办法》</w:t>
            </w:r>
            <w:r>
              <w:rPr>
                <w:rFonts w:hint="eastAsia"/>
                <w:color w:val="auto"/>
                <w:highlight w:val="none"/>
              </w:rPr>
              <w:t>第</w:t>
            </w:r>
            <w:r>
              <w:rPr>
                <w:rFonts w:hint="eastAsia"/>
                <w:color w:val="auto"/>
                <w:highlight w:val="none"/>
                <w:lang w:val="en-US" w:eastAsia="zh-CN"/>
              </w:rPr>
              <w:t>二十</w:t>
            </w:r>
            <w:r>
              <w:rPr>
                <w:rFonts w:hint="eastAsia"/>
                <w:color w:val="auto"/>
                <w:highlight w:val="none"/>
              </w:rPr>
              <w:t>条</w:t>
            </w:r>
            <w:r>
              <w:rPr>
                <w:rFonts w:hint="eastAsia"/>
                <w:color w:val="auto"/>
                <w:highlight w:val="none"/>
                <w:lang w:eastAsia="zh-CN"/>
              </w:rPr>
              <w:t>：</w:t>
            </w:r>
            <w:r>
              <w:rPr>
                <w:rFonts w:hint="eastAsia"/>
                <w:color w:val="auto"/>
                <w:highlight w:val="none"/>
              </w:rPr>
              <w:t>医疗卫生机构应当建立医疗废物暂时贮存设施、设备，不得露天存放医疗废物</w:t>
            </w:r>
            <w:r>
              <w:rPr>
                <w:rFonts w:hint="eastAsia"/>
                <w:color w:val="auto"/>
                <w:highlight w:val="none"/>
                <w:lang w:eastAsia="zh-CN"/>
              </w:rPr>
              <w:t>，</w:t>
            </w:r>
            <w:r>
              <w:rPr>
                <w:rFonts w:hint="eastAsia"/>
                <w:color w:val="auto"/>
                <w:highlight w:val="none"/>
              </w:rPr>
              <w:t>医疗废物暂存的时间不得超过2天</w:t>
            </w:r>
            <w:r>
              <w:rPr>
                <w:rFonts w:hint="eastAsia"/>
                <w:color w:val="auto"/>
                <w:highlight w:val="none"/>
                <w:lang w:eastAsia="zh-CN"/>
              </w:rPr>
              <w:t>。</w:t>
            </w:r>
            <w:r>
              <w:rPr>
                <w:rFonts w:hint="default" w:ascii="Times New Roman" w:hAnsi="Times New Roman" w:cs="Times New Roman"/>
                <w:color w:val="auto"/>
                <w:spacing w:val="0"/>
                <w:kern w:val="2"/>
                <w:sz w:val="24"/>
                <w:highlight w:val="none"/>
                <w:lang w:eastAsia="zh-CN"/>
              </w:rPr>
              <w:t>楚雄州姚安县医疗废弃物收集转运站</w:t>
            </w:r>
            <w:r>
              <w:rPr>
                <w:rFonts w:hint="eastAsia" w:cs="Times New Roman"/>
                <w:color w:val="auto"/>
                <w:spacing w:val="0"/>
                <w:kern w:val="2"/>
                <w:sz w:val="24"/>
                <w:highlight w:val="none"/>
                <w:lang w:val="en-US" w:eastAsia="zh-CN"/>
              </w:rPr>
              <w:t>于2021年5月建成，</w:t>
            </w:r>
            <w:r>
              <w:rPr>
                <w:rFonts w:hint="default" w:ascii="Times New Roman" w:hAnsi="Times New Roman" w:cs="Times New Roman"/>
                <w:color w:val="auto"/>
                <w:spacing w:val="0"/>
                <w:kern w:val="2"/>
                <w:sz w:val="24"/>
                <w:highlight w:val="none"/>
                <w:lang w:val="en-US" w:eastAsia="zh-CN"/>
              </w:rPr>
              <w:t>2021年8月底建成投入试运营</w:t>
            </w:r>
            <w:r>
              <w:rPr>
                <w:rFonts w:hint="eastAsia" w:cs="Times New Roman"/>
                <w:color w:val="auto"/>
                <w:spacing w:val="0"/>
                <w:kern w:val="2"/>
                <w:sz w:val="24"/>
                <w:highlight w:val="none"/>
                <w:lang w:val="en-US" w:eastAsia="zh-CN"/>
              </w:rPr>
              <w:t>，</w:t>
            </w:r>
            <w:r>
              <w:rPr>
                <w:rFonts w:hint="default" w:ascii="Times New Roman" w:hAnsi="Times New Roman" w:eastAsia="宋体" w:cs="Times New Roman"/>
                <w:color w:val="auto"/>
                <w:spacing w:val="0"/>
                <w:kern w:val="2"/>
                <w:sz w:val="24"/>
                <w:szCs w:val="24"/>
                <w:highlight w:val="none"/>
                <w:lang w:val="en-US" w:eastAsia="zh-CN" w:bidi="ar"/>
              </w:rPr>
              <w:t>20</w:t>
            </w:r>
            <w:r>
              <w:rPr>
                <w:rFonts w:hint="default" w:ascii="Times New Roman" w:hAnsi="Times New Roman" w:cs="Times New Roman"/>
                <w:color w:val="auto"/>
                <w:spacing w:val="0"/>
                <w:kern w:val="2"/>
                <w:sz w:val="24"/>
                <w:szCs w:val="24"/>
                <w:highlight w:val="none"/>
                <w:lang w:val="en-US" w:eastAsia="zh-CN" w:bidi="ar"/>
              </w:rPr>
              <w:t>21</w:t>
            </w:r>
            <w:r>
              <w:rPr>
                <w:rFonts w:hint="default" w:ascii="Times New Roman" w:hAnsi="Times New Roman" w:eastAsia="宋体" w:cs="Times New Roman"/>
                <w:color w:val="auto"/>
                <w:spacing w:val="0"/>
                <w:kern w:val="2"/>
                <w:sz w:val="24"/>
                <w:szCs w:val="24"/>
                <w:highlight w:val="none"/>
                <w:lang w:val="en-US" w:eastAsia="zh-CN" w:bidi="ar"/>
              </w:rPr>
              <w:t>年</w:t>
            </w:r>
            <w:r>
              <w:rPr>
                <w:rFonts w:hint="eastAsia" w:ascii="Times New Roman" w:hAnsi="Times New Roman" w:cs="Times New Roman"/>
                <w:color w:val="auto"/>
                <w:spacing w:val="0"/>
                <w:kern w:val="2"/>
                <w:sz w:val="24"/>
                <w:szCs w:val="24"/>
                <w:highlight w:val="none"/>
                <w:lang w:val="en-US" w:eastAsia="zh-CN" w:bidi="ar"/>
              </w:rPr>
              <w:t>10</w:t>
            </w:r>
            <w:r>
              <w:rPr>
                <w:rFonts w:hint="default" w:ascii="Times New Roman" w:hAnsi="Times New Roman" w:eastAsia="宋体" w:cs="Times New Roman"/>
                <w:color w:val="auto"/>
                <w:spacing w:val="0"/>
                <w:kern w:val="2"/>
                <w:sz w:val="24"/>
                <w:szCs w:val="24"/>
                <w:highlight w:val="none"/>
                <w:lang w:val="en-US" w:eastAsia="zh-CN" w:bidi="ar"/>
              </w:rPr>
              <w:t>月</w:t>
            </w:r>
            <w:r>
              <w:rPr>
                <w:rFonts w:hint="eastAsia" w:eastAsia="宋体" w:cs="Times New Roman"/>
                <w:color w:val="auto"/>
                <w:spacing w:val="0"/>
                <w:kern w:val="2"/>
                <w:sz w:val="24"/>
                <w:szCs w:val="24"/>
                <w:highlight w:val="none"/>
                <w:lang w:val="en-US" w:eastAsia="zh-CN" w:bidi="ar"/>
              </w:rPr>
              <w:t>完成竣工环境保护验收，现由姚安县人民医院托管。楚雄州姚安县医疗废弃物收集转运站</w:t>
            </w:r>
            <w:r>
              <w:rPr>
                <w:rFonts w:hint="eastAsia"/>
                <w:color w:val="auto"/>
                <w:highlight w:val="none"/>
                <w:lang w:val="en-US" w:eastAsia="zh-CN"/>
              </w:rPr>
              <w:t>与楚雄利盈医疗废物处理有限公司已签订医疗废物处置合同。根据楚雄州姚安县医疗废弃物收集转运站管理方案，姚安县所有公立医院产生的医疗废物将由楚雄利盈医疗废物处理有限公司统一分类清运到楚雄州姚安县医疗废弃物收集转运站，日产日清，再运送至楚雄利盈医疗废物处理有限公司处置。故本项目产生的医疗废物分类暂存后，由楚雄利盈医疗废物处理有限公司清运处置。本环评要求建设单位每日产生的医疗废物及时联系楚雄利盈医疗废物处理有限公司清运，</w:t>
            </w:r>
            <w:r>
              <w:rPr>
                <w:rFonts w:hint="eastAsia" w:ascii="宋体" w:hAnsi="宋体"/>
                <w:color w:val="auto"/>
                <w:sz w:val="24"/>
                <w:szCs w:val="24"/>
                <w:highlight w:val="none"/>
                <w:lang w:val="en-US" w:eastAsia="zh-CN"/>
              </w:rPr>
              <w:t>避免医疗废物长时间滞留在项目区，违反</w:t>
            </w:r>
            <w:r>
              <w:rPr>
                <w:rFonts w:hint="eastAsia"/>
                <w:color w:val="auto"/>
                <w:highlight w:val="none"/>
                <w:lang w:val="en-US" w:eastAsia="zh-CN"/>
              </w:rPr>
              <w:t>《医疗废物管理条例》及《医疗卫生机构医疗废物管理办法》中的相关规定，</w:t>
            </w:r>
            <w:r>
              <w:rPr>
                <w:rFonts w:hint="eastAsia" w:ascii="宋体" w:hAnsi="宋体"/>
                <w:color w:val="auto"/>
                <w:sz w:val="24"/>
                <w:szCs w:val="24"/>
                <w:highlight w:val="none"/>
                <w:lang w:val="en-US" w:eastAsia="zh-CN"/>
              </w:rPr>
              <w:t>造成环境污染。</w:t>
            </w:r>
          </w:p>
          <w:p>
            <w:pPr>
              <w:ind w:firstLine="480"/>
              <w:rPr>
                <w:color w:val="auto"/>
              </w:rPr>
            </w:pPr>
            <w:r>
              <w:rPr>
                <w:color w:val="auto"/>
              </w:rPr>
              <w:fldChar w:fldCharType="begin"/>
            </w:r>
            <w:r>
              <w:rPr>
                <w:color w:val="auto"/>
              </w:rPr>
              <w:instrText xml:space="preserve"> </w:instrText>
            </w:r>
            <w:r>
              <w:rPr>
                <w:rFonts w:hint="eastAsia"/>
                <w:color w:val="auto"/>
              </w:rPr>
              <w:instrText xml:space="preserve">= 4 \* GB3</w:instrText>
            </w:r>
            <w:r>
              <w:rPr>
                <w:color w:val="auto"/>
              </w:rPr>
              <w:instrText xml:space="preserve"> </w:instrText>
            </w:r>
            <w:r>
              <w:rPr>
                <w:color w:val="auto"/>
              </w:rPr>
              <w:fldChar w:fldCharType="separate"/>
            </w:r>
            <w:r>
              <w:rPr>
                <w:rFonts w:hint="eastAsia"/>
                <w:color w:val="auto"/>
              </w:rPr>
              <w:t>④</w:t>
            </w:r>
            <w:r>
              <w:rPr>
                <w:color w:val="auto"/>
              </w:rPr>
              <w:fldChar w:fldCharType="end"/>
            </w:r>
            <w:r>
              <w:rPr>
                <w:rFonts w:hint="eastAsia"/>
                <w:color w:val="auto"/>
              </w:rPr>
              <w:t>生活垃圾异味</w:t>
            </w:r>
          </w:p>
          <w:p>
            <w:pPr>
              <w:ind w:firstLine="480"/>
              <w:rPr>
                <w:rFonts w:hint="eastAsia"/>
                <w:color w:val="auto"/>
              </w:rPr>
            </w:pPr>
            <w:r>
              <w:rPr>
                <w:color w:val="auto"/>
              </w:rPr>
              <w:t>生活垃圾中含有各类易发酵的有机物，尤其是在气温较高时，如果管理处置不当，生活垃圾在堆存、压装、运输过程中会散发出较难闻的恶臭气体</w:t>
            </w:r>
            <w:r>
              <w:rPr>
                <w:rFonts w:hint="eastAsia"/>
                <w:color w:val="auto"/>
              </w:rPr>
              <w:t>。目前医院生活通过垃圾桶收集后统一投掷垃圾箱内，垃圾箱平时处于密封，</w:t>
            </w:r>
            <w:r>
              <w:rPr>
                <w:rFonts w:hint="eastAsia"/>
                <w:color w:val="auto"/>
                <w:lang w:eastAsia="zh-CN"/>
              </w:rPr>
              <w:t>产生的生活垃圾当天</w:t>
            </w:r>
            <w:r>
              <w:rPr>
                <w:rFonts w:hint="eastAsia"/>
                <w:color w:val="auto"/>
              </w:rPr>
              <w:t>由</w:t>
            </w:r>
            <w:r>
              <w:rPr>
                <w:rFonts w:hint="eastAsia"/>
                <w:color w:val="auto"/>
                <w:lang w:eastAsia="zh-CN"/>
              </w:rPr>
              <w:t>当地</w:t>
            </w:r>
            <w:r>
              <w:rPr>
                <w:rFonts w:hint="eastAsia"/>
                <w:color w:val="auto"/>
              </w:rPr>
              <w:t>环卫部门清运，生活垃圾异味产生量很少，对周围环境影响较小。</w:t>
            </w:r>
          </w:p>
          <w:p>
            <w:pPr>
              <w:numPr>
                <w:ilvl w:val="0"/>
                <w:numId w:val="0"/>
              </w:numPr>
              <w:ind w:leftChars="200"/>
              <w:rPr>
                <w:rFonts w:hint="eastAsia"/>
                <w:b/>
                <w:bCs/>
                <w:color w:val="auto"/>
                <w:lang w:eastAsia="zh-CN"/>
              </w:rPr>
            </w:pPr>
            <w:r>
              <w:rPr>
                <w:rFonts w:hint="eastAsia"/>
                <w:b/>
                <w:bCs/>
                <w:color w:val="auto"/>
                <w:lang w:eastAsia="zh-CN"/>
              </w:rPr>
              <w:t>（</w:t>
            </w:r>
            <w:r>
              <w:rPr>
                <w:rFonts w:hint="eastAsia"/>
                <w:b/>
                <w:bCs/>
                <w:color w:val="auto"/>
                <w:lang w:val="en-US" w:eastAsia="zh-CN"/>
              </w:rPr>
              <w:t>2</w:t>
            </w:r>
            <w:r>
              <w:rPr>
                <w:rFonts w:hint="eastAsia"/>
                <w:b/>
                <w:bCs/>
                <w:color w:val="auto"/>
                <w:lang w:eastAsia="zh-CN"/>
              </w:rPr>
              <w:t>）监测频次</w:t>
            </w:r>
          </w:p>
          <w:p>
            <w:pPr>
              <w:numPr>
                <w:ilvl w:val="0"/>
                <w:numId w:val="0"/>
              </w:numPr>
              <w:ind w:left="0" w:leftChars="0" w:right="0" w:rightChars="0" w:firstLine="0" w:firstLineChars="0"/>
              <w:jc w:val="center"/>
              <w:rPr>
                <w:rFonts w:hint="eastAsia"/>
                <w:b/>
                <w:bCs/>
                <w:color w:val="auto"/>
                <w:sz w:val="21"/>
                <w:szCs w:val="21"/>
                <w:lang w:val="en-US" w:eastAsia="zh-CN"/>
              </w:rPr>
            </w:pPr>
            <w:r>
              <w:rPr>
                <w:rFonts w:hint="eastAsia"/>
                <w:b/>
                <w:bCs/>
                <w:color w:val="auto"/>
                <w:sz w:val="21"/>
                <w:szCs w:val="21"/>
                <w:lang w:eastAsia="zh-CN"/>
              </w:rPr>
              <w:t>表</w:t>
            </w:r>
            <w:r>
              <w:rPr>
                <w:rFonts w:hint="eastAsia"/>
                <w:b/>
                <w:bCs/>
                <w:color w:val="auto"/>
                <w:sz w:val="21"/>
                <w:szCs w:val="21"/>
                <w:lang w:val="en-US" w:eastAsia="zh-CN"/>
              </w:rPr>
              <w:t>4-4 废气监测计划一览表</w:t>
            </w:r>
          </w:p>
          <w:tbl>
            <w:tblPr>
              <w:tblStyle w:val="37"/>
              <w:tblW w:w="8594" w:type="dxa"/>
              <w:tblInd w:w="-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255"/>
              <w:gridCol w:w="1602"/>
              <w:gridCol w:w="3340"/>
              <w:gridCol w:w="1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rPr>
                      <w:rFonts w:hint="eastAsia"/>
                      <w:b/>
                      <w:bCs/>
                      <w:color w:val="auto"/>
                      <w:sz w:val="21"/>
                    </w:rPr>
                  </w:pPr>
                  <w:r>
                    <w:rPr>
                      <w:rFonts w:hint="eastAsia" w:eastAsia="宋体"/>
                      <w:b/>
                      <w:bCs/>
                      <w:color w:val="auto"/>
                      <w:sz w:val="21"/>
                    </w:rPr>
                    <w:t>监测时段</w:t>
                  </w:r>
                </w:p>
              </w:tc>
              <w:tc>
                <w:tcPr>
                  <w:tcW w:w="125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rPr>
                      <w:rFonts w:hint="eastAsia"/>
                      <w:b/>
                      <w:bCs/>
                      <w:color w:val="auto"/>
                      <w:sz w:val="21"/>
                    </w:rPr>
                  </w:pPr>
                  <w:r>
                    <w:rPr>
                      <w:rFonts w:hint="eastAsia" w:eastAsia="宋体"/>
                      <w:b/>
                      <w:bCs/>
                      <w:color w:val="auto"/>
                      <w:sz w:val="21"/>
                    </w:rPr>
                    <w:t>监测项目</w:t>
                  </w:r>
                </w:p>
              </w:tc>
              <w:tc>
                <w:tcPr>
                  <w:tcW w:w="160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rPr>
                      <w:rFonts w:hint="eastAsia" w:eastAsia="宋体"/>
                      <w:b/>
                      <w:bCs/>
                      <w:color w:val="auto"/>
                      <w:sz w:val="21"/>
                      <w:lang w:eastAsia="zh-CN"/>
                    </w:rPr>
                  </w:pPr>
                  <w:r>
                    <w:rPr>
                      <w:rFonts w:hint="eastAsia" w:eastAsia="宋体"/>
                      <w:b/>
                      <w:bCs/>
                      <w:color w:val="auto"/>
                      <w:sz w:val="21"/>
                      <w:lang w:eastAsia="zh-CN"/>
                    </w:rPr>
                    <w:t>监测点位</w:t>
                  </w:r>
                </w:p>
              </w:tc>
              <w:tc>
                <w:tcPr>
                  <w:tcW w:w="334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rPr>
                      <w:rFonts w:hint="eastAsia" w:eastAsia="宋体"/>
                      <w:b/>
                      <w:bCs/>
                      <w:color w:val="auto"/>
                      <w:sz w:val="21"/>
                      <w:lang w:eastAsia="zh-CN"/>
                    </w:rPr>
                  </w:pPr>
                  <w:r>
                    <w:rPr>
                      <w:rFonts w:hint="eastAsia" w:eastAsia="宋体"/>
                      <w:b/>
                      <w:bCs/>
                      <w:color w:val="auto"/>
                      <w:sz w:val="21"/>
                    </w:rPr>
                    <w:t>监测</w:t>
                  </w:r>
                  <w:r>
                    <w:rPr>
                      <w:rFonts w:hint="eastAsia" w:eastAsia="宋体"/>
                      <w:b/>
                      <w:bCs/>
                      <w:color w:val="auto"/>
                      <w:sz w:val="21"/>
                      <w:lang w:eastAsia="zh-CN"/>
                    </w:rPr>
                    <w:t>因子</w:t>
                  </w:r>
                </w:p>
              </w:tc>
              <w:tc>
                <w:tcPr>
                  <w:tcW w:w="126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rPr>
                      <w:rFonts w:hint="eastAsia" w:eastAsia="宋体"/>
                      <w:b/>
                      <w:bCs/>
                      <w:color w:val="auto"/>
                      <w:sz w:val="21"/>
                      <w:lang w:eastAsia="zh-CN"/>
                    </w:rPr>
                  </w:pPr>
                  <w:r>
                    <w:rPr>
                      <w:rFonts w:hint="eastAsia" w:eastAsia="宋体"/>
                      <w:b/>
                      <w:bCs/>
                      <w:color w:val="auto"/>
                      <w:sz w:val="21"/>
                    </w:rPr>
                    <w:t>监测</w:t>
                  </w:r>
                  <w:r>
                    <w:rPr>
                      <w:rFonts w:hint="eastAsia" w:eastAsia="宋体"/>
                      <w:b/>
                      <w:bCs/>
                      <w:color w:val="auto"/>
                      <w:sz w:val="21"/>
                      <w:lang w:eastAsia="zh-CN"/>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112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rPr>
                      <w:rFonts w:hint="eastAsia"/>
                      <w:color w:val="auto"/>
                      <w:sz w:val="21"/>
                    </w:rPr>
                  </w:pPr>
                  <w:r>
                    <w:rPr>
                      <w:rFonts w:hint="eastAsia" w:eastAsia="宋体"/>
                      <w:color w:val="auto"/>
                      <w:sz w:val="21"/>
                    </w:rPr>
                    <w:t>运营期</w:t>
                  </w:r>
                </w:p>
              </w:tc>
              <w:tc>
                <w:tcPr>
                  <w:tcW w:w="125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rPr>
                      <w:rFonts w:hint="eastAsia" w:eastAsia="宋体"/>
                      <w:color w:val="auto"/>
                      <w:sz w:val="21"/>
                      <w:lang w:eastAsia="zh-CN"/>
                    </w:rPr>
                  </w:pPr>
                  <w:r>
                    <w:rPr>
                      <w:rFonts w:hint="eastAsia" w:eastAsia="宋体"/>
                      <w:color w:val="auto"/>
                      <w:sz w:val="21"/>
                      <w:lang w:eastAsia="zh-CN"/>
                    </w:rPr>
                    <w:t>废气</w:t>
                  </w:r>
                </w:p>
              </w:tc>
              <w:tc>
                <w:tcPr>
                  <w:tcW w:w="160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rPr>
                      <w:rFonts w:hint="eastAsia" w:eastAsia="宋体"/>
                      <w:color w:val="auto"/>
                      <w:sz w:val="21"/>
                      <w:lang w:eastAsia="zh-CN"/>
                    </w:rPr>
                  </w:pPr>
                  <w:r>
                    <w:rPr>
                      <w:rFonts w:hint="eastAsia" w:eastAsia="宋体"/>
                      <w:color w:val="auto"/>
                      <w:sz w:val="21"/>
                      <w:lang w:eastAsia="zh-CN"/>
                    </w:rPr>
                    <w:t>污水处理站四周</w:t>
                  </w:r>
                </w:p>
              </w:tc>
              <w:tc>
                <w:tcPr>
                  <w:tcW w:w="334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rPr>
                      <w:rFonts w:hint="eastAsia" w:eastAsia="宋体"/>
                      <w:color w:val="auto"/>
                      <w:sz w:val="21"/>
                      <w:lang w:eastAsia="zh-CN"/>
                    </w:rPr>
                  </w:pPr>
                  <w:r>
                    <w:rPr>
                      <w:rFonts w:hint="eastAsia"/>
                      <w:color w:val="auto"/>
                      <w:sz w:val="21"/>
                      <w:lang w:eastAsia="zh-CN"/>
                    </w:rPr>
                    <w:t>氨、硫化氢、甲烷、臭气浓度、氯气</w:t>
                  </w:r>
                </w:p>
              </w:tc>
              <w:tc>
                <w:tcPr>
                  <w:tcW w:w="126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rPr>
                      <w:rFonts w:hint="default" w:eastAsia="宋体"/>
                      <w:color w:val="auto"/>
                      <w:sz w:val="21"/>
                      <w:lang w:val="en-US" w:eastAsia="zh-CN"/>
                    </w:rPr>
                  </w:pPr>
                  <w:r>
                    <w:rPr>
                      <w:rFonts w:hint="eastAsia" w:eastAsia="宋体"/>
                      <w:color w:val="auto"/>
                      <w:sz w:val="21"/>
                      <w:lang w:val="en-US" w:eastAsia="zh-CN"/>
                    </w:rPr>
                    <w:t>1次/季度</w:t>
                  </w:r>
                </w:p>
              </w:tc>
            </w:tr>
          </w:tbl>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482"/>
              <w:textAlignment w:val="auto"/>
              <w:rPr>
                <w:color w:val="auto"/>
              </w:rPr>
            </w:pPr>
            <w:r>
              <w:rPr>
                <w:color w:val="auto"/>
              </w:rPr>
              <w:t>2</w:t>
            </w:r>
            <w:r>
              <w:rPr>
                <w:rFonts w:hint="eastAsia"/>
                <w:color w:val="auto"/>
              </w:rPr>
              <w:t>、废水</w:t>
            </w:r>
          </w:p>
          <w:p>
            <w:pPr>
              <w:ind w:firstLine="482"/>
              <w:rPr>
                <w:rFonts w:hint="eastAsia"/>
                <w:b w:val="0"/>
                <w:bCs/>
                <w:color w:val="auto"/>
              </w:rPr>
            </w:pPr>
            <w:r>
              <w:rPr>
                <w:rFonts w:hint="eastAsia"/>
                <w:b w:val="0"/>
                <w:bCs/>
                <w:color w:val="auto"/>
              </w:rPr>
              <w:t>项目内不设职工宿舍，职工不在医院住宿。项目在运营期产生的废水主要分为四类，一为门诊废水；二为住院部废水；三为检验科废水。</w:t>
            </w:r>
          </w:p>
          <w:p>
            <w:pPr>
              <w:ind w:firstLine="482"/>
              <w:rPr>
                <w:b/>
                <w:color w:val="auto"/>
              </w:rPr>
            </w:pPr>
            <w:r>
              <w:rPr>
                <w:rFonts w:hint="eastAsia"/>
                <w:b/>
                <w:color w:val="auto"/>
              </w:rPr>
              <w:t>（1）废水产生量</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eastAsia="宋体" w:cs="Times New Roman"/>
                <w:bCs/>
                <w:color w:val="auto"/>
                <w:lang w:val="en-US" w:eastAsia="zh-CN"/>
              </w:rPr>
            </w:pPr>
            <w:r>
              <w:rPr>
                <w:rFonts w:hint="eastAsia" w:eastAsia="宋体" w:cs="Times New Roman"/>
                <w:bCs/>
                <w:color w:val="auto"/>
                <w:lang w:eastAsia="zh-CN"/>
              </w:rPr>
              <w:t>废水的来源见表</w:t>
            </w:r>
            <w:r>
              <w:rPr>
                <w:rFonts w:hint="eastAsia" w:eastAsia="宋体" w:cs="Times New Roman"/>
                <w:bCs/>
                <w:color w:val="auto"/>
                <w:lang w:val="en-US" w:eastAsia="zh-CN"/>
              </w:rPr>
              <w:t>4-5。</w:t>
            </w:r>
          </w:p>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eastAsia="宋体" w:cs="Times New Roman"/>
                <w:b/>
                <w:bCs w:val="0"/>
                <w:color w:val="auto"/>
                <w:sz w:val="21"/>
                <w:szCs w:val="21"/>
                <w:lang w:val="en-US" w:eastAsia="zh-CN"/>
              </w:rPr>
            </w:pPr>
            <w:r>
              <w:rPr>
                <w:rFonts w:hint="eastAsia" w:eastAsia="宋体" w:cs="Times New Roman"/>
                <w:b/>
                <w:bCs w:val="0"/>
                <w:color w:val="auto"/>
                <w:sz w:val="21"/>
                <w:szCs w:val="21"/>
                <w:lang w:val="en-US" w:eastAsia="zh-CN"/>
              </w:rPr>
              <w:t>表4-5  项目运营期废水种类及来源</w:t>
            </w:r>
          </w:p>
          <w:tbl>
            <w:tblPr>
              <w:tblStyle w:val="38"/>
              <w:tblW w:w="84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9"/>
              <w:gridCol w:w="6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9" w:type="dxa"/>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废水种类</w:t>
                  </w:r>
                </w:p>
              </w:tc>
              <w:tc>
                <w:tcPr>
                  <w:tcW w:w="6314" w:type="dxa"/>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产生源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9" w:type="dxa"/>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门诊废水</w:t>
                  </w:r>
                </w:p>
              </w:tc>
              <w:tc>
                <w:tcPr>
                  <w:tcW w:w="6314" w:type="dxa"/>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求医人员、陪同人员、医务人员、行政人员洗手、清洁等用水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9" w:type="dxa"/>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住院废水</w:t>
                  </w:r>
                </w:p>
              </w:tc>
              <w:tc>
                <w:tcPr>
                  <w:tcW w:w="6314" w:type="dxa"/>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（1）各科室病人及陪护人员的冲厕、盥洗、清洁用水（2）洗衣房被服清洁用水（3）医务人员用水。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9" w:type="dxa"/>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检验废水</w:t>
                  </w:r>
                </w:p>
              </w:tc>
              <w:tc>
                <w:tcPr>
                  <w:tcW w:w="6314" w:type="dxa"/>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包括化验室、医学影像科、放射科及口腔科等科室产生的废水</w:t>
                  </w:r>
                </w:p>
              </w:tc>
            </w:tr>
          </w:tbl>
          <w:p>
            <w:pPr>
              <w:ind w:firstLine="482"/>
              <w:rPr>
                <w:rFonts w:hAnsi="宋体" w:eastAsia="宋体" w:cs="Times New Roman"/>
                <w:b/>
                <w:bCs/>
                <w:color w:val="auto"/>
              </w:rPr>
            </w:pPr>
            <w:r>
              <w:rPr>
                <w:rFonts w:hAnsi="宋体" w:eastAsia="宋体" w:cs="Times New Roman"/>
                <w:b/>
                <w:bCs/>
                <w:color w:val="auto"/>
              </w:rPr>
              <w:fldChar w:fldCharType="begin"/>
            </w:r>
            <w:r>
              <w:rPr>
                <w:rFonts w:hAnsi="宋体" w:eastAsia="宋体" w:cs="Times New Roman"/>
                <w:b/>
                <w:bCs/>
                <w:color w:val="auto"/>
              </w:rPr>
              <w:instrText xml:space="preserve"> </w:instrText>
            </w:r>
            <w:r>
              <w:rPr>
                <w:rFonts w:hint="eastAsia" w:hAnsi="宋体" w:eastAsia="宋体" w:cs="Times New Roman"/>
                <w:b/>
                <w:bCs/>
                <w:color w:val="auto"/>
              </w:rPr>
              <w:instrText xml:space="preserve">= 1 \* GB3</w:instrText>
            </w:r>
            <w:r>
              <w:rPr>
                <w:rFonts w:hAnsi="宋体" w:eastAsia="宋体" w:cs="Times New Roman"/>
                <w:b/>
                <w:bCs/>
                <w:color w:val="auto"/>
              </w:rPr>
              <w:instrText xml:space="preserve"> </w:instrText>
            </w:r>
            <w:r>
              <w:rPr>
                <w:rFonts w:hAnsi="宋体" w:eastAsia="宋体" w:cs="Times New Roman"/>
                <w:b/>
                <w:bCs/>
                <w:color w:val="auto"/>
              </w:rPr>
              <w:fldChar w:fldCharType="separate"/>
            </w:r>
            <w:r>
              <w:rPr>
                <w:rFonts w:hint="eastAsia" w:hAnsi="宋体" w:eastAsia="宋体" w:cs="Times New Roman"/>
                <w:b/>
                <w:bCs/>
                <w:color w:val="auto"/>
              </w:rPr>
              <w:t>①</w:t>
            </w:r>
            <w:r>
              <w:rPr>
                <w:rFonts w:hAnsi="宋体" w:eastAsia="宋体" w:cs="Times New Roman"/>
                <w:b/>
                <w:bCs/>
                <w:color w:val="auto"/>
              </w:rPr>
              <w:fldChar w:fldCharType="end"/>
            </w:r>
            <w:r>
              <w:rPr>
                <w:rFonts w:hint="eastAsia" w:hAnsi="宋体" w:eastAsia="宋体" w:cs="Times New Roman"/>
                <w:b/>
                <w:bCs/>
                <w:color w:val="auto"/>
              </w:rPr>
              <w:t>门诊废水</w:t>
            </w:r>
          </w:p>
          <w:p>
            <w:pPr>
              <w:ind w:firstLine="480"/>
              <w:rPr>
                <w:rFonts w:eastAsia="宋体" w:cs="Times New Roman"/>
                <w:color w:val="auto"/>
              </w:rPr>
            </w:pPr>
            <w:r>
              <w:rPr>
                <w:rFonts w:hint="eastAsia" w:hAnsi="宋体" w:eastAsia="宋体" w:cs="Times New Roman"/>
                <w:color w:val="auto"/>
              </w:rPr>
              <w:t>根据建设单位提供资料显示，</w:t>
            </w:r>
            <w:r>
              <w:rPr>
                <w:rFonts w:hint="eastAsia" w:hAnsi="宋体" w:eastAsia="宋体" w:cs="Times New Roman"/>
                <w:color w:val="auto"/>
                <w:lang w:eastAsia="zh-CN"/>
              </w:rPr>
              <w:t>医</w:t>
            </w:r>
            <w:r>
              <w:rPr>
                <w:rFonts w:hint="eastAsia" w:hAnsi="宋体" w:eastAsia="宋体" w:cs="Times New Roman"/>
                <w:color w:val="auto"/>
              </w:rPr>
              <w:t>院平均接诊人数</w:t>
            </w:r>
            <w:r>
              <w:rPr>
                <w:rFonts w:hint="eastAsia" w:hAnsi="宋体" w:eastAsia="宋体" w:cs="Times New Roman"/>
                <w:color w:val="auto"/>
                <w:lang w:val="en-US" w:eastAsia="zh-CN"/>
              </w:rPr>
              <w:t>400</w:t>
            </w:r>
            <w:r>
              <w:rPr>
                <w:rFonts w:hint="eastAsia" w:hAnsi="宋体" w:eastAsia="宋体" w:cs="Times New Roman"/>
                <w:color w:val="auto"/>
              </w:rPr>
              <w:t>人次/天。</w:t>
            </w:r>
            <w:r>
              <w:rPr>
                <w:rFonts w:hAnsi="宋体" w:eastAsia="宋体" w:cs="Times New Roman"/>
                <w:iCs/>
                <w:color w:val="auto"/>
                <w:szCs w:val="24"/>
              </w:rPr>
              <w:t>根据《云南省地方用水定额》（</w:t>
            </w:r>
            <w:r>
              <w:rPr>
                <w:rFonts w:eastAsia="宋体" w:cs="Times New Roman"/>
                <w:iCs/>
                <w:color w:val="auto"/>
                <w:szCs w:val="24"/>
              </w:rPr>
              <w:t>DB53</w:t>
            </w:r>
            <w:r>
              <w:rPr>
                <w:rFonts w:hint="eastAsia" w:eastAsia="宋体" w:cs="Times New Roman"/>
                <w:iCs/>
                <w:color w:val="auto"/>
                <w:szCs w:val="24"/>
              </w:rPr>
              <w:t>/</w:t>
            </w:r>
            <w:r>
              <w:rPr>
                <w:rFonts w:eastAsia="宋体" w:cs="Times New Roman"/>
                <w:iCs/>
                <w:color w:val="auto"/>
                <w:szCs w:val="24"/>
              </w:rPr>
              <w:t>T 168─201</w:t>
            </w:r>
            <w:r>
              <w:rPr>
                <w:rFonts w:hint="eastAsia" w:eastAsia="宋体" w:cs="Times New Roman"/>
                <w:iCs/>
                <w:color w:val="auto"/>
                <w:szCs w:val="24"/>
              </w:rPr>
              <w:t>9</w:t>
            </w:r>
            <w:r>
              <w:rPr>
                <w:rFonts w:hAnsi="宋体" w:eastAsia="宋体" w:cs="Times New Roman"/>
                <w:iCs/>
                <w:color w:val="auto"/>
                <w:szCs w:val="24"/>
              </w:rPr>
              <w:t>），</w:t>
            </w:r>
            <w:r>
              <w:rPr>
                <w:rFonts w:hint="eastAsia" w:hAnsi="宋体" w:eastAsia="宋体" w:cs="Times New Roman"/>
                <w:iCs/>
                <w:color w:val="auto"/>
                <w:szCs w:val="24"/>
                <w:lang w:eastAsia="zh-CN"/>
              </w:rPr>
              <w:t>医院</w:t>
            </w:r>
            <w:r>
              <w:rPr>
                <w:rFonts w:hAnsi="宋体" w:eastAsia="宋体" w:cs="Times New Roman"/>
                <w:iCs/>
                <w:color w:val="auto"/>
                <w:szCs w:val="24"/>
              </w:rPr>
              <w:t>用水量按</w:t>
            </w:r>
            <w:r>
              <w:rPr>
                <w:rFonts w:hint="eastAsia" w:eastAsia="宋体" w:cs="Times New Roman"/>
                <w:iCs/>
                <w:color w:val="auto"/>
                <w:szCs w:val="24"/>
                <w:lang w:val="en-US" w:eastAsia="zh-CN"/>
              </w:rPr>
              <w:t>20</w:t>
            </w:r>
            <w:r>
              <w:rPr>
                <w:rFonts w:eastAsia="宋体" w:cs="Times New Roman"/>
                <w:iCs/>
                <w:color w:val="auto"/>
                <w:szCs w:val="24"/>
              </w:rPr>
              <w:t>L/</w:t>
            </w:r>
            <w:r>
              <w:rPr>
                <w:rFonts w:hAnsi="宋体" w:eastAsia="宋体" w:cs="Times New Roman"/>
                <w:iCs/>
                <w:color w:val="auto"/>
                <w:szCs w:val="24"/>
              </w:rPr>
              <w:t>（人</w:t>
            </w:r>
            <w:r>
              <w:rPr>
                <w:rFonts w:eastAsia="宋体" w:cs="Times New Roman"/>
                <w:iCs/>
                <w:color w:val="auto"/>
                <w:szCs w:val="24"/>
              </w:rPr>
              <w:t>·</w:t>
            </w:r>
            <w:r>
              <w:rPr>
                <w:rFonts w:hAnsi="宋体" w:eastAsia="宋体" w:cs="Times New Roman"/>
                <w:iCs/>
                <w:color w:val="auto"/>
                <w:szCs w:val="24"/>
              </w:rPr>
              <w:t>次）计</w:t>
            </w:r>
            <w:r>
              <w:rPr>
                <w:rFonts w:hint="eastAsia" w:hAnsi="宋体" w:eastAsia="宋体" w:cs="Times New Roman"/>
                <w:iCs/>
                <w:color w:val="auto"/>
                <w:szCs w:val="24"/>
              </w:rPr>
              <w:t>（含行政及医护人员、附属设施等综合用水）</w:t>
            </w:r>
            <w:r>
              <w:rPr>
                <w:rFonts w:hAnsi="宋体" w:eastAsia="宋体" w:cs="Times New Roman"/>
                <w:color w:val="auto"/>
              </w:rPr>
              <w:t>，则</w:t>
            </w:r>
            <w:r>
              <w:rPr>
                <w:rFonts w:hint="eastAsia" w:hAnsi="宋体" w:eastAsia="宋体" w:cs="Times New Roman"/>
                <w:color w:val="auto"/>
              </w:rPr>
              <w:t>门诊</w:t>
            </w:r>
            <w:r>
              <w:rPr>
                <w:rFonts w:hAnsi="宋体" w:eastAsia="宋体" w:cs="Times New Roman"/>
                <w:color w:val="auto"/>
              </w:rPr>
              <w:t>用水量为</w:t>
            </w:r>
            <w:r>
              <w:rPr>
                <w:rFonts w:hint="eastAsia" w:eastAsia="宋体" w:cs="Times New Roman"/>
                <w:color w:val="auto"/>
                <w:lang w:val="en-US" w:eastAsia="zh-CN"/>
              </w:rPr>
              <w:t>0.8</w:t>
            </w:r>
            <w:r>
              <w:rPr>
                <w:rFonts w:eastAsia="宋体" w:cs="Times New Roman"/>
                <w:color w:val="auto"/>
              </w:rPr>
              <w:t>m</w:t>
            </w:r>
            <w:r>
              <w:rPr>
                <w:rFonts w:eastAsia="宋体" w:cs="Times New Roman"/>
                <w:color w:val="auto"/>
                <w:vertAlign w:val="superscript"/>
              </w:rPr>
              <w:t>3</w:t>
            </w:r>
            <w:r>
              <w:rPr>
                <w:rFonts w:eastAsia="宋体" w:cs="Times New Roman"/>
                <w:color w:val="auto"/>
              </w:rPr>
              <w:t>/d</w:t>
            </w:r>
            <w:r>
              <w:rPr>
                <w:rFonts w:hAnsi="宋体" w:eastAsia="宋体" w:cs="Times New Roman"/>
                <w:color w:val="auto"/>
              </w:rPr>
              <w:t>，约</w:t>
            </w:r>
            <w:r>
              <w:rPr>
                <w:rFonts w:hint="eastAsia" w:eastAsia="宋体" w:cs="Times New Roman"/>
                <w:color w:val="auto"/>
                <w:lang w:val="en-US" w:eastAsia="zh-CN"/>
              </w:rPr>
              <w:t>292</w:t>
            </w:r>
            <w:r>
              <w:rPr>
                <w:rFonts w:eastAsia="宋体" w:cs="Times New Roman"/>
                <w:color w:val="auto"/>
              </w:rPr>
              <w:t>m</w:t>
            </w:r>
            <w:r>
              <w:rPr>
                <w:rFonts w:eastAsia="宋体" w:cs="Times New Roman"/>
                <w:color w:val="auto"/>
                <w:vertAlign w:val="superscript"/>
              </w:rPr>
              <w:t>3</w:t>
            </w:r>
            <w:r>
              <w:rPr>
                <w:rFonts w:eastAsia="宋体" w:cs="Times New Roman"/>
                <w:color w:val="auto"/>
              </w:rPr>
              <w:t>/a</w:t>
            </w:r>
            <w:r>
              <w:rPr>
                <w:rFonts w:hAnsi="宋体" w:eastAsia="宋体" w:cs="Times New Roman"/>
                <w:color w:val="auto"/>
              </w:rPr>
              <w:t>，</w:t>
            </w:r>
            <w:r>
              <w:rPr>
                <w:rFonts w:hAnsi="宋体" w:eastAsia="宋体" w:cs="Times New Roman"/>
                <w:color w:val="auto"/>
                <w:szCs w:val="24"/>
              </w:rPr>
              <w:t>污水产生系数按</w:t>
            </w:r>
            <w:r>
              <w:rPr>
                <w:rFonts w:eastAsia="宋体" w:cs="Times New Roman"/>
                <w:color w:val="auto"/>
                <w:szCs w:val="24"/>
              </w:rPr>
              <w:t>0.8</w:t>
            </w:r>
            <w:r>
              <w:rPr>
                <w:rFonts w:hAnsi="宋体" w:eastAsia="宋体" w:cs="Times New Roman"/>
                <w:color w:val="auto"/>
                <w:szCs w:val="24"/>
              </w:rPr>
              <w:t>计算，</w:t>
            </w:r>
            <w:r>
              <w:rPr>
                <w:rFonts w:hAnsi="宋体" w:eastAsia="宋体" w:cs="Times New Roman"/>
                <w:color w:val="auto"/>
              </w:rPr>
              <w:t>废水量为</w:t>
            </w:r>
            <w:r>
              <w:rPr>
                <w:rFonts w:hint="eastAsia" w:eastAsia="宋体" w:cs="Times New Roman"/>
                <w:color w:val="auto"/>
                <w:lang w:val="en-US" w:eastAsia="zh-CN"/>
              </w:rPr>
              <w:t>0.64</w:t>
            </w:r>
            <w:r>
              <w:rPr>
                <w:rFonts w:eastAsia="宋体" w:cs="Times New Roman"/>
                <w:color w:val="auto"/>
              </w:rPr>
              <w:t>m</w:t>
            </w:r>
            <w:r>
              <w:rPr>
                <w:rFonts w:eastAsia="宋体" w:cs="Times New Roman"/>
                <w:color w:val="auto"/>
                <w:vertAlign w:val="superscript"/>
              </w:rPr>
              <w:t>3</w:t>
            </w:r>
            <w:r>
              <w:rPr>
                <w:rFonts w:eastAsia="宋体" w:cs="Times New Roman"/>
                <w:color w:val="auto"/>
              </w:rPr>
              <w:t>/d</w:t>
            </w:r>
            <w:r>
              <w:rPr>
                <w:rFonts w:hAnsi="宋体" w:eastAsia="宋体" w:cs="Times New Roman"/>
                <w:color w:val="auto"/>
              </w:rPr>
              <w:t>，约</w:t>
            </w:r>
            <w:r>
              <w:rPr>
                <w:rFonts w:hint="eastAsia" w:eastAsia="宋体" w:cs="Times New Roman"/>
                <w:color w:val="auto"/>
                <w:lang w:val="en-US" w:eastAsia="zh-CN"/>
              </w:rPr>
              <w:t>233.6</w:t>
            </w:r>
            <w:r>
              <w:rPr>
                <w:rFonts w:eastAsia="宋体" w:cs="Times New Roman"/>
                <w:color w:val="auto"/>
              </w:rPr>
              <w:t>m</w:t>
            </w:r>
            <w:r>
              <w:rPr>
                <w:rFonts w:eastAsia="宋体" w:cs="Times New Roman"/>
                <w:color w:val="auto"/>
                <w:vertAlign w:val="superscript"/>
              </w:rPr>
              <w:t>3</w:t>
            </w:r>
            <w:r>
              <w:rPr>
                <w:rFonts w:eastAsia="宋体" w:cs="Times New Roman"/>
                <w:color w:val="auto"/>
              </w:rPr>
              <w:t>/a</w:t>
            </w:r>
            <w:r>
              <w:rPr>
                <w:rFonts w:hAnsi="宋体" w:eastAsia="宋体" w:cs="Times New Roman"/>
                <w:color w:val="auto"/>
                <w:szCs w:val="24"/>
              </w:rPr>
              <w:t>。</w:t>
            </w:r>
          </w:p>
          <w:p>
            <w:pPr>
              <w:ind w:firstLine="482"/>
              <w:rPr>
                <w:rFonts w:hAnsi="宋体" w:eastAsia="宋体" w:cs="Times New Roman"/>
                <w:b/>
                <w:bCs/>
                <w:color w:val="auto"/>
                <w:highlight w:val="none"/>
              </w:rPr>
            </w:pPr>
            <w:r>
              <w:rPr>
                <w:rFonts w:hint="eastAsia" w:hAnsi="宋体" w:eastAsia="宋体" w:cs="Times New Roman"/>
                <w:b/>
                <w:bCs/>
                <w:color w:val="auto"/>
                <w:highlight w:val="none"/>
                <w:lang w:eastAsia="zh-CN"/>
              </w:rPr>
              <w:t>②</w:t>
            </w:r>
            <w:r>
              <w:rPr>
                <w:rFonts w:hint="eastAsia" w:hAnsi="宋体" w:eastAsia="宋体" w:cs="Times New Roman"/>
                <w:b/>
                <w:bCs/>
                <w:color w:val="auto"/>
                <w:highlight w:val="none"/>
              </w:rPr>
              <w:t>住院废水</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Ansi="宋体" w:eastAsia="宋体" w:cs="Times New Roman"/>
                <w:color w:val="auto"/>
              </w:rPr>
            </w:pPr>
            <w:r>
              <w:rPr>
                <w:rFonts w:hint="eastAsia" w:hAnsi="宋体" w:eastAsia="宋体" w:cs="Times New Roman"/>
                <w:color w:val="auto"/>
              </w:rPr>
              <w:t>项目共设置</w:t>
            </w:r>
            <w:r>
              <w:rPr>
                <w:rFonts w:hint="eastAsia" w:hAnsi="宋体" w:eastAsia="宋体" w:cs="Times New Roman"/>
                <w:color w:val="auto"/>
                <w:lang w:val="en-US" w:eastAsia="zh-CN"/>
              </w:rPr>
              <w:t>200</w:t>
            </w:r>
            <w:r>
              <w:rPr>
                <w:rFonts w:hint="eastAsia" w:hAnsi="宋体" w:eastAsia="宋体" w:cs="Times New Roman"/>
                <w:color w:val="auto"/>
              </w:rPr>
              <w:t>张床位，每个病房带独立卫生间和洗浴设施</w:t>
            </w:r>
            <w:r>
              <w:rPr>
                <w:rFonts w:hint="eastAsia" w:hAnsi="宋体" w:eastAsia="宋体" w:cs="Times New Roman"/>
                <w:color w:val="auto"/>
                <w:lang w:eastAsia="zh-CN"/>
              </w:rPr>
              <w:t>。住院病房用水包括病人及陪护人员的冲厕、盥洗、清洁用水；洗衣房被服清洁用水；医务人员用水。</w:t>
            </w:r>
            <w:r>
              <w:rPr>
                <w:rFonts w:hAnsi="宋体" w:eastAsia="宋体" w:cs="Times New Roman"/>
                <w:iCs/>
                <w:color w:val="auto"/>
                <w:szCs w:val="24"/>
              </w:rPr>
              <w:t>根据《云南省地方用水定额》（</w:t>
            </w:r>
            <w:r>
              <w:rPr>
                <w:rFonts w:eastAsia="宋体" w:cs="Times New Roman"/>
                <w:iCs/>
                <w:color w:val="auto"/>
                <w:szCs w:val="24"/>
              </w:rPr>
              <w:t>DB53</w:t>
            </w:r>
            <w:r>
              <w:rPr>
                <w:rFonts w:hint="eastAsia" w:eastAsia="宋体" w:cs="Times New Roman"/>
                <w:iCs/>
                <w:color w:val="auto"/>
                <w:szCs w:val="24"/>
              </w:rPr>
              <w:t>/</w:t>
            </w:r>
            <w:r>
              <w:rPr>
                <w:rFonts w:eastAsia="宋体" w:cs="Times New Roman"/>
                <w:iCs/>
                <w:color w:val="auto"/>
                <w:szCs w:val="24"/>
              </w:rPr>
              <w:t>T168─201</w:t>
            </w:r>
            <w:r>
              <w:rPr>
                <w:rFonts w:hint="eastAsia" w:eastAsia="宋体" w:cs="Times New Roman"/>
                <w:iCs/>
                <w:color w:val="auto"/>
                <w:szCs w:val="24"/>
              </w:rPr>
              <w:t>9</w:t>
            </w:r>
            <w:r>
              <w:rPr>
                <w:rFonts w:hAnsi="宋体" w:eastAsia="宋体" w:cs="Times New Roman"/>
                <w:iCs/>
                <w:color w:val="auto"/>
                <w:szCs w:val="24"/>
              </w:rPr>
              <w:t>）中的规定，</w:t>
            </w:r>
            <w:r>
              <w:rPr>
                <w:rFonts w:hint="eastAsia" w:hAnsi="宋体" w:eastAsia="宋体" w:cs="Times New Roman"/>
                <w:iCs/>
                <w:color w:val="auto"/>
                <w:szCs w:val="24"/>
              </w:rPr>
              <w:t>住院部病房内带洗浴</w:t>
            </w:r>
            <w:r>
              <w:rPr>
                <w:rFonts w:hAnsi="宋体" w:eastAsia="宋体" w:cs="Times New Roman"/>
                <w:iCs/>
                <w:color w:val="auto"/>
                <w:szCs w:val="24"/>
              </w:rPr>
              <w:t>用水量按</w:t>
            </w:r>
            <w:r>
              <w:rPr>
                <w:rFonts w:hint="eastAsia" w:eastAsia="宋体" w:cs="Times New Roman"/>
                <w:iCs/>
                <w:color w:val="auto"/>
                <w:szCs w:val="24"/>
                <w:lang w:val="en-US" w:eastAsia="zh-CN"/>
              </w:rPr>
              <w:t>300</w:t>
            </w:r>
            <w:r>
              <w:rPr>
                <w:rFonts w:eastAsia="宋体" w:cs="Times New Roman"/>
                <w:iCs/>
                <w:color w:val="auto"/>
                <w:szCs w:val="24"/>
              </w:rPr>
              <w:t>L/</w:t>
            </w:r>
            <w:r>
              <w:rPr>
                <w:rFonts w:hAnsi="宋体" w:eastAsia="宋体" w:cs="Times New Roman"/>
                <w:iCs/>
                <w:color w:val="auto"/>
                <w:szCs w:val="24"/>
              </w:rPr>
              <w:t>（</w:t>
            </w:r>
            <w:r>
              <w:rPr>
                <w:rFonts w:hint="eastAsia" w:hAnsi="宋体" w:eastAsia="宋体" w:cs="Times New Roman"/>
                <w:iCs/>
                <w:color w:val="auto"/>
                <w:szCs w:val="24"/>
              </w:rPr>
              <w:t>床</w:t>
            </w:r>
            <w:r>
              <w:rPr>
                <w:rFonts w:eastAsia="宋体" w:cs="Times New Roman"/>
                <w:iCs/>
                <w:color w:val="auto"/>
                <w:szCs w:val="24"/>
              </w:rPr>
              <w:t>·</w:t>
            </w:r>
            <w:r>
              <w:rPr>
                <w:rFonts w:hint="eastAsia" w:eastAsia="宋体" w:cs="Times New Roman"/>
                <w:iCs/>
                <w:color w:val="auto"/>
                <w:szCs w:val="24"/>
              </w:rPr>
              <w:t>d</w:t>
            </w:r>
            <w:r>
              <w:rPr>
                <w:rFonts w:hAnsi="宋体" w:eastAsia="宋体" w:cs="Times New Roman"/>
                <w:iCs/>
                <w:color w:val="auto"/>
                <w:szCs w:val="24"/>
              </w:rPr>
              <w:t>）计</w:t>
            </w:r>
            <w:r>
              <w:rPr>
                <w:rFonts w:hint="eastAsia" w:hAnsi="宋体" w:eastAsia="宋体" w:cs="Times New Roman"/>
                <w:iCs/>
                <w:color w:val="auto"/>
                <w:szCs w:val="24"/>
              </w:rPr>
              <w:t>（含行政及医护人员、附属设施等综合用水），</w:t>
            </w:r>
            <w:r>
              <w:rPr>
                <w:rFonts w:hAnsi="宋体" w:eastAsia="宋体" w:cs="Times New Roman"/>
                <w:color w:val="auto"/>
                <w:szCs w:val="24"/>
              </w:rPr>
              <w:t>则</w:t>
            </w:r>
            <w:r>
              <w:rPr>
                <w:rFonts w:hint="eastAsia" w:hAnsi="宋体" w:eastAsia="宋体" w:cs="Times New Roman"/>
                <w:color w:val="auto"/>
                <w:szCs w:val="24"/>
              </w:rPr>
              <w:t>病床</w:t>
            </w:r>
            <w:r>
              <w:rPr>
                <w:rFonts w:hAnsi="宋体" w:eastAsia="宋体" w:cs="Times New Roman"/>
                <w:color w:val="auto"/>
                <w:szCs w:val="24"/>
              </w:rPr>
              <w:t>用水量为</w:t>
            </w:r>
            <w:r>
              <w:rPr>
                <w:rFonts w:hint="eastAsia" w:eastAsia="宋体" w:cs="Times New Roman"/>
                <w:color w:val="auto"/>
                <w:szCs w:val="24"/>
                <w:lang w:val="en-US" w:eastAsia="zh-CN"/>
              </w:rPr>
              <w:t>60</w:t>
            </w:r>
            <w:r>
              <w:rPr>
                <w:rFonts w:eastAsia="宋体" w:cs="Times New Roman"/>
                <w:color w:val="auto"/>
                <w:szCs w:val="24"/>
              </w:rPr>
              <w:t>m</w:t>
            </w:r>
            <w:r>
              <w:rPr>
                <w:rFonts w:eastAsia="宋体" w:cs="Times New Roman"/>
                <w:color w:val="auto"/>
                <w:szCs w:val="24"/>
                <w:vertAlign w:val="superscript"/>
              </w:rPr>
              <w:t>3</w:t>
            </w:r>
            <w:r>
              <w:rPr>
                <w:rFonts w:eastAsia="宋体" w:cs="Times New Roman"/>
                <w:color w:val="auto"/>
                <w:szCs w:val="24"/>
              </w:rPr>
              <w:t>/d</w:t>
            </w:r>
            <w:r>
              <w:rPr>
                <w:rFonts w:hAnsi="宋体" w:eastAsia="宋体" w:cs="Times New Roman"/>
                <w:color w:val="auto"/>
                <w:szCs w:val="24"/>
              </w:rPr>
              <w:t>，</w:t>
            </w:r>
            <w:r>
              <w:rPr>
                <w:rFonts w:hint="eastAsia" w:eastAsia="宋体" w:cs="Times New Roman"/>
                <w:color w:val="auto"/>
                <w:szCs w:val="24"/>
                <w:lang w:val="en-US" w:eastAsia="zh-CN"/>
              </w:rPr>
              <w:t>21900</w:t>
            </w:r>
            <w:r>
              <w:rPr>
                <w:rFonts w:eastAsia="宋体" w:cs="Times New Roman"/>
                <w:color w:val="auto"/>
                <w:szCs w:val="24"/>
              </w:rPr>
              <w:t>m</w:t>
            </w:r>
            <w:r>
              <w:rPr>
                <w:rFonts w:eastAsia="宋体" w:cs="Times New Roman"/>
                <w:color w:val="auto"/>
                <w:szCs w:val="24"/>
                <w:vertAlign w:val="superscript"/>
              </w:rPr>
              <w:t>3</w:t>
            </w:r>
            <w:r>
              <w:rPr>
                <w:rFonts w:eastAsia="宋体" w:cs="Times New Roman"/>
                <w:color w:val="auto"/>
                <w:szCs w:val="24"/>
              </w:rPr>
              <w:t>/a</w:t>
            </w:r>
            <w:r>
              <w:rPr>
                <w:rFonts w:hint="eastAsia" w:eastAsia="宋体" w:cs="Times New Roman"/>
                <w:color w:val="auto"/>
                <w:szCs w:val="24"/>
              </w:rPr>
              <w:t>，</w:t>
            </w:r>
            <w:r>
              <w:rPr>
                <w:rFonts w:hAnsi="宋体" w:eastAsia="宋体" w:cs="Times New Roman"/>
                <w:color w:val="auto"/>
                <w:szCs w:val="24"/>
              </w:rPr>
              <w:t>污水产生系数按</w:t>
            </w:r>
            <w:r>
              <w:rPr>
                <w:rFonts w:eastAsia="宋体" w:cs="Times New Roman"/>
                <w:color w:val="auto"/>
                <w:szCs w:val="24"/>
              </w:rPr>
              <w:t>0.8</w:t>
            </w:r>
            <w:r>
              <w:rPr>
                <w:rFonts w:hAnsi="宋体" w:eastAsia="宋体" w:cs="Times New Roman"/>
                <w:color w:val="auto"/>
                <w:szCs w:val="24"/>
              </w:rPr>
              <w:t>计算，则</w:t>
            </w:r>
            <w:r>
              <w:rPr>
                <w:rFonts w:hint="eastAsia" w:hAnsi="宋体" w:eastAsia="宋体" w:cs="Times New Roman"/>
                <w:color w:val="auto"/>
                <w:szCs w:val="24"/>
              </w:rPr>
              <w:t>病床</w:t>
            </w:r>
            <w:r>
              <w:rPr>
                <w:rFonts w:hAnsi="宋体" w:eastAsia="宋体" w:cs="Times New Roman"/>
                <w:color w:val="auto"/>
                <w:szCs w:val="24"/>
              </w:rPr>
              <w:t>废水量为</w:t>
            </w:r>
            <w:r>
              <w:rPr>
                <w:rFonts w:hint="eastAsia" w:eastAsia="宋体" w:cs="Times New Roman"/>
                <w:color w:val="auto"/>
                <w:szCs w:val="24"/>
                <w:lang w:val="en-US" w:eastAsia="zh-CN"/>
              </w:rPr>
              <w:t>48</w:t>
            </w:r>
            <w:r>
              <w:rPr>
                <w:rFonts w:eastAsia="宋体" w:cs="Times New Roman"/>
                <w:color w:val="auto"/>
                <w:szCs w:val="24"/>
              </w:rPr>
              <w:t>m</w:t>
            </w:r>
            <w:r>
              <w:rPr>
                <w:rFonts w:eastAsia="宋体" w:cs="Times New Roman"/>
                <w:color w:val="auto"/>
                <w:szCs w:val="24"/>
                <w:vertAlign w:val="superscript"/>
              </w:rPr>
              <w:t>3</w:t>
            </w:r>
            <w:r>
              <w:rPr>
                <w:rFonts w:eastAsia="宋体" w:cs="Times New Roman"/>
                <w:color w:val="auto"/>
                <w:szCs w:val="24"/>
              </w:rPr>
              <w:t>/d</w:t>
            </w:r>
            <w:r>
              <w:rPr>
                <w:rFonts w:hAnsi="宋体" w:eastAsia="宋体" w:cs="Times New Roman"/>
                <w:color w:val="auto"/>
                <w:szCs w:val="24"/>
              </w:rPr>
              <w:t>，</w:t>
            </w:r>
            <w:r>
              <w:rPr>
                <w:rFonts w:hint="eastAsia" w:eastAsia="宋体" w:cs="Times New Roman"/>
                <w:color w:val="auto"/>
                <w:szCs w:val="24"/>
                <w:lang w:val="en-US" w:eastAsia="zh-CN"/>
              </w:rPr>
              <w:t>17520</w:t>
            </w:r>
            <w:r>
              <w:rPr>
                <w:rFonts w:eastAsia="宋体" w:cs="Times New Roman"/>
                <w:color w:val="auto"/>
                <w:szCs w:val="24"/>
              </w:rPr>
              <w:t>m</w:t>
            </w:r>
            <w:r>
              <w:rPr>
                <w:rFonts w:eastAsia="宋体" w:cs="Times New Roman"/>
                <w:color w:val="auto"/>
                <w:szCs w:val="24"/>
                <w:vertAlign w:val="superscript"/>
              </w:rPr>
              <w:t>3</w:t>
            </w:r>
            <w:r>
              <w:rPr>
                <w:rFonts w:eastAsia="宋体" w:cs="Times New Roman"/>
                <w:color w:val="auto"/>
                <w:szCs w:val="24"/>
              </w:rPr>
              <w:t>/a</w:t>
            </w:r>
            <w:r>
              <w:rPr>
                <w:rFonts w:hint="eastAsia" w:hAnsi="宋体" w:eastAsia="宋体" w:cs="Times New Roman"/>
                <w:color w:val="auto"/>
                <w:szCs w:val="24"/>
              </w:rPr>
              <w:t>。</w:t>
            </w:r>
          </w:p>
          <w:p>
            <w:pPr>
              <w:ind w:firstLine="482"/>
              <w:rPr>
                <w:rFonts w:hAnsi="宋体" w:eastAsia="宋体" w:cs="Times New Roman"/>
                <w:b/>
                <w:bCs/>
                <w:color w:val="auto"/>
              </w:rPr>
            </w:pPr>
            <w:r>
              <w:rPr>
                <w:rFonts w:hint="eastAsia" w:hAnsi="宋体" w:eastAsia="宋体" w:cs="Times New Roman"/>
                <w:b/>
                <w:bCs/>
                <w:color w:val="auto"/>
                <w:lang w:eastAsia="zh-CN"/>
              </w:rPr>
              <w:t>③</w:t>
            </w:r>
            <w:r>
              <w:rPr>
                <w:rFonts w:hint="eastAsia" w:hAnsi="宋体" w:eastAsia="宋体" w:cs="Times New Roman"/>
                <w:b/>
                <w:bCs/>
                <w:color w:val="auto"/>
              </w:rPr>
              <w:t>检验废水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检验废水包括化验室、医学影像科等科室产生的废水。</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cs="Times New Roman"/>
                <w:color w:val="auto"/>
                <w:lang w:eastAsia="zh-CN"/>
              </w:rPr>
            </w:pPr>
            <w:r>
              <w:rPr>
                <w:rFonts w:hint="default" w:ascii="Times New Roman" w:hAnsi="Times New Roman" w:cs="Times New Roman"/>
                <w:color w:val="auto"/>
              </w:rPr>
              <w:t>本项目建成使用过程中，医院直接购进成套的试剂盒，试剂盒内配有分析和测定所需的全部试剂，使用时直接加入检验设备中，不需自制检验试剂。</w:t>
            </w:r>
            <w:r>
              <w:rPr>
                <w:rFonts w:hint="default" w:ascii="Times New Roman" w:hAnsi="Times New Roman" w:cs="Times New Roman"/>
                <w:color w:val="auto"/>
                <w:lang w:eastAsia="zh-CN"/>
              </w:rPr>
              <w:t>类比同类建设项目</w:t>
            </w:r>
            <w:r>
              <w:rPr>
                <w:rFonts w:hint="default" w:ascii="Times New Roman" w:hAnsi="Times New Roman" w:cs="Times New Roman"/>
                <w:color w:val="auto"/>
              </w:rPr>
              <w:t>，检验科用水量约0.1m</w:t>
            </w:r>
            <w:r>
              <w:rPr>
                <w:rFonts w:hint="default" w:ascii="Times New Roman" w:hAnsi="Times New Roman" w:cs="Times New Roman"/>
                <w:color w:val="auto"/>
                <w:vertAlign w:val="superscript"/>
              </w:rPr>
              <w:t>3</w:t>
            </w:r>
            <w:r>
              <w:rPr>
                <w:rFonts w:hint="default" w:ascii="Times New Roman" w:hAnsi="Times New Roman" w:cs="Times New Roman"/>
                <w:color w:val="auto"/>
              </w:rPr>
              <w:t>/d（36.5</w:t>
            </w:r>
            <w:r>
              <w:rPr>
                <w:rFonts w:hint="default" w:ascii="Times New Roman" w:hAnsi="Times New Roman" w:eastAsia="宋体" w:cs="Times New Roman"/>
                <w:color w:val="auto"/>
                <w:szCs w:val="24"/>
              </w:rPr>
              <w:t>m</w:t>
            </w:r>
            <w:r>
              <w:rPr>
                <w:rFonts w:hint="default" w:ascii="Times New Roman" w:hAnsi="Times New Roman" w:eastAsia="宋体" w:cs="Times New Roman"/>
                <w:color w:val="auto"/>
                <w:szCs w:val="24"/>
                <w:vertAlign w:val="superscript"/>
              </w:rPr>
              <w:t>3</w:t>
            </w:r>
            <w:r>
              <w:rPr>
                <w:rFonts w:hint="default" w:ascii="Times New Roman" w:hAnsi="Times New Roman" w:eastAsia="宋体" w:cs="Times New Roman"/>
                <w:color w:val="auto"/>
                <w:szCs w:val="24"/>
              </w:rPr>
              <w:t>/a</w:t>
            </w:r>
            <w:r>
              <w:rPr>
                <w:rFonts w:hint="default" w:ascii="Times New Roman" w:hAnsi="Times New Roman" w:cs="Times New Roman"/>
                <w:color w:val="auto"/>
              </w:rPr>
              <w:t>）</w:t>
            </w:r>
            <w:r>
              <w:rPr>
                <w:rFonts w:hint="default" w:ascii="Times New Roman" w:hAnsi="Times New Roman" w:cs="Times New Roman"/>
                <w:color w:val="auto"/>
                <w:lang w:eastAsia="zh-CN"/>
              </w:rPr>
              <w:t>，</w:t>
            </w:r>
            <w:r>
              <w:rPr>
                <w:rFonts w:hint="default" w:ascii="Times New Roman" w:hAnsi="Times New Roman" w:cs="Times New Roman"/>
                <w:color w:val="auto"/>
              </w:rPr>
              <w:t>污水产生系数按0.8计，则检验废液产生量为0.08m</w:t>
            </w:r>
            <w:r>
              <w:rPr>
                <w:rFonts w:hint="default" w:ascii="Times New Roman" w:hAnsi="Times New Roman" w:cs="Times New Roman"/>
                <w:color w:val="auto"/>
                <w:vertAlign w:val="superscript"/>
              </w:rPr>
              <w:t>3</w:t>
            </w:r>
            <w:r>
              <w:rPr>
                <w:rFonts w:hint="default" w:ascii="Times New Roman" w:hAnsi="Times New Roman" w:cs="Times New Roman"/>
                <w:color w:val="auto"/>
              </w:rPr>
              <w:t>/d（29.2</w:t>
            </w:r>
            <w:r>
              <w:rPr>
                <w:rFonts w:hint="default" w:ascii="Times New Roman" w:hAnsi="Times New Roman" w:eastAsia="宋体" w:cs="Times New Roman"/>
                <w:color w:val="auto"/>
                <w:szCs w:val="24"/>
              </w:rPr>
              <w:t>m</w:t>
            </w:r>
            <w:r>
              <w:rPr>
                <w:rFonts w:hint="default" w:ascii="Times New Roman" w:hAnsi="Times New Roman" w:eastAsia="宋体" w:cs="Times New Roman"/>
                <w:color w:val="auto"/>
                <w:szCs w:val="24"/>
                <w:vertAlign w:val="superscript"/>
              </w:rPr>
              <w:t>3</w:t>
            </w:r>
            <w:r>
              <w:rPr>
                <w:rFonts w:hint="default" w:ascii="Times New Roman" w:hAnsi="Times New Roman" w:eastAsia="宋体" w:cs="Times New Roman"/>
                <w:color w:val="auto"/>
                <w:szCs w:val="24"/>
              </w:rPr>
              <w:t>/a</w:t>
            </w:r>
            <w:r>
              <w:rPr>
                <w:rFonts w:hint="default" w:ascii="Times New Roman" w:hAnsi="Times New Roman" w:cs="Times New Roman"/>
                <w:color w:val="auto"/>
              </w:rPr>
              <w:t>）</w:t>
            </w:r>
            <w:r>
              <w:rPr>
                <w:rFonts w:hint="default" w:ascii="Times New Roman" w:hAnsi="Times New Roman" w:cs="Times New Roman"/>
                <w:color w:val="auto"/>
                <w:lang w:eastAsia="zh-CN"/>
              </w:rPr>
              <w:t>。</w:t>
            </w:r>
            <w:r>
              <w:rPr>
                <w:rFonts w:hint="eastAsia" w:cs="Times New Roman"/>
                <w:color w:val="auto"/>
                <w:lang w:eastAsia="zh-CN"/>
              </w:rPr>
              <w:t>本项目不设置传染科，不涉及感染性毒性废物，故检验废水经单独收集消毒处理后，沿污水管网进入污水处理站处理。</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color w:val="auto"/>
                <w:lang w:val="en-US" w:eastAsia="zh-CN"/>
              </w:rPr>
            </w:pPr>
            <w:r>
              <w:rPr>
                <w:rFonts w:hint="default" w:ascii="Times New Roman" w:hAnsi="Times New Roman" w:cs="Times New Roman"/>
                <w:color w:val="auto"/>
                <w:lang w:val="en-US" w:eastAsia="zh-CN"/>
              </w:rPr>
              <w:t>医学影像科采用DR成像技术，生成的图像为数字图像，可直接在电脑上显示出来，其照片的洗印采用</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热感应数字化胶片</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，出片用“数字化激光成像仪”，无废显影液、定影液产生，不产生传统的洗像重金属废水。</w:t>
            </w:r>
          </w:p>
          <w:p>
            <w:pPr>
              <w:ind w:firstLine="480"/>
              <w:rPr>
                <w:rFonts w:hint="eastAsia" w:eastAsiaTheme="minorEastAsia"/>
                <w:b/>
                <w:bCs/>
                <w:color w:val="auto"/>
                <w:lang w:val="en-US" w:eastAsia="zh-CN"/>
              </w:rPr>
            </w:pPr>
            <w:r>
              <w:rPr>
                <w:rFonts w:hint="eastAsia" w:ascii="Calibri" w:hAnsi="Calibri" w:cs="Calibri"/>
                <w:b/>
                <w:bCs/>
                <w:color w:val="auto"/>
                <w:lang w:val="en-US" w:eastAsia="zh-CN"/>
              </w:rPr>
              <w:t>④绿化用水</w:t>
            </w:r>
          </w:p>
          <w:p>
            <w:pPr>
              <w:spacing w:line="360" w:lineRule="auto"/>
              <w:ind w:firstLine="480" w:firstLineChars="200"/>
              <w:rPr>
                <w:rFonts w:hint="default" w:eastAsiaTheme="minorEastAsia"/>
                <w:color w:val="auto"/>
                <w:sz w:val="24"/>
                <w:szCs w:val="28"/>
                <w:lang w:val="en-US" w:eastAsia="zh-CN"/>
              </w:rPr>
            </w:pPr>
            <w:r>
              <w:rPr>
                <w:color w:val="auto"/>
                <w:sz w:val="24"/>
                <w:szCs w:val="32"/>
              </w:rPr>
              <w:t>项目内绿化面积约为</w:t>
            </w:r>
            <w:r>
              <w:rPr>
                <w:rFonts w:hint="eastAsia"/>
                <w:color w:val="auto"/>
                <w:sz w:val="24"/>
                <w:szCs w:val="32"/>
                <w:lang w:val="en-US" w:eastAsia="zh-CN"/>
              </w:rPr>
              <w:t>40</w:t>
            </w:r>
            <w:r>
              <w:rPr>
                <w:rFonts w:hint="eastAsia"/>
                <w:color w:val="auto"/>
                <w:sz w:val="24"/>
                <w:szCs w:val="32"/>
              </w:rPr>
              <w:t>00</w:t>
            </w:r>
            <w:r>
              <w:rPr>
                <w:color w:val="auto"/>
                <w:sz w:val="24"/>
                <w:szCs w:val="32"/>
              </w:rPr>
              <w:t>m</w:t>
            </w:r>
            <w:r>
              <w:rPr>
                <w:color w:val="auto"/>
                <w:sz w:val="24"/>
                <w:szCs w:val="32"/>
                <w:vertAlign w:val="superscript"/>
              </w:rPr>
              <w:t>2</w:t>
            </w:r>
            <w:r>
              <w:rPr>
                <w:color w:val="auto"/>
                <w:sz w:val="24"/>
                <w:szCs w:val="32"/>
              </w:rPr>
              <w:t>，</w:t>
            </w:r>
            <w:r>
              <w:rPr>
                <w:rFonts w:hint="eastAsia"/>
                <w:color w:val="auto"/>
                <w:sz w:val="24"/>
                <w:szCs w:val="28"/>
              </w:rPr>
              <w:t>按照《云南省地方用水定额》（DB53/T168─2019），</w:t>
            </w:r>
            <w:r>
              <w:rPr>
                <w:color w:val="auto"/>
                <w:sz w:val="24"/>
                <w:szCs w:val="28"/>
              </w:rPr>
              <w:t>取</w:t>
            </w:r>
            <w:r>
              <w:rPr>
                <w:rFonts w:hint="eastAsia"/>
                <w:color w:val="auto"/>
                <w:sz w:val="24"/>
                <w:szCs w:val="28"/>
              </w:rPr>
              <w:t>绿化</w:t>
            </w:r>
            <w:r>
              <w:rPr>
                <w:color w:val="auto"/>
                <w:sz w:val="24"/>
                <w:szCs w:val="28"/>
              </w:rPr>
              <w:t>用水量为</w:t>
            </w:r>
            <w:r>
              <w:rPr>
                <w:rFonts w:hint="eastAsia"/>
                <w:color w:val="auto"/>
                <w:sz w:val="24"/>
                <w:szCs w:val="28"/>
              </w:rPr>
              <w:t>2</w:t>
            </w:r>
            <w:r>
              <w:rPr>
                <w:color w:val="auto"/>
                <w:sz w:val="24"/>
                <w:szCs w:val="28"/>
              </w:rPr>
              <w:t>L/</w:t>
            </w:r>
            <w:r>
              <w:rPr>
                <w:bCs/>
                <w:color w:val="auto"/>
                <w:sz w:val="24"/>
                <w:szCs w:val="28"/>
              </w:rPr>
              <w:t>m</w:t>
            </w:r>
            <w:r>
              <w:rPr>
                <w:bCs/>
                <w:color w:val="auto"/>
                <w:sz w:val="24"/>
                <w:szCs w:val="28"/>
                <w:vertAlign w:val="superscript"/>
              </w:rPr>
              <w:t>2</w:t>
            </w:r>
            <w:r>
              <w:rPr>
                <w:color w:val="auto"/>
                <w:sz w:val="24"/>
                <w:szCs w:val="28"/>
              </w:rPr>
              <w:t>·</w:t>
            </w:r>
            <w:r>
              <w:rPr>
                <w:rFonts w:hint="eastAsia"/>
                <w:color w:val="auto"/>
                <w:sz w:val="24"/>
                <w:szCs w:val="28"/>
              </w:rPr>
              <w:t>次</w:t>
            </w:r>
            <w:r>
              <w:rPr>
                <w:bCs/>
                <w:color w:val="auto"/>
                <w:sz w:val="24"/>
                <w:szCs w:val="28"/>
              </w:rPr>
              <w:t>，</w:t>
            </w:r>
            <w:r>
              <w:rPr>
                <w:rFonts w:hint="eastAsia"/>
                <w:color w:val="auto"/>
                <w:sz w:val="24"/>
                <w:szCs w:val="28"/>
              </w:rPr>
              <w:t>晴天每三天浇水</w:t>
            </w:r>
            <w:r>
              <w:rPr>
                <w:color w:val="auto"/>
                <w:sz w:val="24"/>
                <w:szCs w:val="28"/>
              </w:rPr>
              <w:t>一次，则</w:t>
            </w:r>
            <w:r>
              <w:rPr>
                <w:rFonts w:hint="eastAsia"/>
                <w:color w:val="auto"/>
                <w:sz w:val="24"/>
                <w:szCs w:val="28"/>
              </w:rPr>
              <w:t>晴天绿化</w:t>
            </w:r>
            <w:r>
              <w:rPr>
                <w:color w:val="auto"/>
                <w:sz w:val="24"/>
                <w:szCs w:val="28"/>
              </w:rPr>
              <w:t>用水量约为</w:t>
            </w:r>
            <w:r>
              <w:rPr>
                <w:rFonts w:hint="eastAsia"/>
                <w:color w:val="auto"/>
                <w:sz w:val="24"/>
                <w:szCs w:val="28"/>
                <w:lang w:val="en-US" w:eastAsia="zh-CN"/>
              </w:rPr>
              <w:t>8</w:t>
            </w:r>
            <w:r>
              <w:rPr>
                <w:color w:val="auto"/>
                <w:sz w:val="24"/>
                <w:szCs w:val="28"/>
              </w:rPr>
              <w:t>m</w:t>
            </w:r>
            <w:r>
              <w:rPr>
                <w:color w:val="auto"/>
                <w:sz w:val="24"/>
                <w:szCs w:val="28"/>
                <w:vertAlign w:val="superscript"/>
              </w:rPr>
              <w:t>3</w:t>
            </w:r>
            <w:r>
              <w:rPr>
                <w:color w:val="auto"/>
                <w:sz w:val="24"/>
                <w:szCs w:val="28"/>
              </w:rPr>
              <w:t>/</w:t>
            </w:r>
            <w:r>
              <w:rPr>
                <w:rFonts w:hint="eastAsia"/>
                <w:color w:val="auto"/>
                <w:sz w:val="24"/>
                <w:szCs w:val="28"/>
              </w:rPr>
              <w:t>次</w:t>
            </w:r>
            <w:r>
              <w:rPr>
                <w:rFonts w:hint="eastAsia"/>
                <w:color w:val="auto"/>
                <w:sz w:val="24"/>
                <w:szCs w:val="28"/>
                <w:lang w:eastAsia="zh-CN"/>
              </w:rPr>
              <w:t>，</w:t>
            </w:r>
            <w:r>
              <w:rPr>
                <w:rFonts w:hint="eastAsia"/>
                <w:color w:val="auto"/>
                <w:sz w:val="24"/>
                <w:szCs w:val="28"/>
                <w:lang w:val="en-US" w:eastAsia="zh-CN"/>
              </w:rPr>
              <w:t>2.67</w:t>
            </w:r>
            <w:r>
              <w:rPr>
                <w:color w:val="auto"/>
                <w:sz w:val="24"/>
                <w:szCs w:val="28"/>
              </w:rPr>
              <w:t>m</w:t>
            </w:r>
            <w:r>
              <w:rPr>
                <w:color w:val="auto"/>
                <w:sz w:val="24"/>
                <w:szCs w:val="28"/>
                <w:vertAlign w:val="superscript"/>
              </w:rPr>
              <w:t>3</w:t>
            </w:r>
            <w:r>
              <w:rPr>
                <w:rFonts w:hint="eastAsia"/>
                <w:color w:val="auto"/>
                <w:sz w:val="24"/>
                <w:szCs w:val="28"/>
                <w:vertAlign w:val="baseline"/>
                <w:lang w:val="en-US" w:eastAsia="zh-CN"/>
              </w:rPr>
              <w:t>/d</w:t>
            </w:r>
            <w:r>
              <w:rPr>
                <w:rFonts w:hint="eastAsia"/>
                <w:color w:val="auto"/>
                <w:sz w:val="24"/>
                <w:szCs w:val="28"/>
                <w:lang w:eastAsia="zh-CN"/>
              </w:rPr>
              <w:t>，</w:t>
            </w:r>
            <w:r>
              <w:rPr>
                <w:color w:val="auto"/>
                <w:sz w:val="24"/>
                <w:szCs w:val="28"/>
              </w:rPr>
              <w:t>雨</w:t>
            </w:r>
            <w:r>
              <w:rPr>
                <w:rFonts w:hint="eastAsia"/>
                <w:color w:val="auto"/>
                <w:sz w:val="24"/>
                <w:szCs w:val="28"/>
              </w:rPr>
              <w:t>天不浇水</w:t>
            </w:r>
            <w:r>
              <w:rPr>
                <w:color w:val="auto"/>
                <w:sz w:val="24"/>
                <w:szCs w:val="28"/>
              </w:rPr>
              <w:t>。</w:t>
            </w:r>
            <w:r>
              <w:rPr>
                <w:rFonts w:hint="eastAsia"/>
                <w:color w:val="auto"/>
                <w:sz w:val="24"/>
                <w:szCs w:val="28"/>
              </w:rPr>
              <w:t>项目所在区域</w:t>
            </w:r>
            <w:r>
              <w:rPr>
                <w:color w:val="auto"/>
                <w:sz w:val="24"/>
                <w:szCs w:val="28"/>
              </w:rPr>
              <w:t>地区雨</w:t>
            </w:r>
            <w:r>
              <w:rPr>
                <w:rFonts w:hint="eastAsia"/>
                <w:color w:val="auto"/>
                <w:sz w:val="24"/>
                <w:szCs w:val="28"/>
              </w:rPr>
              <w:t>天165</w:t>
            </w:r>
            <w:r>
              <w:rPr>
                <w:color w:val="auto"/>
                <w:sz w:val="24"/>
                <w:szCs w:val="28"/>
              </w:rPr>
              <w:t>d，</w:t>
            </w:r>
            <w:r>
              <w:rPr>
                <w:rFonts w:hint="eastAsia"/>
                <w:color w:val="auto"/>
                <w:sz w:val="24"/>
                <w:szCs w:val="28"/>
              </w:rPr>
              <w:t>晴天200</w:t>
            </w:r>
            <w:r>
              <w:rPr>
                <w:color w:val="auto"/>
                <w:sz w:val="24"/>
                <w:szCs w:val="28"/>
              </w:rPr>
              <w:t>d</w:t>
            </w:r>
            <w:r>
              <w:rPr>
                <w:rFonts w:hint="eastAsia"/>
                <w:color w:val="auto"/>
                <w:sz w:val="24"/>
                <w:szCs w:val="28"/>
              </w:rPr>
              <w:t>，则绿化用水量为</w:t>
            </w:r>
            <w:r>
              <w:rPr>
                <w:rFonts w:hint="eastAsia"/>
                <w:color w:val="auto"/>
                <w:sz w:val="24"/>
                <w:szCs w:val="28"/>
                <w:lang w:val="en-US" w:eastAsia="zh-CN"/>
              </w:rPr>
              <w:t>533.3</w:t>
            </w:r>
            <w:r>
              <w:rPr>
                <w:color w:val="auto"/>
                <w:sz w:val="24"/>
                <w:szCs w:val="28"/>
              </w:rPr>
              <w:t>m</w:t>
            </w:r>
            <w:r>
              <w:rPr>
                <w:color w:val="auto"/>
                <w:sz w:val="24"/>
                <w:szCs w:val="28"/>
                <w:vertAlign w:val="superscript"/>
              </w:rPr>
              <w:t>3</w:t>
            </w:r>
            <w:r>
              <w:rPr>
                <w:color w:val="auto"/>
                <w:sz w:val="24"/>
                <w:szCs w:val="28"/>
              </w:rPr>
              <w:t>/</w:t>
            </w:r>
            <w:r>
              <w:rPr>
                <w:rFonts w:hint="eastAsia"/>
                <w:color w:val="auto"/>
                <w:sz w:val="24"/>
                <w:szCs w:val="28"/>
              </w:rPr>
              <w:t>a。</w:t>
            </w:r>
            <w:r>
              <w:rPr>
                <w:rFonts w:hint="eastAsia"/>
                <w:color w:val="auto"/>
                <w:sz w:val="24"/>
                <w:szCs w:val="28"/>
                <w:lang w:val="en-US" w:eastAsia="zh-CN"/>
              </w:rPr>
              <w:t>绿化用水由植被吸收及自然蒸发，不产生废水。</w:t>
            </w:r>
          </w:p>
          <w:p>
            <w:pPr>
              <w:ind w:firstLine="480"/>
              <w:rPr>
                <w:color w:val="auto"/>
              </w:rPr>
            </w:pPr>
            <w:r>
              <w:rPr>
                <w:rFonts w:hint="eastAsia" w:hAnsi="宋体" w:eastAsia="宋体" w:cs="Times New Roman"/>
                <w:color w:val="auto"/>
              </w:rPr>
              <w:t>综上，本项目总用水</w:t>
            </w:r>
            <w:r>
              <w:rPr>
                <w:rFonts w:hint="eastAsia"/>
                <w:color w:val="auto"/>
              </w:rPr>
              <w:t>量约</w:t>
            </w:r>
            <w:r>
              <w:rPr>
                <w:rFonts w:hint="eastAsia"/>
                <w:color w:val="auto"/>
                <w:lang w:val="en-US" w:eastAsia="zh-CN"/>
              </w:rPr>
              <w:t>63.57</w:t>
            </w:r>
            <w:r>
              <w:rPr>
                <w:rFonts w:hint="eastAsia"/>
                <w:color w:val="auto"/>
              </w:rPr>
              <w:t>m</w:t>
            </w:r>
            <w:r>
              <w:rPr>
                <w:rFonts w:hint="eastAsia"/>
                <w:color w:val="auto"/>
                <w:vertAlign w:val="superscript"/>
              </w:rPr>
              <w:t>3</w:t>
            </w:r>
            <w:r>
              <w:rPr>
                <w:rFonts w:hint="eastAsia"/>
                <w:color w:val="auto"/>
              </w:rPr>
              <w:t>/d（</w:t>
            </w:r>
            <w:r>
              <w:rPr>
                <w:rFonts w:hint="eastAsia"/>
                <w:color w:val="auto"/>
                <w:lang w:eastAsia="zh-CN"/>
              </w:rPr>
              <w:t>22761.8</w:t>
            </w:r>
            <w:r>
              <w:rPr>
                <w:rFonts w:hint="eastAsia"/>
                <w:color w:val="auto"/>
              </w:rPr>
              <w:t>m</w:t>
            </w:r>
            <w:r>
              <w:rPr>
                <w:rFonts w:hint="eastAsia"/>
                <w:color w:val="auto"/>
                <w:vertAlign w:val="superscript"/>
              </w:rPr>
              <w:t>3</w:t>
            </w:r>
            <w:r>
              <w:rPr>
                <w:rFonts w:hint="eastAsia"/>
                <w:color w:val="auto"/>
              </w:rPr>
              <w:t>/a），排水量约</w:t>
            </w:r>
            <w:r>
              <w:rPr>
                <w:rFonts w:hint="eastAsia"/>
                <w:color w:val="auto"/>
                <w:lang w:eastAsia="zh-CN"/>
              </w:rPr>
              <w:t>48.72</w:t>
            </w:r>
            <w:r>
              <w:rPr>
                <w:rFonts w:hint="eastAsia"/>
                <w:color w:val="auto"/>
              </w:rPr>
              <w:t>m</w:t>
            </w:r>
            <w:r>
              <w:rPr>
                <w:rFonts w:hint="eastAsia"/>
                <w:color w:val="auto"/>
                <w:vertAlign w:val="superscript"/>
              </w:rPr>
              <w:t>3</w:t>
            </w:r>
            <w:r>
              <w:rPr>
                <w:rFonts w:hint="eastAsia"/>
                <w:color w:val="auto"/>
              </w:rPr>
              <w:t>/d（</w:t>
            </w:r>
            <w:r>
              <w:rPr>
                <w:rFonts w:hint="eastAsia"/>
                <w:color w:val="auto"/>
                <w:lang w:eastAsia="zh-CN"/>
              </w:rPr>
              <w:t>17782.8</w:t>
            </w:r>
            <w:r>
              <w:rPr>
                <w:rFonts w:hint="eastAsia"/>
                <w:color w:val="auto"/>
              </w:rPr>
              <w:t>m</w:t>
            </w:r>
            <w:r>
              <w:rPr>
                <w:rFonts w:hint="eastAsia"/>
                <w:color w:val="auto"/>
                <w:vertAlign w:val="superscript"/>
              </w:rPr>
              <w:t>3</w:t>
            </w:r>
            <w:r>
              <w:rPr>
                <w:rFonts w:hint="eastAsia"/>
                <w:color w:val="auto"/>
              </w:rPr>
              <w:t>/a）。具体情况见下表4-</w:t>
            </w:r>
            <w:r>
              <w:rPr>
                <w:rFonts w:hint="eastAsia"/>
                <w:color w:val="auto"/>
                <w:lang w:val="en-US" w:eastAsia="zh-CN"/>
              </w:rPr>
              <w:t>6</w:t>
            </w:r>
            <w:r>
              <w:rPr>
                <w:rFonts w:hint="eastAsia"/>
                <w:color w:val="auto"/>
              </w:rPr>
              <w:t>。</w:t>
            </w:r>
          </w:p>
          <w:p>
            <w:pPr>
              <w:pStyle w:val="67"/>
              <w:spacing w:line="360" w:lineRule="auto"/>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表4-</w:t>
            </w:r>
            <w:r>
              <w:rPr>
                <w:rFonts w:hint="eastAsia" w:cs="Times New Roman"/>
                <w:b/>
                <w:bCs/>
                <w:color w:val="auto"/>
                <w:kern w:val="2"/>
                <w:sz w:val="21"/>
                <w:szCs w:val="21"/>
                <w:lang w:val="en-US" w:eastAsia="zh-CN"/>
              </w:rPr>
              <w:t>6</w:t>
            </w:r>
            <w:r>
              <w:rPr>
                <w:rFonts w:hint="default" w:ascii="Times New Roman" w:hAnsi="Times New Roman" w:cs="Times New Roman"/>
                <w:b/>
                <w:bCs/>
                <w:color w:val="auto"/>
                <w:kern w:val="2"/>
                <w:sz w:val="21"/>
                <w:szCs w:val="21"/>
              </w:rPr>
              <w:t xml:space="preserve"> 项目用排水量汇总表</w:t>
            </w:r>
          </w:p>
          <w:tbl>
            <w:tblPr>
              <w:tblStyle w:val="37"/>
              <w:tblW w:w="8478" w:type="dxa"/>
              <w:jc w:val="center"/>
              <w:tblLayout w:type="fixed"/>
              <w:tblCellMar>
                <w:top w:w="0" w:type="dxa"/>
                <w:left w:w="0" w:type="dxa"/>
                <w:bottom w:w="0" w:type="dxa"/>
                <w:right w:w="0" w:type="dxa"/>
              </w:tblCellMar>
            </w:tblPr>
            <w:tblGrid>
              <w:gridCol w:w="1566"/>
              <w:gridCol w:w="1623"/>
              <w:gridCol w:w="1400"/>
              <w:gridCol w:w="1267"/>
              <w:gridCol w:w="1319"/>
              <w:gridCol w:w="1303"/>
            </w:tblGrid>
            <w:tr>
              <w:tblPrEx>
                <w:tblCellMar>
                  <w:top w:w="0" w:type="dxa"/>
                  <w:left w:w="0" w:type="dxa"/>
                  <w:bottom w:w="0" w:type="dxa"/>
                  <w:right w:w="0" w:type="dxa"/>
                </w:tblCellMar>
              </w:tblPrEx>
              <w:trPr>
                <w:trHeight w:val="285" w:hRule="atLeast"/>
                <w:jc w:val="center"/>
              </w:trPr>
              <w:tc>
                <w:tcPr>
                  <w:tcW w:w="1566" w:type="dxa"/>
                  <w:vMerge w:val="restart"/>
                  <w:tcBorders>
                    <w:top w:val="single" w:color="auto" w:sz="8" w:space="0"/>
                    <w:left w:val="single" w:color="auto" w:sz="8" w:space="0"/>
                    <w:bottom w:val="single" w:color="000000" w:sz="8" w:space="0"/>
                    <w:right w:val="single" w:color="000000" w:sz="8" w:space="0"/>
                  </w:tcBorders>
                  <w:shd w:val="clear" w:color="auto" w:fill="auto"/>
                  <w:vAlign w:val="center"/>
                </w:tcPr>
                <w:p>
                  <w:pPr>
                    <w:pStyle w:val="146"/>
                    <w:spacing w:line="360" w:lineRule="auto"/>
                    <w:ind w:left="0" w:leftChars="0" w:right="0" w:rightChars="0" w:firstLine="0" w:firstLineChars="0"/>
                    <w:jc w:val="center"/>
                    <w:rPr>
                      <w:b/>
                      <w:bCs/>
                      <w:color w:val="auto"/>
                      <w:sz w:val="21"/>
                      <w:szCs w:val="21"/>
                    </w:rPr>
                  </w:pPr>
                  <w:r>
                    <w:rPr>
                      <w:rFonts w:hint="eastAsia"/>
                      <w:b/>
                      <w:bCs/>
                      <w:color w:val="auto"/>
                      <w:sz w:val="21"/>
                      <w:szCs w:val="21"/>
                    </w:rPr>
                    <w:t>用水部位</w:t>
                  </w:r>
                </w:p>
              </w:tc>
              <w:tc>
                <w:tcPr>
                  <w:tcW w:w="1623"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pStyle w:val="146"/>
                    <w:spacing w:line="360" w:lineRule="auto"/>
                    <w:ind w:left="0" w:leftChars="0" w:right="0" w:rightChars="0" w:firstLine="0" w:firstLineChars="0"/>
                    <w:jc w:val="center"/>
                    <w:rPr>
                      <w:b/>
                      <w:bCs/>
                      <w:color w:val="auto"/>
                      <w:sz w:val="21"/>
                      <w:szCs w:val="21"/>
                    </w:rPr>
                  </w:pPr>
                  <w:r>
                    <w:rPr>
                      <w:rFonts w:hint="eastAsia"/>
                      <w:b/>
                      <w:bCs/>
                      <w:color w:val="auto"/>
                      <w:sz w:val="21"/>
                      <w:szCs w:val="21"/>
                    </w:rPr>
                    <w:t>用水定额</w:t>
                  </w:r>
                </w:p>
              </w:tc>
              <w:tc>
                <w:tcPr>
                  <w:tcW w:w="2667" w:type="dxa"/>
                  <w:gridSpan w:val="2"/>
                  <w:tcBorders>
                    <w:top w:val="single" w:color="auto" w:sz="8" w:space="0"/>
                    <w:left w:val="nil"/>
                    <w:bottom w:val="single" w:color="auto" w:sz="8" w:space="0"/>
                    <w:right w:val="single" w:color="000000" w:sz="8" w:space="0"/>
                  </w:tcBorders>
                  <w:shd w:val="clear" w:color="auto" w:fill="auto"/>
                  <w:vAlign w:val="center"/>
                </w:tcPr>
                <w:p>
                  <w:pPr>
                    <w:pStyle w:val="146"/>
                    <w:spacing w:line="360" w:lineRule="auto"/>
                    <w:ind w:left="0" w:leftChars="0" w:right="0" w:rightChars="0" w:firstLine="0" w:firstLineChars="0"/>
                    <w:jc w:val="center"/>
                    <w:rPr>
                      <w:b/>
                      <w:bCs/>
                      <w:color w:val="auto"/>
                      <w:sz w:val="21"/>
                      <w:szCs w:val="21"/>
                    </w:rPr>
                  </w:pPr>
                  <w:r>
                    <w:rPr>
                      <w:rFonts w:hint="eastAsia"/>
                      <w:b/>
                      <w:bCs/>
                      <w:color w:val="auto"/>
                      <w:sz w:val="21"/>
                      <w:szCs w:val="21"/>
                    </w:rPr>
                    <w:t>用水量</w:t>
                  </w:r>
                </w:p>
              </w:tc>
              <w:tc>
                <w:tcPr>
                  <w:tcW w:w="2622" w:type="dxa"/>
                  <w:gridSpan w:val="2"/>
                  <w:tcBorders>
                    <w:top w:val="single" w:color="auto" w:sz="8" w:space="0"/>
                    <w:left w:val="nil"/>
                    <w:bottom w:val="single" w:color="auto" w:sz="8" w:space="0"/>
                    <w:right w:val="single" w:color="000000" w:sz="8" w:space="0"/>
                  </w:tcBorders>
                  <w:shd w:val="clear" w:color="auto" w:fill="auto"/>
                  <w:vAlign w:val="center"/>
                </w:tcPr>
                <w:p>
                  <w:pPr>
                    <w:pStyle w:val="146"/>
                    <w:spacing w:line="360" w:lineRule="auto"/>
                    <w:ind w:left="0" w:leftChars="0" w:right="0" w:rightChars="0" w:firstLine="0" w:firstLineChars="0"/>
                    <w:jc w:val="center"/>
                    <w:rPr>
                      <w:b/>
                      <w:bCs/>
                      <w:color w:val="auto"/>
                      <w:sz w:val="21"/>
                      <w:szCs w:val="21"/>
                    </w:rPr>
                  </w:pPr>
                  <w:r>
                    <w:rPr>
                      <w:rFonts w:hint="eastAsia"/>
                      <w:b/>
                      <w:bCs/>
                      <w:color w:val="auto"/>
                      <w:sz w:val="21"/>
                      <w:szCs w:val="21"/>
                    </w:rPr>
                    <w:t>排水量</w:t>
                  </w:r>
                </w:p>
              </w:tc>
            </w:tr>
            <w:tr>
              <w:tblPrEx>
                <w:tblCellMar>
                  <w:top w:w="0" w:type="dxa"/>
                  <w:left w:w="0" w:type="dxa"/>
                  <w:bottom w:w="0" w:type="dxa"/>
                  <w:right w:w="0" w:type="dxa"/>
                </w:tblCellMar>
              </w:tblPrEx>
              <w:trPr>
                <w:trHeight w:val="638" w:hRule="atLeast"/>
                <w:jc w:val="center"/>
              </w:trPr>
              <w:tc>
                <w:tcPr>
                  <w:tcW w:w="1566" w:type="dxa"/>
                  <w:vMerge w:val="continue"/>
                  <w:tcBorders>
                    <w:top w:val="single" w:color="auto" w:sz="8" w:space="0"/>
                    <w:left w:val="single" w:color="auto" w:sz="8" w:space="0"/>
                    <w:bottom w:val="single" w:color="000000" w:sz="8" w:space="0"/>
                    <w:right w:val="single" w:color="000000" w:sz="8" w:space="0"/>
                  </w:tcBorders>
                  <w:vAlign w:val="center"/>
                </w:tcPr>
                <w:p>
                  <w:pPr>
                    <w:pStyle w:val="146"/>
                    <w:spacing w:line="360" w:lineRule="auto"/>
                    <w:ind w:left="0" w:leftChars="0" w:right="0" w:rightChars="0" w:firstLine="0" w:firstLineChars="0"/>
                    <w:jc w:val="center"/>
                    <w:rPr>
                      <w:b/>
                      <w:bCs/>
                      <w:color w:val="auto"/>
                      <w:sz w:val="21"/>
                      <w:szCs w:val="21"/>
                    </w:rPr>
                  </w:pPr>
                </w:p>
              </w:tc>
              <w:tc>
                <w:tcPr>
                  <w:tcW w:w="1623" w:type="dxa"/>
                  <w:vMerge w:val="continue"/>
                  <w:tcBorders>
                    <w:top w:val="single" w:color="auto" w:sz="8" w:space="0"/>
                    <w:left w:val="single" w:color="auto" w:sz="8" w:space="0"/>
                    <w:bottom w:val="single" w:color="000000" w:sz="8" w:space="0"/>
                    <w:right w:val="single" w:color="auto" w:sz="8" w:space="0"/>
                  </w:tcBorders>
                  <w:vAlign w:val="center"/>
                </w:tcPr>
                <w:p>
                  <w:pPr>
                    <w:pStyle w:val="146"/>
                    <w:spacing w:line="360" w:lineRule="auto"/>
                    <w:ind w:left="0" w:leftChars="0" w:right="0" w:rightChars="0" w:firstLine="0" w:firstLineChars="0"/>
                    <w:jc w:val="center"/>
                    <w:rPr>
                      <w:b/>
                      <w:bCs/>
                      <w:color w:val="auto"/>
                      <w:sz w:val="21"/>
                      <w:szCs w:val="21"/>
                    </w:rPr>
                  </w:pPr>
                </w:p>
              </w:tc>
              <w:tc>
                <w:tcPr>
                  <w:tcW w:w="1400" w:type="dxa"/>
                  <w:tcBorders>
                    <w:top w:val="nil"/>
                    <w:left w:val="single" w:color="auto" w:sz="8" w:space="0"/>
                    <w:bottom w:val="single" w:color="000000" w:sz="8" w:space="0"/>
                    <w:right w:val="single" w:color="auto" w:sz="8" w:space="0"/>
                  </w:tcBorders>
                  <w:shd w:val="clear" w:color="auto" w:fill="auto"/>
                  <w:vAlign w:val="center"/>
                </w:tcPr>
                <w:p>
                  <w:pPr>
                    <w:pStyle w:val="146"/>
                    <w:spacing w:line="360" w:lineRule="auto"/>
                    <w:ind w:left="0" w:leftChars="0" w:right="0" w:rightChars="0" w:firstLine="0" w:firstLineChars="0"/>
                    <w:jc w:val="center"/>
                    <w:rPr>
                      <w:b/>
                      <w:bCs/>
                      <w:color w:val="auto"/>
                      <w:sz w:val="21"/>
                      <w:szCs w:val="21"/>
                    </w:rPr>
                  </w:pPr>
                  <w:r>
                    <w:rPr>
                      <w:rFonts w:hint="eastAsia"/>
                      <w:b/>
                      <w:bCs/>
                      <w:color w:val="auto"/>
                      <w:sz w:val="21"/>
                      <w:szCs w:val="21"/>
                    </w:rPr>
                    <w:t>日（</w:t>
                  </w:r>
                  <w:r>
                    <w:rPr>
                      <w:b/>
                      <w:bCs/>
                      <w:color w:val="auto"/>
                      <w:sz w:val="21"/>
                      <w:szCs w:val="21"/>
                    </w:rPr>
                    <w:t>m</w:t>
                  </w:r>
                  <w:r>
                    <w:rPr>
                      <w:b/>
                      <w:bCs/>
                      <w:color w:val="auto"/>
                      <w:sz w:val="21"/>
                      <w:szCs w:val="21"/>
                      <w:vertAlign w:val="superscript"/>
                    </w:rPr>
                    <w:t>3</w:t>
                  </w:r>
                  <w:r>
                    <w:rPr>
                      <w:b/>
                      <w:bCs/>
                      <w:color w:val="auto"/>
                      <w:sz w:val="21"/>
                      <w:szCs w:val="21"/>
                    </w:rPr>
                    <w:t>/d</w:t>
                  </w:r>
                  <w:r>
                    <w:rPr>
                      <w:rFonts w:hint="eastAsia"/>
                      <w:b/>
                      <w:bCs/>
                      <w:color w:val="auto"/>
                      <w:sz w:val="21"/>
                      <w:szCs w:val="21"/>
                    </w:rPr>
                    <w:t>）</w:t>
                  </w:r>
                </w:p>
              </w:tc>
              <w:tc>
                <w:tcPr>
                  <w:tcW w:w="1267" w:type="dxa"/>
                  <w:tcBorders>
                    <w:top w:val="single" w:color="auto" w:sz="8" w:space="0"/>
                    <w:left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b/>
                      <w:bCs/>
                      <w:color w:val="auto"/>
                      <w:sz w:val="21"/>
                      <w:szCs w:val="21"/>
                    </w:rPr>
                  </w:pPr>
                  <w:r>
                    <w:rPr>
                      <w:rFonts w:hint="eastAsia"/>
                      <w:b/>
                      <w:bCs/>
                      <w:color w:val="auto"/>
                      <w:sz w:val="21"/>
                      <w:szCs w:val="21"/>
                    </w:rPr>
                    <w:t>年（</w:t>
                  </w:r>
                  <w:r>
                    <w:rPr>
                      <w:b/>
                      <w:bCs/>
                      <w:color w:val="auto"/>
                      <w:sz w:val="21"/>
                      <w:szCs w:val="21"/>
                    </w:rPr>
                    <w:t>m</w:t>
                  </w:r>
                  <w:r>
                    <w:rPr>
                      <w:b/>
                      <w:bCs/>
                      <w:color w:val="auto"/>
                      <w:sz w:val="21"/>
                      <w:szCs w:val="21"/>
                      <w:vertAlign w:val="superscript"/>
                    </w:rPr>
                    <w:t>3</w:t>
                  </w:r>
                  <w:r>
                    <w:rPr>
                      <w:b/>
                      <w:bCs/>
                      <w:color w:val="auto"/>
                      <w:sz w:val="21"/>
                      <w:szCs w:val="21"/>
                    </w:rPr>
                    <w:t>/a</w:t>
                  </w:r>
                  <w:r>
                    <w:rPr>
                      <w:rFonts w:hint="eastAsia"/>
                      <w:b/>
                      <w:bCs/>
                      <w:color w:val="auto"/>
                      <w:sz w:val="21"/>
                      <w:szCs w:val="21"/>
                    </w:rPr>
                    <w:t>）</w:t>
                  </w:r>
                </w:p>
              </w:tc>
              <w:tc>
                <w:tcPr>
                  <w:tcW w:w="1319" w:type="dxa"/>
                  <w:tcBorders>
                    <w:top w:val="nil"/>
                    <w:left w:val="single" w:color="auto" w:sz="8" w:space="0"/>
                    <w:bottom w:val="single" w:color="000000" w:sz="8" w:space="0"/>
                    <w:right w:val="single" w:color="auto" w:sz="8" w:space="0"/>
                  </w:tcBorders>
                  <w:shd w:val="clear" w:color="auto" w:fill="auto"/>
                  <w:vAlign w:val="center"/>
                </w:tcPr>
                <w:p>
                  <w:pPr>
                    <w:pStyle w:val="146"/>
                    <w:spacing w:line="360" w:lineRule="auto"/>
                    <w:ind w:left="0" w:leftChars="0" w:right="0" w:rightChars="0" w:firstLine="0" w:firstLineChars="0"/>
                    <w:jc w:val="center"/>
                    <w:rPr>
                      <w:b/>
                      <w:bCs/>
                      <w:color w:val="auto"/>
                      <w:sz w:val="21"/>
                      <w:szCs w:val="21"/>
                    </w:rPr>
                  </w:pPr>
                  <w:r>
                    <w:rPr>
                      <w:rFonts w:hint="eastAsia"/>
                      <w:b/>
                      <w:bCs/>
                      <w:color w:val="auto"/>
                      <w:sz w:val="21"/>
                      <w:szCs w:val="21"/>
                    </w:rPr>
                    <w:t>日（</w:t>
                  </w:r>
                  <w:r>
                    <w:rPr>
                      <w:b/>
                      <w:bCs/>
                      <w:color w:val="auto"/>
                      <w:sz w:val="21"/>
                      <w:szCs w:val="21"/>
                    </w:rPr>
                    <w:t>m</w:t>
                  </w:r>
                  <w:r>
                    <w:rPr>
                      <w:b/>
                      <w:bCs/>
                      <w:color w:val="auto"/>
                      <w:sz w:val="21"/>
                      <w:szCs w:val="21"/>
                      <w:vertAlign w:val="superscript"/>
                    </w:rPr>
                    <w:t>3</w:t>
                  </w:r>
                  <w:r>
                    <w:rPr>
                      <w:b/>
                      <w:bCs/>
                      <w:color w:val="auto"/>
                      <w:sz w:val="21"/>
                      <w:szCs w:val="21"/>
                    </w:rPr>
                    <w:t>/d</w:t>
                  </w:r>
                  <w:r>
                    <w:rPr>
                      <w:rFonts w:hint="eastAsia"/>
                      <w:b/>
                      <w:bCs/>
                      <w:color w:val="auto"/>
                      <w:sz w:val="21"/>
                      <w:szCs w:val="21"/>
                    </w:rPr>
                    <w:t>）</w:t>
                  </w:r>
                </w:p>
              </w:tc>
              <w:tc>
                <w:tcPr>
                  <w:tcW w:w="1303" w:type="dxa"/>
                  <w:tcBorders>
                    <w:top w:val="single" w:color="auto" w:sz="8" w:space="0"/>
                    <w:left w:val="single" w:color="auto" w:sz="8" w:space="0"/>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b/>
                      <w:bCs/>
                      <w:color w:val="auto"/>
                      <w:sz w:val="21"/>
                      <w:szCs w:val="21"/>
                    </w:rPr>
                  </w:pPr>
                  <w:r>
                    <w:rPr>
                      <w:rFonts w:hint="eastAsia"/>
                      <w:b/>
                      <w:bCs/>
                      <w:color w:val="auto"/>
                      <w:sz w:val="21"/>
                      <w:szCs w:val="21"/>
                    </w:rPr>
                    <w:t>年（</w:t>
                  </w:r>
                  <w:r>
                    <w:rPr>
                      <w:b/>
                      <w:bCs/>
                      <w:color w:val="auto"/>
                      <w:sz w:val="21"/>
                      <w:szCs w:val="21"/>
                    </w:rPr>
                    <w:t>m</w:t>
                  </w:r>
                  <w:r>
                    <w:rPr>
                      <w:b/>
                      <w:bCs/>
                      <w:color w:val="auto"/>
                      <w:sz w:val="21"/>
                      <w:szCs w:val="21"/>
                      <w:vertAlign w:val="superscript"/>
                    </w:rPr>
                    <w:t>3</w:t>
                  </w:r>
                  <w:r>
                    <w:rPr>
                      <w:b/>
                      <w:bCs/>
                      <w:color w:val="auto"/>
                      <w:sz w:val="21"/>
                      <w:szCs w:val="21"/>
                    </w:rPr>
                    <w:t>/a</w:t>
                  </w:r>
                  <w:r>
                    <w:rPr>
                      <w:rFonts w:hint="eastAsia"/>
                      <w:b/>
                      <w:bCs/>
                      <w:color w:val="auto"/>
                      <w:sz w:val="21"/>
                      <w:szCs w:val="21"/>
                    </w:rPr>
                    <w:t>）</w:t>
                  </w:r>
                </w:p>
              </w:tc>
            </w:tr>
            <w:tr>
              <w:tblPrEx>
                <w:tblCellMar>
                  <w:top w:w="0" w:type="dxa"/>
                  <w:left w:w="0" w:type="dxa"/>
                  <w:bottom w:w="0" w:type="dxa"/>
                  <w:right w:w="0" w:type="dxa"/>
                </w:tblCellMar>
              </w:tblPrEx>
              <w:trPr>
                <w:trHeight w:val="399" w:hRule="atLeast"/>
                <w:jc w:val="center"/>
              </w:trPr>
              <w:tc>
                <w:tcPr>
                  <w:tcW w:w="156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6"/>
                    <w:spacing w:line="360" w:lineRule="auto"/>
                    <w:ind w:left="0" w:leftChars="0" w:right="0" w:rightChars="0" w:firstLine="0" w:firstLineChars="0"/>
                    <w:jc w:val="center"/>
                    <w:rPr>
                      <w:color w:val="auto"/>
                      <w:sz w:val="21"/>
                      <w:szCs w:val="21"/>
                    </w:rPr>
                  </w:pPr>
                  <w:r>
                    <w:rPr>
                      <w:rFonts w:hint="eastAsia"/>
                      <w:color w:val="auto"/>
                      <w:sz w:val="21"/>
                      <w:szCs w:val="21"/>
                    </w:rPr>
                    <w:t>门诊用水</w:t>
                  </w:r>
                </w:p>
              </w:tc>
              <w:tc>
                <w:tcPr>
                  <w:tcW w:w="1623" w:type="dxa"/>
                  <w:tcBorders>
                    <w:top w:val="nil"/>
                    <w:left w:val="single" w:color="auto" w:sz="4" w:space="0"/>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color w:val="auto"/>
                      <w:sz w:val="21"/>
                      <w:szCs w:val="21"/>
                    </w:rPr>
                  </w:pPr>
                  <w:r>
                    <w:rPr>
                      <w:rFonts w:hint="eastAsia"/>
                      <w:color w:val="auto"/>
                      <w:sz w:val="21"/>
                      <w:szCs w:val="21"/>
                      <w:lang w:val="en-US" w:eastAsia="zh-CN"/>
                    </w:rPr>
                    <w:t>20</w:t>
                  </w:r>
                  <w:r>
                    <w:rPr>
                      <w:color w:val="auto"/>
                      <w:sz w:val="21"/>
                      <w:szCs w:val="21"/>
                    </w:rPr>
                    <w:t>L/</w:t>
                  </w:r>
                  <w:r>
                    <w:rPr>
                      <w:rFonts w:hint="eastAsia"/>
                      <w:color w:val="auto"/>
                      <w:sz w:val="21"/>
                      <w:szCs w:val="21"/>
                    </w:rPr>
                    <w:t>（人</w:t>
                  </w:r>
                  <w:r>
                    <w:rPr>
                      <w:color w:val="auto"/>
                      <w:sz w:val="21"/>
                      <w:szCs w:val="21"/>
                    </w:rPr>
                    <w:t>·</w:t>
                  </w:r>
                  <w:r>
                    <w:rPr>
                      <w:rFonts w:hint="eastAsia"/>
                      <w:color w:val="auto"/>
                      <w:sz w:val="21"/>
                      <w:szCs w:val="21"/>
                    </w:rPr>
                    <w:t>次）</w:t>
                  </w:r>
                </w:p>
              </w:tc>
              <w:tc>
                <w:tcPr>
                  <w:tcW w:w="1400" w:type="dxa"/>
                  <w:tcBorders>
                    <w:top w:val="nil"/>
                    <w:left w:val="nil"/>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rFonts w:hint="default" w:eastAsia="宋体"/>
                      <w:color w:val="auto"/>
                      <w:sz w:val="21"/>
                      <w:szCs w:val="21"/>
                      <w:lang w:val="en-US" w:eastAsia="zh-CN"/>
                    </w:rPr>
                  </w:pPr>
                  <w:r>
                    <w:rPr>
                      <w:rFonts w:hint="eastAsia"/>
                      <w:color w:val="auto"/>
                      <w:sz w:val="21"/>
                      <w:szCs w:val="21"/>
                      <w:lang w:val="en-US" w:eastAsia="zh-CN"/>
                    </w:rPr>
                    <w:t>0.8</w:t>
                  </w:r>
                </w:p>
              </w:tc>
              <w:tc>
                <w:tcPr>
                  <w:tcW w:w="1267" w:type="dxa"/>
                  <w:tcBorders>
                    <w:top w:val="single" w:color="auto" w:sz="8" w:space="0"/>
                    <w:left w:val="nil"/>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rFonts w:hint="default"/>
                      <w:color w:val="auto"/>
                      <w:sz w:val="21"/>
                      <w:szCs w:val="21"/>
                      <w:lang w:val="en-US"/>
                    </w:rPr>
                  </w:pPr>
                  <w:r>
                    <w:rPr>
                      <w:rFonts w:hint="eastAsia"/>
                      <w:color w:val="auto"/>
                      <w:sz w:val="21"/>
                      <w:szCs w:val="21"/>
                      <w:lang w:val="en-US" w:eastAsia="zh-CN"/>
                    </w:rPr>
                    <w:t>292</w:t>
                  </w:r>
                </w:p>
              </w:tc>
              <w:tc>
                <w:tcPr>
                  <w:tcW w:w="1319" w:type="dxa"/>
                  <w:tcBorders>
                    <w:top w:val="nil"/>
                    <w:left w:val="nil"/>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rFonts w:hint="default" w:eastAsia="宋体"/>
                      <w:color w:val="auto"/>
                      <w:sz w:val="21"/>
                      <w:szCs w:val="21"/>
                      <w:lang w:val="en-US" w:eastAsia="zh-CN"/>
                    </w:rPr>
                  </w:pPr>
                  <w:r>
                    <w:rPr>
                      <w:rFonts w:hint="eastAsia"/>
                      <w:color w:val="auto"/>
                      <w:sz w:val="21"/>
                      <w:szCs w:val="21"/>
                      <w:lang w:val="en-US" w:eastAsia="zh-CN"/>
                    </w:rPr>
                    <w:t>0.64</w:t>
                  </w:r>
                </w:p>
              </w:tc>
              <w:tc>
                <w:tcPr>
                  <w:tcW w:w="1303" w:type="dxa"/>
                  <w:tcBorders>
                    <w:top w:val="single" w:color="auto" w:sz="8" w:space="0"/>
                    <w:left w:val="nil"/>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rFonts w:hint="default" w:eastAsia="宋体"/>
                      <w:color w:val="auto"/>
                      <w:sz w:val="21"/>
                      <w:szCs w:val="21"/>
                      <w:lang w:val="en-US" w:eastAsia="zh-CN"/>
                    </w:rPr>
                  </w:pPr>
                  <w:r>
                    <w:rPr>
                      <w:rFonts w:hint="eastAsia"/>
                      <w:color w:val="auto"/>
                      <w:sz w:val="21"/>
                      <w:szCs w:val="21"/>
                      <w:lang w:val="en-US" w:eastAsia="zh-CN"/>
                    </w:rPr>
                    <w:t>233.6</w:t>
                  </w:r>
                </w:p>
              </w:tc>
            </w:tr>
            <w:tr>
              <w:tblPrEx>
                <w:tblCellMar>
                  <w:top w:w="0" w:type="dxa"/>
                  <w:left w:w="0" w:type="dxa"/>
                  <w:bottom w:w="0" w:type="dxa"/>
                  <w:right w:w="0" w:type="dxa"/>
                </w:tblCellMar>
              </w:tblPrEx>
              <w:trPr>
                <w:trHeight w:val="316" w:hRule="atLeast"/>
                <w:jc w:val="center"/>
              </w:trPr>
              <w:tc>
                <w:tcPr>
                  <w:tcW w:w="1566" w:type="dxa"/>
                  <w:tcBorders>
                    <w:top w:val="single" w:color="auto" w:sz="4" w:space="0"/>
                    <w:left w:val="single" w:color="auto" w:sz="8" w:space="0"/>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color w:val="auto"/>
                      <w:sz w:val="21"/>
                      <w:szCs w:val="21"/>
                    </w:rPr>
                  </w:pPr>
                  <w:r>
                    <w:rPr>
                      <w:rFonts w:hint="eastAsia"/>
                      <w:color w:val="auto"/>
                      <w:sz w:val="21"/>
                      <w:szCs w:val="21"/>
                      <w:lang w:val="en-US" w:eastAsia="zh-CN"/>
                    </w:rPr>
                    <w:t>住院</w:t>
                  </w:r>
                  <w:r>
                    <w:rPr>
                      <w:rFonts w:hint="eastAsia"/>
                      <w:color w:val="auto"/>
                      <w:sz w:val="21"/>
                      <w:szCs w:val="21"/>
                    </w:rPr>
                    <w:t>用水</w:t>
                  </w:r>
                </w:p>
              </w:tc>
              <w:tc>
                <w:tcPr>
                  <w:tcW w:w="1623" w:type="dxa"/>
                  <w:tcBorders>
                    <w:top w:val="single" w:color="auto" w:sz="8" w:space="0"/>
                    <w:left w:val="single" w:color="auto" w:sz="8" w:space="0"/>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color w:val="auto"/>
                      <w:sz w:val="21"/>
                      <w:szCs w:val="21"/>
                    </w:rPr>
                  </w:pPr>
                  <w:r>
                    <w:rPr>
                      <w:rFonts w:hint="eastAsia"/>
                      <w:color w:val="auto"/>
                      <w:sz w:val="21"/>
                      <w:szCs w:val="21"/>
                      <w:lang w:val="en-US" w:eastAsia="zh-CN"/>
                    </w:rPr>
                    <w:t>300</w:t>
                  </w:r>
                  <w:r>
                    <w:rPr>
                      <w:color w:val="auto"/>
                      <w:sz w:val="21"/>
                      <w:szCs w:val="21"/>
                    </w:rPr>
                    <w:t>L/</w:t>
                  </w:r>
                  <w:r>
                    <w:rPr>
                      <w:rFonts w:hint="eastAsia"/>
                      <w:color w:val="auto"/>
                      <w:sz w:val="21"/>
                      <w:szCs w:val="21"/>
                    </w:rPr>
                    <w:t>（床</w:t>
                  </w:r>
                  <w:r>
                    <w:rPr>
                      <w:color w:val="auto"/>
                      <w:sz w:val="21"/>
                      <w:szCs w:val="21"/>
                    </w:rPr>
                    <w:t>·d</w:t>
                  </w:r>
                  <w:r>
                    <w:rPr>
                      <w:rFonts w:hint="eastAsia"/>
                      <w:color w:val="auto"/>
                      <w:sz w:val="21"/>
                      <w:szCs w:val="21"/>
                    </w:rPr>
                    <w:t>）</w:t>
                  </w:r>
                </w:p>
              </w:tc>
              <w:tc>
                <w:tcPr>
                  <w:tcW w:w="1400" w:type="dxa"/>
                  <w:tcBorders>
                    <w:top w:val="single" w:color="auto" w:sz="8" w:space="0"/>
                    <w:left w:val="single" w:color="auto" w:sz="8" w:space="0"/>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rFonts w:hint="default" w:eastAsia="宋体"/>
                      <w:color w:val="auto"/>
                      <w:sz w:val="21"/>
                      <w:szCs w:val="21"/>
                      <w:lang w:val="en-US" w:eastAsia="zh-CN"/>
                    </w:rPr>
                  </w:pPr>
                  <w:r>
                    <w:rPr>
                      <w:rFonts w:hint="eastAsia"/>
                      <w:color w:val="auto"/>
                      <w:sz w:val="21"/>
                      <w:szCs w:val="21"/>
                      <w:lang w:val="en-US" w:eastAsia="zh-CN"/>
                    </w:rPr>
                    <w:t>60</w:t>
                  </w:r>
                </w:p>
              </w:tc>
              <w:tc>
                <w:tcPr>
                  <w:tcW w:w="1267" w:type="dxa"/>
                  <w:tcBorders>
                    <w:top w:val="single" w:color="auto" w:sz="8" w:space="0"/>
                    <w:left w:val="single" w:color="auto" w:sz="8" w:space="0"/>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rFonts w:hint="default" w:eastAsia="宋体"/>
                      <w:color w:val="auto"/>
                      <w:sz w:val="21"/>
                      <w:szCs w:val="21"/>
                      <w:lang w:val="en-US" w:eastAsia="zh-CN"/>
                    </w:rPr>
                  </w:pPr>
                  <w:r>
                    <w:rPr>
                      <w:rFonts w:hint="eastAsia"/>
                      <w:color w:val="auto"/>
                      <w:sz w:val="21"/>
                      <w:szCs w:val="21"/>
                      <w:lang w:val="en-US" w:eastAsia="zh-CN"/>
                    </w:rPr>
                    <w:t>21900</w:t>
                  </w:r>
                </w:p>
              </w:tc>
              <w:tc>
                <w:tcPr>
                  <w:tcW w:w="1319" w:type="dxa"/>
                  <w:tcBorders>
                    <w:top w:val="single" w:color="auto" w:sz="8" w:space="0"/>
                    <w:left w:val="single" w:color="auto" w:sz="8" w:space="0"/>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rFonts w:hint="default" w:eastAsia="宋体"/>
                      <w:color w:val="auto"/>
                      <w:sz w:val="21"/>
                      <w:szCs w:val="21"/>
                      <w:lang w:val="en-US" w:eastAsia="zh-CN"/>
                    </w:rPr>
                  </w:pPr>
                  <w:r>
                    <w:rPr>
                      <w:rFonts w:hint="eastAsia"/>
                      <w:color w:val="auto"/>
                      <w:sz w:val="21"/>
                      <w:szCs w:val="21"/>
                      <w:lang w:val="en-US" w:eastAsia="zh-CN"/>
                    </w:rPr>
                    <w:t>48</w:t>
                  </w:r>
                </w:p>
              </w:tc>
              <w:tc>
                <w:tcPr>
                  <w:tcW w:w="1303" w:type="dxa"/>
                  <w:tcBorders>
                    <w:top w:val="nil"/>
                    <w:left w:val="nil"/>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rFonts w:hint="default" w:eastAsia="宋体"/>
                      <w:color w:val="auto"/>
                      <w:sz w:val="21"/>
                      <w:szCs w:val="21"/>
                      <w:lang w:val="en-US" w:eastAsia="zh-CN"/>
                    </w:rPr>
                  </w:pPr>
                  <w:r>
                    <w:rPr>
                      <w:rFonts w:hint="eastAsia"/>
                      <w:color w:val="auto"/>
                      <w:sz w:val="21"/>
                      <w:szCs w:val="21"/>
                      <w:lang w:val="en-US" w:eastAsia="zh-CN"/>
                    </w:rPr>
                    <w:t>17520</w:t>
                  </w:r>
                </w:p>
              </w:tc>
            </w:tr>
            <w:tr>
              <w:tblPrEx>
                <w:tblCellMar>
                  <w:top w:w="0" w:type="dxa"/>
                  <w:left w:w="0" w:type="dxa"/>
                  <w:bottom w:w="0" w:type="dxa"/>
                  <w:right w:w="0" w:type="dxa"/>
                </w:tblCellMar>
              </w:tblPrEx>
              <w:trPr>
                <w:trHeight w:val="316" w:hRule="atLeast"/>
                <w:jc w:val="center"/>
              </w:trPr>
              <w:tc>
                <w:tcPr>
                  <w:tcW w:w="1566" w:type="dxa"/>
                  <w:tcBorders>
                    <w:top w:val="single" w:color="auto" w:sz="8" w:space="0"/>
                    <w:left w:val="single" w:color="auto" w:sz="8" w:space="0"/>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检验用水</w:t>
                  </w:r>
                </w:p>
              </w:tc>
              <w:tc>
                <w:tcPr>
                  <w:tcW w:w="1623" w:type="dxa"/>
                  <w:tcBorders>
                    <w:top w:val="single" w:color="auto" w:sz="8" w:space="0"/>
                    <w:left w:val="single" w:color="auto" w:sz="8" w:space="0"/>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rFonts w:hint="default" w:eastAsia="宋体"/>
                      <w:color w:val="auto"/>
                      <w:sz w:val="21"/>
                      <w:szCs w:val="21"/>
                      <w:lang w:val="en-US" w:eastAsia="zh-CN"/>
                    </w:rPr>
                  </w:pPr>
                  <w:r>
                    <w:rPr>
                      <w:rFonts w:hint="eastAsia"/>
                      <w:color w:val="auto"/>
                      <w:sz w:val="21"/>
                      <w:szCs w:val="21"/>
                      <w:lang w:val="en-US" w:eastAsia="zh-CN"/>
                    </w:rPr>
                    <w:t>0.1</w:t>
                  </w:r>
                  <w:r>
                    <w:rPr>
                      <w:color w:val="auto"/>
                      <w:sz w:val="21"/>
                      <w:szCs w:val="21"/>
                    </w:rPr>
                    <w:t>m</w:t>
                  </w:r>
                  <w:r>
                    <w:rPr>
                      <w:color w:val="auto"/>
                      <w:sz w:val="21"/>
                      <w:szCs w:val="21"/>
                      <w:vertAlign w:val="superscript"/>
                    </w:rPr>
                    <w:t>3</w:t>
                  </w:r>
                  <w:r>
                    <w:rPr>
                      <w:color w:val="auto"/>
                      <w:sz w:val="21"/>
                      <w:szCs w:val="21"/>
                    </w:rPr>
                    <w:t>/d</w:t>
                  </w:r>
                </w:p>
              </w:tc>
              <w:tc>
                <w:tcPr>
                  <w:tcW w:w="1400" w:type="dxa"/>
                  <w:tcBorders>
                    <w:top w:val="single" w:color="auto" w:sz="8" w:space="0"/>
                    <w:left w:val="single" w:color="auto" w:sz="8" w:space="0"/>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0.1</w:t>
                  </w:r>
                </w:p>
              </w:tc>
              <w:tc>
                <w:tcPr>
                  <w:tcW w:w="1267" w:type="dxa"/>
                  <w:tcBorders>
                    <w:top w:val="single" w:color="auto" w:sz="8" w:space="0"/>
                    <w:left w:val="single" w:color="auto" w:sz="8" w:space="0"/>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36.5</w:t>
                  </w:r>
                </w:p>
              </w:tc>
              <w:tc>
                <w:tcPr>
                  <w:tcW w:w="1319" w:type="dxa"/>
                  <w:tcBorders>
                    <w:top w:val="single" w:color="auto" w:sz="8" w:space="0"/>
                    <w:left w:val="single" w:color="auto" w:sz="8" w:space="0"/>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0.08</w:t>
                  </w:r>
                </w:p>
              </w:tc>
              <w:tc>
                <w:tcPr>
                  <w:tcW w:w="1303" w:type="dxa"/>
                  <w:tcBorders>
                    <w:top w:val="nil"/>
                    <w:left w:val="nil"/>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29.2</w:t>
                  </w:r>
                </w:p>
              </w:tc>
            </w:tr>
            <w:tr>
              <w:tblPrEx>
                <w:tblCellMar>
                  <w:top w:w="0" w:type="dxa"/>
                  <w:left w:w="0" w:type="dxa"/>
                  <w:bottom w:w="0" w:type="dxa"/>
                  <w:right w:w="0" w:type="dxa"/>
                </w:tblCellMar>
              </w:tblPrEx>
              <w:trPr>
                <w:trHeight w:val="434" w:hRule="atLeast"/>
                <w:jc w:val="center"/>
              </w:trPr>
              <w:tc>
                <w:tcPr>
                  <w:tcW w:w="1566" w:type="dxa"/>
                  <w:tcBorders>
                    <w:left w:val="single" w:color="auto" w:sz="8" w:space="0"/>
                    <w:bottom w:val="single" w:color="000000" w:sz="8" w:space="0"/>
                    <w:right w:val="single" w:color="auto" w:sz="8" w:space="0"/>
                  </w:tcBorders>
                  <w:shd w:val="clear" w:color="auto" w:fill="auto"/>
                  <w:vAlign w:val="center"/>
                </w:tcPr>
                <w:p>
                  <w:pPr>
                    <w:pStyle w:val="146"/>
                    <w:spacing w:line="360" w:lineRule="auto"/>
                    <w:ind w:left="0" w:leftChars="0" w:right="0" w:rightChars="0" w:firstLine="0" w:firstLineChars="0"/>
                    <w:jc w:val="center"/>
                    <w:rPr>
                      <w:rFonts w:hint="default" w:eastAsia="宋体"/>
                      <w:color w:val="auto"/>
                      <w:sz w:val="21"/>
                      <w:szCs w:val="21"/>
                      <w:lang w:val="en-US" w:eastAsia="zh-CN"/>
                    </w:rPr>
                  </w:pPr>
                  <w:r>
                    <w:rPr>
                      <w:rFonts w:hint="eastAsia"/>
                      <w:color w:val="auto"/>
                      <w:sz w:val="21"/>
                      <w:szCs w:val="21"/>
                      <w:lang w:val="en-US" w:eastAsia="zh-CN"/>
                    </w:rPr>
                    <w:t>绿化用水</w:t>
                  </w:r>
                </w:p>
              </w:tc>
              <w:tc>
                <w:tcPr>
                  <w:tcW w:w="1623" w:type="dxa"/>
                  <w:tcBorders>
                    <w:left w:val="nil"/>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color w:val="auto"/>
                      <w:sz w:val="21"/>
                      <w:szCs w:val="21"/>
                    </w:rPr>
                  </w:pPr>
                  <w:r>
                    <w:rPr>
                      <w:rFonts w:hint="eastAsia"/>
                      <w:color w:val="auto"/>
                      <w:sz w:val="21"/>
                      <w:szCs w:val="21"/>
                    </w:rPr>
                    <w:t>2</w:t>
                  </w:r>
                  <w:r>
                    <w:rPr>
                      <w:color w:val="auto"/>
                      <w:sz w:val="21"/>
                      <w:szCs w:val="21"/>
                    </w:rPr>
                    <w:t>L/</w:t>
                  </w:r>
                  <w:r>
                    <w:rPr>
                      <w:bCs/>
                      <w:color w:val="auto"/>
                      <w:sz w:val="21"/>
                      <w:szCs w:val="21"/>
                    </w:rPr>
                    <w:t>m</w:t>
                  </w:r>
                  <w:r>
                    <w:rPr>
                      <w:bCs/>
                      <w:color w:val="auto"/>
                      <w:sz w:val="21"/>
                      <w:szCs w:val="21"/>
                      <w:vertAlign w:val="superscript"/>
                    </w:rPr>
                    <w:t>2</w:t>
                  </w:r>
                  <w:r>
                    <w:rPr>
                      <w:color w:val="auto"/>
                      <w:sz w:val="21"/>
                      <w:szCs w:val="21"/>
                    </w:rPr>
                    <w:t>·</w:t>
                  </w:r>
                  <w:r>
                    <w:rPr>
                      <w:rFonts w:hint="eastAsia"/>
                      <w:color w:val="auto"/>
                      <w:sz w:val="21"/>
                      <w:szCs w:val="21"/>
                    </w:rPr>
                    <w:t>次</w:t>
                  </w:r>
                </w:p>
              </w:tc>
              <w:tc>
                <w:tcPr>
                  <w:tcW w:w="1400" w:type="dxa"/>
                  <w:tcBorders>
                    <w:left w:val="nil"/>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2.67</w:t>
                  </w:r>
                </w:p>
              </w:tc>
              <w:tc>
                <w:tcPr>
                  <w:tcW w:w="1267" w:type="dxa"/>
                  <w:tcBorders>
                    <w:left w:val="nil"/>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533.3</w:t>
                  </w:r>
                </w:p>
              </w:tc>
              <w:tc>
                <w:tcPr>
                  <w:tcW w:w="1319" w:type="dxa"/>
                  <w:tcBorders>
                    <w:top w:val="single" w:color="auto" w:sz="8" w:space="0"/>
                    <w:left w:val="nil"/>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w:t>
                  </w:r>
                </w:p>
              </w:tc>
              <w:tc>
                <w:tcPr>
                  <w:tcW w:w="1303" w:type="dxa"/>
                  <w:tcBorders>
                    <w:top w:val="nil"/>
                    <w:left w:val="nil"/>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w:t>
                  </w:r>
                </w:p>
              </w:tc>
            </w:tr>
            <w:tr>
              <w:tblPrEx>
                <w:tblCellMar>
                  <w:top w:w="0" w:type="dxa"/>
                  <w:left w:w="0" w:type="dxa"/>
                  <w:bottom w:w="0" w:type="dxa"/>
                  <w:right w:w="0" w:type="dxa"/>
                </w:tblCellMar>
              </w:tblPrEx>
              <w:trPr>
                <w:trHeight w:val="285" w:hRule="atLeast"/>
                <w:jc w:val="center"/>
              </w:trPr>
              <w:tc>
                <w:tcPr>
                  <w:tcW w:w="3189" w:type="dxa"/>
                  <w:gridSpan w:val="2"/>
                  <w:tcBorders>
                    <w:top w:val="nil"/>
                    <w:left w:val="single" w:color="auto" w:sz="8" w:space="0"/>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color w:val="auto"/>
                      <w:sz w:val="21"/>
                      <w:szCs w:val="21"/>
                    </w:rPr>
                  </w:pPr>
                  <w:r>
                    <w:rPr>
                      <w:rFonts w:hint="eastAsia"/>
                      <w:color w:val="auto"/>
                      <w:sz w:val="21"/>
                      <w:szCs w:val="21"/>
                    </w:rPr>
                    <w:t>合计</w:t>
                  </w:r>
                </w:p>
              </w:tc>
              <w:tc>
                <w:tcPr>
                  <w:tcW w:w="1400" w:type="dxa"/>
                  <w:tcBorders>
                    <w:top w:val="nil"/>
                    <w:left w:val="nil"/>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rFonts w:hint="default"/>
                      <w:color w:val="auto"/>
                      <w:sz w:val="21"/>
                      <w:szCs w:val="21"/>
                      <w:lang w:val="en-US"/>
                    </w:rPr>
                  </w:pPr>
                  <w:r>
                    <w:rPr>
                      <w:rFonts w:hint="eastAsia"/>
                      <w:color w:val="auto"/>
                      <w:sz w:val="21"/>
                      <w:szCs w:val="21"/>
                      <w:lang w:val="en-US" w:eastAsia="zh-CN"/>
                    </w:rPr>
                    <w:t>63.57</w:t>
                  </w:r>
                </w:p>
              </w:tc>
              <w:tc>
                <w:tcPr>
                  <w:tcW w:w="1267" w:type="dxa"/>
                  <w:tcBorders>
                    <w:top w:val="nil"/>
                    <w:left w:val="nil"/>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rFonts w:hint="default" w:eastAsia="宋体"/>
                      <w:color w:val="auto"/>
                      <w:sz w:val="21"/>
                      <w:szCs w:val="21"/>
                      <w:lang w:val="en-US" w:eastAsia="zh-CN"/>
                    </w:rPr>
                  </w:pPr>
                  <w:r>
                    <w:rPr>
                      <w:rFonts w:hint="eastAsia"/>
                      <w:color w:val="auto"/>
                      <w:sz w:val="21"/>
                      <w:szCs w:val="21"/>
                      <w:lang w:val="en-US" w:eastAsia="zh-CN"/>
                    </w:rPr>
                    <w:t>22761.8</w:t>
                  </w:r>
                </w:p>
              </w:tc>
              <w:tc>
                <w:tcPr>
                  <w:tcW w:w="1319" w:type="dxa"/>
                  <w:tcBorders>
                    <w:top w:val="nil"/>
                    <w:left w:val="nil"/>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rFonts w:hint="default" w:eastAsia="宋体"/>
                      <w:color w:val="auto"/>
                      <w:sz w:val="21"/>
                      <w:szCs w:val="21"/>
                      <w:lang w:val="en-US" w:eastAsia="zh-CN"/>
                    </w:rPr>
                  </w:pPr>
                  <w:r>
                    <w:rPr>
                      <w:rFonts w:hint="eastAsia"/>
                      <w:color w:val="auto"/>
                      <w:sz w:val="21"/>
                      <w:szCs w:val="21"/>
                      <w:lang w:val="en-US" w:eastAsia="zh-CN"/>
                    </w:rPr>
                    <w:t>48.72</w:t>
                  </w:r>
                </w:p>
              </w:tc>
              <w:tc>
                <w:tcPr>
                  <w:tcW w:w="1303" w:type="dxa"/>
                  <w:tcBorders>
                    <w:top w:val="nil"/>
                    <w:left w:val="nil"/>
                    <w:bottom w:val="single" w:color="auto" w:sz="8" w:space="0"/>
                    <w:right w:val="single" w:color="auto" w:sz="8" w:space="0"/>
                  </w:tcBorders>
                  <w:shd w:val="clear" w:color="auto" w:fill="auto"/>
                  <w:vAlign w:val="center"/>
                </w:tcPr>
                <w:p>
                  <w:pPr>
                    <w:pStyle w:val="146"/>
                    <w:spacing w:line="360" w:lineRule="auto"/>
                    <w:ind w:left="0" w:leftChars="0" w:right="0" w:rightChars="0" w:firstLine="0" w:firstLineChars="0"/>
                    <w:jc w:val="center"/>
                    <w:rPr>
                      <w:rFonts w:hint="default" w:eastAsia="宋体"/>
                      <w:color w:val="auto"/>
                      <w:sz w:val="21"/>
                      <w:szCs w:val="21"/>
                      <w:lang w:val="en-US" w:eastAsia="zh-CN"/>
                    </w:rPr>
                  </w:pPr>
                  <w:r>
                    <w:rPr>
                      <w:rFonts w:hint="eastAsia"/>
                      <w:color w:val="auto"/>
                      <w:sz w:val="21"/>
                      <w:szCs w:val="21"/>
                      <w:lang w:val="en-US" w:eastAsia="zh-CN"/>
                    </w:rPr>
                    <w:t>17782.8</w:t>
                  </w:r>
                </w:p>
              </w:tc>
            </w:tr>
          </w:tbl>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eastAsia="宋体" w:cs="Times New Roman"/>
                <w:bCs/>
                <w:color w:val="auto"/>
                <w:szCs w:val="24"/>
              </w:rPr>
            </w:pPr>
            <w:r>
              <w:rPr>
                <w:rFonts w:eastAsia="宋体" w:cs="Times New Roman"/>
                <w:bCs/>
                <w:color w:val="auto"/>
                <w:szCs w:val="24"/>
              </w:rPr>
              <mc:AlternateContent>
                <mc:Choice Requires="wpc">
                  <w:drawing>
                    <wp:inline distT="0" distB="0" distL="114300" distR="114300">
                      <wp:extent cx="5332730" cy="3296285"/>
                      <wp:effectExtent l="0" t="0" r="0" b="0"/>
                      <wp:docPr id="50" name="画布 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文本框 78"/>
                              <wps:cNvSpPr txBox="1"/>
                              <wps:spPr>
                                <a:xfrm>
                                  <a:off x="3146359" y="1440925"/>
                                  <a:ext cx="501593" cy="240821"/>
                                </a:xfrm>
                                <a:prstGeom prst="rect">
                                  <a:avLst/>
                                </a:prstGeom>
                                <a:solidFill>
                                  <a:srgbClr val="FFFFFF"/>
                                </a:solidFill>
                                <a:ln>
                                  <a:noFill/>
                                </a:ln>
                              </wps:spPr>
                              <wps:txbx>
                                <w:txbxContent>
                                  <w:p>
                                    <w:pPr>
                                      <w:snapToGrid w:val="0"/>
                                      <w:spacing w:line="240" w:lineRule="atLeast"/>
                                      <w:ind w:firstLine="0" w:firstLineChars="0"/>
                                      <w:jc w:val="center"/>
                                      <w:rPr>
                                        <w:rFonts w:hint="default" w:cs="Times New Roman" w:eastAsiaTheme="minorEastAsia"/>
                                        <w:sz w:val="18"/>
                                        <w:szCs w:val="18"/>
                                        <w:lang w:val="en-US" w:eastAsia="zh-CN"/>
                                      </w:rPr>
                                    </w:pPr>
                                    <w:r>
                                      <w:rPr>
                                        <w:rFonts w:hint="eastAsia" w:cs="Times New Roman"/>
                                        <w:sz w:val="18"/>
                                        <w:szCs w:val="18"/>
                                        <w:lang w:val="en-US" w:eastAsia="zh-CN"/>
                                      </w:rPr>
                                      <w:t>48.72</w:t>
                                    </w:r>
                                  </w:p>
                                </w:txbxContent>
                              </wps:txbx>
                              <wps:bodyPr upright="1"/>
                            </wps:wsp>
                            <wps:wsp>
                              <wps:cNvPr id="14" name="文本框 81"/>
                              <wps:cNvSpPr txBox="1"/>
                              <wps:spPr>
                                <a:xfrm>
                                  <a:off x="2489567" y="1929767"/>
                                  <a:ext cx="503193" cy="241621"/>
                                </a:xfrm>
                                <a:prstGeom prst="rect">
                                  <a:avLst/>
                                </a:prstGeom>
                                <a:solidFill>
                                  <a:srgbClr val="FFFFFF"/>
                                </a:solidFill>
                                <a:ln>
                                  <a:noFill/>
                                </a:ln>
                              </wps:spPr>
                              <wps:txbx>
                                <w:txbxContent>
                                  <w:p>
                                    <w:pPr>
                                      <w:snapToGrid w:val="0"/>
                                      <w:spacing w:line="240" w:lineRule="atLeast"/>
                                      <w:ind w:firstLine="0" w:firstLineChars="0"/>
                                      <w:jc w:val="both"/>
                                      <w:rPr>
                                        <w:rFonts w:hint="default"/>
                                        <w:sz w:val="21"/>
                                        <w:szCs w:val="21"/>
                                        <w:lang w:val="en-US" w:eastAsia="zh-CN"/>
                                      </w:rPr>
                                    </w:pPr>
                                    <w:r>
                                      <w:rPr>
                                        <w:rFonts w:hint="eastAsia"/>
                                        <w:sz w:val="21"/>
                                        <w:szCs w:val="21"/>
                                        <w:lang w:val="en-US" w:eastAsia="zh-CN"/>
                                      </w:rPr>
                                      <w:t>48</w:t>
                                    </w:r>
                                  </w:p>
                                </w:txbxContent>
                              </wps:txbx>
                              <wps:bodyPr upright="1"/>
                            </wps:wsp>
                            <wps:wsp>
                              <wps:cNvPr id="15" name="文本框 86"/>
                              <wps:cNvSpPr txBox="1"/>
                              <wps:spPr>
                                <a:xfrm>
                                  <a:off x="903188" y="2541820"/>
                                  <a:ext cx="443994" cy="240821"/>
                                </a:xfrm>
                                <a:prstGeom prst="rect">
                                  <a:avLst/>
                                </a:prstGeom>
                                <a:solidFill>
                                  <a:srgbClr val="FFFFFF"/>
                                </a:solidFill>
                                <a:ln>
                                  <a:noFill/>
                                </a:ln>
                              </wps:spPr>
                              <wps:txbx>
                                <w:txbxContent>
                                  <w:p>
                                    <w:pPr>
                                      <w:snapToGrid w:val="0"/>
                                      <w:spacing w:line="240" w:lineRule="atLeast"/>
                                      <w:ind w:firstLine="0" w:firstLineChars="0"/>
                                      <w:jc w:val="both"/>
                                      <w:rPr>
                                        <w:rFonts w:hint="default" w:cs="Times New Roman" w:eastAsiaTheme="minorEastAsia"/>
                                        <w:sz w:val="18"/>
                                        <w:szCs w:val="18"/>
                                        <w:lang w:val="en-US" w:eastAsia="zh-CN"/>
                                      </w:rPr>
                                    </w:pPr>
                                    <w:r>
                                      <w:rPr>
                                        <w:rFonts w:hint="eastAsia" w:cs="Times New Roman"/>
                                        <w:sz w:val="18"/>
                                        <w:szCs w:val="18"/>
                                        <w:lang w:val="en-US" w:eastAsia="zh-CN"/>
                                      </w:rPr>
                                      <w:t>2.67</w:t>
                                    </w:r>
                                  </w:p>
                                </w:txbxContent>
                              </wps:txbx>
                              <wps:bodyPr upright="1"/>
                            </wps:wsp>
                            <wps:wsp>
                              <wps:cNvPr id="16" name="文本框 91"/>
                              <wps:cNvSpPr txBox="1"/>
                              <wps:spPr>
                                <a:xfrm>
                                  <a:off x="1619179" y="859274"/>
                                  <a:ext cx="445594" cy="245621"/>
                                </a:xfrm>
                                <a:prstGeom prst="rect">
                                  <a:avLst/>
                                </a:prstGeom>
                                <a:solidFill>
                                  <a:srgbClr val="FFFFFF"/>
                                </a:solidFill>
                                <a:ln>
                                  <a:noFill/>
                                </a:ln>
                              </wps:spPr>
                              <wps:txbx>
                                <w:txbxContent>
                                  <w:p>
                                    <w:pPr>
                                      <w:snapToGrid w:val="0"/>
                                      <w:spacing w:line="240" w:lineRule="atLeast"/>
                                      <w:ind w:firstLine="0" w:firstLineChars="0"/>
                                      <w:jc w:val="center"/>
                                      <w:rPr>
                                        <w:rFonts w:hint="default" w:cs="Times New Roman" w:eastAsiaTheme="minorEastAsia"/>
                                        <w:sz w:val="18"/>
                                        <w:szCs w:val="18"/>
                                        <w:lang w:val="en-US" w:eastAsia="zh-CN"/>
                                      </w:rPr>
                                    </w:pPr>
                                    <w:r>
                                      <w:rPr>
                                        <w:rFonts w:cs="Times New Roman"/>
                                        <w:sz w:val="18"/>
                                        <w:szCs w:val="18"/>
                                      </w:rPr>
                                      <w:t>0.</w:t>
                                    </w:r>
                                    <w:r>
                                      <w:rPr>
                                        <w:rFonts w:hint="eastAsia" w:cs="Times New Roman"/>
                                        <w:sz w:val="18"/>
                                        <w:szCs w:val="18"/>
                                        <w:lang w:val="en-US" w:eastAsia="zh-CN"/>
                                      </w:rPr>
                                      <w:t>16</w:t>
                                    </w:r>
                                  </w:p>
                                </w:txbxContent>
                              </wps:txbx>
                              <wps:bodyPr upright="1"/>
                            </wps:wsp>
                            <wps:wsp>
                              <wps:cNvPr id="17" name="文本框 93"/>
                              <wps:cNvSpPr txBox="1"/>
                              <wps:spPr>
                                <a:xfrm>
                                  <a:off x="991987" y="1931367"/>
                                  <a:ext cx="444794" cy="240821"/>
                                </a:xfrm>
                                <a:prstGeom prst="rect">
                                  <a:avLst/>
                                </a:prstGeom>
                                <a:solidFill>
                                  <a:srgbClr val="FFFFFF"/>
                                </a:solidFill>
                                <a:ln>
                                  <a:noFill/>
                                </a:ln>
                              </wps:spPr>
                              <wps:txbx>
                                <w:txbxContent>
                                  <w:p>
                                    <w:pPr>
                                      <w:snapToGrid w:val="0"/>
                                      <w:spacing w:line="240" w:lineRule="atLeast"/>
                                      <w:ind w:firstLine="0" w:firstLineChars="0"/>
                                      <w:jc w:val="center"/>
                                      <w:rPr>
                                        <w:rFonts w:hint="default" w:cs="Times New Roman" w:eastAsiaTheme="minorEastAsia"/>
                                        <w:sz w:val="18"/>
                                        <w:szCs w:val="18"/>
                                        <w:lang w:val="en-US" w:eastAsia="zh-CN"/>
                                      </w:rPr>
                                    </w:pPr>
                                    <w:r>
                                      <w:rPr>
                                        <w:rFonts w:hint="eastAsia" w:cs="Times New Roman"/>
                                        <w:sz w:val="18"/>
                                        <w:szCs w:val="18"/>
                                        <w:lang w:val="en-US" w:eastAsia="zh-CN"/>
                                      </w:rPr>
                                      <w:t>60</w:t>
                                    </w:r>
                                  </w:p>
                                </w:txbxContent>
                              </wps:txbx>
                              <wps:bodyPr upright="1"/>
                            </wps:wsp>
                            <wps:wsp>
                              <wps:cNvPr id="18" name="文本框 94"/>
                              <wps:cNvSpPr txBox="1"/>
                              <wps:spPr>
                                <a:xfrm>
                                  <a:off x="2413568" y="1104896"/>
                                  <a:ext cx="442394" cy="240821"/>
                                </a:xfrm>
                                <a:prstGeom prst="rect">
                                  <a:avLst/>
                                </a:prstGeom>
                                <a:solidFill>
                                  <a:srgbClr val="FFFFFF"/>
                                </a:solidFill>
                                <a:ln>
                                  <a:noFill/>
                                </a:ln>
                              </wps:spPr>
                              <wps:txbx>
                                <w:txbxContent>
                                  <w:p>
                                    <w:pPr>
                                      <w:snapToGrid w:val="0"/>
                                      <w:spacing w:line="240" w:lineRule="atLeast"/>
                                      <w:ind w:firstLine="0" w:firstLineChars="0"/>
                                      <w:jc w:val="center"/>
                                      <w:rPr>
                                        <w:rFonts w:hint="default" w:cs="Times New Roman" w:eastAsiaTheme="minorEastAsia"/>
                                        <w:sz w:val="18"/>
                                        <w:szCs w:val="18"/>
                                        <w:lang w:val="en-US" w:eastAsia="zh-CN"/>
                                      </w:rPr>
                                    </w:pPr>
                                    <w:r>
                                      <w:rPr>
                                        <w:rFonts w:cs="Times New Roman"/>
                                        <w:sz w:val="18"/>
                                        <w:szCs w:val="18"/>
                                      </w:rPr>
                                      <w:t>0.</w:t>
                                    </w:r>
                                    <w:r>
                                      <w:rPr>
                                        <w:rFonts w:hint="eastAsia" w:cs="Times New Roman"/>
                                        <w:sz w:val="18"/>
                                        <w:szCs w:val="18"/>
                                        <w:lang w:val="en-US" w:eastAsia="zh-CN"/>
                                      </w:rPr>
                                      <w:t>64</w:t>
                                    </w:r>
                                  </w:p>
                                </w:txbxContent>
                              </wps:txbx>
                              <wps:bodyPr upright="1"/>
                            </wps:wsp>
                            <wps:wsp>
                              <wps:cNvPr id="19" name="文本框 95"/>
                              <wps:cNvSpPr txBox="1"/>
                              <wps:spPr>
                                <a:xfrm>
                                  <a:off x="2650490" y="304800"/>
                                  <a:ext cx="443865" cy="242570"/>
                                </a:xfrm>
                                <a:prstGeom prst="rect">
                                  <a:avLst/>
                                </a:prstGeom>
                                <a:solidFill>
                                  <a:srgbClr val="FFFFFF"/>
                                </a:solidFill>
                                <a:ln>
                                  <a:noFill/>
                                </a:ln>
                              </wps:spPr>
                              <wps:txbx>
                                <w:txbxContent>
                                  <w:p>
                                    <w:pPr>
                                      <w:snapToGrid w:val="0"/>
                                      <w:spacing w:line="240" w:lineRule="atLeast"/>
                                      <w:ind w:firstLine="0" w:firstLineChars="0"/>
                                      <w:jc w:val="both"/>
                                      <w:rPr>
                                        <w:rFonts w:hint="default" w:cs="Times New Roman" w:eastAsiaTheme="minorEastAsia"/>
                                        <w:sz w:val="18"/>
                                        <w:szCs w:val="18"/>
                                        <w:lang w:val="en-US" w:eastAsia="zh-CN"/>
                                      </w:rPr>
                                    </w:pPr>
                                    <w:r>
                                      <w:rPr>
                                        <w:rFonts w:hint="eastAsia" w:cs="Times New Roman"/>
                                        <w:sz w:val="18"/>
                                        <w:szCs w:val="18"/>
                                        <w:lang w:val="en-US" w:eastAsia="zh-CN"/>
                                      </w:rPr>
                                      <w:t>0.08</w:t>
                                    </w:r>
                                  </w:p>
                                </w:txbxContent>
                              </wps:txbx>
                              <wps:bodyPr upright="1"/>
                            </wps:wsp>
                            <wps:wsp>
                              <wps:cNvPr id="20" name="文本框 96"/>
                              <wps:cNvSpPr txBox="1"/>
                              <wps:spPr>
                                <a:xfrm>
                                  <a:off x="573592" y="404835"/>
                                  <a:ext cx="495993" cy="244021"/>
                                </a:xfrm>
                                <a:prstGeom prst="rect">
                                  <a:avLst/>
                                </a:prstGeom>
                                <a:solidFill>
                                  <a:srgbClr val="FFFFFF"/>
                                </a:solidFill>
                                <a:ln>
                                  <a:noFill/>
                                </a:ln>
                              </wps:spPr>
                              <wps:txbx>
                                <w:txbxContent>
                                  <w:p>
                                    <w:pPr>
                                      <w:snapToGrid w:val="0"/>
                                      <w:spacing w:line="240" w:lineRule="atLeast"/>
                                      <w:ind w:firstLine="0" w:firstLineChars="0"/>
                                      <w:jc w:val="center"/>
                                      <w:rPr>
                                        <w:rFonts w:hint="default" w:cs="Times New Roman" w:eastAsiaTheme="minorEastAsia"/>
                                        <w:sz w:val="18"/>
                                        <w:szCs w:val="18"/>
                                        <w:lang w:val="en-US" w:eastAsia="zh-CN"/>
                                      </w:rPr>
                                    </w:pPr>
                                    <w:r>
                                      <w:rPr>
                                        <w:rFonts w:hint="eastAsia" w:cs="Times New Roman"/>
                                        <w:sz w:val="18"/>
                                        <w:szCs w:val="18"/>
                                        <w:lang w:val="en-US" w:eastAsia="zh-CN"/>
                                      </w:rPr>
                                      <w:t>0.1</w:t>
                                    </w:r>
                                  </w:p>
                                </w:txbxContent>
                              </wps:txbx>
                              <wps:bodyPr upright="1"/>
                            </wps:wsp>
                            <wps:wsp>
                              <wps:cNvPr id="21" name="文本框 97"/>
                              <wps:cNvSpPr txBox="1"/>
                              <wps:spPr>
                                <a:xfrm>
                                  <a:off x="1141585" y="572049"/>
                                  <a:ext cx="832789" cy="2440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spacing w:line="240" w:lineRule="atLeast"/>
                                      <w:ind w:firstLine="0" w:firstLineChars="0"/>
                                      <w:jc w:val="center"/>
                                      <w:rPr>
                                        <w:rFonts w:hint="eastAsia" w:cs="Times New Roman" w:eastAsiaTheme="minorEastAsia"/>
                                        <w:sz w:val="18"/>
                                        <w:szCs w:val="18"/>
                                        <w:lang w:val="en-US" w:eastAsia="zh-CN"/>
                                      </w:rPr>
                                    </w:pPr>
                                    <w:r>
                                      <w:rPr>
                                        <w:rFonts w:hint="eastAsia" w:cs="Times New Roman"/>
                                        <w:sz w:val="18"/>
                                        <w:szCs w:val="18"/>
                                        <w:lang w:val="en-US" w:eastAsia="zh-CN"/>
                                      </w:rPr>
                                      <w:t>检验废液</w:t>
                                    </w:r>
                                  </w:p>
                                </w:txbxContent>
                              </wps:txbx>
                              <wps:bodyPr upright="1"/>
                            </wps:wsp>
                            <wps:wsp>
                              <wps:cNvPr id="22" name="文本框 101"/>
                              <wps:cNvSpPr txBox="1"/>
                              <wps:spPr>
                                <a:xfrm>
                                  <a:off x="1568779" y="2050577"/>
                                  <a:ext cx="835189" cy="2440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spacing w:line="240" w:lineRule="atLeast"/>
                                      <w:ind w:firstLine="0" w:firstLineChars="0"/>
                                      <w:jc w:val="center"/>
                                      <w:rPr>
                                        <w:rFonts w:cs="Times New Roman"/>
                                        <w:sz w:val="18"/>
                                        <w:szCs w:val="18"/>
                                      </w:rPr>
                                    </w:pPr>
                                    <w:r>
                                      <w:rPr>
                                        <w:rFonts w:cs="Times New Roman"/>
                                        <w:sz w:val="18"/>
                                        <w:szCs w:val="18"/>
                                      </w:rPr>
                                      <w:t>住院用水</w:t>
                                    </w:r>
                                  </w:p>
                                </w:txbxContent>
                              </wps:txbx>
                              <wps:bodyPr upright="1"/>
                            </wps:wsp>
                            <wps:wsp>
                              <wps:cNvPr id="23" name="自选图形 106"/>
                              <wps:cNvCnPr/>
                              <wps:spPr>
                                <a:xfrm>
                                  <a:off x="903188" y="2171388"/>
                                  <a:ext cx="665591" cy="800"/>
                                </a:xfrm>
                                <a:prstGeom prst="straightConnector1">
                                  <a:avLst/>
                                </a:prstGeom>
                                <a:ln w="9525" cap="flat" cmpd="sng">
                                  <a:solidFill>
                                    <a:srgbClr val="000000"/>
                                  </a:solidFill>
                                  <a:prstDash val="solid"/>
                                  <a:headEnd type="none" w="med" len="med"/>
                                  <a:tailEnd type="triangle" w="med" len="med"/>
                                </a:ln>
                              </wps:spPr>
                              <wps:bodyPr/>
                            </wps:wsp>
                            <wps:wsp>
                              <wps:cNvPr id="24" name="自选图形 109"/>
                              <wps:cNvCnPr/>
                              <wps:spPr>
                                <a:xfrm flipV="1">
                                  <a:off x="903188" y="1345716"/>
                                  <a:ext cx="443994" cy="800"/>
                                </a:xfrm>
                                <a:prstGeom prst="straightConnector1">
                                  <a:avLst/>
                                </a:prstGeom>
                                <a:ln w="9525" cap="flat" cmpd="sng">
                                  <a:solidFill>
                                    <a:srgbClr val="000000"/>
                                  </a:solidFill>
                                  <a:prstDash val="solid"/>
                                  <a:headEnd type="none" w="med" len="med"/>
                                  <a:tailEnd type="triangle" w="med" len="med"/>
                                </a:ln>
                              </wps:spPr>
                              <wps:bodyPr/>
                            </wps:wsp>
                            <wps:wsp>
                              <wps:cNvPr id="26" name="文本框 111"/>
                              <wps:cNvSpPr txBox="1"/>
                              <wps:spPr>
                                <a:xfrm>
                                  <a:off x="3663952" y="1603339"/>
                                  <a:ext cx="855189" cy="2440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spacing w:line="240" w:lineRule="atLeast"/>
                                      <w:ind w:firstLine="0" w:firstLineChars="0"/>
                                      <w:jc w:val="center"/>
                                      <w:rPr>
                                        <w:rFonts w:cs="Times New Roman"/>
                                        <w:sz w:val="18"/>
                                        <w:szCs w:val="18"/>
                                      </w:rPr>
                                    </w:pPr>
                                    <w:r>
                                      <w:rPr>
                                        <w:rFonts w:cs="Times New Roman"/>
                                        <w:sz w:val="18"/>
                                        <w:szCs w:val="18"/>
                                      </w:rPr>
                                      <w:t>化粪池</w:t>
                                    </w:r>
                                  </w:p>
                                </w:txbxContent>
                              </wps:txbx>
                              <wps:bodyPr upright="1"/>
                            </wps:wsp>
                            <wps:wsp>
                              <wps:cNvPr id="27" name="文本框 112"/>
                              <wps:cNvSpPr txBox="1"/>
                              <wps:spPr>
                                <a:xfrm>
                                  <a:off x="3669552" y="2258595"/>
                                  <a:ext cx="856789" cy="2448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spacing w:line="240" w:lineRule="atLeast"/>
                                      <w:ind w:firstLine="0" w:firstLineChars="0"/>
                                      <w:jc w:val="center"/>
                                      <w:rPr>
                                        <w:rFonts w:cs="Times New Roman"/>
                                        <w:sz w:val="18"/>
                                        <w:szCs w:val="18"/>
                                      </w:rPr>
                                    </w:pPr>
                                    <w:r>
                                      <w:rPr>
                                        <w:rFonts w:cs="Times New Roman"/>
                                        <w:sz w:val="18"/>
                                        <w:szCs w:val="18"/>
                                      </w:rPr>
                                      <w:t>污水处理站</w:t>
                                    </w:r>
                                  </w:p>
                                </w:txbxContent>
                              </wps:txbx>
                              <wps:bodyPr upright="1"/>
                            </wps:wsp>
                            <wps:wsp>
                              <wps:cNvPr id="29" name="自选图形 118"/>
                              <wps:cNvCnPr/>
                              <wps:spPr>
                                <a:xfrm flipH="1">
                                  <a:off x="4105546" y="1859361"/>
                                  <a:ext cx="8000" cy="386433"/>
                                </a:xfrm>
                                <a:prstGeom prst="straightConnector1">
                                  <a:avLst/>
                                </a:prstGeom>
                                <a:ln w="9525" cap="flat" cmpd="sng">
                                  <a:solidFill>
                                    <a:srgbClr val="000000"/>
                                  </a:solidFill>
                                  <a:prstDash val="solid"/>
                                  <a:headEnd type="none" w="med" len="med"/>
                                  <a:tailEnd type="triangle" w="med" len="med"/>
                                </a:ln>
                              </wps:spPr>
                              <wps:bodyPr/>
                            </wps:wsp>
                            <wps:wsp>
                              <wps:cNvPr id="30" name="文本框 120"/>
                              <wps:cNvSpPr txBox="1"/>
                              <wps:spPr>
                                <a:xfrm>
                                  <a:off x="4306343" y="1944968"/>
                                  <a:ext cx="543993" cy="240821"/>
                                </a:xfrm>
                                <a:prstGeom prst="rect">
                                  <a:avLst/>
                                </a:prstGeom>
                                <a:solidFill>
                                  <a:srgbClr val="FFFFFF"/>
                                </a:solidFill>
                                <a:ln>
                                  <a:noFill/>
                                </a:ln>
                              </wps:spPr>
                              <wps:txbx>
                                <w:txbxContent>
                                  <w:p>
                                    <w:pPr>
                                      <w:snapToGrid w:val="0"/>
                                      <w:spacing w:line="240" w:lineRule="atLeast"/>
                                      <w:ind w:firstLine="0" w:firstLineChars="0"/>
                                      <w:jc w:val="center"/>
                                      <w:rPr>
                                        <w:rFonts w:hint="default" w:cs="Times New Roman" w:eastAsiaTheme="minorEastAsia"/>
                                        <w:sz w:val="18"/>
                                        <w:szCs w:val="18"/>
                                        <w:lang w:val="en-US" w:eastAsia="zh-CN"/>
                                      </w:rPr>
                                    </w:pPr>
                                    <w:r>
                                      <w:rPr>
                                        <w:rFonts w:hint="eastAsia" w:cs="Times New Roman"/>
                                        <w:sz w:val="18"/>
                                        <w:szCs w:val="18"/>
                                        <w:lang w:val="en-US" w:eastAsia="zh-CN"/>
                                      </w:rPr>
                                      <w:t>48.72</w:t>
                                    </w:r>
                                  </w:p>
                                </w:txbxContent>
                              </wps:txbx>
                              <wps:bodyPr upright="1"/>
                            </wps:wsp>
                            <wps:wsp>
                              <wps:cNvPr id="31" name="文本框 121"/>
                              <wps:cNvSpPr txBox="1"/>
                              <wps:spPr>
                                <a:xfrm>
                                  <a:off x="1568779" y="159214"/>
                                  <a:ext cx="495993" cy="245621"/>
                                </a:xfrm>
                                <a:prstGeom prst="rect">
                                  <a:avLst/>
                                </a:prstGeom>
                                <a:solidFill>
                                  <a:srgbClr val="FFFFFF"/>
                                </a:solidFill>
                                <a:ln>
                                  <a:noFill/>
                                </a:ln>
                              </wps:spPr>
                              <wps:txbx>
                                <w:txbxContent>
                                  <w:p>
                                    <w:pPr>
                                      <w:snapToGrid w:val="0"/>
                                      <w:spacing w:line="240" w:lineRule="atLeast"/>
                                      <w:ind w:firstLine="0" w:firstLineChars="0"/>
                                      <w:jc w:val="center"/>
                                      <w:rPr>
                                        <w:rFonts w:hint="default" w:cs="Times New Roman" w:eastAsiaTheme="minorEastAsia"/>
                                        <w:sz w:val="18"/>
                                        <w:szCs w:val="18"/>
                                        <w:lang w:val="en-US" w:eastAsia="zh-CN"/>
                                      </w:rPr>
                                    </w:pPr>
                                    <w:r>
                                      <w:rPr>
                                        <w:rFonts w:cs="Times New Roman"/>
                                        <w:sz w:val="18"/>
                                        <w:szCs w:val="18"/>
                                      </w:rPr>
                                      <w:t>0.</w:t>
                                    </w:r>
                                    <w:r>
                                      <w:rPr>
                                        <w:rFonts w:hint="eastAsia" w:cs="Times New Roman"/>
                                        <w:sz w:val="18"/>
                                        <w:szCs w:val="18"/>
                                        <w:lang w:val="en-US" w:eastAsia="zh-CN"/>
                                      </w:rPr>
                                      <w:t>02</w:t>
                                    </w:r>
                                  </w:p>
                                </w:txbxContent>
                              </wps:txbx>
                              <wps:bodyPr upright="1"/>
                            </wps:wsp>
                            <wps:wsp>
                              <wps:cNvPr id="32" name="文本框 123"/>
                              <wps:cNvSpPr txBox="1"/>
                              <wps:spPr>
                                <a:xfrm>
                                  <a:off x="972787" y="1050491"/>
                                  <a:ext cx="403195" cy="244021"/>
                                </a:xfrm>
                                <a:prstGeom prst="rect">
                                  <a:avLst/>
                                </a:prstGeom>
                                <a:solidFill>
                                  <a:srgbClr val="FFFFFF"/>
                                </a:solidFill>
                                <a:ln>
                                  <a:noFill/>
                                </a:ln>
                              </wps:spPr>
                              <wps:txbx>
                                <w:txbxContent>
                                  <w:p>
                                    <w:pPr>
                                      <w:snapToGrid w:val="0"/>
                                      <w:spacing w:line="240" w:lineRule="atLeast"/>
                                      <w:ind w:firstLine="0" w:firstLineChars="0"/>
                                      <w:jc w:val="center"/>
                                      <w:rPr>
                                        <w:rFonts w:hint="eastAsia" w:cs="Times New Roman" w:eastAsiaTheme="minorEastAsia"/>
                                        <w:sz w:val="18"/>
                                        <w:szCs w:val="18"/>
                                        <w:lang w:val="en-US" w:eastAsia="zh-CN"/>
                                      </w:rPr>
                                    </w:pPr>
                                    <w:r>
                                      <w:rPr>
                                        <w:rFonts w:cs="Times New Roman"/>
                                        <w:sz w:val="18"/>
                                        <w:szCs w:val="18"/>
                                      </w:rPr>
                                      <w:t>0.</w:t>
                                    </w:r>
                                    <w:r>
                                      <w:rPr>
                                        <w:rFonts w:hint="eastAsia" w:cs="Times New Roman"/>
                                        <w:sz w:val="18"/>
                                        <w:szCs w:val="18"/>
                                        <w:lang w:val="en-US" w:eastAsia="zh-CN"/>
                                      </w:rPr>
                                      <w:t>8</w:t>
                                    </w:r>
                                  </w:p>
                                </w:txbxContent>
                              </wps:txbx>
                              <wps:bodyPr lIns="0" tIns="0" rIns="0" bIns="0" anchor="ctr" upright="1"/>
                            </wps:wsp>
                            <wps:wsp>
                              <wps:cNvPr id="33" name="自选图形 124"/>
                              <wps:cNvCnPr/>
                              <wps:spPr>
                                <a:xfrm rot="-5400000">
                                  <a:off x="1605579" y="346430"/>
                                  <a:ext cx="146398" cy="305626"/>
                                </a:xfrm>
                                <a:prstGeom prst="curvedConnector3">
                                  <a:avLst>
                                    <a:gd name="adj1" fmla="val 49782"/>
                                  </a:avLst>
                                </a:prstGeom>
                                <a:ln w="9525" cap="flat" cmpd="sng">
                                  <a:solidFill>
                                    <a:srgbClr val="000000"/>
                                  </a:solidFill>
                                  <a:prstDash val="dash"/>
                                  <a:headEnd type="none" w="med" len="med"/>
                                  <a:tailEnd type="triangle" w="med" len="med"/>
                                </a:ln>
                              </wps:spPr>
                              <wps:bodyPr/>
                            </wps:wsp>
                            <wps:wsp>
                              <wps:cNvPr id="34" name="文本框 125"/>
                              <wps:cNvSpPr txBox="1"/>
                              <wps:spPr>
                                <a:xfrm>
                                  <a:off x="2103972" y="1649743"/>
                                  <a:ext cx="444794" cy="240821"/>
                                </a:xfrm>
                                <a:prstGeom prst="rect">
                                  <a:avLst/>
                                </a:prstGeom>
                                <a:solidFill>
                                  <a:srgbClr val="FFFFFF"/>
                                </a:solidFill>
                                <a:ln>
                                  <a:noFill/>
                                </a:ln>
                              </wps:spPr>
                              <wps:txbx>
                                <w:txbxContent>
                                  <w:p>
                                    <w:pPr>
                                      <w:snapToGrid w:val="0"/>
                                      <w:spacing w:line="240" w:lineRule="atLeast"/>
                                      <w:ind w:left="0" w:leftChars="0" w:right="0" w:rightChars="0" w:firstLine="0" w:firstLineChars="0"/>
                                      <w:jc w:val="center"/>
                                      <w:rPr>
                                        <w:rFonts w:hint="default" w:cs="Times New Roman" w:eastAsiaTheme="minorEastAsia"/>
                                        <w:sz w:val="18"/>
                                        <w:szCs w:val="18"/>
                                        <w:lang w:val="en-US" w:eastAsia="zh-CN"/>
                                      </w:rPr>
                                    </w:pPr>
                                    <w:r>
                                      <w:rPr>
                                        <w:rFonts w:hint="eastAsia" w:cs="Times New Roman"/>
                                        <w:sz w:val="18"/>
                                        <w:szCs w:val="18"/>
                                        <w:lang w:val="en-US" w:eastAsia="zh-CN"/>
                                      </w:rPr>
                                      <w:t>12</w:t>
                                    </w:r>
                                  </w:p>
                                </w:txbxContent>
                              </wps:txbx>
                              <wps:bodyPr upright="1"/>
                            </wps:wsp>
                            <wps:wsp>
                              <wps:cNvPr id="35" name="自选图形 126"/>
                              <wps:cNvCnPr/>
                              <wps:spPr>
                                <a:xfrm rot="-5400000">
                                  <a:off x="2076773" y="1800156"/>
                                  <a:ext cx="159998" cy="340029"/>
                                </a:xfrm>
                                <a:prstGeom prst="curvedConnector3">
                                  <a:avLst>
                                    <a:gd name="adj1" fmla="val 50000"/>
                                  </a:avLst>
                                </a:prstGeom>
                                <a:ln w="9525" cap="flat" cmpd="sng">
                                  <a:solidFill>
                                    <a:srgbClr val="000000"/>
                                  </a:solidFill>
                                  <a:prstDash val="dash"/>
                                  <a:headEnd type="none" w="med" len="med"/>
                                  <a:tailEnd type="triangle" w="med" len="med"/>
                                </a:ln>
                              </wps:spPr>
                              <wps:bodyPr/>
                            </wps:wsp>
                            <wps:wsp>
                              <wps:cNvPr id="36" name="自选图形 130"/>
                              <wps:cNvCnPr/>
                              <wps:spPr>
                                <a:xfrm rot="-5400000">
                                  <a:off x="1648778" y="1053691"/>
                                  <a:ext cx="142398" cy="244821"/>
                                </a:xfrm>
                                <a:prstGeom prst="curvedConnector3">
                                  <a:avLst>
                                    <a:gd name="adj1" fmla="val 50000"/>
                                  </a:avLst>
                                </a:prstGeom>
                                <a:ln w="9525" cap="flat" cmpd="sng">
                                  <a:solidFill>
                                    <a:srgbClr val="000000"/>
                                  </a:solidFill>
                                  <a:prstDash val="dash"/>
                                  <a:headEnd type="none" w="med" len="med"/>
                                  <a:tailEnd type="triangle" w="med" len="med"/>
                                </a:ln>
                              </wps:spPr>
                              <wps:bodyPr/>
                            </wps:wsp>
                            <wps:wsp>
                              <wps:cNvPr id="37" name="自选图形 140"/>
                              <wps:cNvCnPr/>
                              <wps:spPr>
                                <a:xfrm>
                                  <a:off x="206397" y="1805756"/>
                                  <a:ext cx="681591" cy="0"/>
                                </a:xfrm>
                                <a:prstGeom prst="straightConnector1">
                                  <a:avLst/>
                                </a:prstGeom>
                                <a:ln w="9525" cap="flat" cmpd="sng">
                                  <a:solidFill>
                                    <a:srgbClr val="000000"/>
                                  </a:solidFill>
                                  <a:prstDash val="solid"/>
                                  <a:headEnd type="none" w="med" len="med"/>
                                  <a:tailEnd type="none" w="med" len="med"/>
                                </a:ln>
                              </wps:spPr>
                              <wps:bodyPr/>
                            </wps:wsp>
                            <wps:wsp>
                              <wps:cNvPr id="38" name="文本框 141"/>
                              <wps:cNvSpPr txBox="1"/>
                              <wps:spPr>
                                <a:xfrm>
                                  <a:off x="189598" y="1887363"/>
                                  <a:ext cx="640792" cy="240821"/>
                                </a:xfrm>
                                <a:prstGeom prst="rect">
                                  <a:avLst/>
                                </a:prstGeom>
                                <a:solidFill>
                                  <a:srgbClr val="FFFFFF"/>
                                </a:solidFill>
                                <a:ln>
                                  <a:noFill/>
                                </a:ln>
                              </wps:spPr>
                              <wps:txbx>
                                <w:txbxContent>
                                  <w:p>
                                    <w:pPr>
                                      <w:snapToGrid w:val="0"/>
                                      <w:spacing w:line="240" w:lineRule="atLeast"/>
                                      <w:ind w:firstLine="0" w:firstLineChars="0"/>
                                      <w:jc w:val="center"/>
                                      <w:rPr>
                                        <w:rFonts w:hint="default" w:cs="Times New Roman" w:eastAsiaTheme="minorEastAsia"/>
                                        <w:sz w:val="18"/>
                                        <w:szCs w:val="18"/>
                                        <w:lang w:val="en-US" w:eastAsia="zh-CN"/>
                                      </w:rPr>
                                    </w:pPr>
                                    <w:r>
                                      <w:rPr>
                                        <w:rFonts w:hint="eastAsia" w:cs="Times New Roman"/>
                                        <w:sz w:val="18"/>
                                        <w:szCs w:val="18"/>
                                        <w:lang w:val="en-US" w:eastAsia="zh-CN"/>
                                      </w:rPr>
                                      <w:t>63.57</w:t>
                                    </w:r>
                                  </w:p>
                                </w:txbxContent>
                              </wps:txbx>
                              <wps:bodyPr upright="1"/>
                            </wps:wsp>
                            <wps:wsp>
                              <wps:cNvPr id="39" name="文本框 142"/>
                              <wps:cNvSpPr txBox="1"/>
                              <wps:spPr>
                                <a:xfrm>
                                  <a:off x="232797" y="1395321"/>
                                  <a:ext cx="546393" cy="241621"/>
                                </a:xfrm>
                                <a:prstGeom prst="rect">
                                  <a:avLst/>
                                </a:prstGeom>
                                <a:solidFill>
                                  <a:srgbClr val="FFFFFF"/>
                                </a:solidFill>
                                <a:ln>
                                  <a:noFill/>
                                </a:ln>
                              </wps:spPr>
                              <wps:txbx>
                                <w:txbxContent>
                                  <w:p>
                                    <w:pPr>
                                      <w:snapToGrid w:val="0"/>
                                      <w:spacing w:line="240" w:lineRule="atLeast"/>
                                      <w:ind w:firstLine="0" w:firstLineChars="0"/>
                                      <w:jc w:val="center"/>
                                      <w:rPr>
                                        <w:rFonts w:cs="Times New Roman"/>
                                        <w:sz w:val="18"/>
                                        <w:szCs w:val="18"/>
                                      </w:rPr>
                                    </w:pPr>
                                    <w:r>
                                      <w:rPr>
                                        <w:rFonts w:cs="Times New Roman"/>
                                        <w:sz w:val="18"/>
                                        <w:szCs w:val="18"/>
                                      </w:rPr>
                                      <w:t>自来水</w:t>
                                    </w:r>
                                  </w:p>
                                </w:txbxContent>
                              </wps:txbx>
                              <wps:bodyPr upright="1"/>
                            </wps:wsp>
                            <wps:wsp>
                              <wps:cNvPr id="40" name="自选图形 143"/>
                              <wps:cNvCnPr/>
                              <wps:spPr>
                                <a:xfrm>
                                  <a:off x="4121546" y="2504217"/>
                                  <a:ext cx="4800" cy="385633"/>
                                </a:xfrm>
                                <a:prstGeom prst="straightConnector1">
                                  <a:avLst/>
                                </a:prstGeom>
                                <a:ln w="9525" cap="flat" cmpd="sng">
                                  <a:solidFill>
                                    <a:srgbClr val="000000"/>
                                  </a:solidFill>
                                  <a:prstDash val="solid"/>
                                  <a:headEnd type="none" w="med" len="med"/>
                                  <a:tailEnd type="triangle" w="med" len="med"/>
                                </a:ln>
                              </wps:spPr>
                              <wps:bodyPr/>
                            </wps:wsp>
                            <wps:wsp>
                              <wps:cNvPr id="41" name="直线 152"/>
                              <wps:cNvCnPr/>
                              <wps:spPr>
                                <a:xfrm>
                                  <a:off x="3107959" y="1741751"/>
                                  <a:ext cx="559193" cy="800"/>
                                </a:xfrm>
                                <a:prstGeom prst="line">
                                  <a:avLst/>
                                </a:prstGeom>
                                <a:ln w="9525" cap="flat" cmpd="sng">
                                  <a:solidFill>
                                    <a:srgbClr val="000000"/>
                                  </a:solidFill>
                                  <a:prstDash val="solid"/>
                                  <a:headEnd type="none" w="med" len="med"/>
                                  <a:tailEnd type="triangle" w="med" len="med"/>
                                </a:ln>
                              </wps:spPr>
                              <wps:bodyPr upright="1"/>
                            </wps:wsp>
                            <wps:wsp>
                              <wps:cNvPr id="42" name="文本框 157"/>
                              <wps:cNvSpPr txBox="1"/>
                              <wps:spPr>
                                <a:xfrm>
                                  <a:off x="3546353" y="2889050"/>
                                  <a:ext cx="1107985" cy="240821"/>
                                </a:xfrm>
                                <a:prstGeom prst="rect">
                                  <a:avLst/>
                                </a:prstGeom>
                                <a:solidFill>
                                  <a:srgbClr val="FFFFFF"/>
                                </a:solidFill>
                                <a:ln>
                                  <a:noFill/>
                                </a:ln>
                              </wps:spPr>
                              <wps:txbx>
                                <w:txbxContent>
                                  <w:p>
                                    <w:pPr>
                                      <w:snapToGrid w:val="0"/>
                                      <w:spacing w:line="240" w:lineRule="atLeast"/>
                                      <w:ind w:firstLine="0" w:firstLineChars="0"/>
                                      <w:jc w:val="center"/>
                                      <w:rPr>
                                        <w:rFonts w:hint="default" w:cs="Times New Roman" w:eastAsiaTheme="minorEastAsia"/>
                                        <w:sz w:val="18"/>
                                        <w:szCs w:val="18"/>
                                        <w:lang w:val="en-US" w:eastAsia="zh-CN"/>
                                      </w:rPr>
                                    </w:pPr>
                                    <w:r>
                                      <w:rPr>
                                        <w:rFonts w:hint="eastAsia" w:cs="Times New Roman"/>
                                        <w:sz w:val="18"/>
                                        <w:szCs w:val="18"/>
                                        <w:lang w:val="en-US" w:eastAsia="zh-CN"/>
                                      </w:rPr>
                                      <w:t>姚安县污水处理厂</w:t>
                                    </w:r>
                                  </w:p>
                                </w:txbxContent>
                              </wps:txbx>
                              <wps:bodyPr upright="1"/>
                            </wps:wsp>
                            <wps:wsp>
                              <wps:cNvPr id="44" name="文本框 3"/>
                              <wps:cNvSpPr txBox="1"/>
                              <wps:spPr>
                                <a:xfrm>
                                  <a:off x="1255395" y="2827655"/>
                                  <a:ext cx="760095" cy="2578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spacing w:line="240" w:lineRule="atLeast"/>
                                      <w:ind w:firstLine="0" w:firstLineChars="0"/>
                                      <w:jc w:val="center"/>
                                      <w:rPr>
                                        <w:rFonts w:cs="Times New Roman"/>
                                        <w:sz w:val="18"/>
                                        <w:szCs w:val="18"/>
                                      </w:rPr>
                                    </w:pPr>
                                    <w:r>
                                      <w:rPr>
                                        <w:rFonts w:hint="eastAsia" w:cs="Times New Roman"/>
                                        <w:sz w:val="18"/>
                                        <w:szCs w:val="18"/>
                                        <w:lang w:val="en-US" w:eastAsia="zh-CN"/>
                                      </w:rPr>
                                      <w:t>绿化</w:t>
                                    </w:r>
                                    <w:r>
                                      <w:rPr>
                                        <w:rFonts w:cs="Times New Roman"/>
                                        <w:sz w:val="18"/>
                                        <w:szCs w:val="18"/>
                                      </w:rPr>
                                      <w:t>用水</w:t>
                                    </w:r>
                                  </w:p>
                                </w:txbxContent>
                              </wps:txbx>
                              <wps:bodyPr upright="1"/>
                            </wps:wsp>
                            <wps:wsp>
                              <wps:cNvPr id="45" name="文本框 4"/>
                              <wps:cNvSpPr txBox="1"/>
                              <wps:spPr>
                                <a:xfrm>
                                  <a:off x="1638935" y="2383155"/>
                                  <a:ext cx="939800" cy="237490"/>
                                </a:xfrm>
                                <a:prstGeom prst="rect">
                                  <a:avLst/>
                                </a:prstGeom>
                                <a:solidFill>
                                  <a:srgbClr val="FFFFFF"/>
                                </a:solidFill>
                                <a:ln>
                                  <a:noFill/>
                                </a:ln>
                              </wps:spPr>
                              <wps:txbx>
                                <w:txbxContent>
                                  <w:p>
                                    <w:pPr>
                                      <w:snapToGrid w:val="0"/>
                                      <w:spacing w:line="240" w:lineRule="atLeast"/>
                                      <w:ind w:firstLine="0" w:firstLineChars="0"/>
                                      <w:jc w:val="both"/>
                                      <w:rPr>
                                        <w:rFonts w:hint="default" w:cs="Times New Roman" w:eastAsiaTheme="minorEastAsia"/>
                                        <w:sz w:val="18"/>
                                        <w:szCs w:val="18"/>
                                        <w:lang w:val="en-US" w:eastAsia="zh-CN"/>
                                      </w:rPr>
                                    </w:pPr>
                                    <w:r>
                                      <w:rPr>
                                        <w:rFonts w:hint="eastAsia" w:cs="Times New Roman"/>
                                        <w:sz w:val="18"/>
                                        <w:szCs w:val="18"/>
                                        <w:lang w:val="en-US" w:eastAsia="zh-CN"/>
                                      </w:rPr>
                                      <w:t>蒸发损耗2.67</w:t>
                                    </w:r>
                                  </w:p>
                                </w:txbxContent>
                              </wps:txbx>
                              <wps:bodyPr upright="1"/>
                            </wps:wsp>
                            <wps:wsp>
                              <wps:cNvPr id="46" name="自选图形 5"/>
                              <wps:cNvCnPr/>
                              <wps:spPr>
                                <a:xfrm flipV="1">
                                  <a:off x="1646378" y="2608226"/>
                                  <a:ext cx="419194" cy="207218"/>
                                </a:xfrm>
                                <a:prstGeom prst="curvedConnector3">
                                  <a:avLst>
                                    <a:gd name="adj1" fmla="val 45301"/>
                                  </a:avLst>
                                </a:prstGeom>
                                <a:ln w="9525" cap="flat" cmpd="sng">
                                  <a:solidFill>
                                    <a:srgbClr val="000000"/>
                                  </a:solidFill>
                                  <a:prstDash val="dash"/>
                                  <a:headEnd type="none" w="med" len="med"/>
                                  <a:tailEnd type="triangle" w="med" len="med"/>
                                </a:ln>
                              </wps:spPr>
                              <wps:bodyPr/>
                            </wps:wsp>
                            <wps:wsp>
                              <wps:cNvPr id="47" name="自选图形 8"/>
                              <wps:cNvCnPr/>
                              <wps:spPr>
                                <a:xfrm rot="10800000" flipH="1" flipV="1">
                                  <a:off x="1140785" y="694460"/>
                                  <a:ext cx="113599" cy="2208991"/>
                                </a:xfrm>
                                <a:prstGeom prst="bentConnector3">
                                  <a:avLst>
                                    <a:gd name="adj1" fmla="val -209495"/>
                                  </a:avLst>
                                </a:prstGeom>
                                <a:ln w="9525" cap="flat" cmpd="sng">
                                  <a:solidFill>
                                    <a:srgbClr val="000000"/>
                                  </a:solidFill>
                                  <a:prstDash val="solid"/>
                                  <a:miter/>
                                  <a:headEnd type="triangle" w="med" len="med"/>
                                  <a:tailEnd type="triangle" w="med" len="med"/>
                                </a:ln>
                              </wps:spPr>
                              <wps:bodyPr/>
                            </wps:wsp>
                            <wps:wsp>
                              <wps:cNvPr id="48" name="文本框 13"/>
                              <wps:cNvSpPr txBox="1"/>
                              <wps:spPr>
                                <a:xfrm>
                                  <a:off x="1337582" y="1222506"/>
                                  <a:ext cx="792790" cy="2416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spacing w:line="240" w:lineRule="atLeast"/>
                                      <w:ind w:firstLine="0" w:firstLineChars="0"/>
                                      <w:jc w:val="center"/>
                                      <w:rPr>
                                        <w:rFonts w:hint="eastAsia" w:cs="Times New Roman" w:eastAsiaTheme="minorEastAsia"/>
                                        <w:sz w:val="18"/>
                                        <w:szCs w:val="18"/>
                                        <w:lang w:eastAsia="zh-CN"/>
                                      </w:rPr>
                                    </w:pPr>
                                    <w:r>
                                      <w:rPr>
                                        <w:rFonts w:hint="eastAsia" w:cs="Times New Roman"/>
                                        <w:sz w:val="18"/>
                                        <w:szCs w:val="18"/>
                                        <w:lang w:eastAsia="zh-CN"/>
                                      </w:rPr>
                                      <w:t>门诊用水</w:t>
                                    </w:r>
                                  </w:p>
                                </w:txbxContent>
                              </wps:txbx>
                              <wps:bodyPr upright="1"/>
                            </wps:wsp>
                            <wps:wsp>
                              <wps:cNvPr id="49" name="自选图形 14"/>
                              <wps:cNvCnPr/>
                              <wps:spPr>
                                <a:xfrm>
                                  <a:off x="2129572" y="1343316"/>
                                  <a:ext cx="274396" cy="829672"/>
                                </a:xfrm>
                                <a:prstGeom prst="bentConnector3">
                                  <a:avLst>
                                    <a:gd name="adj1" fmla="val 344444"/>
                                  </a:avLst>
                                </a:prstGeom>
                                <a:ln w="9525" cap="flat" cmpd="sng">
                                  <a:solidFill>
                                    <a:srgbClr val="000000"/>
                                  </a:solidFill>
                                  <a:prstDash val="solid"/>
                                  <a:miter/>
                                  <a:headEnd type="none" w="med" len="med"/>
                                  <a:tailEnd type="none" w="med" len="med"/>
                                </a:ln>
                              </wps:spPr>
                              <wps:bodyPr/>
                            </wps:wsp>
                            <wps:wsp>
                              <wps:cNvPr id="55" name="肘形连接符 55"/>
                              <wps:cNvCnPr>
                                <a:stCxn id="31" idx="3"/>
                                <a:endCxn id="26" idx="0"/>
                              </wps:cNvCnPr>
                              <wps:spPr>
                                <a:xfrm>
                                  <a:off x="2065020" y="281940"/>
                                  <a:ext cx="2026920" cy="1321435"/>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画布 76" o:spid="_x0000_s1026" o:spt="203" style="height:259.55pt;width:419.9pt;" coordsize="5332730,3296285" editas="canvas" o:gfxdata="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">
                      <o:lock v:ext="edit" aspectratio="f"/>
                      <v:shape id="画布 76" o:spid="_x0000_s1026" style="position:absolute;left:0;top:0;height:3296285;width:5332730;" filled="f" stroked="f" coordsize="21600,21600" o:gfxdata="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">
                        <v:fill on="f" focussize="0,0"/>
                        <v:stroke on="f"/>
                        <v:imagedata o:title=""/>
                        <o:lock v:ext="edit" aspectratio="t"/>
                      </v:shape>
                      <v:shape id="文本框 78" o:spid="_x0000_s1026" o:spt="202" type="#_x0000_t202" style="position:absolute;left:3146359;top:1440925;height:240821;width:501593;" fillcolor="#FFFFFF" filled="t" stroked="f" coordsize="21600,21600" o:gfxdata="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&#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A81ZZ1QAAAAUBAAAPAAAAAAAAAAEAIAAAACIAAABk&#10;cnMvZG93bnJldi54bWxQSwECFAAUAAAACACHTuJA2EZpPdABAACEAwAADgAAAAAAAAABACAAAAAk&#10;AQAAZHJzL2Uyb0RvYy54bWxQSwUGAAAAAAYABgBZAQAAZgUAAAAA&#10;">
                        <v:fill on="t" focussize="0,0"/>
                        <v:stroke on="f"/>
                        <v:imagedata o:title=""/>
                        <o:lock v:ext="edit" aspectratio="f"/>
                        <v:textbox>
                          <w:txbxContent>
                            <w:p>
                              <w:pPr>
                                <w:snapToGrid w:val="0"/>
                                <w:spacing w:line="240" w:lineRule="atLeast"/>
                                <w:ind w:firstLine="0" w:firstLineChars="0"/>
                                <w:jc w:val="center"/>
                                <w:rPr>
                                  <w:rFonts w:hint="default" w:cs="Times New Roman" w:eastAsiaTheme="minorEastAsia"/>
                                  <w:sz w:val="18"/>
                                  <w:szCs w:val="18"/>
                                  <w:lang w:val="en-US" w:eastAsia="zh-CN"/>
                                </w:rPr>
                              </w:pPr>
                              <w:r>
                                <w:rPr>
                                  <w:rFonts w:hint="eastAsia" w:cs="Times New Roman"/>
                                  <w:sz w:val="18"/>
                                  <w:szCs w:val="18"/>
                                  <w:lang w:val="en-US" w:eastAsia="zh-CN"/>
                                </w:rPr>
                                <w:t>48.72</w:t>
                              </w:r>
                            </w:p>
                          </w:txbxContent>
                        </v:textbox>
                      </v:shape>
                      <v:shape id="文本框 81" o:spid="_x0000_s1026" o:spt="202" type="#_x0000_t202" style="position:absolute;left:2489567;top:1929767;height:241621;width:503193;" fillcolor="#FFFFFF" filled="t" stroked="f" coordsize="21600,21600" o:gfxdata="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A81ZZ1QAAAAUBAAAPAAAAAAAAAAEAIAAAACIAAABk&#10;cnMvZG93bnJldi54bWxQSwECFAAUAAAACACHTuJAfr4rv9ABAACEAwAADgAAAAAAAAABACAAAAAk&#10;AQAAZHJzL2Uyb0RvYy54bWxQSwUGAAAAAAYABgBZAQAAZgUAAAAA&#10;">
                        <v:fill on="t" focussize="0,0"/>
                        <v:stroke on="f"/>
                        <v:imagedata o:title=""/>
                        <o:lock v:ext="edit" aspectratio="f"/>
                        <v:textbox>
                          <w:txbxContent>
                            <w:p>
                              <w:pPr>
                                <w:snapToGrid w:val="0"/>
                                <w:spacing w:line="240" w:lineRule="atLeast"/>
                                <w:ind w:firstLine="0" w:firstLineChars="0"/>
                                <w:jc w:val="both"/>
                                <w:rPr>
                                  <w:rFonts w:hint="default"/>
                                  <w:sz w:val="21"/>
                                  <w:szCs w:val="21"/>
                                  <w:lang w:val="en-US" w:eastAsia="zh-CN"/>
                                </w:rPr>
                              </w:pPr>
                              <w:r>
                                <w:rPr>
                                  <w:rFonts w:hint="eastAsia"/>
                                  <w:sz w:val="21"/>
                                  <w:szCs w:val="21"/>
                                  <w:lang w:val="en-US" w:eastAsia="zh-CN"/>
                                </w:rPr>
                                <w:t>48</w:t>
                              </w:r>
                            </w:p>
                          </w:txbxContent>
                        </v:textbox>
                      </v:shape>
                      <v:shape id="文本框 86" o:spid="_x0000_s1026" o:spt="202" type="#_x0000_t202" style="position:absolute;left:903188;top:2541820;height:240821;width:443994;" fillcolor="#FFFFFF" filled="t" stroked="f" coordsize="21600,21600" o:gfxdata="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PNWWdUAAAAFAQAADwAAAAAAAAABACAAAAAiAAAAZHJz&#10;L2Rvd25yZXYueG1sUEsBAhQAFAAAAAgAh07iQPzEZXzOAQAAgwMAAA4AAAAAAAAAAQAgAAAAJAEA&#10;AGRycy9lMm9Eb2MueG1sUEsFBgAAAAAGAAYAWQEAAGQFAAAAAA==&#10;">
                        <v:fill on="t" focussize="0,0"/>
                        <v:stroke on="f"/>
                        <v:imagedata o:title=""/>
                        <o:lock v:ext="edit" aspectratio="f"/>
                        <v:textbox>
                          <w:txbxContent>
                            <w:p>
                              <w:pPr>
                                <w:snapToGrid w:val="0"/>
                                <w:spacing w:line="240" w:lineRule="atLeast"/>
                                <w:ind w:firstLine="0" w:firstLineChars="0"/>
                                <w:jc w:val="both"/>
                                <w:rPr>
                                  <w:rFonts w:hint="default" w:cs="Times New Roman" w:eastAsiaTheme="minorEastAsia"/>
                                  <w:sz w:val="18"/>
                                  <w:szCs w:val="18"/>
                                  <w:lang w:val="en-US" w:eastAsia="zh-CN"/>
                                </w:rPr>
                              </w:pPr>
                              <w:r>
                                <w:rPr>
                                  <w:rFonts w:hint="eastAsia" w:cs="Times New Roman"/>
                                  <w:sz w:val="18"/>
                                  <w:szCs w:val="18"/>
                                  <w:lang w:val="en-US" w:eastAsia="zh-CN"/>
                                </w:rPr>
                                <w:t>2.67</w:t>
                              </w:r>
                            </w:p>
                          </w:txbxContent>
                        </v:textbox>
                      </v:shape>
                      <v:shape id="文本框 91" o:spid="_x0000_s1026" o:spt="202" type="#_x0000_t202" style="position:absolute;left:1619179;top:859274;height:245621;width:445594;" fillcolor="#FFFFFF" filled="t" stroked="f" coordsize="21600,21600" o:gfxdata="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&#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A81ZZ1QAAAAUBAAAPAAAAAAAAAAEAIAAAACIAAABk&#10;cnMvZG93bnJldi54bWxQSwECFAAUAAAACACHTuJAejNF99ABAACDAwAADgAAAAAAAAABACAAAAAk&#10;AQAAZHJzL2Uyb0RvYy54bWxQSwUGAAAAAAYABgBZAQAAZgUAAAAA&#10;">
                        <v:fill on="t" focussize="0,0"/>
                        <v:stroke on="f"/>
                        <v:imagedata o:title=""/>
                        <o:lock v:ext="edit" aspectratio="f"/>
                        <v:textbox>
                          <w:txbxContent>
                            <w:p>
                              <w:pPr>
                                <w:snapToGrid w:val="0"/>
                                <w:spacing w:line="240" w:lineRule="atLeast"/>
                                <w:ind w:firstLine="0" w:firstLineChars="0"/>
                                <w:jc w:val="center"/>
                                <w:rPr>
                                  <w:rFonts w:hint="default" w:cs="Times New Roman" w:eastAsiaTheme="minorEastAsia"/>
                                  <w:sz w:val="18"/>
                                  <w:szCs w:val="18"/>
                                  <w:lang w:val="en-US" w:eastAsia="zh-CN"/>
                                </w:rPr>
                              </w:pPr>
                              <w:r>
                                <w:rPr>
                                  <w:rFonts w:cs="Times New Roman"/>
                                  <w:sz w:val="18"/>
                                  <w:szCs w:val="18"/>
                                </w:rPr>
                                <w:t>0.</w:t>
                              </w:r>
                              <w:r>
                                <w:rPr>
                                  <w:rFonts w:hint="eastAsia" w:cs="Times New Roman"/>
                                  <w:sz w:val="18"/>
                                  <w:szCs w:val="18"/>
                                  <w:lang w:val="en-US" w:eastAsia="zh-CN"/>
                                </w:rPr>
                                <w:t>16</w:t>
                              </w:r>
                            </w:p>
                          </w:txbxContent>
                        </v:textbox>
                      </v:shape>
                      <v:shape id="文本框 93" o:spid="_x0000_s1026" o:spt="202" type="#_x0000_t202" style="position:absolute;left:991987;top:1931367;height:240821;width:444794;" fillcolor="#FFFFFF" filled="t" stroked="f" coordsize="21600,21600" o:gfxdata="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PNWWdUAAAAFAQAADwAAAAAAAAABACAAAAAiAAAAZHJz&#10;L2Rvd25yZXYueG1sUEsBAhQAFAAAAAgAh07iQMH4gknOAQAAgwMAAA4AAAAAAAAAAQAgAAAAJAEA&#10;AGRycy9lMm9Eb2MueG1sUEsFBgAAAAAGAAYAWQEAAGQFAAAAAA==&#10;">
                        <v:fill on="t" focussize="0,0"/>
                        <v:stroke on="f"/>
                        <v:imagedata o:title=""/>
                        <o:lock v:ext="edit" aspectratio="f"/>
                        <v:textbox>
                          <w:txbxContent>
                            <w:p>
                              <w:pPr>
                                <w:snapToGrid w:val="0"/>
                                <w:spacing w:line="240" w:lineRule="atLeast"/>
                                <w:ind w:firstLine="0" w:firstLineChars="0"/>
                                <w:jc w:val="center"/>
                                <w:rPr>
                                  <w:rFonts w:hint="default" w:cs="Times New Roman" w:eastAsiaTheme="minorEastAsia"/>
                                  <w:sz w:val="18"/>
                                  <w:szCs w:val="18"/>
                                  <w:lang w:val="en-US" w:eastAsia="zh-CN"/>
                                </w:rPr>
                              </w:pPr>
                              <w:r>
                                <w:rPr>
                                  <w:rFonts w:hint="eastAsia" w:cs="Times New Roman"/>
                                  <w:sz w:val="18"/>
                                  <w:szCs w:val="18"/>
                                  <w:lang w:val="en-US" w:eastAsia="zh-CN"/>
                                </w:rPr>
                                <w:t>60</w:t>
                              </w:r>
                            </w:p>
                          </w:txbxContent>
                        </v:textbox>
                      </v:shape>
                      <v:shape id="文本框 94" o:spid="_x0000_s1026" o:spt="202" type="#_x0000_t202" style="position:absolute;left:2413568;top:1104896;height:240821;width:442394;" fillcolor="#FFFFFF" filled="t" stroked="f" coordsize="21600,21600" o:gfxdata="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PNWWdUAAAAFAQAADwAAAAAAAAABACAAAAAiAAAAZHJz&#10;L2Rvd25yZXYueG1sUEsBAhQAFAAAAAgAh07iQFGEV1rOAQAAhAMAAA4AAAAAAAAAAQAgAAAAJAEA&#10;AGRycy9lMm9Eb2MueG1sUEsFBgAAAAAGAAYAWQEAAGQFAAAAAA==&#10;">
                        <v:fill on="t" focussize="0,0"/>
                        <v:stroke on="f"/>
                        <v:imagedata o:title=""/>
                        <o:lock v:ext="edit" aspectratio="f"/>
                        <v:textbox>
                          <w:txbxContent>
                            <w:p>
                              <w:pPr>
                                <w:snapToGrid w:val="0"/>
                                <w:spacing w:line="240" w:lineRule="atLeast"/>
                                <w:ind w:firstLine="0" w:firstLineChars="0"/>
                                <w:jc w:val="center"/>
                                <w:rPr>
                                  <w:rFonts w:hint="default" w:cs="Times New Roman" w:eastAsiaTheme="minorEastAsia"/>
                                  <w:sz w:val="18"/>
                                  <w:szCs w:val="18"/>
                                  <w:lang w:val="en-US" w:eastAsia="zh-CN"/>
                                </w:rPr>
                              </w:pPr>
                              <w:r>
                                <w:rPr>
                                  <w:rFonts w:cs="Times New Roman"/>
                                  <w:sz w:val="18"/>
                                  <w:szCs w:val="18"/>
                                </w:rPr>
                                <w:t>0.</w:t>
                              </w:r>
                              <w:r>
                                <w:rPr>
                                  <w:rFonts w:hint="eastAsia" w:cs="Times New Roman"/>
                                  <w:sz w:val="18"/>
                                  <w:szCs w:val="18"/>
                                  <w:lang w:val="en-US" w:eastAsia="zh-CN"/>
                                </w:rPr>
                                <w:t>64</w:t>
                              </w:r>
                            </w:p>
                          </w:txbxContent>
                        </v:textbox>
                      </v:shape>
                      <v:shape id="文本框 95" o:spid="_x0000_s1026" o:spt="202" type="#_x0000_t202" style="position:absolute;left:2650490;top:304800;height:242570;width:443865;" fillcolor="#FFFFFF" filled="t" stroked="f" coordsize="21600,21600" o:gfxdata="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DzVlnVAAAABQEAAA8AAAAAAAAAAQAgAAAAIgAAAGRy&#10;cy9kb3ducmV2LnhtbFBLAQIUABQAAAAIAIdO4kAARR+jzwEAAIMDAAAOAAAAAAAAAAEAIAAAACQB&#10;AABkcnMvZTJvRG9jLnhtbFBLBQYAAAAABgAGAFkBAABlBQAAAAA=&#10;">
                        <v:fill on="t" focussize="0,0"/>
                        <v:stroke on="f"/>
                        <v:imagedata o:title=""/>
                        <o:lock v:ext="edit" aspectratio="f"/>
                        <v:textbox>
                          <w:txbxContent>
                            <w:p>
                              <w:pPr>
                                <w:snapToGrid w:val="0"/>
                                <w:spacing w:line="240" w:lineRule="atLeast"/>
                                <w:ind w:firstLine="0" w:firstLineChars="0"/>
                                <w:jc w:val="both"/>
                                <w:rPr>
                                  <w:rFonts w:hint="default" w:cs="Times New Roman" w:eastAsiaTheme="minorEastAsia"/>
                                  <w:sz w:val="18"/>
                                  <w:szCs w:val="18"/>
                                  <w:lang w:val="en-US" w:eastAsia="zh-CN"/>
                                </w:rPr>
                              </w:pPr>
                              <w:r>
                                <w:rPr>
                                  <w:rFonts w:hint="eastAsia" w:cs="Times New Roman"/>
                                  <w:sz w:val="18"/>
                                  <w:szCs w:val="18"/>
                                  <w:lang w:val="en-US" w:eastAsia="zh-CN"/>
                                </w:rPr>
                                <w:t>0.08</w:t>
                              </w:r>
                            </w:p>
                          </w:txbxContent>
                        </v:textbox>
                      </v:shape>
                      <v:shape id="文本框 96" o:spid="_x0000_s1026" o:spt="202" type="#_x0000_t202" style="position:absolute;left:573592;top:404835;height:244021;width:495993;" fillcolor="#FFFFFF" filled="t" stroked="f" coordsize="21600,21600" o:gfxdata="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&#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DzVlnVAAAABQEAAA8AAAAAAAAAAQAgAAAAIgAAAGRy&#10;cy9kb3ducmV2LnhtbFBLAQIUABQAAAAIAIdO4kBbsfiwzwEAAIIDAAAOAAAAAAAAAAEAIAAAACQB&#10;AABkcnMvZTJvRG9jLnhtbFBLBQYAAAAABgAGAFkBAABlBQAAAAA=&#10;">
                        <v:fill on="t" focussize="0,0"/>
                        <v:stroke on="f"/>
                        <v:imagedata o:title=""/>
                        <o:lock v:ext="edit" aspectratio="f"/>
                        <v:textbox>
                          <w:txbxContent>
                            <w:p>
                              <w:pPr>
                                <w:snapToGrid w:val="0"/>
                                <w:spacing w:line="240" w:lineRule="atLeast"/>
                                <w:ind w:firstLine="0" w:firstLineChars="0"/>
                                <w:jc w:val="center"/>
                                <w:rPr>
                                  <w:rFonts w:hint="default" w:cs="Times New Roman" w:eastAsiaTheme="minorEastAsia"/>
                                  <w:sz w:val="18"/>
                                  <w:szCs w:val="18"/>
                                  <w:lang w:val="en-US" w:eastAsia="zh-CN"/>
                                </w:rPr>
                              </w:pPr>
                              <w:r>
                                <w:rPr>
                                  <w:rFonts w:hint="eastAsia" w:cs="Times New Roman"/>
                                  <w:sz w:val="18"/>
                                  <w:szCs w:val="18"/>
                                  <w:lang w:val="en-US" w:eastAsia="zh-CN"/>
                                </w:rPr>
                                <w:t>0.1</w:t>
                              </w:r>
                            </w:p>
                          </w:txbxContent>
                        </v:textbox>
                      </v:shape>
                      <v:shape id="文本框 97" o:spid="_x0000_s1026" o:spt="202" type="#_x0000_t202" style="position:absolute;left:1141585;top:572049;height:244021;width:832789;" fillcolor="#FFFFFF" filled="t" stroked="t" coordsize="21600,21600" o:gfxdata="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64EW7WAAAABQEAAA8AAAAA&#10;AAAAAQAgAAAAIgAAAGRycy9kb3ducmV2LnhtbFBLAQIUABQAAAAIAIdO4kADOOq5FgIAAEIEAAAO&#10;AAAAAAAAAAEAIAAAACUBAABkcnMvZTJvRG9jLnhtbFBLBQYAAAAABgAGAFkBAACtBQAAAAA=&#10;">
                        <v:fill on="t" focussize="0,0"/>
                        <v:stroke color="#000000" joinstyle="miter"/>
                        <v:imagedata o:title=""/>
                        <o:lock v:ext="edit" aspectratio="f"/>
                        <v:textbox>
                          <w:txbxContent>
                            <w:p>
                              <w:pPr>
                                <w:snapToGrid w:val="0"/>
                                <w:spacing w:line="240" w:lineRule="atLeast"/>
                                <w:ind w:firstLine="0" w:firstLineChars="0"/>
                                <w:jc w:val="center"/>
                                <w:rPr>
                                  <w:rFonts w:hint="eastAsia" w:cs="Times New Roman" w:eastAsiaTheme="minorEastAsia"/>
                                  <w:sz w:val="18"/>
                                  <w:szCs w:val="18"/>
                                  <w:lang w:val="en-US" w:eastAsia="zh-CN"/>
                                </w:rPr>
                              </w:pPr>
                              <w:r>
                                <w:rPr>
                                  <w:rFonts w:hint="eastAsia" w:cs="Times New Roman"/>
                                  <w:sz w:val="18"/>
                                  <w:szCs w:val="18"/>
                                  <w:lang w:val="en-US" w:eastAsia="zh-CN"/>
                                </w:rPr>
                                <w:t>检验废液</w:t>
                              </w:r>
                            </w:p>
                          </w:txbxContent>
                        </v:textbox>
                      </v:shape>
                      <v:shape id="文本框 101" o:spid="_x0000_s1026" o:spt="202" type="#_x0000_t202" style="position:absolute;left:1568779;top:2050577;height:244021;width:835189;" fillcolor="#FFFFFF" filled="t" stroked="t" coordsize="21600,21600" o:gfxdata="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64EW7WAAAABQEAAA8A&#10;AAAAAAAAAQAgAAAAIgAAAGRycy9kb3ducmV2LnhtbFBLAQIUABQAAAAIAIdO4kCnPn7BGQIAAEQE&#10;AAAOAAAAAAAAAAEAIAAAACUBAABkcnMvZTJvRG9jLnhtbFBLBQYAAAAABgAGAFkBAACwBQAAAAA=&#10;">
                        <v:fill on="t" focussize="0,0"/>
                        <v:stroke color="#000000" joinstyle="miter"/>
                        <v:imagedata o:title=""/>
                        <o:lock v:ext="edit" aspectratio="f"/>
                        <v:textbox>
                          <w:txbxContent>
                            <w:p>
                              <w:pPr>
                                <w:snapToGrid w:val="0"/>
                                <w:spacing w:line="240" w:lineRule="atLeast"/>
                                <w:ind w:firstLine="0" w:firstLineChars="0"/>
                                <w:jc w:val="center"/>
                                <w:rPr>
                                  <w:rFonts w:cs="Times New Roman"/>
                                  <w:sz w:val="18"/>
                                  <w:szCs w:val="18"/>
                                </w:rPr>
                              </w:pPr>
                              <w:r>
                                <w:rPr>
                                  <w:rFonts w:cs="Times New Roman"/>
                                  <w:sz w:val="18"/>
                                  <w:szCs w:val="18"/>
                                </w:rPr>
                                <w:t>住院用水</w:t>
                              </w:r>
                            </w:p>
                          </w:txbxContent>
                        </v:textbox>
                      </v:shape>
                      <v:shape id="自选图形 106" o:spid="_x0000_s1026" o:spt="32" type="#_x0000_t32" style="position:absolute;left:903188;top:2171388;height:800;width:665591;" filled="f" stroked="t" coordsize="21600,21600" o:gfxdata="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kjTdNYAAAAFAQAADwAAAAAAAAABACAAAAAi&#10;AAAAZHJzL2Rvd25yZXYueG1sUEsBAhQAFAAAAAgAh07iQE6AwO0MAgAA9gMAAA4AAAAAAAAAAQAg&#10;AAAAJQEAAGRycy9lMm9Eb2MueG1sUEsFBgAAAAAGAAYAWQEAAKMFAAAAAA==&#10;">
                        <v:fill on="f" focussize="0,0"/>
                        <v:stroke color="#000000" joinstyle="round" endarrow="block"/>
                        <v:imagedata o:title=""/>
                        <o:lock v:ext="edit" aspectratio="f"/>
                      </v:shape>
                      <v:shape id="自选图形 109" o:spid="_x0000_s1026" o:spt="32" type="#_x0000_t32" style="position:absolute;left:903188;top:1345716;flip:y;height:800;width:443994;" filled="f" stroked="t" coordsize="21600,21600" o:gfxdata="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W1PsK1gAAAAUBAAAPAAAAAAAA&#10;AAEAIAAAACIAAABkcnMvZG93bnJldi54bWxQSwECFAAUAAAACACHTuJAyG92MhQCAAAABAAADgAA&#10;AAAAAAABACAAAAAlAQAAZHJzL2Uyb0RvYy54bWxQSwUGAAAAAAYABgBZAQAAqwUAAAAA&#10;">
                        <v:fill on="f" focussize="0,0"/>
                        <v:stroke color="#000000" joinstyle="round" endarrow="block"/>
                        <v:imagedata o:title=""/>
                        <o:lock v:ext="edit" aspectratio="f"/>
                      </v:shape>
                      <v:shape id="文本框 111" o:spid="_x0000_s1026" o:spt="202" type="#_x0000_t202" style="position:absolute;left:3663952;top:1603339;height:244021;width:855189;" fillcolor="#FFFFFF" filled="t" stroked="t" coordsize="21600,21600" o:gfxdata="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64EW7WAAAABQEAAA8A&#10;AAAAAAAAAQAgAAAAIgAAAGRycy9kb3ducmV2LnhtbFBLAQIUABQAAAAIAIdO4kDj8t0fGQIAAEQE&#10;AAAOAAAAAAAAAAEAIAAAACUBAABkcnMvZTJvRG9jLnhtbFBLBQYAAAAABgAGAFkBAACwBQAAAAA=&#10;">
                        <v:fill on="t" focussize="0,0"/>
                        <v:stroke color="#000000" joinstyle="miter"/>
                        <v:imagedata o:title=""/>
                        <o:lock v:ext="edit" aspectratio="f"/>
                        <v:textbox>
                          <w:txbxContent>
                            <w:p>
                              <w:pPr>
                                <w:snapToGrid w:val="0"/>
                                <w:spacing w:line="240" w:lineRule="atLeast"/>
                                <w:ind w:firstLine="0" w:firstLineChars="0"/>
                                <w:jc w:val="center"/>
                                <w:rPr>
                                  <w:rFonts w:cs="Times New Roman"/>
                                  <w:sz w:val="18"/>
                                  <w:szCs w:val="18"/>
                                </w:rPr>
                              </w:pPr>
                              <w:r>
                                <w:rPr>
                                  <w:rFonts w:cs="Times New Roman"/>
                                  <w:sz w:val="18"/>
                                  <w:szCs w:val="18"/>
                                </w:rPr>
                                <w:t>化粪池</w:t>
                              </w:r>
                            </w:p>
                          </w:txbxContent>
                        </v:textbox>
                      </v:shape>
                      <v:shape id="文本框 112" o:spid="_x0000_s1026" o:spt="202" type="#_x0000_t202" style="position:absolute;left:3669552;top:2258595;height:244821;width:856789;" fillcolor="#FFFFFF" filled="t" stroked="t" coordsize="21600,21600" o:gfxdata="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64EW7WAAAABQEAAA8A&#10;AAAAAAAAAQAgAAAAIgAAAGRycy9kb3ducmV2LnhtbFBLAQIUABQAAAAIAIdO4kB+3AljGQIAAEQE&#10;AAAOAAAAAAAAAAEAIAAAACUBAABkcnMvZTJvRG9jLnhtbFBLBQYAAAAABgAGAFkBAACwBQAAAAA=&#10;">
                        <v:fill on="t" focussize="0,0"/>
                        <v:stroke color="#000000" joinstyle="miter"/>
                        <v:imagedata o:title=""/>
                        <o:lock v:ext="edit" aspectratio="f"/>
                        <v:textbox>
                          <w:txbxContent>
                            <w:p>
                              <w:pPr>
                                <w:snapToGrid w:val="0"/>
                                <w:spacing w:line="240" w:lineRule="atLeast"/>
                                <w:ind w:firstLine="0" w:firstLineChars="0"/>
                                <w:jc w:val="center"/>
                                <w:rPr>
                                  <w:rFonts w:cs="Times New Roman"/>
                                  <w:sz w:val="18"/>
                                  <w:szCs w:val="18"/>
                                </w:rPr>
                              </w:pPr>
                              <w:r>
                                <w:rPr>
                                  <w:rFonts w:cs="Times New Roman"/>
                                  <w:sz w:val="18"/>
                                  <w:szCs w:val="18"/>
                                </w:rPr>
                                <w:t>污水处理站</w:t>
                              </w:r>
                            </w:p>
                          </w:txbxContent>
                        </v:textbox>
                      </v:shape>
                      <v:shape id="自选图形 118" o:spid="_x0000_s1026" o:spt="32" type="#_x0000_t32" style="position:absolute;left:4105546;top:1859361;flip:x;height:386433;width:8000;" filled="f" stroked="t" coordsize="21600,21600" o:gfxdata="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bU+wrWAAAABQEAAA8AAAAA&#10;AAAAAQAgAAAAIgAAAGRycy9kb3ducmV2LnhtbFBLAQIUABQAAAAIAIdO4kB8dfikFgIAAAIEAAAO&#10;AAAAAAAAAAEAIAAAACUBAABkcnMvZTJvRG9jLnhtbFBLBQYAAAAABgAGAFkBAACtBQAAAAA=&#10;">
                        <v:fill on="f" focussize="0,0"/>
                        <v:stroke color="#000000" joinstyle="round" endarrow="block"/>
                        <v:imagedata o:title=""/>
                        <o:lock v:ext="edit" aspectratio="f"/>
                      </v:shape>
                      <v:shape id="文本框 120" o:spid="_x0000_s1026" o:spt="202" type="#_x0000_t202" style="position:absolute;left:4306343;top:1944968;height:240821;width:543993;" fillcolor="#FFFFFF" filled="t" stroked="f" coordsize="21600,21600" o:gfxdata="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PNWWdUAAAAFAQAADwAAAAAAAAABACAAAAAiAAAAZHJz&#10;L2Rvd25yZXYueG1sUEsBAhQAFAAAAAgAh07iQEL5A1rOAQAAhQMAAA4AAAAAAAAAAQAgAAAAJAEA&#10;AGRycy9lMm9Eb2MueG1sUEsFBgAAAAAGAAYAWQEAAGQFAAAAAA==&#10;">
                        <v:fill on="t" focussize="0,0"/>
                        <v:stroke on="f"/>
                        <v:imagedata o:title=""/>
                        <o:lock v:ext="edit" aspectratio="f"/>
                        <v:textbox>
                          <w:txbxContent>
                            <w:p>
                              <w:pPr>
                                <w:snapToGrid w:val="0"/>
                                <w:spacing w:line="240" w:lineRule="atLeast"/>
                                <w:ind w:firstLine="0" w:firstLineChars="0"/>
                                <w:jc w:val="center"/>
                                <w:rPr>
                                  <w:rFonts w:hint="default" w:cs="Times New Roman" w:eastAsiaTheme="minorEastAsia"/>
                                  <w:sz w:val="18"/>
                                  <w:szCs w:val="18"/>
                                  <w:lang w:val="en-US" w:eastAsia="zh-CN"/>
                                </w:rPr>
                              </w:pPr>
                              <w:r>
                                <w:rPr>
                                  <w:rFonts w:hint="eastAsia" w:cs="Times New Roman"/>
                                  <w:sz w:val="18"/>
                                  <w:szCs w:val="18"/>
                                  <w:lang w:val="en-US" w:eastAsia="zh-CN"/>
                                </w:rPr>
                                <w:t>48.72</w:t>
                              </w:r>
                            </w:p>
                          </w:txbxContent>
                        </v:textbox>
                      </v:shape>
                      <v:shape id="文本框 121" o:spid="_x0000_s1026" o:spt="202" type="#_x0000_t202" style="position:absolute;left:1568779;top:159214;height:245621;width:495993;" fillcolor="#FFFFFF" filled="t" stroked="f" coordsize="21600,21600" o:gfxdata="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DzVlnVAAAABQEAAA8AAAAAAAAAAQAgAAAAIgAAAGRy&#10;cy9kb3ducmV2LnhtbFBLAQIUABQAAAAIAIdO4kA0IYp5zwEAAIQDAAAOAAAAAAAAAAEAIAAAACQB&#10;AABkcnMvZTJvRG9jLnhtbFBLBQYAAAAABgAGAFkBAABlBQAAAAA=&#10;">
                        <v:fill on="t" focussize="0,0"/>
                        <v:stroke on="f"/>
                        <v:imagedata o:title=""/>
                        <o:lock v:ext="edit" aspectratio="f"/>
                        <v:textbox>
                          <w:txbxContent>
                            <w:p>
                              <w:pPr>
                                <w:snapToGrid w:val="0"/>
                                <w:spacing w:line="240" w:lineRule="atLeast"/>
                                <w:ind w:firstLine="0" w:firstLineChars="0"/>
                                <w:jc w:val="center"/>
                                <w:rPr>
                                  <w:rFonts w:hint="default" w:cs="Times New Roman" w:eastAsiaTheme="minorEastAsia"/>
                                  <w:sz w:val="18"/>
                                  <w:szCs w:val="18"/>
                                  <w:lang w:val="en-US" w:eastAsia="zh-CN"/>
                                </w:rPr>
                              </w:pPr>
                              <w:r>
                                <w:rPr>
                                  <w:rFonts w:cs="Times New Roman"/>
                                  <w:sz w:val="18"/>
                                  <w:szCs w:val="18"/>
                                </w:rPr>
                                <w:t>0.</w:t>
                              </w:r>
                              <w:r>
                                <w:rPr>
                                  <w:rFonts w:hint="eastAsia" w:cs="Times New Roman"/>
                                  <w:sz w:val="18"/>
                                  <w:szCs w:val="18"/>
                                  <w:lang w:val="en-US" w:eastAsia="zh-CN"/>
                                </w:rPr>
                                <w:t>02</w:t>
                              </w:r>
                            </w:p>
                          </w:txbxContent>
                        </v:textbox>
                      </v:shape>
                      <v:shape id="文本框 123" o:spid="_x0000_s1026" o:spt="202" type="#_x0000_t202" style="position:absolute;left:972787;top:1050491;height:244021;width:403195;v-text-anchor:middle;" fillcolor="#FFFFFF" filled="t" stroked="f" coordsize="21600,21600" o:gfxdata="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Ekgi71QAA&#10;AAUBAAAPAAAAAAAAAAEAIAAAACIAAABkcnMvZG93bnJldi54bWxQSwECFAAUAAAACACHTuJA9x6Z&#10;a+gBAAC1AwAADgAAAAAAAAABACAAAAAkAQAAZHJzL2Uyb0RvYy54bWxQSwUGAAAAAAYABgBZAQAA&#10;fgUAAAAA&#10;">
                        <v:fill on="t" focussize="0,0"/>
                        <v:stroke on="f"/>
                        <v:imagedata o:title=""/>
                        <o:lock v:ext="edit" aspectratio="f"/>
                        <v:textbox inset="0mm,0mm,0mm,0mm">
                          <w:txbxContent>
                            <w:p>
                              <w:pPr>
                                <w:snapToGrid w:val="0"/>
                                <w:spacing w:line="240" w:lineRule="atLeast"/>
                                <w:ind w:firstLine="0" w:firstLineChars="0"/>
                                <w:jc w:val="center"/>
                                <w:rPr>
                                  <w:rFonts w:hint="eastAsia" w:cs="Times New Roman" w:eastAsiaTheme="minorEastAsia"/>
                                  <w:sz w:val="18"/>
                                  <w:szCs w:val="18"/>
                                  <w:lang w:val="en-US" w:eastAsia="zh-CN"/>
                                </w:rPr>
                              </w:pPr>
                              <w:r>
                                <w:rPr>
                                  <w:rFonts w:cs="Times New Roman"/>
                                  <w:sz w:val="18"/>
                                  <w:szCs w:val="18"/>
                                </w:rPr>
                                <w:t>0.</w:t>
                              </w:r>
                              <w:r>
                                <w:rPr>
                                  <w:rFonts w:hint="eastAsia" w:cs="Times New Roman"/>
                                  <w:sz w:val="18"/>
                                  <w:szCs w:val="18"/>
                                  <w:lang w:val="en-US" w:eastAsia="zh-CN"/>
                                </w:rPr>
                                <w:t>8</w:t>
                              </w:r>
                            </w:p>
                          </w:txbxContent>
                        </v:textbox>
                      </v:shape>
                      <v:shape id="自选图形 124" o:spid="_x0000_s1026" o:spt="38" type="#_x0000_t38" style="position:absolute;left:1605579;top:346430;height:305626;width:146398;rotation:-5898240f;" filled="f" stroked="t" coordsize="21600,21600" o:gfxdata="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bmXTtQAAAAFAQAADwAAAAAAAAABACAAAAAiAAAAZHJzL2Rvd25yZXYueG1sUEsBAhQA&#10;FAAAAAgAh07iQCnuhWkvAgAAMgQAAA4AAAAAAAAAAQAgAAAAIwEAAGRycy9lMm9Eb2MueG1sUEsF&#10;BgAAAAAGAAYAWQEAAMQFAAAAAA==&#10;" adj="10753">
                        <v:fill on="f" focussize="0,0"/>
                        <v:stroke color="#000000" joinstyle="round" dashstyle="dash" endarrow="block"/>
                        <v:imagedata o:title=""/>
                        <o:lock v:ext="edit" aspectratio="f"/>
                      </v:shape>
                      <v:shape id="文本框 125" o:spid="_x0000_s1026" o:spt="202" type="#_x0000_t202" style="position:absolute;left:2103972;top:1649743;height:240821;width:444794;" fillcolor="#FFFFFF" filled="t" stroked="f" coordsize="21600,21600" o:gfxdata="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wPNWWdUAAAAFAQAADwAAAAAAAAABACAAAAAiAAAA&#10;ZHJzL2Rvd25yZXYueG1sUEsBAhQAFAAAAAgAh07iQHUwqX3RAQAAhQMAAA4AAAAAAAAAAQAgAAAA&#10;JAEAAGRycy9lMm9Eb2MueG1sUEsFBgAAAAAGAAYAWQEAAGcFAAAAAA==&#10;">
                        <v:fill on="t" focussize="0,0"/>
                        <v:stroke on="f"/>
                        <v:imagedata o:title=""/>
                        <o:lock v:ext="edit" aspectratio="f"/>
                        <v:textbox>
                          <w:txbxContent>
                            <w:p>
                              <w:pPr>
                                <w:snapToGrid w:val="0"/>
                                <w:spacing w:line="240" w:lineRule="atLeast"/>
                                <w:ind w:left="0" w:leftChars="0" w:right="0" w:rightChars="0" w:firstLine="0" w:firstLineChars="0"/>
                                <w:jc w:val="center"/>
                                <w:rPr>
                                  <w:rFonts w:hint="default" w:cs="Times New Roman" w:eastAsiaTheme="minorEastAsia"/>
                                  <w:sz w:val="18"/>
                                  <w:szCs w:val="18"/>
                                  <w:lang w:val="en-US" w:eastAsia="zh-CN"/>
                                </w:rPr>
                              </w:pPr>
                              <w:r>
                                <w:rPr>
                                  <w:rFonts w:hint="eastAsia" w:cs="Times New Roman"/>
                                  <w:sz w:val="18"/>
                                  <w:szCs w:val="18"/>
                                  <w:lang w:val="en-US" w:eastAsia="zh-CN"/>
                                </w:rPr>
                                <w:t>12</w:t>
                              </w:r>
                            </w:p>
                          </w:txbxContent>
                        </v:textbox>
                      </v:shape>
                      <v:shape id="自选图形 126" o:spid="_x0000_s1026" o:spt="38" type="#_x0000_t38" style="position:absolute;left:2076773;top:1800156;height:340029;width:159998;rotation:-5898240f;" filled="f" stroked="t" coordsize="21600,21600" o:gfxdata="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XMbMC1gAAAAUBAAAPAAAAAAAAAAEAIAAAACIAAABkcnMvZG93bnJldi54bWxQSwEC&#10;FAAUAAAACACHTuJAu4wYvi8CAAAzBAAADgAAAAAAAAABACAAAAAlAQAAZHJzL2Uyb0RvYy54bWxQ&#10;SwUGAAAAAAYABgBZAQAAxgUAAAAA&#10;" adj="10800">
                        <v:fill on="f" focussize="0,0"/>
                        <v:stroke color="#000000" joinstyle="round" dashstyle="dash" endarrow="block"/>
                        <v:imagedata o:title=""/>
                        <o:lock v:ext="edit" aspectratio="f"/>
                      </v:shape>
                      <v:shape id="自选图形 130" o:spid="_x0000_s1026" o:spt="38" type="#_x0000_t38" style="position:absolute;left:1648778;top:1053691;height:244821;width:142398;rotation:-5898240f;" filled="f" stroked="t" coordsize="21600,21600" o:gfxdata="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lzGzAtYAAAAFAQAADwAAAAAAAAABACAAAAAiAAAAZHJzL2Rvd25yZXYueG1sUEsBAhQA&#10;FAAAAAgAh07iQHXBSE0tAgAAMwQAAA4AAAAAAAAAAQAgAAAAJQEAAGRycy9lMm9Eb2MueG1sUEsF&#10;BgAAAAAGAAYAWQEAAMQFAAAAAA==&#10;" adj="10800">
                        <v:fill on="f" focussize="0,0"/>
                        <v:stroke color="#000000" joinstyle="round" dashstyle="dash" endarrow="block"/>
                        <v:imagedata o:title=""/>
                        <o:lock v:ext="edit" aspectratio="f"/>
                      </v:shape>
                      <v:shape id="自选图形 140" o:spid="_x0000_s1026" o:spt="32" type="#_x0000_t32" style="position:absolute;left:206397;top:1805756;height:0;width:681591;" filled="f" stroked="t" coordsize="21600,21600" o:gfxdata="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yjLm41QAAAAUBAAAPAAAAAAAAAAEAIAAAACIAAABkcnMvZG93&#10;bnJldi54bWxQSwECFAAUAAAACACHTuJA7GK3ewMCAADwAwAADgAAAAAAAAABACAAAAAkAQAAZHJz&#10;L2Uyb0RvYy54bWxQSwUGAAAAAAYABgBZAQAAmQUAAAAA&#10;">
                        <v:fill on="f" focussize="0,0"/>
                        <v:stroke color="#000000" joinstyle="round"/>
                        <v:imagedata o:title=""/>
                        <o:lock v:ext="edit" aspectratio="f"/>
                      </v:shape>
                      <v:shape id="文本框 141" o:spid="_x0000_s1026" o:spt="202" type="#_x0000_t202" style="position:absolute;left:189598;top:1887363;height:240821;width:640792;" fillcolor="#FFFFFF" filled="t" stroked="f" coordsize="21600,21600" o:gfxdata="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&#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DzVlnVAAAABQEAAA8AAAAAAAAAAQAgAAAAIgAAAGRy&#10;cy9kb3ducmV2LnhtbFBLAQIUABQAAAAIAIdO4kB0Uek5zwEAAIQDAAAOAAAAAAAAAAEAIAAAACQB&#10;AABkcnMvZTJvRG9jLnhtbFBLBQYAAAAABgAGAFkBAABlBQAAAAA=&#10;">
                        <v:fill on="t" focussize="0,0"/>
                        <v:stroke on="f"/>
                        <v:imagedata o:title=""/>
                        <o:lock v:ext="edit" aspectratio="f"/>
                        <v:textbox>
                          <w:txbxContent>
                            <w:p>
                              <w:pPr>
                                <w:snapToGrid w:val="0"/>
                                <w:spacing w:line="240" w:lineRule="atLeast"/>
                                <w:ind w:firstLine="0" w:firstLineChars="0"/>
                                <w:jc w:val="center"/>
                                <w:rPr>
                                  <w:rFonts w:hint="default" w:cs="Times New Roman" w:eastAsiaTheme="minorEastAsia"/>
                                  <w:sz w:val="18"/>
                                  <w:szCs w:val="18"/>
                                  <w:lang w:val="en-US" w:eastAsia="zh-CN"/>
                                </w:rPr>
                              </w:pPr>
                              <w:r>
                                <w:rPr>
                                  <w:rFonts w:hint="eastAsia" w:cs="Times New Roman"/>
                                  <w:sz w:val="18"/>
                                  <w:szCs w:val="18"/>
                                  <w:lang w:val="en-US" w:eastAsia="zh-CN"/>
                                </w:rPr>
                                <w:t>63.57</w:t>
                              </w:r>
                            </w:p>
                          </w:txbxContent>
                        </v:textbox>
                      </v:shape>
                      <v:shape id="文本框 142" o:spid="_x0000_s1026" o:spt="202" type="#_x0000_t202" style="position:absolute;left:232797;top:1395321;height:241621;width:546393;" fillcolor="#FFFFFF" filled="t" stroked="f" coordsize="21600,21600" o:gfxdata="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&#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DzVlnVAAAABQEAAA8AAAAAAAAAAQAgAAAAIgAAAGRy&#10;cy9kb3ducmV2LnhtbFBLAQIUABQAAAAIAIdO4kCD0OwVzwEAAIQDAAAOAAAAAAAAAAEAIAAAACQB&#10;AABkcnMvZTJvRG9jLnhtbFBLBQYAAAAABgAGAFkBAABlBQAAAAA=&#10;">
                        <v:fill on="t" focussize="0,0"/>
                        <v:stroke on="f"/>
                        <v:imagedata o:title=""/>
                        <o:lock v:ext="edit" aspectratio="f"/>
                        <v:textbox>
                          <w:txbxContent>
                            <w:p>
                              <w:pPr>
                                <w:snapToGrid w:val="0"/>
                                <w:spacing w:line="240" w:lineRule="atLeast"/>
                                <w:ind w:firstLine="0" w:firstLineChars="0"/>
                                <w:jc w:val="center"/>
                                <w:rPr>
                                  <w:rFonts w:cs="Times New Roman"/>
                                  <w:sz w:val="18"/>
                                  <w:szCs w:val="18"/>
                                </w:rPr>
                              </w:pPr>
                              <w:r>
                                <w:rPr>
                                  <w:rFonts w:cs="Times New Roman"/>
                                  <w:sz w:val="18"/>
                                  <w:szCs w:val="18"/>
                                </w:rPr>
                                <w:t>自来水</w:t>
                              </w:r>
                            </w:p>
                          </w:txbxContent>
                        </v:textbox>
                      </v:shape>
                      <v:shape id="自选图形 143" o:spid="_x0000_s1026" o:spt="32" type="#_x0000_t32" style="position:absolute;left:4121546;top:2504217;height:385633;width:4800;" filled="f" stroked="t" coordsize="21600,21600" o:gfxdata="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mSNN01gAAAAUBAAAPAAAAAAAAAAEAIAAA&#10;ACIAAABkcnMvZG93bnJldi54bWxQSwECFAAUAAAACACHTuJADEe0tw4CAAD4AwAADgAAAAAAAAAB&#10;ACAAAAAlAQAAZHJzL2Uyb0RvYy54bWxQSwUGAAAAAAYABgBZAQAApQUAAAAA&#10;">
                        <v:fill on="f" focussize="0,0"/>
                        <v:stroke color="#000000" joinstyle="round" endarrow="block"/>
                        <v:imagedata o:title=""/>
                        <o:lock v:ext="edit" aspectratio="f"/>
                      </v:shape>
                      <v:line id="直线 152" o:spid="_x0000_s1026" o:spt="20" style="position:absolute;left:3107959;top:1741751;height:800;width:559193;" filled="f" stroked="t" coordsize="21600,21600" o:gfxdata="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CSpDtcAAAAFAQAADwAAAAAAAAABACAAAAAiAAAAZHJzL2Rv&#10;d25yZXYueG1sUEsBAhQAFAAAAAgAh07iQM2bCmwCAgAA7wMAAA4AAAAAAAAAAQAgAAAAJgEAAGRy&#10;cy9lMm9Eb2MueG1sUEsFBgAAAAAGAAYAWQEAAJoFAAAAAA==&#10;">
                        <v:fill on="f" focussize="0,0"/>
                        <v:stroke color="#000000" joinstyle="round" endarrow="block"/>
                        <v:imagedata o:title=""/>
                        <o:lock v:ext="edit" aspectratio="f"/>
                      </v:line>
                      <v:shape id="文本框 157" o:spid="_x0000_s1026" o:spt="202" type="#_x0000_t202" style="position:absolute;left:3546353;top:2889050;height:240821;width:1107985;" fillcolor="#FFFFFF" filled="t" stroked="f" coordsize="21600,21600" o:gfxdata="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DzVlnVAAAABQEAAA8AAAAAAAAAAQAgAAAAIgAA&#10;AGRycy9kb3ducmV2LnhtbFBLAQIUABQAAAAIAIdO4kD8l22L0gEAAIYDAAAOAAAAAAAAAAEAIAAA&#10;ACQBAABkcnMvZTJvRG9jLnhtbFBLBQYAAAAABgAGAFkBAABoBQAAAAA=&#10;">
                        <v:fill on="t" focussize="0,0"/>
                        <v:stroke on="f"/>
                        <v:imagedata o:title=""/>
                        <o:lock v:ext="edit" aspectratio="f"/>
                        <v:textbox>
                          <w:txbxContent>
                            <w:p>
                              <w:pPr>
                                <w:snapToGrid w:val="0"/>
                                <w:spacing w:line="240" w:lineRule="atLeast"/>
                                <w:ind w:firstLine="0" w:firstLineChars="0"/>
                                <w:jc w:val="center"/>
                                <w:rPr>
                                  <w:rFonts w:hint="default" w:cs="Times New Roman" w:eastAsiaTheme="minorEastAsia"/>
                                  <w:sz w:val="18"/>
                                  <w:szCs w:val="18"/>
                                  <w:lang w:val="en-US" w:eastAsia="zh-CN"/>
                                </w:rPr>
                              </w:pPr>
                              <w:r>
                                <w:rPr>
                                  <w:rFonts w:hint="eastAsia" w:cs="Times New Roman"/>
                                  <w:sz w:val="18"/>
                                  <w:szCs w:val="18"/>
                                  <w:lang w:val="en-US" w:eastAsia="zh-CN"/>
                                </w:rPr>
                                <w:t>姚安县污水处理厂</w:t>
                              </w:r>
                            </w:p>
                          </w:txbxContent>
                        </v:textbox>
                      </v:shape>
                      <v:shape id="文本框 3" o:spid="_x0000_s1026" o:spt="202" type="#_x0000_t202" style="position:absolute;left:1255395;top:2827655;height:257810;width:760095;" fillcolor="#FFFFFF" filled="t" stroked="t" coordsize="21600,21600" o:gfxdata="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OuBFu1gAAAAUBAAAPAAAA&#10;AAAAAAEAIAAAACIAAABkcnMvZG93bnJldi54bWxQSwECFAAUAAAACACHTuJAC7T2vhcCAABCBAAA&#10;DgAAAAAAAAABACAAAAAlAQAAZHJzL2Uyb0RvYy54bWxQSwUGAAAAAAYABgBZAQAArgUAAAAA&#10;">
                        <v:fill on="t" focussize="0,0"/>
                        <v:stroke color="#000000" joinstyle="miter"/>
                        <v:imagedata o:title=""/>
                        <o:lock v:ext="edit" aspectratio="f"/>
                        <v:textbox>
                          <w:txbxContent>
                            <w:p>
                              <w:pPr>
                                <w:snapToGrid w:val="0"/>
                                <w:spacing w:line="240" w:lineRule="atLeast"/>
                                <w:ind w:firstLine="0" w:firstLineChars="0"/>
                                <w:jc w:val="center"/>
                                <w:rPr>
                                  <w:rFonts w:cs="Times New Roman"/>
                                  <w:sz w:val="18"/>
                                  <w:szCs w:val="18"/>
                                </w:rPr>
                              </w:pPr>
                              <w:r>
                                <w:rPr>
                                  <w:rFonts w:hint="eastAsia" w:cs="Times New Roman"/>
                                  <w:sz w:val="18"/>
                                  <w:szCs w:val="18"/>
                                  <w:lang w:val="en-US" w:eastAsia="zh-CN"/>
                                </w:rPr>
                                <w:t>绿化</w:t>
                              </w:r>
                              <w:r>
                                <w:rPr>
                                  <w:rFonts w:cs="Times New Roman"/>
                                  <w:sz w:val="18"/>
                                  <w:szCs w:val="18"/>
                                </w:rPr>
                                <w:t>用水</w:t>
                              </w:r>
                            </w:p>
                          </w:txbxContent>
                        </v:textbox>
                      </v:shape>
                      <v:shape id="文本框 4" o:spid="_x0000_s1026" o:spt="202" type="#_x0000_t202" style="position:absolute;left:1638935;top:2383155;height:237490;width:939800;" fillcolor="#FFFFFF" filled="t" stroked="f" coordsize="21600,21600" o:gfxdata="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DzVlnVAAAABQEAAA8AAAAAAAAAAQAgAAAAIgAAAGRy&#10;cy9kb3ducmV2LnhtbFBLAQIUABQAAAAIAIdO4kBsqJD3zwEAAIMDAAAOAAAAAAAAAAEAIAAAACQB&#10;AABkcnMvZTJvRG9jLnhtbFBLBQYAAAAABgAGAFkBAABlBQAAAAA=&#10;">
                        <v:fill on="t" focussize="0,0"/>
                        <v:stroke on="f"/>
                        <v:imagedata o:title=""/>
                        <o:lock v:ext="edit" aspectratio="f"/>
                        <v:textbox>
                          <w:txbxContent>
                            <w:p>
                              <w:pPr>
                                <w:snapToGrid w:val="0"/>
                                <w:spacing w:line="240" w:lineRule="atLeast"/>
                                <w:ind w:firstLine="0" w:firstLineChars="0"/>
                                <w:jc w:val="both"/>
                                <w:rPr>
                                  <w:rFonts w:hint="default" w:cs="Times New Roman" w:eastAsiaTheme="minorEastAsia"/>
                                  <w:sz w:val="18"/>
                                  <w:szCs w:val="18"/>
                                  <w:lang w:val="en-US" w:eastAsia="zh-CN"/>
                                </w:rPr>
                              </w:pPr>
                              <w:r>
                                <w:rPr>
                                  <w:rFonts w:hint="eastAsia" w:cs="Times New Roman"/>
                                  <w:sz w:val="18"/>
                                  <w:szCs w:val="18"/>
                                  <w:lang w:val="en-US" w:eastAsia="zh-CN"/>
                                </w:rPr>
                                <w:t>蒸发损耗2.67</w:t>
                              </w:r>
                            </w:p>
                          </w:txbxContent>
                        </v:textbox>
                      </v:shape>
                      <v:shape id="自选图形 5" o:spid="_x0000_s1026" o:spt="38" type="#_x0000_t38" style="position:absolute;left:1646378;top:2608226;flip:y;height:207218;width:419194;" filled="f" stroked="t" coordsize="21600,21600" o:gfxdata="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8XHmudUAAAAFAQAADwAAAAAAAAABACAAAAAiAAAAZHJzL2Rvd25yZXYueG1sUEsBAhQAFAAA&#10;AAgAh07iQC1a7s8rAgAALAQAAA4AAAAAAAAAAQAgAAAAJAEAAGRycy9lMm9Eb2MueG1sUEsFBgAA&#10;AAAGAAYAWQEAAMEFAAAAAA==&#10;" adj="9785">
                        <v:fill on="f" focussize="0,0"/>
                        <v:stroke color="#000000" joinstyle="round" dashstyle="dash" endarrow="block"/>
                        <v:imagedata o:title=""/>
                        <o:lock v:ext="edit" aspectratio="f"/>
                      </v:shape>
                      <v:shape id="自选图形 8" o:spid="_x0000_s1026" o:spt="34" type="#_x0000_t34" style="position:absolute;left:1140785;top:694460;flip:x y;height:2208991;width:113599;rotation:11796480f;" filled="f" stroked="t" coordsize="21600,21600" o:gfxdata="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Mp4VW1AAAAAUBAAAPAAAAAAAAAAEAIAAAACIAAABkcnMvZG93bnJl&#10;di54bWxQSwECFAAUAAAACACHTuJAOGf6WToCAABUBAAADgAAAAAAAAABACAAAAAjAQAAZHJzL2Uy&#10;b0RvYy54bWxQSwUGAAAAAAYABgBZAQAAzwUAAAAA&#10;" adj="-45251">
                        <v:fill on="f" focussize="0,0"/>
                        <v:stroke color="#000000" joinstyle="miter" startarrow="block" endarrow="block"/>
                        <v:imagedata o:title=""/>
                        <o:lock v:ext="edit" aspectratio="f"/>
                      </v:shape>
                      <v:shape id="文本框 13" o:spid="_x0000_s1026" o:spt="202" type="#_x0000_t202" style="position:absolute;left:1337582;top:1222506;height:241621;width:792790;" fillcolor="#FFFFFF" filled="t" stroked="t" coordsize="21600,21600" o:gfxdata="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64EW7WAAAABQEAAA8A&#10;AAAAAAAAAQAgAAAAIgAAAGRycy9kb3ducmV2LnhtbFBLAQIUABQAAAAIAIdO4kAsqXIpGQIAAEME&#10;AAAOAAAAAAAAAAEAIAAAACUBAABkcnMvZTJvRG9jLnhtbFBLBQYAAAAABgAGAFkBAACwBQAAAAA=&#10;">
                        <v:fill on="t" focussize="0,0"/>
                        <v:stroke color="#000000" joinstyle="miter"/>
                        <v:imagedata o:title=""/>
                        <o:lock v:ext="edit" aspectratio="f"/>
                        <v:textbox>
                          <w:txbxContent>
                            <w:p>
                              <w:pPr>
                                <w:snapToGrid w:val="0"/>
                                <w:spacing w:line="240" w:lineRule="atLeast"/>
                                <w:ind w:firstLine="0" w:firstLineChars="0"/>
                                <w:jc w:val="center"/>
                                <w:rPr>
                                  <w:rFonts w:hint="eastAsia" w:cs="Times New Roman" w:eastAsiaTheme="minorEastAsia"/>
                                  <w:sz w:val="18"/>
                                  <w:szCs w:val="18"/>
                                  <w:lang w:eastAsia="zh-CN"/>
                                </w:rPr>
                              </w:pPr>
                              <w:r>
                                <w:rPr>
                                  <w:rFonts w:hint="eastAsia" w:cs="Times New Roman"/>
                                  <w:sz w:val="18"/>
                                  <w:szCs w:val="18"/>
                                  <w:lang w:eastAsia="zh-CN"/>
                                </w:rPr>
                                <w:t>门诊用水</w:t>
                              </w:r>
                            </w:p>
                          </w:txbxContent>
                        </v:textbox>
                      </v:shape>
                      <v:shape id="自选图形 14" o:spid="_x0000_s1026" o:spt="34" type="#_x0000_t34" style="position:absolute;left:2129572;top:1343316;height:829672;width:274396;" filled="f" stroked="t" coordsize="21600,21600" o:gfxdata="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W9t79QAAAAF&#10;AQAADwAAAAAAAAABACAAAAAiAAAAZHJzL2Rvd25yZXYueG1sUEsBAhQAFAAAAAgAh07iQCIPTbIg&#10;AgAAKQQAAA4AAAAAAAAAAQAgAAAAIwEAAGRycy9lMm9Eb2MueG1sUEsFBgAAAAAGAAYAWQEAALUF&#10;AAAAAA==&#10;" adj="74400">
                        <v:fill on="f" focussize="0,0"/>
                        <v:stroke color="#000000" joinstyle="miter"/>
                        <v:imagedata o:title=""/>
                        <o:lock v:ext="edit" aspectratio="f"/>
                      </v:shape>
                      <v:shape id="_x0000_s1026" o:spid="_x0000_s1026" o:spt="33" type="#_x0000_t33" style="position:absolute;left:2065020;top:281940;height:1321435;width:2026920;" filled="f" stroked="t" coordsize="21600,21600" o:gfxdata="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lrGzh1gAA&#10;AAUBAAAPAAAAAAAAAAEAIAAAACIAAABkcnMvZG93bnJldi54bWxQSwECFAAUAAAACACHTuJAgqD/&#10;EyACAAAVBAAADgAAAAAAAAABACAAAAAlAQAAZHJzL2Uyb0RvYy54bWxQSwUGAAAAAAYABgBZAQAA&#10;twUAAAAA&#10;">
                        <v:fill on="f" focussize="0,0"/>
                        <v:stroke color="#000000 [3213]" joinstyle="round" endarrow="block"/>
                        <v:imagedata o:title=""/>
                        <o:lock v:ext="edit" aspectratio="f"/>
                      </v:shape>
                      <w10:wrap type="none"/>
                      <w10:anchorlock/>
                    </v:group>
                  </w:pict>
                </mc:Fallback>
              </mc:AlternateContent>
            </w:r>
          </w:p>
          <w:p>
            <w:pPr>
              <w:snapToGrid w:val="0"/>
              <w:spacing w:line="360" w:lineRule="auto"/>
              <w:ind w:left="0" w:leftChars="0" w:right="0" w:rightChars="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图4-3项目水量平衡示意图   单位：m</w:t>
            </w:r>
            <w:r>
              <w:rPr>
                <w:rFonts w:hint="default" w:ascii="Times New Roman" w:hAnsi="Times New Roman" w:cs="Times New Roman"/>
                <w:b/>
                <w:color w:val="auto"/>
                <w:sz w:val="21"/>
                <w:szCs w:val="21"/>
                <w:vertAlign w:val="superscript"/>
              </w:rPr>
              <w:t>3</w:t>
            </w:r>
            <w:r>
              <w:rPr>
                <w:rFonts w:hint="default" w:ascii="Times New Roman" w:hAnsi="Times New Roman" w:cs="Times New Roman"/>
                <w:b/>
                <w:color w:val="auto"/>
                <w:sz w:val="21"/>
                <w:szCs w:val="21"/>
              </w:rPr>
              <w:t>/d</w:t>
            </w:r>
          </w:p>
          <w:p>
            <w:pPr>
              <w:ind w:firstLine="482"/>
              <w:rPr>
                <w:rFonts w:ascii="Times New Roman" w:hAnsi="Times New Roman"/>
                <w:b/>
                <w:color w:val="auto"/>
              </w:rPr>
            </w:pPr>
            <w:r>
              <w:rPr>
                <w:rFonts w:hint="eastAsia" w:ascii="Times New Roman" w:hAnsi="Times New Roman"/>
                <w:b/>
                <w:color w:val="auto"/>
              </w:rPr>
              <w:t>（2）废水处理方案及排放方式</w:t>
            </w:r>
          </w:p>
          <w:p>
            <w:pPr>
              <w:ind w:firstLine="480"/>
              <w:jc w:val="left"/>
              <w:rPr>
                <w:rFonts w:hint="eastAsia" w:eastAsia="宋体" w:cs="Times New Roman"/>
                <w:bCs/>
                <w:color w:val="auto"/>
                <w:szCs w:val="24"/>
              </w:rPr>
            </w:pPr>
            <w:r>
              <w:rPr>
                <w:rFonts w:hint="eastAsia" w:ascii="Times New Roman" w:hAnsi="Times New Roman"/>
                <w:color w:val="auto"/>
              </w:rPr>
              <w:t>项目实行雨污分流，雨水通过院内雨水沟排入院外道路雨水沟。检验废水</w:t>
            </w:r>
            <w:r>
              <w:rPr>
                <w:rFonts w:hint="eastAsia" w:ascii="Times New Roman" w:hAnsi="Times New Roman"/>
                <w:color w:val="auto"/>
                <w:lang w:val="en-US" w:eastAsia="zh-CN"/>
              </w:rPr>
              <w:t>用独立容器收集后</w:t>
            </w:r>
            <w:r>
              <w:rPr>
                <w:rFonts w:hint="eastAsia"/>
                <w:color w:val="auto"/>
                <w:lang w:val="en-US" w:eastAsia="zh-CN"/>
              </w:rPr>
              <w:t>委托有资质的单位</w:t>
            </w:r>
            <w:r>
              <w:rPr>
                <w:rFonts w:hint="eastAsia" w:ascii="Times New Roman" w:hAnsi="Times New Roman"/>
                <w:color w:val="auto"/>
                <w:lang w:val="en-US" w:eastAsia="zh-CN"/>
              </w:rPr>
              <w:t>清运处置。</w:t>
            </w:r>
            <w:r>
              <w:rPr>
                <w:rFonts w:hint="eastAsia" w:ascii="Times New Roman" w:hAnsi="Times New Roman"/>
                <w:color w:val="auto"/>
                <w:highlight w:val="none"/>
              </w:rPr>
              <w:t>门诊</w:t>
            </w:r>
            <w:r>
              <w:rPr>
                <w:rFonts w:hint="eastAsia" w:ascii="Times New Roman" w:hAnsi="Times New Roman"/>
                <w:color w:val="auto"/>
              </w:rPr>
              <w:t>废水和床位</w:t>
            </w:r>
            <w:r>
              <w:rPr>
                <w:rFonts w:hint="eastAsia" w:ascii="Times New Roman" w:hAnsi="Times New Roman"/>
                <w:color w:val="auto"/>
                <w:lang w:eastAsia="zh-CN"/>
              </w:rPr>
              <w:t>废水</w:t>
            </w:r>
            <w:r>
              <w:rPr>
                <w:rFonts w:hint="eastAsia" w:ascii="Times New Roman" w:hAnsi="Times New Roman"/>
                <w:color w:val="auto"/>
              </w:rPr>
              <w:t>经过</w:t>
            </w:r>
            <w:r>
              <w:rPr>
                <w:rFonts w:hint="eastAsia" w:ascii="Times New Roman" w:hAnsi="Times New Roman"/>
                <w:color w:val="auto"/>
                <w:lang w:eastAsia="zh-CN"/>
              </w:rPr>
              <w:t>医院自建污水管网收集</w:t>
            </w:r>
            <w:r>
              <w:rPr>
                <w:rFonts w:hint="eastAsia" w:ascii="Times New Roman" w:hAnsi="Times New Roman"/>
                <w:color w:val="auto"/>
              </w:rPr>
              <w:t>后流入化粪池</w:t>
            </w:r>
            <w:r>
              <w:rPr>
                <w:rFonts w:hint="eastAsia" w:ascii="Times New Roman" w:hAnsi="Times New Roman"/>
                <w:color w:val="auto"/>
                <w:lang w:eastAsia="zh-CN"/>
              </w:rPr>
              <w:t>，</w:t>
            </w:r>
            <w:r>
              <w:rPr>
                <w:rFonts w:hint="eastAsia" w:ascii="Times New Roman" w:hAnsi="Times New Roman"/>
                <w:color w:val="auto"/>
              </w:rPr>
              <w:t>再进入医院自建污水处理站进行处理</w:t>
            </w:r>
            <w:r>
              <w:rPr>
                <w:rFonts w:hint="eastAsia" w:ascii="Times New Roman" w:hAnsi="Times New Roman"/>
                <w:color w:val="auto"/>
                <w:lang w:eastAsia="zh-CN"/>
              </w:rPr>
              <w:t>。医院污水处理站</w:t>
            </w:r>
            <w:r>
              <w:rPr>
                <w:rFonts w:hint="eastAsia" w:ascii="Times New Roman" w:hAnsi="Times New Roman"/>
                <w:color w:val="auto"/>
              </w:rPr>
              <w:t>采用“生物接触氧化池+MBR反应池+消毒”工艺，根据《医院污水处理工程技术规范》（HJ2029-2013）</w:t>
            </w:r>
            <w:r>
              <w:rPr>
                <w:rFonts w:hint="eastAsia"/>
                <w:color w:val="auto"/>
                <w:lang w:eastAsia="zh-CN"/>
              </w:rPr>
              <w:t>，本项目需建设一个</w:t>
            </w:r>
            <w:r>
              <w:rPr>
                <w:rFonts w:hint="eastAsia" w:ascii="Times New Roman" w:hAnsi="Times New Roman"/>
                <w:color w:val="auto"/>
              </w:rPr>
              <w:t>处理规模为</w:t>
            </w:r>
            <w:r>
              <w:rPr>
                <w:rFonts w:hint="eastAsia" w:ascii="Times New Roman" w:hAnsi="Times New Roman"/>
                <w:color w:val="auto"/>
                <w:lang w:val="en-US" w:eastAsia="zh-CN"/>
              </w:rPr>
              <w:t>60</w:t>
            </w:r>
            <w:r>
              <w:rPr>
                <w:rFonts w:hint="eastAsia" w:ascii="Times New Roman" w:hAnsi="Times New Roman"/>
                <w:color w:val="auto"/>
              </w:rPr>
              <w:t>m³/d污水处理站</w:t>
            </w:r>
            <w:r>
              <w:rPr>
                <w:rFonts w:hint="eastAsia" w:ascii="Times New Roman" w:hAnsi="Times New Roman"/>
                <w:color w:val="auto"/>
                <w:lang w:eastAsia="zh-CN"/>
              </w:rPr>
              <w:t>，</w:t>
            </w:r>
            <w:r>
              <w:rPr>
                <w:rFonts w:hint="eastAsia" w:ascii="Times New Roman" w:hAnsi="Times New Roman"/>
                <w:color w:val="auto"/>
              </w:rPr>
              <w:t>处理达</w:t>
            </w:r>
            <w:r>
              <w:rPr>
                <w:rFonts w:hint="eastAsia" w:ascii="Times New Roman" w:hAnsi="Times New Roman" w:cs="Times New Roman"/>
                <w:color w:val="auto"/>
              </w:rPr>
              <w:t>《医疗机构水污染物排放标准》</w:t>
            </w:r>
            <w:r>
              <w:rPr>
                <w:rFonts w:hint="eastAsia" w:ascii="Times New Roman" w:hAnsi="Times New Roman" w:cs="Times New Roman"/>
                <w:color w:val="auto"/>
                <w:lang w:eastAsia="zh-CN"/>
              </w:rPr>
              <w:t>（</w:t>
            </w:r>
            <w:r>
              <w:rPr>
                <w:rFonts w:hint="eastAsia" w:ascii="Times New Roman" w:hAnsi="Times New Roman" w:cs="Times New Roman"/>
                <w:color w:val="auto"/>
              </w:rPr>
              <w:t>GB18466-2005</w:t>
            </w:r>
            <w:r>
              <w:rPr>
                <w:rFonts w:hint="eastAsia" w:ascii="Times New Roman" w:hAnsi="Times New Roman" w:cs="Times New Roman"/>
                <w:color w:val="auto"/>
                <w:lang w:eastAsia="zh-CN"/>
              </w:rPr>
              <w:t>）</w:t>
            </w:r>
            <w:r>
              <w:rPr>
                <w:rFonts w:hint="eastAsia" w:ascii="Times New Roman" w:hAnsi="Times New Roman" w:cs="Times New Roman"/>
                <w:color w:val="auto"/>
              </w:rPr>
              <w:t>表2中预处理标准</w:t>
            </w:r>
            <w:r>
              <w:rPr>
                <w:rFonts w:hint="eastAsia" w:ascii="Times New Roman" w:hAnsi="Times New Roman" w:cs="Times New Roman"/>
                <w:color w:val="auto"/>
                <w:lang w:val="en-US" w:eastAsia="zh-CN"/>
              </w:rPr>
              <w:t>和《污水排入城镇下水道水质标准》（</w:t>
            </w:r>
            <w:r>
              <w:rPr>
                <w:rFonts w:hint="default" w:ascii="Times New Roman" w:hAnsi="Times New Roman" w:cs="Times New Roman"/>
                <w:color w:val="auto"/>
                <w:lang w:val="en-US" w:eastAsia="zh-CN"/>
              </w:rPr>
              <w:t>GB/T31962-2015</w:t>
            </w:r>
            <w:r>
              <w:rPr>
                <w:rFonts w:hint="eastAsia" w:ascii="Times New Roman" w:hAnsi="Times New Roman" w:cs="Times New Roman"/>
                <w:color w:val="auto"/>
                <w:lang w:val="en-US" w:eastAsia="zh-CN"/>
              </w:rPr>
              <w:t>）表</w:t>
            </w: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w:t>
            </w:r>
            <w:r>
              <w:rPr>
                <w:rFonts w:hint="eastAsia" w:cs="Times New Roman"/>
                <w:color w:val="auto"/>
                <w:lang w:val="en-US" w:eastAsia="zh-CN"/>
              </w:rPr>
              <w:t>B</w:t>
            </w:r>
            <w:r>
              <w:rPr>
                <w:rFonts w:hint="eastAsia" w:ascii="Times New Roman" w:hAnsi="Times New Roman" w:cs="Times New Roman"/>
                <w:color w:val="auto"/>
                <w:lang w:val="en-US" w:eastAsia="zh-CN"/>
              </w:rPr>
              <w:t>等级）标准</w:t>
            </w:r>
            <w:r>
              <w:rPr>
                <w:rFonts w:hint="eastAsia" w:ascii="Times New Roman" w:hAnsi="Times New Roman" w:cs="Times New Roman"/>
                <w:color w:val="auto"/>
              </w:rPr>
              <w:t>后，排入</w:t>
            </w:r>
            <w:r>
              <w:rPr>
                <w:rFonts w:hint="eastAsia" w:ascii="Times New Roman" w:hAnsi="Times New Roman" w:cs="Times New Roman"/>
                <w:color w:val="auto"/>
                <w:lang w:val="en-US" w:eastAsia="zh-CN"/>
              </w:rPr>
              <w:t>姚安县</w:t>
            </w:r>
            <w:r>
              <w:rPr>
                <w:rFonts w:hint="eastAsia" w:ascii="Times New Roman" w:hAnsi="Times New Roman" w:cs="Times New Roman"/>
                <w:color w:val="auto"/>
              </w:rPr>
              <w:t>污水管网，最终进入</w:t>
            </w:r>
            <w:r>
              <w:rPr>
                <w:rFonts w:hint="eastAsia" w:ascii="Times New Roman" w:hAnsi="Times New Roman" w:cs="Times New Roman"/>
                <w:color w:val="auto"/>
                <w:lang w:val="en-US" w:eastAsia="zh-CN"/>
              </w:rPr>
              <w:t>姚安县</w:t>
            </w:r>
            <w:r>
              <w:rPr>
                <w:rFonts w:hint="eastAsia" w:ascii="Times New Roman" w:hAnsi="Times New Roman" w:cs="Times New Roman"/>
                <w:color w:val="auto"/>
              </w:rPr>
              <w:t>污水处理厂统一处理</w:t>
            </w:r>
            <w:r>
              <w:rPr>
                <w:rFonts w:hint="eastAsia" w:ascii="Times New Roman" w:hAnsi="Times New Roman"/>
                <w:color w:val="auto"/>
                <w:kern w:val="0"/>
              </w:rPr>
              <w:t>。</w:t>
            </w:r>
          </w:p>
          <w:p>
            <w:pPr>
              <w:spacing w:line="360" w:lineRule="auto"/>
              <w:ind w:left="0" w:leftChars="0" w:right="0" w:rightChars="0" w:firstLine="0" w:firstLineChars="0"/>
              <w:jc w:val="center"/>
              <w:rPr>
                <w:rFonts w:ascii="Times New Roman" w:hAnsi="Times New Roman"/>
                <w:color w:val="auto"/>
              </w:rPr>
            </w:pPr>
            <w:r>
              <w:rPr>
                <w:color w:val="auto"/>
              </w:rPr>
              <w:drawing>
                <wp:inline distT="0" distB="0" distL="114300" distR="114300">
                  <wp:extent cx="5458460" cy="3399155"/>
                  <wp:effectExtent l="0" t="0" r="3810" b="381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7"/>
                          <a:stretch>
                            <a:fillRect/>
                          </a:stretch>
                        </pic:blipFill>
                        <pic:spPr>
                          <a:xfrm>
                            <a:off x="0" y="0"/>
                            <a:ext cx="5458460" cy="3399155"/>
                          </a:xfrm>
                          <a:prstGeom prst="rect">
                            <a:avLst/>
                          </a:prstGeom>
                          <a:noFill/>
                          <a:ln>
                            <a:noFill/>
                          </a:ln>
                        </pic:spPr>
                      </pic:pic>
                    </a:graphicData>
                  </a:graphic>
                </wp:inline>
              </w:drawing>
            </w:r>
            <w:r>
              <w:rPr>
                <w:rFonts w:hint="default" w:ascii="Times New Roman" w:hAnsi="Times New Roman" w:cs="Times New Roman"/>
                <w:b/>
                <w:bCs/>
                <w:color w:val="auto"/>
                <w:sz w:val="21"/>
                <w:szCs w:val="21"/>
                <w:lang w:eastAsia="zh-CN"/>
              </w:rPr>
              <w:t>图</w:t>
            </w:r>
            <w:r>
              <w:rPr>
                <w:rFonts w:hint="default" w:ascii="Times New Roman" w:hAnsi="Times New Roman" w:cs="Times New Roman"/>
                <w:b/>
                <w:bCs/>
                <w:color w:val="auto"/>
                <w:sz w:val="21"/>
                <w:szCs w:val="21"/>
                <w:lang w:val="en-US" w:eastAsia="zh-CN"/>
              </w:rPr>
              <w:t xml:space="preserve"> 4-2 </w:t>
            </w:r>
            <w:r>
              <w:rPr>
                <w:rFonts w:hint="default" w:ascii="Times New Roman" w:hAnsi="Times New Roman" w:cs="Times New Roman"/>
                <w:b/>
                <w:bCs/>
                <w:color w:val="auto"/>
                <w:sz w:val="21"/>
                <w:szCs w:val="21"/>
              </w:rPr>
              <w:t>污水处理工艺流程图</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auto"/>
                <w:kern w:val="2"/>
                <w:szCs w:val="20"/>
                <w:lang w:val="en-US" w:eastAsia="zh-CN"/>
              </w:rPr>
            </w:pPr>
            <w:r>
              <w:rPr>
                <w:rFonts w:hint="default" w:ascii="Times New Roman" w:hAnsi="Times New Roman" w:eastAsia="宋体" w:cs="Times New Roman"/>
                <w:b/>
                <w:bCs/>
                <w:color w:val="auto"/>
                <w:kern w:val="2"/>
                <w:szCs w:val="20"/>
                <w:lang w:val="en-US" w:eastAsia="zh-CN"/>
              </w:rPr>
              <w:t>污水处理工艺简述：</w:t>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kern w:val="2"/>
                <w:szCs w:val="20"/>
                <w:lang w:val="en-US" w:eastAsia="zh-CN"/>
              </w:rPr>
            </w:pPr>
            <w:r>
              <w:rPr>
                <w:rFonts w:hint="eastAsia" w:ascii="Times New Roman" w:hAnsi="Times New Roman" w:eastAsia="宋体" w:cs="Times New Roman"/>
                <w:color w:val="auto"/>
                <w:kern w:val="2"/>
                <w:szCs w:val="20"/>
                <w:lang w:val="en-US" w:eastAsia="zh-CN"/>
              </w:rPr>
              <w:t>①</w:t>
            </w:r>
            <w:r>
              <w:rPr>
                <w:rFonts w:hint="default" w:ascii="Times New Roman" w:hAnsi="Times New Roman" w:eastAsia="宋体" w:cs="Times New Roman"/>
                <w:color w:val="auto"/>
                <w:kern w:val="2"/>
                <w:szCs w:val="20"/>
                <w:lang w:val="en-US" w:eastAsia="zh-CN"/>
              </w:rPr>
              <w:t>污水预处理：污水首先进入化粪池，使污水在此进行初步厌氧降解，化类池还起到可截留粗大悬浮物和漂浮物，厌氧消化，消毒灭菌的作用，为后续处理创造条件。化粪池出水设置格栅，截留去除悬浮物和其它大颗粒杂质，保证后续处理的高效运行。设置调节池均匀水质水量，保证处理负荷的稳定，为生化段创造条件。</w:t>
            </w:r>
            <w:r>
              <w:rPr>
                <w:rFonts w:hint="eastAsia" w:eastAsia="宋体" w:cs="Times New Roman"/>
                <w:color w:val="auto"/>
                <w:kern w:val="2"/>
                <w:szCs w:val="20"/>
                <w:lang w:val="en-US" w:eastAsia="zh-CN"/>
              </w:rPr>
              <w:t>根据《医院污水处理工程技术规范》（HJ2029-2013），污水在化粪池的水力停留时间按照8小时计算，本项目产生的废水为48.72m³/d，污水处理站每天运行8小时，本项目需建设有效容积为50m³的化粪池。</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Cs w:val="20"/>
                <w:lang w:val="en-US" w:eastAsia="zh-CN"/>
              </w:rPr>
            </w:pPr>
            <w:r>
              <w:rPr>
                <w:rFonts w:hint="eastAsia" w:ascii="Times New Roman" w:hAnsi="Times New Roman" w:eastAsia="宋体" w:cs="Times New Roman"/>
                <w:color w:val="auto"/>
                <w:kern w:val="2"/>
                <w:szCs w:val="20"/>
                <w:lang w:val="en-US" w:eastAsia="zh-CN"/>
              </w:rPr>
              <w:t>②</w:t>
            </w:r>
            <w:r>
              <w:rPr>
                <w:rFonts w:hint="default" w:ascii="Times New Roman" w:hAnsi="Times New Roman" w:eastAsia="宋体" w:cs="Times New Roman"/>
                <w:color w:val="auto"/>
                <w:kern w:val="2"/>
                <w:szCs w:val="20"/>
                <w:lang w:val="en-US" w:eastAsia="zh-CN"/>
              </w:rPr>
              <w:t>污水强化处理：强化处理即二级处理采用生物接触氧化法，好氧物接触氧化池及MBR膜分离处理，好氧活性污泥彻底去除污水中污染物，保证较高的活性污泥浓度。</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Cs w:val="20"/>
                <w:lang w:val="en-US" w:eastAsia="zh-CN"/>
              </w:rPr>
            </w:pPr>
            <w:r>
              <w:rPr>
                <w:rFonts w:hint="eastAsia" w:ascii="Times New Roman" w:hAnsi="Times New Roman" w:eastAsia="宋体" w:cs="Times New Roman"/>
                <w:color w:val="auto"/>
                <w:kern w:val="2"/>
                <w:szCs w:val="20"/>
                <w:lang w:val="en-US" w:eastAsia="zh-CN"/>
              </w:rPr>
              <w:t>③</w:t>
            </w:r>
            <w:r>
              <w:rPr>
                <w:rFonts w:hint="default" w:ascii="Times New Roman" w:hAnsi="Times New Roman" w:eastAsia="宋体" w:cs="Times New Roman"/>
                <w:color w:val="auto"/>
                <w:kern w:val="2"/>
                <w:szCs w:val="20"/>
                <w:lang w:val="en-US" w:eastAsia="zh-CN"/>
              </w:rPr>
              <w:t>污水后续处理：采用含氯消毒片（主要成分为三氯异氰尿酸）消毒法，杀灭病毒细菌，氧化有毒有害物，改善出水外观品质。</w:t>
            </w:r>
          </w:p>
          <w:p>
            <w:pPr>
              <w:ind w:firstLine="480"/>
              <w:jc w:val="both"/>
              <w:rPr>
                <w:rFonts w:hint="eastAsia" w:eastAsia="宋体" w:cs="Times New Roman"/>
                <w:bCs/>
                <w:color w:val="auto"/>
                <w:szCs w:val="24"/>
              </w:rPr>
            </w:pPr>
            <w:r>
              <w:rPr>
                <w:rFonts w:hint="eastAsia" w:ascii="Times New Roman" w:hAnsi="Times New Roman" w:eastAsia="宋体" w:cs="Times New Roman"/>
                <w:color w:val="auto"/>
                <w:kern w:val="2"/>
                <w:szCs w:val="20"/>
                <w:lang w:val="en-US" w:eastAsia="zh-CN"/>
              </w:rPr>
              <w:t>④</w:t>
            </w:r>
            <w:r>
              <w:rPr>
                <w:rFonts w:hint="default" w:ascii="Times New Roman" w:hAnsi="Times New Roman" w:eastAsia="宋体" w:cs="Times New Roman"/>
                <w:color w:val="auto"/>
                <w:kern w:val="2"/>
                <w:szCs w:val="20"/>
                <w:lang w:val="en-US" w:eastAsia="zh-CN"/>
              </w:rPr>
              <w:t>污泥处理：消化减量，灭菌，污泥外运集中处理，不造成二次污染，污泥量较少，处理成本较低。</w:t>
            </w:r>
          </w:p>
          <w:p>
            <w:pPr>
              <w:ind w:firstLine="480"/>
              <w:jc w:val="both"/>
              <w:rPr>
                <w:rFonts w:hint="default" w:ascii="Times New Roman" w:hAnsi="Times New Roman" w:eastAsia="宋体" w:cs="Times New Roman"/>
                <w:bCs/>
                <w:color w:val="auto"/>
                <w:szCs w:val="24"/>
              </w:rPr>
            </w:pPr>
            <w:r>
              <w:rPr>
                <w:rFonts w:hint="default" w:ascii="Times New Roman" w:hAnsi="Times New Roman" w:eastAsia="宋体" w:cs="Times New Roman"/>
                <w:bCs/>
                <w:color w:val="auto"/>
                <w:szCs w:val="24"/>
              </w:rPr>
              <w:t>本项目为</w:t>
            </w:r>
            <w:r>
              <w:rPr>
                <w:rFonts w:hint="eastAsia" w:ascii="Times New Roman" w:hAnsi="Times New Roman" w:eastAsia="宋体" w:cs="Times New Roman"/>
                <w:bCs/>
                <w:color w:val="auto"/>
                <w:szCs w:val="24"/>
                <w:lang w:eastAsia="zh-CN"/>
              </w:rPr>
              <w:t>妇婴</w:t>
            </w:r>
            <w:r>
              <w:rPr>
                <w:rFonts w:hint="default" w:ascii="Times New Roman" w:hAnsi="Times New Roman" w:eastAsia="宋体" w:cs="Times New Roman"/>
                <w:bCs/>
                <w:color w:val="auto"/>
                <w:szCs w:val="24"/>
                <w:lang w:val="en-US" w:eastAsia="zh-CN"/>
              </w:rPr>
              <w:t>医院</w:t>
            </w:r>
            <w:r>
              <w:rPr>
                <w:rFonts w:hint="default" w:ascii="Times New Roman" w:hAnsi="Times New Roman" w:eastAsia="宋体" w:cs="Times New Roman"/>
                <w:bCs/>
                <w:color w:val="auto"/>
                <w:szCs w:val="24"/>
              </w:rPr>
              <w:t>，污水水质情况参照</w:t>
            </w:r>
            <w:r>
              <w:rPr>
                <w:rFonts w:hint="default" w:ascii="Times New Roman" w:hAnsi="Times New Roman" w:cs="Times New Roman"/>
                <w:color w:val="auto"/>
              </w:rPr>
              <w:t>《医院污水处理工程技术规范》（HJ2029-2013）</w:t>
            </w:r>
            <w:r>
              <w:rPr>
                <w:rFonts w:hint="default" w:ascii="Times New Roman" w:hAnsi="Times New Roman" w:eastAsia="宋体" w:cs="Times New Roman"/>
                <w:bCs/>
                <w:color w:val="auto"/>
                <w:szCs w:val="24"/>
              </w:rPr>
              <w:t>，</w:t>
            </w:r>
            <w:r>
              <w:rPr>
                <w:rFonts w:hint="default" w:ascii="Times New Roman" w:hAnsi="Times New Roman" w:cs="Times New Roman"/>
                <w:color w:val="auto"/>
              </w:rPr>
              <w:t>现有</w:t>
            </w:r>
            <w:r>
              <w:rPr>
                <w:rFonts w:hint="default" w:ascii="Times New Roman" w:hAnsi="Times New Roman" w:eastAsia="宋体" w:cs="Times New Roman"/>
                <w:bCs/>
                <w:color w:val="auto"/>
                <w:szCs w:val="24"/>
              </w:rPr>
              <w:t>小型医院废水污染物浓度，具体如下。</w:t>
            </w:r>
          </w:p>
          <w:p>
            <w:pPr>
              <w:pStyle w:val="67"/>
              <w:spacing w:line="360" w:lineRule="auto"/>
              <w:rPr>
                <w:b/>
                <w:color w:val="auto"/>
                <w:kern w:val="2"/>
                <w:sz w:val="21"/>
                <w:szCs w:val="21"/>
              </w:rPr>
            </w:pPr>
            <w:r>
              <w:rPr>
                <w:rFonts w:hint="eastAsia"/>
                <w:b/>
                <w:color w:val="auto"/>
                <w:kern w:val="2"/>
                <w:sz w:val="21"/>
                <w:szCs w:val="21"/>
              </w:rPr>
              <w:t>表4-</w:t>
            </w:r>
            <w:r>
              <w:rPr>
                <w:rFonts w:hint="eastAsia"/>
                <w:b/>
                <w:color w:val="auto"/>
                <w:kern w:val="2"/>
                <w:sz w:val="21"/>
                <w:szCs w:val="21"/>
                <w:lang w:val="en-US" w:eastAsia="zh-CN"/>
              </w:rPr>
              <w:t>7</w:t>
            </w:r>
            <w:r>
              <w:rPr>
                <w:rFonts w:hint="eastAsia"/>
                <w:b/>
                <w:color w:val="auto"/>
                <w:kern w:val="2"/>
                <w:sz w:val="21"/>
                <w:szCs w:val="21"/>
              </w:rPr>
              <w:t xml:space="preserve"> 小型医院</w:t>
            </w:r>
            <w:r>
              <w:rPr>
                <w:rFonts w:hint="eastAsia"/>
                <w:b/>
                <w:bCs w:val="0"/>
                <w:color w:val="auto"/>
                <w:kern w:val="2"/>
                <w:sz w:val="21"/>
                <w:szCs w:val="21"/>
              </w:rPr>
              <w:t>废水污染物浓度</w:t>
            </w:r>
            <w:r>
              <w:rPr>
                <w:rFonts w:hint="eastAsia"/>
                <w:b/>
                <w:color w:val="auto"/>
                <w:kern w:val="2"/>
                <w:sz w:val="21"/>
                <w:szCs w:val="21"/>
              </w:rPr>
              <w:t>一览表</w:t>
            </w:r>
          </w:p>
          <w:tbl>
            <w:tblPr>
              <w:tblStyle w:val="38"/>
              <w:tblW w:w="8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9"/>
              <w:gridCol w:w="2268"/>
              <w:gridCol w:w="2322"/>
              <w:gridCol w:w="2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369"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序号</w:t>
                  </w:r>
                </w:p>
              </w:tc>
              <w:tc>
                <w:tcPr>
                  <w:tcW w:w="2268"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污染物名称</w:t>
                  </w:r>
                </w:p>
              </w:tc>
              <w:tc>
                <w:tcPr>
                  <w:tcW w:w="2322"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污水浓度范围（mg/L）</w:t>
                  </w:r>
                </w:p>
              </w:tc>
              <w:tc>
                <w:tcPr>
                  <w:tcW w:w="2328"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369"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w:t>
                  </w:r>
                </w:p>
              </w:tc>
              <w:tc>
                <w:tcPr>
                  <w:tcW w:w="2268"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CODcr</w:t>
                  </w:r>
                </w:p>
              </w:tc>
              <w:tc>
                <w:tcPr>
                  <w:tcW w:w="2322"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150~300</w:t>
                  </w:r>
                </w:p>
              </w:tc>
              <w:tc>
                <w:tcPr>
                  <w:tcW w:w="2328"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369"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2</w:t>
                  </w:r>
                </w:p>
              </w:tc>
              <w:tc>
                <w:tcPr>
                  <w:tcW w:w="2268"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BOD</w:t>
                  </w:r>
                  <w:r>
                    <w:rPr>
                      <w:rFonts w:hint="default" w:ascii="Times New Roman" w:hAnsi="Times New Roman" w:cs="Times New Roman"/>
                      <w:bCs/>
                      <w:color w:val="auto"/>
                      <w:kern w:val="2"/>
                      <w:sz w:val="21"/>
                      <w:szCs w:val="21"/>
                      <w:vertAlign w:val="subscript"/>
                    </w:rPr>
                    <w:t>5</w:t>
                  </w:r>
                </w:p>
              </w:tc>
              <w:tc>
                <w:tcPr>
                  <w:tcW w:w="2322"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80~150</w:t>
                  </w:r>
                </w:p>
              </w:tc>
              <w:tc>
                <w:tcPr>
                  <w:tcW w:w="2328"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369"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3</w:t>
                  </w:r>
                </w:p>
              </w:tc>
              <w:tc>
                <w:tcPr>
                  <w:tcW w:w="2268"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SS</w:t>
                  </w:r>
                </w:p>
              </w:tc>
              <w:tc>
                <w:tcPr>
                  <w:tcW w:w="2322"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40~120</w:t>
                  </w:r>
                </w:p>
              </w:tc>
              <w:tc>
                <w:tcPr>
                  <w:tcW w:w="2328"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369"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4</w:t>
                  </w:r>
                </w:p>
              </w:tc>
              <w:tc>
                <w:tcPr>
                  <w:tcW w:w="2268"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氨氮</w:t>
                  </w:r>
                </w:p>
              </w:tc>
              <w:tc>
                <w:tcPr>
                  <w:tcW w:w="2322"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10~50</w:t>
                  </w:r>
                </w:p>
              </w:tc>
              <w:tc>
                <w:tcPr>
                  <w:tcW w:w="2328"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369"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5</w:t>
                  </w:r>
                </w:p>
              </w:tc>
              <w:tc>
                <w:tcPr>
                  <w:tcW w:w="2268"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粪大肠菌群</w:t>
                  </w:r>
                </w:p>
              </w:tc>
              <w:tc>
                <w:tcPr>
                  <w:tcW w:w="2322"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1.0×10</w:t>
                  </w:r>
                  <w:r>
                    <w:rPr>
                      <w:rFonts w:hint="default" w:ascii="Times New Roman" w:hAnsi="Times New Roman" w:cs="Times New Roman"/>
                      <w:bCs/>
                      <w:color w:val="auto"/>
                      <w:kern w:val="2"/>
                      <w:sz w:val="21"/>
                      <w:szCs w:val="21"/>
                      <w:vertAlign w:val="superscript"/>
                    </w:rPr>
                    <w:t>6</w:t>
                  </w:r>
                  <w:r>
                    <w:rPr>
                      <w:rFonts w:hint="default" w:ascii="Times New Roman" w:hAnsi="Times New Roman" w:cs="Times New Roman"/>
                      <w:bCs/>
                      <w:color w:val="auto"/>
                      <w:kern w:val="2"/>
                      <w:sz w:val="21"/>
                      <w:szCs w:val="21"/>
                    </w:rPr>
                    <w:t>~3.0×10</w:t>
                  </w:r>
                  <w:r>
                    <w:rPr>
                      <w:rFonts w:hint="default" w:ascii="Times New Roman" w:hAnsi="Times New Roman" w:cs="Times New Roman"/>
                      <w:bCs/>
                      <w:color w:val="auto"/>
                      <w:kern w:val="2"/>
                      <w:sz w:val="21"/>
                      <w:szCs w:val="21"/>
                      <w:vertAlign w:val="superscript"/>
                    </w:rPr>
                    <w:t>8</w:t>
                  </w:r>
                </w:p>
              </w:tc>
              <w:tc>
                <w:tcPr>
                  <w:tcW w:w="2328" w:type="dxa"/>
                  <w:vAlign w:val="center"/>
                </w:tcPr>
                <w:p>
                  <w:pPr>
                    <w:pStyle w:val="146"/>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1.6×10</w:t>
                  </w:r>
                  <w:r>
                    <w:rPr>
                      <w:rFonts w:hint="default" w:ascii="Times New Roman" w:hAnsi="Times New Roman" w:cs="Times New Roman"/>
                      <w:bCs/>
                      <w:color w:val="auto"/>
                      <w:kern w:val="2"/>
                      <w:sz w:val="21"/>
                      <w:szCs w:val="21"/>
                      <w:vertAlign w:val="superscript"/>
                    </w:rPr>
                    <w:t>8</w:t>
                  </w:r>
                </w:p>
              </w:tc>
            </w:tr>
          </w:tbl>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color w:val="auto"/>
                <w:lang w:eastAsia="zh-CN"/>
              </w:rPr>
            </w:pPr>
            <w:r>
              <w:rPr>
                <w:rFonts w:hint="default" w:ascii="Times New Roman" w:hAnsi="Times New Roman" w:cs="Times New Roman" w:eastAsiaTheme="minorEastAsia"/>
                <w:color w:val="auto"/>
              </w:rPr>
              <w:t>本项目废水处理工艺，采用《医院污水处理工程技术规范》（HJ2029-2013）</w:t>
            </w:r>
            <w:r>
              <w:rPr>
                <w:rFonts w:hint="default" w:ascii="Times New Roman" w:hAnsi="Times New Roman" w:cs="Times New Roman" w:eastAsiaTheme="minorEastAsia"/>
                <w:color w:val="auto"/>
                <w:lang w:eastAsia="zh-CN"/>
              </w:rPr>
              <w:t>推荐的</w:t>
            </w:r>
            <w:r>
              <w:rPr>
                <w:rFonts w:hint="default" w:ascii="Times New Roman" w:hAnsi="Times New Roman" w:cs="Times New Roman" w:eastAsiaTheme="minorEastAsia"/>
                <w:color w:val="auto"/>
              </w:rPr>
              <w:t>“生物接触氧化池+MBR反应池+消毒”工艺，污水处理站处理规模为</w:t>
            </w:r>
            <w:r>
              <w:rPr>
                <w:rFonts w:hint="default" w:ascii="Times New Roman" w:hAnsi="Times New Roman" w:cs="Times New Roman" w:eastAsiaTheme="minorEastAsia"/>
                <w:color w:val="auto"/>
                <w:lang w:val="en-US" w:eastAsia="zh-CN"/>
              </w:rPr>
              <w:t>60</w:t>
            </w:r>
            <w:r>
              <w:rPr>
                <w:rFonts w:hint="default" w:ascii="Times New Roman" w:hAnsi="Times New Roman" w:cs="Times New Roman" w:eastAsiaTheme="minorEastAsia"/>
                <w:color w:val="auto"/>
              </w:rPr>
              <w:t>m³/d</w:t>
            </w:r>
            <w:r>
              <w:rPr>
                <w:rFonts w:hint="default" w:ascii="Times New Roman" w:hAnsi="Times New Roman" w:cs="Times New Roman" w:eastAsiaTheme="minorEastAsia"/>
                <w:color w:val="auto"/>
                <w:lang w:eastAsia="zh-CN"/>
              </w:rPr>
              <w:t>。类比《姚安县人民医院感染性疾病科综合楼建设项目竣工环境保护验收监测表》</w:t>
            </w:r>
            <w:r>
              <w:rPr>
                <w:rFonts w:hint="eastAsia" w:ascii="Times New Roman" w:hAnsi="Times New Roman" w:cs="Times New Roman"/>
                <w:color w:val="auto"/>
                <w:lang w:eastAsia="zh-CN"/>
              </w:rPr>
              <w:t>（检测报告详见附件</w:t>
            </w:r>
            <w:r>
              <w:rPr>
                <w:rFonts w:hint="eastAsia" w:ascii="Times New Roman" w:hAnsi="Times New Roman" w:cs="Times New Roman"/>
                <w:color w:val="auto"/>
                <w:lang w:val="en-US" w:eastAsia="zh-CN"/>
              </w:rPr>
              <w:t>7</w:t>
            </w:r>
            <w:r>
              <w:rPr>
                <w:rFonts w:hint="eastAsia" w:ascii="Times New Roman" w:hAnsi="Times New Roman" w:cs="Times New Roman"/>
                <w:color w:val="auto"/>
                <w:lang w:eastAsia="zh-CN"/>
              </w:rPr>
              <w:t>）</w:t>
            </w:r>
            <w:r>
              <w:rPr>
                <w:rFonts w:hint="default" w:ascii="Times New Roman" w:hAnsi="Times New Roman" w:cs="Times New Roman" w:eastAsiaTheme="minorEastAsia"/>
                <w:color w:val="auto"/>
                <w:lang w:eastAsia="zh-CN"/>
              </w:rPr>
              <w:t>，姚安县第一人民医院采用的污水处理工艺和本项目相同，污水经处理后，可达到《医疗机构水污染物排放标准》GB18466-2005表2中排放标准。故本项目污水处理站采用《医院污水处理工程技术规范》（HJ2029-2013）推荐的“生物接触氧化池+MBR反应池+消毒”工艺，污染物</w:t>
            </w:r>
            <w:r>
              <w:rPr>
                <w:rFonts w:hint="default" w:ascii="Times New Roman" w:hAnsi="Times New Roman" w:cs="Times New Roman" w:eastAsiaTheme="minorEastAsia"/>
                <w:color w:val="auto"/>
              </w:rPr>
              <w:t>可达到《医疗机构水污染物排放标准》GB18466-2005表2中排放标准</w:t>
            </w:r>
            <w:r>
              <w:rPr>
                <w:rFonts w:hint="default" w:ascii="Times New Roman" w:hAnsi="Times New Roman" w:cs="Times New Roman" w:eastAsiaTheme="minorEastAsia"/>
                <w:color w:val="auto"/>
                <w:lang w:val="en-US" w:eastAsia="zh-CN"/>
              </w:rPr>
              <w:t>及《污水排入城镇下水道水质标准》（GB/T31962-2015）表1（B等级）标准</w:t>
            </w:r>
            <w:r>
              <w:rPr>
                <w:rFonts w:hint="default" w:ascii="Times New Roman" w:hAnsi="Times New Roman" w:cs="Times New Roman" w:eastAsiaTheme="minorEastAsia"/>
                <w:color w:val="auto"/>
              </w:rPr>
              <w:t>，处理前后废水浓度和污染物产排情况见下表</w:t>
            </w:r>
            <w:r>
              <w:rPr>
                <w:rFonts w:hint="default" w:ascii="Times New Roman" w:hAnsi="Times New Roman" w:cs="Times New Roman" w:eastAsiaTheme="minorEastAsia"/>
                <w:color w:val="auto"/>
                <w:lang w:eastAsia="zh-CN"/>
              </w:rPr>
              <w:t>：</w:t>
            </w:r>
          </w:p>
          <w:p>
            <w:pPr>
              <w:pStyle w:val="67"/>
              <w:spacing w:line="360" w:lineRule="auto"/>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表4-</w:t>
            </w:r>
            <w:r>
              <w:rPr>
                <w:rFonts w:hint="eastAsia" w:cs="Times New Roman"/>
                <w:b/>
                <w:bCs/>
                <w:color w:val="auto"/>
                <w:kern w:val="2"/>
                <w:sz w:val="21"/>
                <w:szCs w:val="21"/>
                <w:lang w:val="en-US" w:eastAsia="zh-CN"/>
              </w:rPr>
              <w:t>8</w:t>
            </w:r>
            <w:r>
              <w:rPr>
                <w:rFonts w:hint="default" w:ascii="Times New Roman" w:hAnsi="Times New Roman" w:cs="Times New Roman"/>
                <w:b/>
                <w:bCs/>
                <w:color w:val="auto"/>
                <w:kern w:val="2"/>
                <w:sz w:val="21"/>
                <w:szCs w:val="21"/>
              </w:rPr>
              <w:t xml:space="preserve"> 本项目水污染物产生和排放情况</w:t>
            </w:r>
          </w:p>
          <w:tbl>
            <w:tblPr>
              <w:tblStyle w:val="37"/>
              <w:tblW w:w="84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500"/>
              <w:gridCol w:w="1240"/>
              <w:gridCol w:w="1080"/>
              <w:gridCol w:w="1080"/>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160" w:type="dxa"/>
                  <w:gridSpan w:val="2"/>
                  <w:tcBorders>
                    <w:tl2br w:val="nil"/>
                    <w:tr2bl w:val="nil"/>
                  </w:tcBorders>
                  <w:shd w:val="clear" w:color="auto" w:fill="auto"/>
                  <w:vAlign w:val="center"/>
                </w:tcPr>
                <w:p>
                  <w:pPr>
                    <w:widowControl/>
                    <w:spacing w:line="360" w:lineRule="auto"/>
                    <w:ind w:firstLine="420" w:firstLineChars="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污染指标</w:t>
                  </w:r>
                </w:p>
              </w:tc>
              <w:tc>
                <w:tcPr>
                  <w:tcW w:w="1500" w:type="dxa"/>
                  <w:tcBorders>
                    <w:tl2br w:val="nil"/>
                    <w:tr2bl w:val="nil"/>
                  </w:tcBorders>
                  <w:shd w:val="clear" w:color="auto" w:fill="auto"/>
                  <w:vAlign w:val="center"/>
                </w:tcPr>
                <w:p>
                  <w:pPr>
                    <w:widowControl/>
                    <w:spacing w:line="36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COD</w:t>
                  </w:r>
                </w:p>
              </w:tc>
              <w:tc>
                <w:tcPr>
                  <w:tcW w:w="1240" w:type="dxa"/>
                  <w:tcBorders>
                    <w:tl2br w:val="nil"/>
                    <w:tr2bl w:val="nil"/>
                  </w:tcBorders>
                  <w:shd w:val="clear" w:color="auto" w:fill="auto"/>
                  <w:vAlign w:val="center"/>
                </w:tcPr>
                <w:p>
                  <w:pPr>
                    <w:widowControl/>
                    <w:spacing w:line="36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BOD</w:t>
                  </w:r>
                  <w:r>
                    <w:rPr>
                      <w:rFonts w:eastAsia="宋体" w:cs="Times New Roman"/>
                      <w:color w:val="auto"/>
                      <w:kern w:val="0"/>
                      <w:sz w:val="21"/>
                      <w:szCs w:val="21"/>
                      <w:vertAlign w:val="subscript"/>
                    </w:rPr>
                    <w:t>5</w:t>
                  </w:r>
                </w:p>
              </w:tc>
              <w:tc>
                <w:tcPr>
                  <w:tcW w:w="1080" w:type="dxa"/>
                  <w:tcBorders>
                    <w:tl2br w:val="nil"/>
                    <w:tr2bl w:val="nil"/>
                  </w:tcBorders>
                  <w:shd w:val="clear" w:color="auto" w:fill="auto"/>
                  <w:vAlign w:val="center"/>
                </w:tcPr>
                <w:p>
                  <w:pPr>
                    <w:widowControl/>
                    <w:spacing w:line="36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SS</w:t>
                  </w:r>
                </w:p>
              </w:tc>
              <w:tc>
                <w:tcPr>
                  <w:tcW w:w="1080" w:type="dxa"/>
                  <w:tcBorders>
                    <w:tl2br w:val="nil"/>
                    <w:tr2bl w:val="nil"/>
                  </w:tcBorders>
                  <w:shd w:val="clear" w:color="auto" w:fill="auto"/>
                  <w:vAlign w:val="center"/>
                </w:tcPr>
                <w:p>
                  <w:pPr>
                    <w:widowControl/>
                    <w:spacing w:line="360" w:lineRule="auto"/>
                    <w:ind w:firstLine="0" w:firstLineChars="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氨氮</w:t>
                  </w:r>
                </w:p>
              </w:tc>
              <w:tc>
                <w:tcPr>
                  <w:tcW w:w="1410" w:type="dxa"/>
                  <w:tcBorders>
                    <w:tl2br w:val="nil"/>
                    <w:tr2bl w:val="nil"/>
                  </w:tcBorders>
                  <w:shd w:val="clear" w:color="auto" w:fill="auto"/>
                  <w:vAlign w:val="center"/>
                </w:tcPr>
                <w:p>
                  <w:pPr>
                    <w:widowControl/>
                    <w:spacing w:line="360" w:lineRule="auto"/>
                    <w:ind w:firstLine="0" w:firstLineChars="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粪大肠菌群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80" w:type="dxa"/>
                  <w:vMerge w:val="restart"/>
                  <w:tcBorders>
                    <w:tl2br w:val="nil"/>
                    <w:tr2bl w:val="nil"/>
                  </w:tcBorders>
                  <w:shd w:val="clear" w:color="auto" w:fill="auto"/>
                  <w:vAlign w:val="center"/>
                </w:tcPr>
                <w:p>
                  <w:pPr>
                    <w:widowControl/>
                    <w:spacing w:line="36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产生量</w:t>
                  </w:r>
                </w:p>
                <w:p>
                  <w:pPr>
                    <w:widowControl/>
                    <w:spacing w:line="360" w:lineRule="auto"/>
                    <w:ind w:firstLine="0" w:firstLineChars="0"/>
                    <w:jc w:val="center"/>
                    <w:rPr>
                      <w:rFonts w:hint="default"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17782.8</w:t>
                  </w:r>
                </w:p>
              </w:tc>
              <w:tc>
                <w:tcPr>
                  <w:tcW w:w="1080" w:type="dxa"/>
                  <w:tcBorders>
                    <w:tl2br w:val="nil"/>
                    <w:tr2bl w:val="nil"/>
                  </w:tcBorders>
                  <w:shd w:val="clear" w:color="auto" w:fill="auto"/>
                  <w:vAlign w:val="center"/>
                </w:tcPr>
                <w:p>
                  <w:pPr>
                    <w:widowControl/>
                    <w:spacing w:line="36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mg/L</w:t>
                  </w:r>
                </w:p>
              </w:tc>
              <w:tc>
                <w:tcPr>
                  <w:tcW w:w="1500" w:type="dxa"/>
                  <w:tcBorders>
                    <w:tl2br w:val="nil"/>
                    <w:tr2bl w:val="nil"/>
                  </w:tcBorders>
                  <w:shd w:val="clear" w:color="auto" w:fill="auto"/>
                  <w:vAlign w:val="center"/>
                </w:tcPr>
                <w:p>
                  <w:pPr>
                    <w:widowControl/>
                    <w:spacing w:line="36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250</w:t>
                  </w:r>
                </w:p>
              </w:tc>
              <w:tc>
                <w:tcPr>
                  <w:tcW w:w="1240" w:type="dxa"/>
                  <w:tcBorders>
                    <w:tl2br w:val="nil"/>
                    <w:tr2bl w:val="nil"/>
                  </w:tcBorders>
                  <w:shd w:val="clear" w:color="auto" w:fill="auto"/>
                  <w:vAlign w:val="center"/>
                </w:tcPr>
                <w:p>
                  <w:pPr>
                    <w:widowControl/>
                    <w:spacing w:line="36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100</w:t>
                  </w:r>
                </w:p>
              </w:tc>
              <w:tc>
                <w:tcPr>
                  <w:tcW w:w="1080" w:type="dxa"/>
                  <w:tcBorders>
                    <w:tl2br w:val="nil"/>
                    <w:tr2bl w:val="nil"/>
                  </w:tcBorders>
                  <w:shd w:val="clear" w:color="auto" w:fill="auto"/>
                  <w:vAlign w:val="center"/>
                </w:tcPr>
                <w:p>
                  <w:pPr>
                    <w:widowControl/>
                    <w:spacing w:line="36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80</w:t>
                  </w:r>
                </w:p>
              </w:tc>
              <w:tc>
                <w:tcPr>
                  <w:tcW w:w="1080" w:type="dxa"/>
                  <w:tcBorders>
                    <w:tl2br w:val="nil"/>
                    <w:tr2bl w:val="nil"/>
                  </w:tcBorders>
                  <w:shd w:val="clear" w:color="auto" w:fill="auto"/>
                  <w:vAlign w:val="center"/>
                </w:tcPr>
                <w:p>
                  <w:pPr>
                    <w:widowControl/>
                    <w:spacing w:line="36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30</w:t>
                  </w:r>
                </w:p>
              </w:tc>
              <w:tc>
                <w:tcPr>
                  <w:tcW w:w="1410" w:type="dxa"/>
                  <w:tcBorders>
                    <w:tl2br w:val="nil"/>
                    <w:tr2bl w:val="nil"/>
                  </w:tcBorders>
                  <w:shd w:val="clear" w:color="auto" w:fill="auto"/>
                  <w:vAlign w:val="center"/>
                </w:tcPr>
                <w:p>
                  <w:pPr>
                    <w:widowControl/>
                    <w:spacing w:line="36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1.0×10</w:t>
                  </w:r>
                  <w:r>
                    <w:rPr>
                      <w:rFonts w:eastAsia="宋体" w:cs="Times New Roman"/>
                      <w:color w:val="auto"/>
                      <w:kern w:val="0"/>
                      <w:sz w:val="21"/>
                      <w:szCs w:val="21"/>
                      <w:vertAlign w:val="superscript"/>
                    </w:rPr>
                    <w:t>7</w:t>
                  </w:r>
                  <w:r>
                    <w:rPr>
                      <w:rFonts w:hint="eastAsia" w:ascii="宋体" w:hAnsi="宋体" w:eastAsia="宋体" w:cs="Times New Roman"/>
                      <w:color w:val="auto"/>
                      <w:kern w:val="0"/>
                      <w:sz w:val="21"/>
                      <w:szCs w:val="21"/>
                    </w:rPr>
                    <w:t>个</w:t>
                  </w:r>
                  <w:r>
                    <w:rPr>
                      <w:rFonts w:eastAsia="宋体" w:cs="Times New Roman"/>
                      <w:color w:val="auto"/>
                      <w:kern w:val="0"/>
                      <w:sz w:val="21"/>
                      <w:szCs w:val="21"/>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80" w:type="dxa"/>
                  <w:vMerge w:val="continue"/>
                  <w:tcBorders>
                    <w:tl2br w:val="nil"/>
                    <w:tr2bl w:val="nil"/>
                  </w:tcBorders>
                  <w:shd w:val="clear" w:color="auto" w:fill="auto"/>
                  <w:vAlign w:val="center"/>
                </w:tcPr>
                <w:p>
                  <w:pPr>
                    <w:widowControl/>
                    <w:spacing w:line="360" w:lineRule="auto"/>
                    <w:ind w:firstLine="0" w:firstLineChars="0"/>
                    <w:jc w:val="center"/>
                    <w:rPr>
                      <w:rFonts w:hint="default" w:eastAsia="宋体" w:cs="Times New Roman"/>
                      <w:color w:val="auto"/>
                      <w:kern w:val="0"/>
                      <w:sz w:val="21"/>
                      <w:szCs w:val="21"/>
                      <w:lang w:val="en-US" w:eastAsia="zh-CN"/>
                    </w:rPr>
                  </w:pPr>
                </w:p>
              </w:tc>
              <w:tc>
                <w:tcPr>
                  <w:tcW w:w="1080" w:type="dxa"/>
                  <w:tcBorders>
                    <w:tl2br w:val="nil"/>
                    <w:tr2bl w:val="nil"/>
                  </w:tcBorders>
                  <w:shd w:val="clear" w:color="auto" w:fill="auto"/>
                  <w:vAlign w:val="center"/>
                </w:tcPr>
                <w:p>
                  <w:pPr>
                    <w:widowControl/>
                    <w:spacing w:line="36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t/a</w:t>
                  </w:r>
                </w:p>
              </w:tc>
              <w:tc>
                <w:tcPr>
                  <w:tcW w:w="1500" w:type="dxa"/>
                  <w:tcBorders>
                    <w:tl2br w:val="nil"/>
                    <w:tr2bl w:val="nil"/>
                  </w:tcBorders>
                  <w:shd w:val="clear" w:color="auto" w:fill="auto"/>
                  <w:vAlign w:val="center"/>
                </w:tcPr>
                <w:p>
                  <w:pPr>
                    <w:widowControl/>
                    <w:spacing w:line="360" w:lineRule="auto"/>
                    <w:ind w:firstLine="0" w:firstLineChars="0"/>
                    <w:jc w:val="center"/>
                    <w:rPr>
                      <w:rFonts w:hint="default"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4.44</w:t>
                  </w:r>
                </w:p>
              </w:tc>
              <w:tc>
                <w:tcPr>
                  <w:tcW w:w="1240" w:type="dxa"/>
                  <w:tcBorders>
                    <w:tl2br w:val="nil"/>
                    <w:tr2bl w:val="nil"/>
                  </w:tcBorders>
                  <w:shd w:val="clear" w:color="auto" w:fill="auto"/>
                  <w:vAlign w:val="center"/>
                </w:tcPr>
                <w:p>
                  <w:pPr>
                    <w:widowControl/>
                    <w:spacing w:line="360" w:lineRule="auto"/>
                    <w:ind w:firstLine="0" w:firstLineChars="0"/>
                    <w:jc w:val="center"/>
                    <w:rPr>
                      <w:rFonts w:hint="default" w:eastAsia="宋体" w:cs="Times New Roman"/>
                      <w:color w:val="auto"/>
                      <w:kern w:val="0"/>
                      <w:sz w:val="21"/>
                      <w:szCs w:val="21"/>
                      <w:lang w:val="en-US"/>
                    </w:rPr>
                  </w:pPr>
                  <w:r>
                    <w:rPr>
                      <w:rFonts w:hint="eastAsia" w:eastAsia="宋体" w:cs="Times New Roman"/>
                      <w:color w:val="auto"/>
                      <w:kern w:val="0"/>
                      <w:sz w:val="21"/>
                      <w:szCs w:val="21"/>
                      <w:lang w:val="en-US" w:eastAsia="zh-CN"/>
                    </w:rPr>
                    <w:t>1.77</w:t>
                  </w:r>
                </w:p>
              </w:tc>
              <w:tc>
                <w:tcPr>
                  <w:tcW w:w="1080" w:type="dxa"/>
                  <w:tcBorders>
                    <w:tl2br w:val="nil"/>
                    <w:tr2bl w:val="nil"/>
                  </w:tcBorders>
                  <w:shd w:val="clear" w:color="auto" w:fill="auto"/>
                  <w:vAlign w:val="center"/>
                </w:tcPr>
                <w:p>
                  <w:pPr>
                    <w:widowControl/>
                    <w:spacing w:line="360" w:lineRule="auto"/>
                    <w:ind w:firstLine="0" w:firstLineChars="0"/>
                    <w:jc w:val="center"/>
                    <w:rPr>
                      <w:rFonts w:hint="default"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1.42</w:t>
                  </w:r>
                </w:p>
              </w:tc>
              <w:tc>
                <w:tcPr>
                  <w:tcW w:w="1080" w:type="dxa"/>
                  <w:tcBorders>
                    <w:tl2br w:val="nil"/>
                    <w:tr2bl w:val="nil"/>
                  </w:tcBorders>
                  <w:shd w:val="clear" w:color="auto" w:fill="auto"/>
                  <w:vAlign w:val="center"/>
                </w:tcPr>
                <w:p>
                  <w:pPr>
                    <w:widowControl/>
                    <w:spacing w:line="360" w:lineRule="auto"/>
                    <w:ind w:firstLine="0" w:firstLineChars="0"/>
                    <w:jc w:val="center"/>
                    <w:rPr>
                      <w:rFonts w:hint="default"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0.53</w:t>
                  </w:r>
                </w:p>
              </w:tc>
              <w:tc>
                <w:tcPr>
                  <w:tcW w:w="1410" w:type="dxa"/>
                  <w:tcBorders>
                    <w:tl2br w:val="nil"/>
                    <w:tr2bl w:val="nil"/>
                  </w:tcBorders>
                  <w:shd w:val="clear" w:color="auto" w:fill="auto"/>
                  <w:vAlign w:val="center"/>
                </w:tcPr>
                <w:p>
                  <w:pPr>
                    <w:widowControl/>
                    <w:spacing w:line="36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80" w:type="dxa"/>
                  <w:vMerge w:val="restart"/>
                  <w:tcBorders>
                    <w:tl2br w:val="nil"/>
                    <w:tr2bl w:val="nil"/>
                  </w:tcBorders>
                  <w:shd w:val="clear" w:color="auto" w:fill="auto"/>
                  <w:vAlign w:val="center"/>
                </w:tcPr>
                <w:p>
                  <w:pPr>
                    <w:widowControl/>
                    <w:spacing w:line="36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排放量</w:t>
                  </w:r>
                </w:p>
                <w:p>
                  <w:pPr>
                    <w:widowControl/>
                    <w:spacing w:line="360" w:lineRule="auto"/>
                    <w:ind w:firstLine="0" w:firstLineChars="0"/>
                    <w:jc w:val="center"/>
                    <w:rPr>
                      <w:rFonts w:hint="default"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17782.8</w:t>
                  </w:r>
                </w:p>
              </w:tc>
              <w:tc>
                <w:tcPr>
                  <w:tcW w:w="1080" w:type="dxa"/>
                  <w:tcBorders>
                    <w:tl2br w:val="nil"/>
                    <w:tr2bl w:val="nil"/>
                  </w:tcBorders>
                  <w:shd w:val="clear" w:color="auto" w:fill="auto"/>
                  <w:vAlign w:val="center"/>
                </w:tcPr>
                <w:p>
                  <w:pPr>
                    <w:widowControl/>
                    <w:spacing w:line="36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mg/L</w:t>
                  </w:r>
                </w:p>
              </w:tc>
              <w:tc>
                <w:tcPr>
                  <w:tcW w:w="1500" w:type="dxa"/>
                  <w:tcBorders>
                    <w:tl2br w:val="nil"/>
                    <w:tr2bl w:val="nil"/>
                  </w:tcBorders>
                  <w:shd w:val="clear" w:color="auto" w:fill="auto"/>
                  <w:vAlign w:val="center"/>
                </w:tcPr>
                <w:p>
                  <w:pPr>
                    <w:widowControl/>
                    <w:spacing w:line="36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60</w:t>
                  </w:r>
                </w:p>
              </w:tc>
              <w:tc>
                <w:tcPr>
                  <w:tcW w:w="1240" w:type="dxa"/>
                  <w:tcBorders>
                    <w:tl2br w:val="nil"/>
                    <w:tr2bl w:val="nil"/>
                  </w:tcBorders>
                  <w:shd w:val="clear" w:color="auto" w:fill="auto"/>
                  <w:vAlign w:val="center"/>
                </w:tcPr>
                <w:p>
                  <w:pPr>
                    <w:widowControl/>
                    <w:spacing w:line="36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20</w:t>
                  </w:r>
                </w:p>
              </w:tc>
              <w:tc>
                <w:tcPr>
                  <w:tcW w:w="1080" w:type="dxa"/>
                  <w:tcBorders>
                    <w:tl2br w:val="nil"/>
                    <w:tr2bl w:val="nil"/>
                  </w:tcBorders>
                  <w:shd w:val="clear" w:color="auto" w:fill="auto"/>
                  <w:vAlign w:val="center"/>
                </w:tcPr>
                <w:p>
                  <w:pPr>
                    <w:widowControl/>
                    <w:spacing w:line="36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20</w:t>
                  </w:r>
                </w:p>
              </w:tc>
              <w:tc>
                <w:tcPr>
                  <w:tcW w:w="1080" w:type="dxa"/>
                  <w:tcBorders>
                    <w:tl2br w:val="nil"/>
                    <w:tr2bl w:val="nil"/>
                  </w:tcBorders>
                  <w:shd w:val="clear" w:color="auto" w:fill="auto"/>
                  <w:vAlign w:val="center"/>
                </w:tcPr>
                <w:p>
                  <w:pPr>
                    <w:widowControl/>
                    <w:spacing w:line="36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15</w:t>
                  </w:r>
                </w:p>
              </w:tc>
              <w:tc>
                <w:tcPr>
                  <w:tcW w:w="1410" w:type="dxa"/>
                  <w:tcBorders>
                    <w:tl2br w:val="nil"/>
                    <w:tr2bl w:val="nil"/>
                  </w:tcBorders>
                  <w:shd w:val="clear" w:color="auto" w:fill="auto"/>
                  <w:vAlign w:val="center"/>
                </w:tcPr>
                <w:p>
                  <w:pPr>
                    <w:widowControl/>
                    <w:spacing w:line="360" w:lineRule="auto"/>
                    <w:ind w:firstLine="0" w:firstLineChars="0"/>
                    <w:jc w:val="center"/>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80" w:type="dxa"/>
                  <w:vMerge w:val="continue"/>
                  <w:tcBorders>
                    <w:tl2br w:val="nil"/>
                    <w:tr2bl w:val="nil"/>
                  </w:tcBorders>
                  <w:shd w:val="clear" w:color="auto" w:fill="auto"/>
                  <w:vAlign w:val="center"/>
                </w:tcPr>
                <w:p>
                  <w:pPr>
                    <w:widowControl/>
                    <w:spacing w:line="360" w:lineRule="auto"/>
                    <w:ind w:firstLine="0" w:firstLineChars="0"/>
                    <w:jc w:val="center"/>
                    <w:rPr>
                      <w:rFonts w:hint="default" w:eastAsia="宋体" w:cs="Times New Roman"/>
                      <w:color w:val="auto"/>
                      <w:kern w:val="0"/>
                      <w:sz w:val="21"/>
                      <w:szCs w:val="21"/>
                      <w:lang w:val="en-US" w:eastAsia="zh-CN"/>
                    </w:rPr>
                  </w:pPr>
                </w:p>
              </w:tc>
              <w:tc>
                <w:tcPr>
                  <w:tcW w:w="1080" w:type="dxa"/>
                  <w:tcBorders>
                    <w:tl2br w:val="nil"/>
                    <w:tr2bl w:val="nil"/>
                  </w:tcBorders>
                  <w:shd w:val="clear" w:color="auto" w:fill="auto"/>
                  <w:vAlign w:val="center"/>
                </w:tcPr>
                <w:p>
                  <w:pPr>
                    <w:widowControl/>
                    <w:spacing w:line="36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t/a</w:t>
                  </w:r>
                </w:p>
              </w:tc>
              <w:tc>
                <w:tcPr>
                  <w:tcW w:w="1500" w:type="dxa"/>
                  <w:tcBorders>
                    <w:tl2br w:val="nil"/>
                    <w:tr2bl w:val="nil"/>
                  </w:tcBorders>
                  <w:shd w:val="clear" w:color="auto" w:fill="auto"/>
                  <w:vAlign w:val="center"/>
                </w:tcPr>
                <w:p>
                  <w:pPr>
                    <w:widowControl/>
                    <w:spacing w:line="360" w:lineRule="auto"/>
                    <w:ind w:firstLine="0" w:firstLineChars="0"/>
                    <w:jc w:val="center"/>
                    <w:rPr>
                      <w:rFonts w:hint="default"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1.06</w:t>
                  </w:r>
                </w:p>
              </w:tc>
              <w:tc>
                <w:tcPr>
                  <w:tcW w:w="1240" w:type="dxa"/>
                  <w:tcBorders>
                    <w:tl2br w:val="nil"/>
                    <w:tr2bl w:val="nil"/>
                  </w:tcBorders>
                  <w:shd w:val="clear" w:color="auto" w:fill="auto"/>
                  <w:vAlign w:val="center"/>
                </w:tcPr>
                <w:p>
                  <w:pPr>
                    <w:widowControl/>
                    <w:spacing w:line="36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lang w:val="en-US" w:eastAsia="zh-CN"/>
                    </w:rPr>
                    <w:t>0.35</w:t>
                  </w:r>
                  <w:r>
                    <w:rPr>
                      <w:rFonts w:eastAsia="宋体" w:cs="Times New Roman"/>
                      <w:color w:val="auto"/>
                      <w:kern w:val="0"/>
                      <w:sz w:val="21"/>
                      <w:szCs w:val="21"/>
                    </w:rPr>
                    <w:t xml:space="preserve"> </w:t>
                  </w:r>
                </w:p>
              </w:tc>
              <w:tc>
                <w:tcPr>
                  <w:tcW w:w="1080" w:type="dxa"/>
                  <w:tcBorders>
                    <w:tl2br w:val="nil"/>
                    <w:tr2bl w:val="nil"/>
                  </w:tcBorders>
                  <w:shd w:val="clear" w:color="auto" w:fill="auto"/>
                  <w:vAlign w:val="center"/>
                </w:tcPr>
                <w:p>
                  <w:pPr>
                    <w:widowControl/>
                    <w:spacing w:line="360" w:lineRule="auto"/>
                    <w:ind w:firstLine="0" w:firstLineChars="0"/>
                    <w:jc w:val="center"/>
                    <w:rPr>
                      <w:rFonts w:hint="default"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0.35</w:t>
                  </w:r>
                </w:p>
              </w:tc>
              <w:tc>
                <w:tcPr>
                  <w:tcW w:w="1080" w:type="dxa"/>
                  <w:tcBorders>
                    <w:tl2br w:val="nil"/>
                    <w:tr2bl w:val="nil"/>
                  </w:tcBorders>
                  <w:shd w:val="clear" w:color="auto" w:fill="auto"/>
                  <w:vAlign w:val="center"/>
                </w:tcPr>
                <w:p>
                  <w:pPr>
                    <w:widowControl/>
                    <w:spacing w:line="36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0.26</w:t>
                  </w:r>
                </w:p>
              </w:tc>
              <w:tc>
                <w:tcPr>
                  <w:tcW w:w="1410" w:type="dxa"/>
                  <w:tcBorders>
                    <w:tl2br w:val="nil"/>
                    <w:tr2bl w:val="nil"/>
                  </w:tcBorders>
                  <w:shd w:val="clear" w:color="auto" w:fill="auto"/>
                  <w:vAlign w:val="center"/>
                </w:tcPr>
                <w:p>
                  <w:pPr>
                    <w:widowControl/>
                    <w:spacing w:line="36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w:t>
                  </w:r>
                </w:p>
              </w:tc>
            </w:tr>
          </w:tbl>
          <w:p>
            <w:pPr>
              <w:pStyle w:val="67"/>
              <w:spacing w:line="360" w:lineRule="auto"/>
              <w:rPr>
                <w:rFonts w:hint="eastAsia" w:eastAsia="宋体"/>
                <w:color w:val="auto"/>
                <w:sz w:val="21"/>
                <w:szCs w:val="21"/>
                <w:lang w:eastAsia="zh-CN"/>
              </w:rPr>
            </w:pPr>
            <w:r>
              <w:rPr>
                <w:rFonts w:hint="eastAsia"/>
                <w:color w:val="auto"/>
                <w:sz w:val="21"/>
                <w:szCs w:val="21"/>
              </w:rPr>
              <w:t>表4-</w:t>
            </w:r>
            <w:r>
              <w:rPr>
                <w:rFonts w:hint="eastAsia"/>
                <w:color w:val="auto"/>
                <w:sz w:val="21"/>
                <w:szCs w:val="21"/>
                <w:lang w:val="en-US" w:eastAsia="zh-CN"/>
              </w:rPr>
              <w:t>9</w:t>
            </w:r>
            <w:r>
              <w:rPr>
                <w:rFonts w:hint="eastAsia"/>
                <w:color w:val="auto"/>
                <w:sz w:val="21"/>
                <w:szCs w:val="21"/>
              </w:rPr>
              <w:t xml:space="preserve"> 项目废水排放方式、去向、规律基本情况</w:t>
            </w:r>
          </w:p>
          <w:tbl>
            <w:tblPr>
              <w:tblStyle w:val="38"/>
              <w:tblW w:w="85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716"/>
              <w:gridCol w:w="1008"/>
              <w:gridCol w:w="636"/>
              <w:gridCol w:w="426"/>
              <w:gridCol w:w="858"/>
              <w:gridCol w:w="808"/>
              <w:gridCol w:w="974"/>
              <w:gridCol w:w="881"/>
              <w:gridCol w:w="675"/>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序号</w:t>
                  </w:r>
                </w:p>
              </w:tc>
              <w:tc>
                <w:tcPr>
                  <w:tcW w:w="716" w:type="dxa"/>
                  <w:vMerge w:val="restart"/>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废水类别</w:t>
                  </w:r>
                </w:p>
              </w:tc>
              <w:tc>
                <w:tcPr>
                  <w:tcW w:w="1008" w:type="dxa"/>
                  <w:vMerge w:val="restart"/>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污染物种类</w:t>
                  </w:r>
                </w:p>
              </w:tc>
              <w:tc>
                <w:tcPr>
                  <w:tcW w:w="636" w:type="dxa"/>
                  <w:vMerge w:val="restart"/>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排放去向</w:t>
                  </w:r>
                </w:p>
              </w:tc>
              <w:tc>
                <w:tcPr>
                  <w:tcW w:w="426" w:type="dxa"/>
                  <w:vMerge w:val="restart"/>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排放规律</w:t>
                  </w:r>
                </w:p>
              </w:tc>
              <w:tc>
                <w:tcPr>
                  <w:tcW w:w="2640" w:type="dxa"/>
                  <w:gridSpan w:val="3"/>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污染物治理设施</w:t>
                  </w:r>
                </w:p>
              </w:tc>
              <w:tc>
                <w:tcPr>
                  <w:tcW w:w="881" w:type="dxa"/>
                  <w:vMerge w:val="restart"/>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排放口编号</w:t>
                  </w:r>
                </w:p>
              </w:tc>
              <w:tc>
                <w:tcPr>
                  <w:tcW w:w="675" w:type="dxa"/>
                  <w:vMerge w:val="restart"/>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排放口是否符合要求</w:t>
                  </w:r>
                </w:p>
              </w:tc>
              <w:tc>
                <w:tcPr>
                  <w:tcW w:w="1094" w:type="dxa"/>
                  <w:vMerge w:val="restart"/>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p>
              </w:tc>
              <w:tc>
                <w:tcPr>
                  <w:tcW w:w="716" w:type="dxa"/>
                  <w:vMerge w:val="continue"/>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p>
              </w:tc>
              <w:tc>
                <w:tcPr>
                  <w:tcW w:w="1008" w:type="dxa"/>
                  <w:vMerge w:val="continue"/>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p>
              </w:tc>
              <w:tc>
                <w:tcPr>
                  <w:tcW w:w="636" w:type="dxa"/>
                  <w:vMerge w:val="continue"/>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p>
              </w:tc>
              <w:tc>
                <w:tcPr>
                  <w:tcW w:w="426" w:type="dxa"/>
                  <w:vMerge w:val="continue"/>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p>
              </w:tc>
              <w:tc>
                <w:tcPr>
                  <w:tcW w:w="858" w:type="dxa"/>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污染治理设施编号</w:t>
                  </w:r>
                </w:p>
              </w:tc>
              <w:tc>
                <w:tcPr>
                  <w:tcW w:w="808" w:type="dxa"/>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污染治理设施名称</w:t>
                  </w:r>
                </w:p>
              </w:tc>
              <w:tc>
                <w:tcPr>
                  <w:tcW w:w="974" w:type="dxa"/>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污染治理设施工艺</w:t>
                  </w:r>
                </w:p>
              </w:tc>
              <w:tc>
                <w:tcPr>
                  <w:tcW w:w="881" w:type="dxa"/>
                  <w:vMerge w:val="continue"/>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p>
              </w:tc>
              <w:tc>
                <w:tcPr>
                  <w:tcW w:w="675" w:type="dxa"/>
                  <w:vMerge w:val="continue"/>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p>
              </w:tc>
              <w:tc>
                <w:tcPr>
                  <w:tcW w:w="1094" w:type="dxa"/>
                  <w:vMerge w:val="continue"/>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426" w:type="dxa"/>
                  <w:vMerge w:val="restart"/>
                  <w:vAlign w:val="center"/>
                </w:tcPr>
                <w:p>
                  <w:pPr>
                    <w:autoSpaceDE w:val="0"/>
                    <w:autoSpaceDN w:val="0"/>
                    <w:adjustRightInd w:val="0"/>
                    <w:snapToGrid w:val="0"/>
                    <w:spacing w:line="240" w:lineRule="auto"/>
                    <w:ind w:firstLine="0" w:firstLineChars="0"/>
                    <w:jc w:val="center"/>
                    <w:rPr>
                      <w:rFonts w:hint="eastAsia" w:eastAsia="宋体" w:cs="Times New Roman"/>
                      <w:color w:val="auto"/>
                      <w:kern w:val="0"/>
                      <w:sz w:val="21"/>
                      <w:szCs w:val="21"/>
                      <w:lang w:eastAsia="zh-CN"/>
                    </w:rPr>
                  </w:pPr>
                  <w:r>
                    <w:rPr>
                      <w:rFonts w:eastAsia="宋体" w:cs="Times New Roman"/>
                      <w:color w:val="auto"/>
                      <w:kern w:val="0"/>
                      <w:sz w:val="21"/>
                      <w:szCs w:val="21"/>
                    </w:rPr>
                    <w:t>1</w:t>
                  </w:r>
                  <w:r>
                    <w:rPr>
                      <w:rFonts w:hint="eastAsia" w:eastAsia="宋体" w:cs="Times New Roman"/>
                      <w:color w:val="auto"/>
                      <w:kern w:val="0"/>
                      <w:sz w:val="21"/>
                      <w:szCs w:val="21"/>
                      <w:lang w:eastAsia="zh-CN"/>
                    </w:rPr>
                    <w:t>、</w:t>
                  </w:r>
                </w:p>
              </w:tc>
              <w:tc>
                <w:tcPr>
                  <w:tcW w:w="716" w:type="dxa"/>
                  <w:vMerge w:val="restart"/>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t>综合废水</w:t>
                  </w:r>
                </w:p>
              </w:tc>
              <w:tc>
                <w:tcPr>
                  <w:tcW w:w="1008" w:type="dxa"/>
                  <w:vMerge w:val="restart"/>
                  <w:vAlign w:val="center"/>
                </w:tcPr>
                <w:p>
                  <w:pPr>
                    <w:autoSpaceDE w:val="0"/>
                    <w:autoSpaceDN w:val="0"/>
                    <w:adjustRightInd w:val="0"/>
                    <w:snapToGrid w:val="0"/>
                    <w:spacing w:line="240" w:lineRule="auto"/>
                    <w:ind w:firstLine="0" w:firstLineChars="0"/>
                    <w:jc w:val="both"/>
                    <w:rPr>
                      <w:rFonts w:eastAsia="宋体" w:cs="Times New Roman"/>
                      <w:color w:val="auto"/>
                      <w:kern w:val="0"/>
                      <w:sz w:val="21"/>
                      <w:szCs w:val="21"/>
                    </w:rPr>
                  </w:pPr>
                  <w:r>
                    <w:rPr>
                      <w:rFonts w:ascii="Times New Roman" w:hAnsi="Times New Roman" w:cs="Times New Roman"/>
                      <w:color w:val="auto"/>
                      <w:sz w:val="21"/>
                      <w:szCs w:val="21"/>
                    </w:rPr>
                    <w:t>pH值、BOD</w:t>
                  </w:r>
                  <w:r>
                    <w:rPr>
                      <w:rFonts w:ascii="Times New Roman" w:hAnsi="Times New Roman" w:cs="Times New Roman"/>
                      <w:color w:val="auto"/>
                      <w:sz w:val="21"/>
                      <w:szCs w:val="21"/>
                      <w:vertAlign w:val="subscript"/>
                    </w:rPr>
                    <w:t>5</w:t>
                  </w:r>
                  <w:r>
                    <w:rPr>
                      <w:rFonts w:ascii="Times New Roman" w:hAnsi="Times New Roman" w:cs="Times New Roman"/>
                      <w:color w:val="auto"/>
                      <w:sz w:val="21"/>
                      <w:szCs w:val="21"/>
                    </w:rPr>
                    <w:t>、</w:t>
                  </w:r>
                  <w:r>
                    <w:rPr>
                      <w:rFonts w:hint="eastAsia" w:ascii="Times New Roman" w:hAnsi="Times New Roman" w:cs="Times New Roman"/>
                      <w:color w:val="auto"/>
                      <w:sz w:val="21"/>
                      <w:szCs w:val="21"/>
                    </w:rPr>
                    <w:t>C</w:t>
                  </w:r>
                  <w:r>
                    <w:rPr>
                      <w:rFonts w:ascii="Times New Roman" w:hAnsi="Times New Roman" w:cs="Times New Roman"/>
                      <w:color w:val="auto"/>
                      <w:sz w:val="21"/>
                      <w:szCs w:val="21"/>
                    </w:rPr>
                    <w:t>OD、</w:t>
                  </w:r>
                  <w:r>
                    <w:rPr>
                      <w:rFonts w:hint="eastAsia" w:ascii="Times New Roman" w:hAnsi="Times New Roman" w:cs="Times New Roman"/>
                      <w:color w:val="auto"/>
                      <w:sz w:val="21"/>
                      <w:szCs w:val="21"/>
                    </w:rPr>
                    <w:t>悬浮物（SS）</w:t>
                  </w:r>
                  <w:r>
                    <w:rPr>
                      <w:rFonts w:ascii="Times New Roman" w:hAnsi="Times New Roman" w:cs="Times New Roman"/>
                      <w:color w:val="auto"/>
                      <w:sz w:val="21"/>
                      <w:szCs w:val="21"/>
                    </w:rPr>
                    <w:t>、</w:t>
                  </w:r>
                  <w:r>
                    <w:rPr>
                      <w:rFonts w:hint="eastAsia" w:ascii="Times New Roman" w:hAnsi="Times New Roman" w:cs="Times New Roman"/>
                      <w:color w:val="auto"/>
                      <w:sz w:val="21"/>
                      <w:szCs w:val="21"/>
                    </w:rPr>
                    <w:t>氨氮</w:t>
                  </w:r>
                  <w:r>
                    <w:rPr>
                      <w:rFonts w:ascii="Times New Roman" w:hAnsi="Times New Roman" w:cs="Times New Roman"/>
                      <w:color w:val="auto"/>
                      <w:sz w:val="21"/>
                      <w:szCs w:val="21"/>
                    </w:rPr>
                    <w:t>、</w:t>
                  </w:r>
                  <w:r>
                    <w:rPr>
                      <w:rFonts w:hint="eastAsia" w:ascii="Times New Roman" w:hAnsi="Times New Roman" w:cs="Times New Roman"/>
                      <w:color w:val="auto"/>
                      <w:sz w:val="21"/>
                      <w:szCs w:val="21"/>
                    </w:rPr>
                    <w:t>动植物油、石油、</w:t>
                  </w:r>
                  <w:r>
                    <w:rPr>
                      <w:rFonts w:ascii="Times New Roman" w:hAnsi="Times New Roman" w:cs="Times New Roman"/>
                      <w:color w:val="auto"/>
                      <w:sz w:val="21"/>
                      <w:szCs w:val="21"/>
                    </w:rPr>
                    <w:t>阴离子表面活性剂、</w:t>
                  </w:r>
                  <w:r>
                    <w:rPr>
                      <w:rFonts w:hint="eastAsia" w:cs="Times New Roman"/>
                      <w:color w:val="auto"/>
                      <w:sz w:val="21"/>
                      <w:szCs w:val="21"/>
                      <w:lang w:eastAsia="zh-CN"/>
                    </w:rPr>
                    <w:t>粪</w:t>
                  </w:r>
                  <w:r>
                    <w:rPr>
                      <w:rFonts w:ascii="Times New Roman" w:hAnsi="Times New Roman" w:cs="Times New Roman"/>
                      <w:color w:val="auto"/>
                      <w:sz w:val="21"/>
                      <w:szCs w:val="21"/>
                    </w:rPr>
                    <w:t>大肠菌群</w:t>
                  </w:r>
                  <w:r>
                    <w:rPr>
                      <w:rFonts w:hint="eastAsia" w:ascii="Times New Roman" w:hAnsi="Times New Roman" w:cs="Times New Roman"/>
                      <w:color w:val="auto"/>
                      <w:sz w:val="21"/>
                      <w:szCs w:val="21"/>
                      <w:lang w:eastAsia="zh-CN"/>
                    </w:rPr>
                    <w:t>、六价铬、总铬、总镉、总砷、总汞、</w:t>
                  </w:r>
                  <w:r>
                    <w:rPr>
                      <w:rFonts w:hint="eastAsia" w:cs="Times New Roman"/>
                      <w:color w:val="auto"/>
                      <w:sz w:val="21"/>
                      <w:szCs w:val="21"/>
                      <w:lang w:eastAsia="zh-CN"/>
                    </w:rPr>
                    <w:t>总银、总铅、总氰化物、挥发酚、总余氯</w:t>
                  </w:r>
                  <w:r>
                    <w:rPr>
                      <w:color w:val="auto"/>
                      <w:sz w:val="21"/>
                      <w:szCs w:val="21"/>
                    </w:rPr>
                    <w:t>。</w:t>
                  </w:r>
                </w:p>
              </w:tc>
              <w:tc>
                <w:tcPr>
                  <w:tcW w:w="636" w:type="dxa"/>
                  <w:vMerge w:val="restart"/>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进入城镇污水处理厂</w:t>
                  </w:r>
                </w:p>
              </w:tc>
              <w:tc>
                <w:tcPr>
                  <w:tcW w:w="426" w:type="dxa"/>
                  <w:vMerge w:val="restart"/>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间歇排放</w:t>
                  </w:r>
                </w:p>
              </w:tc>
              <w:tc>
                <w:tcPr>
                  <w:tcW w:w="858" w:type="dxa"/>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TW001</w:t>
                  </w:r>
                </w:p>
              </w:tc>
              <w:tc>
                <w:tcPr>
                  <w:tcW w:w="808" w:type="dxa"/>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化粪池</w:t>
                  </w:r>
                </w:p>
              </w:tc>
              <w:tc>
                <w:tcPr>
                  <w:tcW w:w="974" w:type="dxa"/>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沉淀</w:t>
                  </w:r>
                </w:p>
              </w:tc>
              <w:tc>
                <w:tcPr>
                  <w:tcW w:w="881" w:type="dxa"/>
                  <w:vMerge w:val="restart"/>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DW001</w:t>
                  </w:r>
                </w:p>
              </w:tc>
              <w:tc>
                <w:tcPr>
                  <w:tcW w:w="675" w:type="dxa"/>
                  <w:vMerge w:val="restart"/>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sym w:font="Wingdings" w:char="00FE"/>
                  </w:r>
                  <w:r>
                    <w:rPr>
                      <w:rFonts w:eastAsia="宋体" w:cs="Times New Roman"/>
                      <w:color w:val="auto"/>
                      <w:kern w:val="0"/>
                      <w:sz w:val="21"/>
                      <w:szCs w:val="21"/>
                    </w:rPr>
                    <w:t xml:space="preserve"> 是</w:t>
                  </w:r>
                </w:p>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eastAsia="宋体" w:cs="Times New Roman"/>
                      <w:color w:val="auto"/>
                      <w:kern w:val="0"/>
                      <w:sz w:val="21"/>
                      <w:szCs w:val="21"/>
                    </w:rPr>
                    <w:sym w:font="Wingdings" w:char="00A8"/>
                  </w:r>
                  <w:r>
                    <w:rPr>
                      <w:rFonts w:eastAsia="宋体" w:cs="Times New Roman"/>
                      <w:color w:val="auto"/>
                      <w:kern w:val="0"/>
                      <w:sz w:val="21"/>
                      <w:szCs w:val="21"/>
                    </w:rPr>
                    <w:t xml:space="preserve"> 否</w:t>
                  </w:r>
                </w:p>
              </w:tc>
              <w:tc>
                <w:tcPr>
                  <w:tcW w:w="1094" w:type="dxa"/>
                  <w:vMerge w:val="restart"/>
                  <w:vAlign w:val="center"/>
                </w:tcPr>
                <w:p>
                  <w:pPr>
                    <w:pStyle w:val="146"/>
                    <w:rPr>
                      <w:color w:val="auto"/>
                    </w:rPr>
                  </w:pPr>
                  <w:r>
                    <w:rPr>
                      <w:color w:val="auto"/>
                    </w:rPr>
                    <w:sym w:font="Wingdings" w:char="00FE"/>
                  </w:r>
                  <w:r>
                    <w:rPr>
                      <w:color w:val="auto"/>
                    </w:rPr>
                    <w:t xml:space="preserve"> 企业总排</w:t>
                  </w:r>
                  <w:r>
                    <w:rPr>
                      <w:rFonts w:hint="eastAsia"/>
                      <w:color w:val="auto"/>
                    </w:rPr>
                    <w:t>口</w:t>
                  </w:r>
                </w:p>
                <w:p>
                  <w:pPr>
                    <w:autoSpaceDE w:val="0"/>
                    <w:autoSpaceDN w:val="0"/>
                    <w:adjustRightInd w:val="0"/>
                    <w:snapToGrid w:val="0"/>
                    <w:spacing w:line="240" w:lineRule="auto"/>
                    <w:ind w:firstLine="0" w:firstLineChars="0"/>
                    <w:rPr>
                      <w:rFonts w:eastAsia="宋体" w:cs="Times New Roman"/>
                      <w:color w:val="auto"/>
                      <w:kern w:val="0"/>
                      <w:sz w:val="21"/>
                      <w:szCs w:val="21"/>
                    </w:rPr>
                  </w:pPr>
                  <w:r>
                    <w:rPr>
                      <w:rFonts w:eastAsia="宋体" w:cs="Times New Roman"/>
                      <w:color w:val="auto"/>
                      <w:kern w:val="0"/>
                      <w:sz w:val="21"/>
                      <w:szCs w:val="21"/>
                    </w:rPr>
                    <w:sym w:font="Wingdings" w:char="00A8"/>
                  </w:r>
                  <w:r>
                    <w:rPr>
                      <w:rFonts w:eastAsia="宋体" w:cs="Times New Roman"/>
                      <w:color w:val="auto"/>
                      <w:kern w:val="0"/>
                      <w:sz w:val="21"/>
                      <w:szCs w:val="21"/>
                    </w:rPr>
                    <w:t xml:space="preserve"> 雨水排放</w:t>
                  </w:r>
                  <w:r>
                    <w:rPr>
                      <w:rFonts w:hint="eastAsia" w:eastAsia="宋体" w:cs="Times New Roman"/>
                      <w:color w:val="auto"/>
                      <w:kern w:val="0"/>
                      <w:sz w:val="21"/>
                      <w:szCs w:val="21"/>
                    </w:rPr>
                    <w:t>口</w:t>
                  </w:r>
                </w:p>
                <w:p>
                  <w:pPr>
                    <w:pStyle w:val="146"/>
                    <w:rPr>
                      <w:color w:val="auto"/>
                    </w:rPr>
                  </w:pPr>
                  <w:r>
                    <w:rPr>
                      <w:color w:val="auto"/>
                    </w:rPr>
                    <w:sym w:font="Wingdings" w:char="00A8"/>
                  </w:r>
                  <w:r>
                    <w:rPr>
                      <w:color w:val="auto"/>
                    </w:rPr>
                    <w:t xml:space="preserve"> 清净下水排放</w:t>
                  </w:r>
                  <w:r>
                    <w:rPr>
                      <w:rFonts w:hint="eastAsia"/>
                      <w:color w:val="auto"/>
                    </w:rPr>
                    <w:t>口</w:t>
                  </w:r>
                </w:p>
                <w:p>
                  <w:pPr>
                    <w:autoSpaceDE w:val="0"/>
                    <w:autoSpaceDN w:val="0"/>
                    <w:adjustRightInd w:val="0"/>
                    <w:snapToGrid w:val="0"/>
                    <w:spacing w:line="240" w:lineRule="auto"/>
                    <w:ind w:firstLine="0" w:firstLineChars="0"/>
                    <w:rPr>
                      <w:rFonts w:eastAsia="宋体" w:cs="Times New Roman"/>
                      <w:color w:val="auto"/>
                      <w:kern w:val="0"/>
                      <w:sz w:val="21"/>
                      <w:szCs w:val="21"/>
                    </w:rPr>
                  </w:pPr>
                  <w:r>
                    <w:rPr>
                      <w:rFonts w:eastAsia="宋体" w:cs="Times New Roman"/>
                      <w:color w:val="auto"/>
                      <w:kern w:val="0"/>
                      <w:sz w:val="21"/>
                      <w:szCs w:val="21"/>
                    </w:rPr>
                    <w:sym w:font="Wingdings" w:char="00A8"/>
                  </w:r>
                  <w:r>
                    <w:rPr>
                      <w:rFonts w:eastAsia="宋体" w:cs="Times New Roman"/>
                      <w:color w:val="auto"/>
                      <w:kern w:val="0"/>
                      <w:sz w:val="21"/>
                      <w:szCs w:val="21"/>
                    </w:rPr>
                    <w:t xml:space="preserve"> 温排水排放</w:t>
                  </w:r>
                  <w:r>
                    <w:rPr>
                      <w:rFonts w:hint="eastAsia" w:eastAsia="宋体" w:cs="Times New Roman"/>
                      <w:color w:val="auto"/>
                      <w:kern w:val="0"/>
                      <w:sz w:val="21"/>
                      <w:szCs w:val="21"/>
                    </w:rPr>
                    <w:t>口</w:t>
                  </w:r>
                </w:p>
                <w:p>
                  <w:pPr>
                    <w:autoSpaceDE w:val="0"/>
                    <w:autoSpaceDN w:val="0"/>
                    <w:adjustRightInd w:val="0"/>
                    <w:snapToGrid w:val="0"/>
                    <w:spacing w:line="240" w:lineRule="auto"/>
                    <w:ind w:firstLine="0" w:firstLineChars="0"/>
                    <w:rPr>
                      <w:rFonts w:eastAsia="宋体" w:cs="Times New Roman"/>
                      <w:color w:val="auto"/>
                      <w:kern w:val="0"/>
                      <w:sz w:val="21"/>
                      <w:szCs w:val="21"/>
                    </w:rPr>
                  </w:pPr>
                  <w:r>
                    <w:rPr>
                      <w:rFonts w:eastAsia="宋体" w:cs="Times New Roman"/>
                      <w:color w:val="auto"/>
                      <w:kern w:val="0"/>
                      <w:sz w:val="21"/>
                      <w:szCs w:val="21"/>
                    </w:rPr>
                    <w:sym w:font="Wingdings" w:char="00A8"/>
                  </w:r>
                  <w:r>
                    <w:rPr>
                      <w:rFonts w:eastAsia="宋体" w:cs="Times New Roman"/>
                      <w:color w:val="auto"/>
                      <w:kern w:val="0"/>
                      <w:sz w:val="21"/>
                      <w:szCs w:val="21"/>
                    </w:rPr>
                    <w:t xml:space="preserve"> 车间或车间处理设施排放口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p>
              </w:tc>
              <w:tc>
                <w:tcPr>
                  <w:tcW w:w="716" w:type="dxa"/>
                  <w:vMerge w:val="continue"/>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p>
              </w:tc>
              <w:tc>
                <w:tcPr>
                  <w:tcW w:w="1008" w:type="dxa"/>
                  <w:vMerge w:val="continue"/>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p>
              </w:tc>
              <w:tc>
                <w:tcPr>
                  <w:tcW w:w="636" w:type="dxa"/>
                  <w:vMerge w:val="continue"/>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p>
              </w:tc>
              <w:tc>
                <w:tcPr>
                  <w:tcW w:w="426" w:type="dxa"/>
                  <w:vMerge w:val="continue"/>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p>
              </w:tc>
              <w:tc>
                <w:tcPr>
                  <w:tcW w:w="858" w:type="dxa"/>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TW002</w:t>
                  </w:r>
                </w:p>
              </w:tc>
              <w:tc>
                <w:tcPr>
                  <w:tcW w:w="808" w:type="dxa"/>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r>
                    <w:rPr>
                      <w:rFonts w:hint="eastAsia" w:eastAsia="宋体" w:cs="Times New Roman"/>
                      <w:color w:val="auto"/>
                      <w:kern w:val="0"/>
                      <w:sz w:val="21"/>
                      <w:szCs w:val="21"/>
                    </w:rPr>
                    <w:t>一体化污水处理站</w:t>
                  </w:r>
                </w:p>
              </w:tc>
              <w:tc>
                <w:tcPr>
                  <w:tcW w:w="974" w:type="dxa"/>
                  <w:vAlign w:val="center"/>
                </w:tcPr>
                <w:p>
                  <w:pPr>
                    <w:autoSpaceDE w:val="0"/>
                    <w:autoSpaceDN w:val="0"/>
                    <w:adjustRightInd w:val="0"/>
                    <w:snapToGrid w:val="0"/>
                    <w:spacing w:line="360" w:lineRule="auto"/>
                    <w:ind w:firstLine="0" w:firstLineChars="0"/>
                    <w:jc w:val="both"/>
                    <w:rPr>
                      <w:rFonts w:eastAsia="宋体" w:cs="Times New Roman"/>
                      <w:color w:val="auto"/>
                      <w:kern w:val="0"/>
                      <w:sz w:val="21"/>
                      <w:szCs w:val="21"/>
                    </w:rPr>
                  </w:pPr>
                  <w:r>
                    <w:rPr>
                      <w:rFonts w:hint="eastAsia" w:eastAsia="宋体" w:cs="Times New Roman"/>
                      <w:color w:val="auto"/>
                      <w:kern w:val="0"/>
                      <w:sz w:val="21"/>
                      <w:szCs w:val="21"/>
                    </w:rPr>
                    <w:t>生物接触氧化+MBR反应池+消毒</w:t>
                  </w:r>
                </w:p>
              </w:tc>
              <w:tc>
                <w:tcPr>
                  <w:tcW w:w="881" w:type="dxa"/>
                  <w:vMerge w:val="continue"/>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p>
              </w:tc>
              <w:tc>
                <w:tcPr>
                  <w:tcW w:w="675" w:type="dxa"/>
                  <w:vMerge w:val="continue"/>
                  <w:vAlign w:val="center"/>
                </w:tcPr>
                <w:p>
                  <w:pPr>
                    <w:autoSpaceDE w:val="0"/>
                    <w:autoSpaceDN w:val="0"/>
                    <w:adjustRightInd w:val="0"/>
                    <w:snapToGrid w:val="0"/>
                    <w:spacing w:line="240" w:lineRule="auto"/>
                    <w:ind w:firstLine="0" w:firstLineChars="0"/>
                    <w:jc w:val="center"/>
                    <w:rPr>
                      <w:rFonts w:eastAsia="宋体" w:cs="Times New Roman"/>
                      <w:color w:val="auto"/>
                      <w:kern w:val="0"/>
                      <w:sz w:val="21"/>
                      <w:szCs w:val="21"/>
                    </w:rPr>
                  </w:pPr>
                </w:p>
              </w:tc>
              <w:tc>
                <w:tcPr>
                  <w:tcW w:w="1094" w:type="dxa"/>
                  <w:vMerge w:val="continue"/>
                  <w:vAlign w:val="center"/>
                </w:tcPr>
                <w:p>
                  <w:pPr>
                    <w:autoSpaceDE w:val="0"/>
                    <w:autoSpaceDN w:val="0"/>
                    <w:adjustRightInd w:val="0"/>
                    <w:snapToGrid w:val="0"/>
                    <w:spacing w:line="240" w:lineRule="auto"/>
                    <w:ind w:firstLine="0" w:firstLineChars="0"/>
                    <w:rPr>
                      <w:rFonts w:eastAsia="宋体" w:cs="Times New Roman"/>
                      <w:color w:val="auto"/>
                      <w:kern w:val="0"/>
                      <w:sz w:val="21"/>
                      <w:szCs w:val="21"/>
                    </w:rPr>
                  </w:pPr>
                </w:p>
              </w:tc>
            </w:tr>
          </w:tbl>
          <w:p>
            <w:pPr>
              <w:pStyle w:val="67"/>
              <w:rPr>
                <w:color w:val="auto"/>
                <w:sz w:val="21"/>
                <w:szCs w:val="21"/>
              </w:rPr>
            </w:pPr>
            <w:r>
              <w:rPr>
                <w:rFonts w:hint="eastAsia"/>
                <w:color w:val="auto"/>
                <w:sz w:val="21"/>
                <w:szCs w:val="21"/>
              </w:rPr>
              <w:t>表4-</w:t>
            </w:r>
            <w:r>
              <w:rPr>
                <w:rFonts w:hint="eastAsia"/>
                <w:color w:val="auto"/>
                <w:sz w:val="21"/>
                <w:szCs w:val="21"/>
                <w:lang w:val="en-US" w:eastAsia="zh-CN"/>
              </w:rPr>
              <w:t>10</w:t>
            </w:r>
            <w:r>
              <w:rPr>
                <w:rFonts w:hint="eastAsia"/>
                <w:color w:val="auto"/>
                <w:sz w:val="21"/>
                <w:szCs w:val="21"/>
              </w:rPr>
              <w:t xml:space="preserve"> 项目废水排放基本情况表</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954"/>
              <w:gridCol w:w="986"/>
              <w:gridCol w:w="893"/>
              <w:gridCol w:w="818"/>
              <w:gridCol w:w="473"/>
              <w:gridCol w:w="979"/>
              <w:gridCol w:w="541"/>
              <w:gridCol w:w="966"/>
              <w:gridCol w:w="1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Merge w:val="restart"/>
                  <w:vAlign w:val="center"/>
                </w:tcPr>
                <w:p>
                  <w:pPr>
                    <w:pStyle w:val="54"/>
                    <w:rPr>
                      <w:color w:val="auto"/>
                    </w:rPr>
                  </w:pPr>
                  <w:r>
                    <w:rPr>
                      <w:rFonts w:hint="eastAsia"/>
                      <w:color w:val="auto"/>
                    </w:rPr>
                    <w:t>序号</w:t>
                  </w:r>
                </w:p>
              </w:tc>
              <w:tc>
                <w:tcPr>
                  <w:tcW w:w="564" w:type="pct"/>
                  <w:vMerge w:val="restart"/>
                  <w:vAlign w:val="center"/>
                </w:tcPr>
                <w:p>
                  <w:pPr>
                    <w:pStyle w:val="54"/>
                    <w:rPr>
                      <w:color w:val="auto"/>
                    </w:rPr>
                  </w:pPr>
                  <w:r>
                    <w:rPr>
                      <w:rFonts w:hint="eastAsia"/>
                      <w:color w:val="auto"/>
                    </w:rPr>
                    <w:t>排放口编号</w:t>
                  </w:r>
                </w:p>
              </w:tc>
              <w:tc>
                <w:tcPr>
                  <w:tcW w:w="1112" w:type="pct"/>
                  <w:gridSpan w:val="2"/>
                  <w:vAlign w:val="center"/>
                </w:tcPr>
                <w:p>
                  <w:pPr>
                    <w:pStyle w:val="54"/>
                    <w:rPr>
                      <w:color w:val="auto"/>
                    </w:rPr>
                  </w:pPr>
                  <w:r>
                    <w:rPr>
                      <w:rFonts w:hint="eastAsia"/>
                      <w:color w:val="auto"/>
                    </w:rPr>
                    <w:t>排放口地理坐标</w:t>
                  </w:r>
                </w:p>
              </w:tc>
              <w:tc>
                <w:tcPr>
                  <w:tcW w:w="484" w:type="pct"/>
                  <w:vMerge w:val="restart"/>
                  <w:vAlign w:val="center"/>
                </w:tcPr>
                <w:p>
                  <w:pPr>
                    <w:pStyle w:val="54"/>
                    <w:rPr>
                      <w:color w:val="auto"/>
                    </w:rPr>
                  </w:pPr>
                  <w:r>
                    <w:rPr>
                      <w:rFonts w:hint="eastAsia"/>
                      <w:color w:val="auto"/>
                    </w:rPr>
                    <w:t>废水排放量（万t/a）</w:t>
                  </w:r>
                </w:p>
              </w:tc>
              <w:tc>
                <w:tcPr>
                  <w:tcW w:w="280" w:type="pct"/>
                  <w:vMerge w:val="restart"/>
                  <w:vAlign w:val="center"/>
                </w:tcPr>
                <w:p>
                  <w:pPr>
                    <w:pStyle w:val="54"/>
                    <w:rPr>
                      <w:color w:val="auto"/>
                    </w:rPr>
                  </w:pPr>
                  <w:r>
                    <w:rPr>
                      <w:rFonts w:hint="eastAsia"/>
                      <w:color w:val="auto"/>
                    </w:rPr>
                    <w:t>排放去向</w:t>
                  </w:r>
                </w:p>
              </w:tc>
              <w:tc>
                <w:tcPr>
                  <w:tcW w:w="579" w:type="pct"/>
                  <w:vMerge w:val="restart"/>
                  <w:vAlign w:val="center"/>
                </w:tcPr>
                <w:p>
                  <w:pPr>
                    <w:pStyle w:val="54"/>
                    <w:rPr>
                      <w:color w:val="auto"/>
                    </w:rPr>
                  </w:pPr>
                  <w:r>
                    <w:rPr>
                      <w:rFonts w:hint="eastAsia"/>
                      <w:color w:val="auto"/>
                    </w:rPr>
                    <w:t>排放规律</w:t>
                  </w:r>
                </w:p>
              </w:tc>
              <w:tc>
                <w:tcPr>
                  <w:tcW w:w="1706" w:type="pct"/>
                  <w:gridSpan w:val="3"/>
                  <w:vAlign w:val="center"/>
                </w:tcPr>
                <w:p>
                  <w:pPr>
                    <w:pStyle w:val="54"/>
                    <w:rPr>
                      <w:color w:val="auto"/>
                    </w:rPr>
                  </w:pPr>
                  <w:r>
                    <w:rPr>
                      <w:rFonts w:hint="eastAsia"/>
                      <w:color w:val="auto"/>
                    </w:rP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Merge w:val="continue"/>
                  <w:vAlign w:val="center"/>
                </w:tcPr>
                <w:p>
                  <w:pPr>
                    <w:pStyle w:val="54"/>
                    <w:rPr>
                      <w:color w:val="auto"/>
                    </w:rPr>
                  </w:pPr>
                </w:p>
              </w:tc>
              <w:tc>
                <w:tcPr>
                  <w:tcW w:w="564" w:type="pct"/>
                  <w:vMerge w:val="continue"/>
                  <w:vAlign w:val="center"/>
                </w:tcPr>
                <w:p>
                  <w:pPr>
                    <w:pStyle w:val="54"/>
                    <w:rPr>
                      <w:color w:val="auto"/>
                    </w:rPr>
                  </w:pPr>
                </w:p>
              </w:tc>
              <w:tc>
                <w:tcPr>
                  <w:tcW w:w="583" w:type="pct"/>
                  <w:vAlign w:val="center"/>
                </w:tcPr>
                <w:p>
                  <w:pPr>
                    <w:pStyle w:val="54"/>
                    <w:rPr>
                      <w:color w:val="auto"/>
                    </w:rPr>
                  </w:pPr>
                  <w:r>
                    <w:rPr>
                      <w:rFonts w:hint="eastAsia"/>
                      <w:color w:val="auto"/>
                    </w:rPr>
                    <w:t>经度</w:t>
                  </w:r>
                </w:p>
              </w:tc>
              <w:tc>
                <w:tcPr>
                  <w:tcW w:w="528" w:type="pct"/>
                  <w:vAlign w:val="center"/>
                </w:tcPr>
                <w:p>
                  <w:pPr>
                    <w:pStyle w:val="54"/>
                    <w:rPr>
                      <w:color w:val="auto"/>
                    </w:rPr>
                  </w:pPr>
                  <w:r>
                    <w:rPr>
                      <w:rFonts w:hint="eastAsia"/>
                      <w:color w:val="auto"/>
                    </w:rPr>
                    <w:t>纬度</w:t>
                  </w:r>
                </w:p>
              </w:tc>
              <w:tc>
                <w:tcPr>
                  <w:tcW w:w="484" w:type="pct"/>
                  <w:vMerge w:val="continue"/>
                  <w:vAlign w:val="center"/>
                </w:tcPr>
                <w:p>
                  <w:pPr>
                    <w:pStyle w:val="54"/>
                    <w:rPr>
                      <w:color w:val="auto"/>
                    </w:rPr>
                  </w:pPr>
                </w:p>
              </w:tc>
              <w:tc>
                <w:tcPr>
                  <w:tcW w:w="280" w:type="pct"/>
                  <w:vMerge w:val="continue"/>
                  <w:vAlign w:val="center"/>
                </w:tcPr>
                <w:p>
                  <w:pPr>
                    <w:pStyle w:val="54"/>
                    <w:rPr>
                      <w:color w:val="auto"/>
                    </w:rPr>
                  </w:pPr>
                </w:p>
              </w:tc>
              <w:tc>
                <w:tcPr>
                  <w:tcW w:w="579" w:type="pct"/>
                  <w:vMerge w:val="continue"/>
                  <w:vAlign w:val="center"/>
                </w:tcPr>
                <w:p>
                  <w:pPr>
                    <w:pStyle w:val="54"/>
                    <w:rPr>
                      <w:color w:val="auto"/>
                    </w:rPr>
                  </w:pPr>
                </w:p>
              </w:tc>
              <w:tc>
                <w:tcPr>
                  <w:tcW w:w="320" w:type="pct"/>
                  <w:vAlign w:val="center"/>
                </w:tcPr>
                <w:p>
                  <w:pPr>
                    <w:pStyle w:val="54"/>
                    <w:rPr>
                      <w:color w:val="auto"/>
                    </w:rPr>
                  </w:pPr>
                  <w:r>
                    <w:rPr>
                      <w:rFonts w:hint="eastAsia"/>
                      <w:color w:val="auto"/>
                    </w:rPr>
                    <w:t>名称</w:t>
                  </w:r>
                </w:p>
              </w:tc>
              <w:tc>
                <w:tcPr>
                  <w:tcW w:w="572" w:type="pct"/>
                  <w:vAlign w:val="center"/>
                </w:tcPr>
                <w:p>
                  <w:pPr>
                    <w:pStyle w:val="54"/>
                    <w:rPr>
                      <w:color w:val="auto"/>
                    </w:rPr>
                  </w:pPr>
                  <w:r>
                    <w:rPr>
                      <w:rFonts w:hint="eastAsia"/>
                      <w:color w:val="auto"/>
                    </w:rPr>
                    <w:t>污染物种类</w:t>
                  </w:r>
                </w:p>
              </w:tc>
              <w:tc>
                <w:tcPr>
                  <w:tcW w:w="813" w:type="pct"/>
                  <w:vAlign w:val="center"/>
                </w:tcPr>
                <w:p>
                  <w:pPr>
                    <w:pStyle w:val="54"/>
                    <w:rPr>
                      <w:color w:val="auto"/>
                    </w:rPr>
                  </w:pPr>
                  <w:r>
                    <w:rPr>
                      <w:rFonts w:hint="eastAsia"/>
                      <w:color w:val="auto"/>
                    </w:rPr>
                    <w:t>国家或地方污染物排放标准浓度限值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271" w:type="pct"/>
                  <w:vMerge w:val="restart"/>
                  <w:vAlign w:val="center"/>
                </w:tcPr>
                <w:p>
                  <w:pPr>
                    <w:pStyle w:val="54"/>
                    <w:rPr>
                      <w:color w:val="auto"/>
                    </w:rPr>
                  </w:pPr>
                  <w:r>
                    <w:rPr>
                      <w:rFonts w:hint="eastAsia"/>
                      <w:color w:val="auto"/>
                    </w:rPr>
                    <w:t>1</w:t>
                  </w:r>
                </w:p>
              </w:tc>
              <w:tc>
                <w:tcPr>
                  <w:tcW w:w="564" w:type="pct"/>
                  <w:vMerge w:val="restart"/>
                  <w:vAlign w:val="center"/>
                </w:tcPr>
                <w:p>
                  <w:pPr>
                    <w:pStyle w:val="54"/>
                    <w:rPr>
                      <w:color w:val="auto"/>
                    </w:rPr>
                  </w:pPr>
                  <w:r>
                    <w:rPr>
                      <w:rFonts w:hint="eastAsia"/>
                      <w:color w:val="auto"/>
                    </w:rPr>
                    <w:t>DW001</w:t>
                  </w:r>
                </w:p>
              </w:tc>
              <w:tc>
                <w:tcPr>
                  <w:tcW w:w="583" w:type="pct"/>
                  <w:vMerge w:val="restart"/>
                  <w:vAlign w:val="center"/>
                </w:tcPr>
                <w:p>
                  <w:pPr>
                    <w:pStyle w:val="54"/>
                    <w:ind w:firstLine="0" w:firstLineChars="0"/>
                    <w:rPr>
                      <w:rFonts w:ascii="Times New Roman" w:hAnsi="Times New Roman" w:eastAsia="宋体" w:cs="Times New Roman"/>
                      <w:color w:val="auto"/>
                      <w:kern w:val="24"/>
                      <w:sz w:val="21"/>
                      <w:szCs w:val="20"/>
                      <w:highlight w:val="yellow"/>
                      <w:lang w:val="en-US" w:eastAsia="zh-CN" w:bidi="ar-SA"/>
                    </w:rPr>
                  </w:pPr>
                  <w:r>
                    <w:rPr>
                      <w:rFonts w:hint="eastAsia"/>
                      <w:color w:val="auto"/>
                    </w:rPr>
                    <w:t>101.229117</w:t>
                  </w:r>
                </w:p>
              </w:tc>
              <w:tc>
                <w:tcPr>
                  <w:tcW w:w="528" w:type="pct"/>
                  <w:vMerge w:val="restart"/>
                  <w:vAlign w:val="center"/>
                </w:tcPr>
                <w:p>
                  <w:pPr>
                    <w:pStyle w:val="54"/>
                    <w:ind w:firstLine="0" w:firstLineChars="0"/>
                    <w:rPr>
                      <w:rFonts w:ascii="Times New Roman" w:hAnsi="Times New Roman" w:eastAsia="宋体" w:cs="Times New Roman"/>
                      <w:color w:val="auto"/>
                      <w:kern w:val="24"/>
                      <w:sz w:val="21"/>
                      <w:szCs w:val="20"/>
                      <w:highlight w:val="yellow"/>
                      <w:lang w:val="en-US" w:eastAsia="zh-CN" w:bidi="ar-SA"/>
                    </w:rPr>
                  </w:pPr>
                  <w:r>
                    <w:rPr>
                      <w:rFonts w:hint="eastAsia"/>
                      <w:color w:val="auto"/>
                    </w:rPr>
                    <w:t>25.509691</w:t>
                  </w:r>
                </w:p>
              </w:tc>
              <w:tc>
                <w:tcPr>
                  <w:tcW w:w="484" w:type="pct"/>
                  <w:vMerge w:val="restart"/>
                  <w:vAlign w:val="center"/>
                </w:tcPr>
                <w:p>
                  <w:pPr>
                    <w:pStyle w:val="54"/>
                    <w:rPr>
                      <w:rFonts w:hint="default" w:eastAsia="宋体"/>
                      <w:color w:val="auto"/>
                      <w:lang w:val="en-US" w:eastAsia="zh-CN"/>
                    </w:rPr>
                  </w:pPr>
                  <w:r>
                    <w:rPr>
                      <w:rFonts w:hint="eastAsia"/>
                      <w:color w:val="auto"/>
                      <w:lang w:val="en-US" w:eastAsia="zh-CN"/>
                    </w:rPr>
                    <w:t>1.77</w:t>
                  </w:r>
                </w:p>
              </w:tc>
              <w:tc>
                <w:tcPr>
                  <w:tcW w:w="280" w:type="pct"/>
                  <w:vMerge w:val="restart"/>
                  <w:vAlign w:val="center"/>
                </w:tcPr>
                <w:p>
                  <w:pPr>
                    <w:pStyle w:val="54"/>
                    <w:rPr>
                      <w:color w:val="auto"/>
                    </w:rPr>
                  </w:pPr>
                  <w:r>
                    <w:rPr>
                      <w:rFonts w:hint="eastAsia"/>
                      <w:color w:val="auto"/>
                    </w:rPr>
                    <w:t>进入城镇污水处理厂</w:t>
                  </w:r>
                </w:p>
              </w:tc>
              <w:tc>
                <w:tcPr>
                  <w:tcW w:w="579" w:type="pct"/>
                  <w:vMerge w:val="restart"/>
                  <w:vAlign w:val="center"/>
                </w:tcPr>
                <w:p>
                  <w:pPr>
                    <w:pStyle w:val="54"/>
                    <w:jc w:val="both"/>
                    <w:rPr>
                      <w:color w:val="auto"/>
                    </w:rPr>
                  </w:pPr>
                  <w:r>
                    <w:rPr>
                      <w:rFonts w:hint="eastAsia"/>
                      <w:color w:val="auto"/>
                    </w:rPr>
                    <w:t>间断排放、排放期流量不稳定且无规律、但不属于冲击型排放</w:t>
                  </w:r>
                </w:p>
              </w:tc>
              <w:tc>
                <w:tcPr>
                  <w:tcW w:w="320" w:type="pct"/>
                  <w:vMerge w:val="restart"/>
                  <w:vAlign w:val="center"/>
                </w:tcPr>
                <w:p>
                  <w:pPr>
                    <w:pStyle w:val="54"/>
                    <w:rPr>
                      <w:color w:val="auto"/>
                    </w:rPr>
                  </w:pPr>
                  <w:r>
                    <w:rPr>
                      <w:rFonts w:hint="eastAsia"/>
                      <w:color w:val="auto"/>
                      <w:lang w:val="en-US" w:eastAsia="zh-CN"/>
                    </w:rPr>
                    <w:t>姚安县</w:t>
                  </w:r>
                  <w:r>
                    <w:rPr>
                      <w:rFonts w:hint="eastAsia"/>
                      <w:color w:val="auto"/>
                    </w:rPr>
                    <w:t>污水处理厂</w:t>
                  </w:r>
                </w:p>
              </w:tc>
              <w:tc>
                <w:tcPr>
                  <w:tcW w:w="572" w:type="pct"/>
                  <w:vAlign w:val="center"/>
                </w:tcPr>
                <w:p>
                  <w:pPr>
                    <w:pStyle w:val="54"/>
                    <w:rPr>
                      <w:color w:val="auto"/>
                    </w:rPr>
                  </w:pPr>
                  <w:r>
                    <w:rPr>
                      <w:rFonts w:hint="eastAsia"/>
                      <w:color w:val="auto"/>
                    </w:rPr>
                    <w:t>p</w:t>
                  </w:r>
                  <w:r>
                    <w:rPr>
                      <w:color w:val="auto"/>
                    </w:rPr>
                    <w:t>H</w:t>
                  </w:r>
                </w:p>
              </w:tc>
              <w:tc>
                <w:tcPr>
                  <w:tcW w:w="813" w:type="pct"/>
                  <w:vAlign w:val="center"/>
                </w:tcPr>
                <w:p>
                  <w:pPr>
                    <w:pStyle w:val="54"/>
                    <w:rPr>
                      <w:color w:val="auto"/>
                    </w:rPr>
                  </w:pPr>
                  <w:r>
                    <w:rPr>
                      <w:color w:val="auto"/>
                    </w:rPr>
                    <w:t>6~9</w:t>
                  </w:r>
                  <w:r>
                    <w:rPr>
                      <w:rFonts w:hint="eastAsia"/>
                      <w:color w:val="auto"/>
                    </w:rPr>
                    <w:t xml:space="preserve"> 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71" w:type="pct"/>
                  <w:vMerge w:val="continue"/>
                  <w:vAlign w:val="center"/>
                </w:tcPr>
                <w:p>
                  <w:pPr>
                    <w:pStyle w:val="54"/>
                    <w:rPr>
                      <w:rFonts w:hint="eastAsia"/>
                      <w:color w:val="auto"/>
                    </w:rPr>
                  </w:pPr>
                </w:p>
              </w:tc>
              <w:tc>
                <w:tcPr>
                  <w:tcW w:w="564" w:type="pct"/>
                  <w:vMerge w:val="continue"/>
                  <w:vAlign w:val="center"/>
                </w:tcPr>
                <w:p>
                  <w:pPr>
                    <w:pStyle w:val="54"/>
                    <w:rPr>
                      <w:rFonts w:hint="eastAsia"/>
                      <w:color w:val="auto"/>
                    </w:rPr>
                  </w:pPr>
                </w:p>
              </w:tc>
              <w:tc>
                <w:tcPr>
                  <w:tcW w:w="583" w:type="pct"/>
                  <w:vMerge w:val="continue"/>
                  <w:vAlign w:val="center"/>
                </w:tcPr>
                <w:p>
                  <w:pPr>
                    <w:pStyle w:val="54"/>
                    <w:rPr>
                      <w:rFonts w:hint="eastAsia"/>
                      <w:color w:val="auto"/>
                    </w:rPr>
                  </w:pPr>
                </w:p>
              </w:tc>
              <w:tc>
                <w:tcPr>
                  <w:tcW w:w="528" w:type="pct"/>
                  <w:vMerge w:val="continue"/>
                  <w:vAlign w:val="center"/>
                </w:tcPr>
                <w:p>
                  <w:pPr>
                    <w:pStyle w:val="54"/>
                    <w:rPr>
                      <w:rFonts w:hint="eastAsia"/>
                      <w:color w:val="auto"/>
                    </w:rPr>
                  </w:pPr>
                </w:p>
              </w:tc>
              <w:tc>
                <w:tcPr>
                  <w:tcW w:w="484" w:type="pct"/>
                  <w:vMerge w:val="continue"/>
                  <w:vAlign w:val="center"/>
                </w:tcPr>
                <w:p>
                  <w:pPr>
                    <w:pStyle w:val="54"/>
                    <w:rPr>
                      <w:rFonts w:hint="eastAsia"/>
                      <w:color w:val="auto"/>
                    </w:rPr>
                  </w:pPr>
                </w:p>
              </w:tc>
              <w:tc>
                <w:tcPr>
                  <w:tcW w:w="280" w:type="pct"/>
                  <w:vMerge w:val="continue"/>
                  <w:vAlign w:val="center"/>
                </w:tcPr>
                <w:p>
                  <w:pPr>
                    <w:pStyle w:val="54"/>
                    <w:rPr>
                      <w:rFonts w:hint="eastAsia"/>
                      <w:color w:val="auto"/>
                    </w:rPr>
                  </w:pPr>
                </w:p>
              </w:tc>
              <w:tc>
                <w:tcPr>
                  <w:tcW w:w="579" w:type="pct"/>
                  <w:vMerge w:val="continue"/>
                  <w:vAlign w:val="center"/>
                </w:tcPr>
                <w:p>
                  <w:pPr>
                    <w:pStyle w:val="54"/>
                    <w:rPr>
                      <w:rFonts w:hint="eastAsia"/>
                      <w:color w:val="auto"/>
                    </w:rPr>
                  </w:pPr>
                </w:p>
              </w:tc>
              <w:tc>
                <w:tcPr>
                  <w:tcW w:w="320" w:type="pct"/>
                  <w:vMerge w:val="continue"/>
                  <w:vAlign w:val="center"/>
                </w:tcPr>
                <w:p>
                  <w:pPr>
                    <w:pStyle w:val="54"/>
                    <w:rPr>
                      <w:rFonts w:hint="eastAsia"/>
                      <w:color w:val="auto"/>
                    </w:rPr>
                  </w:pPr>
                </w:p>
              </w:tc>
              <w:tc>
                <w:tcPr>
                  <w:tcW w:w="572" w:type="pct"/>
                  <w:vAlign w:val="center"/>
                </w:tcPr>
                <w:p>
                  <w:pPr>
                    <w:pStyle w:val="54"/>
                    <w:rPr>
                      <w:color w:val="auto"/>
                    </w:rPr>
                  </w:pPr>
                  <w:r>
                    <w:rPr>
                      <w:color w:val="auto"/>
                    </w:rPr>
                    <w:t>COD</w:t>
                  </w:r>
                  <w:r>
                    <w:rPr>
                      <w:color w:val="auto"/>
                      <w:vertAlign w:val="subscript"/>
                    </w:rPr>
                    <w:t>cr</w:t>
                  </w:r>
                </w:p>
              </w:tc>
              <w:tc>
                <w:tcPr>
                  <w:tcW w:w="813" w:type="pct"/>
                  <w:vAlign w:val="center"/>
                </w:tcPr>
                <w:p>
                  <w:pPr>
                    <w:pStyle w:val="54"/>
                    <w:rPr>
                      <w:color w:val="auto"/>
                    </w:rPr>
                  </w:pPr>
                  <w:r>
                    <w:rPr>
                      <w:rFonts w:hint="eastAsia"/>
                      <w:color w:val="auto"/>
                    </w:rPr>
                    <w:t>60mg/L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271" w:type="pct"/>
                  <w:vMerge w:val="continue"/>
                  <w:vAlign w:val="center"/>
                </w:tcPr>
                <w:p>
                  <w:pPr>
                    <w:pStyle w:val="54"/>
                    <w:rPr>
                      <w:rFonts w:hint="eastAsia"/>
                      <w:color w:val="auto"/>
                    </w:rPr>
                  </w:pPr>
                </w:p>
              </w:tc>
              <w:tc>
                <w:tcPr>
                  <w:tcW w:w="564" w:type="pct"/>
                  <w:vMerge w:val="continue"/>
                  <w:vAlign w:val="center"/>
                </w:tcPr>
                <w:p>
                  <w:pPr>
                    <w:pStyle w:val="54"/>
                    <w:rPr>
                      <w:rFonts w:hint="eastAsia"/>
                      <w:color w:val="auto"/>
                    </w:rPr>
                  </w:pPr>
                </w:p>
              </w:tc>
              <w:tc>
                <w:tcPr>
                  <w:tcW w:w="583" w:type="pct"/>
                  <w:vMerge w:val="continue"/>
                  <w:vAlign w:val="center"/>
                </w:tcPr>
                <w:p>
                  <w:pPr>
                    <w:pStyle w:val="54"/>
                    <w:rPr>
                      <w:rFonts w:hint="eastAsia"/>
                      <w:color w:val="auto"/>
                    </w:rPr>
                  </w:pPr>
                </w:p>
              </w:tc>
              <w:tc>
                <w:tcPr>
                  <w:tcW w:w="528" w:type="pct"/>
                  <w:vMerge w:val="continue"/>
                  <w:vAlign w:val="center"/>
                </w:tcPr>
                <w:p>
                  <w:pPr>
                    <w:pStyle w:val="54"/>
                    <w:rPr>
                      <w:rFonts w:hint="eastAsia"/>
                      <w:color w:val="auto"/>
                    </w:rPr>
                  </w:pPr>
                </w:p>
              </w:tc>
              <w:tc>
                <w:tcPr>
                  <w:tcW w:w="484" w:type="pct"/>
                  <w:vMerge w:val="continue"/>
                  <w:vAlign w:val="center"/>
                </w:tcPr>
                <w:p>
                  <w:pPr>
                    <w:pStyle w:val="54"/>
                    <w:rPr>
                      <w:rFonts w:hint="eastAsia"/>
                      <w:color w:val="auto"/>
                    </w:rPr>
                  </w:pPr>
                </w:p>
              </w:tc>
              <w:tc>
                <w:tcPr>
                  <w:tcW w:w="280" w:type="pct"/>
                  <w:vMerge w:val="continue"/>
                  <w:vAlign w:val="center"/>
                </w:tcPr>
                <w:p>
                  <w:pPr>
                    <w:pStyle w:val="54"/>
                    <w:rPr>
                      <w:rFonts w:hint="eastAsia"/>
                      <w:color w:val="auto"/>
                    </w:rPr>
                  </w:pPr>
                </w:p>
              </w:tc>
              <w:tc>
                <w:tcPr>
                  <w:tcW w:w="579" w:type="pct"/>
                  <w:vMerge w:val="continue"/>
                  <w:vAlign w:val="center"/>
                </w:tcPr>
                <w:p>
                  <w:pPr>
                    <w:pStyle w:val="54"/>
                    <w:rPr>
                      <w:rFonts w:hint="eastAsia"/>
                      <w:color w:val="auto"/>
                    </w:rPr>
                  </w:pPr>
                </w:p>
              </w:tc>
              <w:tc>
                <w:tcPr>
                  <w:tcW w:w="320" w:type="pct"/>
                  <w:vMerge w:val="continue"/>
                  <w:vAlign w:val="center"/>
                </w:tcPr>
                <w:p>
                  <w:pPr>
                    <w:pStyle w:val="54"/>
                    <w:rPr>
                      <w:rFonts w:hint="eastAsia"/>
                      <w:color w:val="auto"/>
                    </w:rPr>
                  </w:pPr>
                </w:p>
              </w:tc>
              <w:tc>
                <w:tcPr>
                  <w:tcW w:w="572" w:type="pct"/>
                  <w:vAlign w:val="center"/>
                </w:tcPr>
                <w:p>
                  <w:pPr>
                    <w:pStyle w:val="54"/>
                    <w:rPr>
                      <w:color w:val="auto"/>
                    </w:rPr>
                  </w:pPr>
                  <w:r>
                    <w:rPr>
                      <w:color w:val="auto"/>
                    </w:rPr>
                    <w:t>BOD</w:t>
                  </w:r>
                  <w:r>
                    <w:rPr>
                      <w:color w:val="auto"/>
                      <w:vertAlign w:val="subscript"/>
                    </w:rPr>
                    <w:t>5</w:t>
                  </w:r>
                </w:p>
              </w:tc>
              <w:tc>
                <w:tcPr>
                  <w:tcW w:w="813" w:type="pct"/>
                  <w:vAlign w:val="center"/>
                </w:tcPr>
                <w:p>
                  <w:pPr>
                    <w:pStyle w:val="54"/>
                    <w:rPr>
                      <w:color w:val="auto"/>
                    </w:rPr>
                  </w:pPr>
                  <w:r>
                    <w:rPr>
                      <w:rFonts w:hint="eastAsia"/>
                      <w:color w:val="auto"/>
                    </w:rPr>
                    <w:t>20mg/L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271" w:type="pct"/>
                  <w:vMerge w:val="continue"/>
                  <w:vAlign w:val="center"/>
                </w:tcPr>
                <w:p>
                  <w:pPr>
                    <w:pStyle w:val="54"/>
                    <w:rPr>
                      <w:rFonts w:hint="eastAsia"/>
                      <w:color w:val="auto"/>
                    </w:rPr>
                  </w:pPr>
                </w:p>
              </w:tc>
              <w:tc>
                <w:tcPr>
                  <w:tcW w:w="564" w:type="pct"/>
                  <w:vMerge w:val="continue"/>
                  <w:vAlign w:val="center"/>
                </w:tcPr>
                <w:p>
                  <w:pPr>
                    <w:pStyle w:val="54"/>
                    <w:rPr>
                      <w:rFonts w:hint="eastAsia"/>
                      <w:color w:val="auto"/>
                    </w:rPr>
                  </w:pPr>
                </w:p>
              </w:tc>
              <w:tc>
                <w:tcPr>
                  <w:tcW w:w="583" w:type="pct"/>
                  <w:vMerge w:val="continue"/>
                  <w:vAlign w:val="center"/>
                </w:tcPr>
                <w:p>
                  <w:pPr>
                    <w:pStyle w:val="54"/>
                    <w:rPr>
                      <w:rFonts w:hint="eastAsia"/>
                      <w:color w:val="auto"/>
                    </w:rPr>
                  </w:pPr>
                </w:p>
              </w:tc>
              <w:tc>
                <w:tcPr>
                  <w:tcW w:w="528" w:type="pct"/>
                  <w:vMerge w:val="continue"/>
                  <w:vAlign w:val="center"/>
                </w:tcPr>
                <w:p>
                  <w:pPr>
                    <w:pStyle w:val="54"/>
                    <w:rPr>
                      <w:rFonts w:hint="eastAsia"/>
                      <w:color w:val="auto"/>
                    </w:rPr>
                  </w:pPr>
                </w:p>
              </w:tc>
              <w:tc>
                <w:tcPr>
                  <w:tcW w:w="484" w:type="pct"/>
                  <w:vMerge w:val="continue"/>
                  <w:vAlign w:val="center"/>
                </w:tcPr>
                <w:p>
                  <w:pPr>
                    <w:pStyle w:val="54"/>
                    <w:rPr>
                      <w:rFonts w:hint="eastAsia"/>
                      <w:color w:val="auto"/>
                    </w:rPr>
                  </w:pPr>
                </w:p>
              </w:tc>
              <w:tc>
                <w:tcPr>
                  <w:tcW w:w="280" w:type="pct"/>
                  <w:vMerge w:val="continue"/>
                  <w:vAlign w:val="center"/>
                </w:tcPr>
                <w:p>
                  <w:pPr>
                    <w:pStyle w:val="54"/>
                    <w:rPr>
                      <w:rFonts w:hint="eastAsia"/>
                      <w:color w:val="auto"/>
                    </w:rPr>
                  </w:pPr>
                </w:p>
              </w:tc>
              <w:tc>
                <w:tcPr>
                  <w:tcW w:w="579" w:type="pct"/>
                  <w:vMerge w:val="continue"/>
                  <w:vAlign w:val="center"/>
                </w:tcPr>
                <w:p>
                  <w:pPr>
                    <w:pStyle w:val="54"/>
                    <w:rPr>
                      <w:rFonts w:hint="eastAsia"/>
                      <w:color w:val="auto"/>
                    </w:rPr>
                  </w:pPr>
                </w:p>
              </w:tc>
              <w:tc>
                <w:tcPr>
                  <w:tcW w:w="320" w:type="pct"/>
                  <w:vMerge w:val="continue"/>
                  <w:vAlign w:val="center"/>
                </w:tcPr>
                <w:p>
                  <w:pPr>
                    <w:pStyle w:val="54"/>
                    <w:rPr>
                      <w:rFonts w:hint="eastAsia"/>
                      <w:color w:val="auto"/>
                    </w:rPr>
                  </w:pPr>
                </w:p>
              </w:tc>
              <w:tc>
                <w:tcPr>
                  <w:tcW w:w="572" w:type="pct"/>
                  <w:vAlign w:val="center"/>
                </w:tcPr>
                <w:p>
                  <w:pPr>
                    <w:pStyle w:val="54"/>
                    <w:rPr>
                      <w:color w:val="auto"/>
                    </w:rPr>
                  </w:pPr>
                  <w:r>
                    <w:rPr>
                      <w:color w:val="auto"/>
                    </w:rPr>
                    <w:t>SS</w:t>
                  </w:r>
                </w:p>
              </w:tc>
              <w:tc>
                <w:tcPr>
                  <w:tcW w:w="813" w:type="pct"/>
                  <w:vAlign w:val="center"/>
                </w:tcPr>
                <w:p>
                  <w:pPr>
                    <w:pStyle w:val="54"/>
                    <w:rPr>
                      <w:color w:val="auto"/>
                    </w:rPr>
                  </w:pPr>
                  <w:r>
                    <w:rPr>
                      <w:rFonts w:hint="eastAsia"/>
                      <w:color w:val="auto"/>
                    </w:rPr>
                    <w:t>20mg/L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271" w:type="pct"/>
                  <w:vMerge w:val="continue"/>
                  <w:vAlign w:val="center"/>
                </w:tcPr>
                <w:p>
                  <w:pPr>
                    <w:pStyle w:val="54"/>
                    <w:rPr>
                      <w:rFonts w:hint="eastAsia"/>
                      <w:color w:val="auto"/>
                    </w:rPr>
                  </w:pPr>
                </w:p>
              </w:tc>
              <w:tc>
                <w:tcPr>
                  <w:tcW w:w="564" w:type="pct"/>
                  <w:vMerge w:val="continue"/>
                  <w:vAlign w:val="center"/>
                </w:tcPr>
                <w:p>
                  <w:pPr>
                    <w:pStyle w:val="54"/>
                    <w:rPr>
                      <w:rFonts w:hint="eastAsia"/>
                      <w:color w:val="auto"/>
                    </w:rPr>
                  </w:pPr>
                </w:p>
              </w:tc>
              <w:tc>
                <w:tcPr>
                  <w:tcW w:w="583" w:type="pct"/>
                  <w:vMerge w:val="continue"/>
                  <w:vAlign w:val="center"/>
                </w:tcPr>
                <w:p>
                  <w:pPr>
                    <w:pStyle w:val="54"/>
                    <w:rPr>
                      <w:rFonts w:hint="eastAsia"/>
                      <w:color w:val="auto"/>
                    </w:rPr>
                  </w:pPr>
                </w:p>
              </w:tc>
              <w:tc>
                <w:tcPr>
                  <w:tcW w:w="528" w:type="pct"/>
                  <w:vMerge w:val="continue"/>
                  <w:vAlign w:val="center"/>
                </w:tcPr>
                <w:p>
                  <w:pPr>
                    <w:pStyle w:val="54"/>
                    <w:rPr>
                      <w:rFonts w:hint="eastAsia"/>
                      <w:color w:val="auto"/>
                    </w:rPr>
                  </w:pPr>
                </w:p>
              </w:tc>
              <w:tc>
                <w:tcPr>
                  <w:tcW w:w="484" w:type="pct"/>
                  <w:vMerge w:val="continue"/>
                  <w:vAlign w:val="center"/>
                </w:tcPr>
                <w:p>
                  <w:pPr>
                    <w:pStyle w:val="54"/>
                    <w:rPr>
                      <w:rFonts w:hint="eastAsia"/>
                      <w:color w:val="auto"/>
                    </w:rPr>
                  </w:pPr>
                </w:p>
              </w:tc>
              <w:tc>
                <w:tcPr>
                  <w:tcW w:w="280" w:type="pct"/>
                  <w:vMerge w:val="continue"/>
                  <w:vAlign w:val="center"/>
                </w:tcPr>
                <w:p>
                  <w:pPr>
                    <w:pStyle w:val="54"/>
                    <w:rPr>
                      <w:rFonts w:hint="eastAsia"/>
                      <w:color w:val="auto"/>
                    </w:rPr>
                  </w:pPr>
                </w:p>
              </w:tc>
              <w:tc>
                <w:tcPr>
                  <w:tcW w:w="579" w:type="pct"/>
                  <w:vMerge w:val="continue"/>
                  <w:vAlign w:val="center"/>
                </w:tcPr>
                <w:p>
                  <w:pPr>
                    <w:pStyle w:val="54"/>
                    <w:rPr>
                      <w:rFonts w:hint="eastAsia"/>
                      <w:color w:val="auto"/>
                    </w:rPr>
                  </w:pPr>
                </w:p>
              </w:tc>
              <w:tc>
                <w:tcPr>
                  <w:tcW w:w="320" w:type="pct"/>
                  <w:vMerge w:val="continue"/>
                  <w:vAlign w:val="center"/>
                </w:tcPr>
                <w:p>
                  <w:pPr>
                    <w:pStyle w:val="54"/>
                    <w:rPr>
                      <w:rFonts w:hint="eastAsia"/>
                      <w:color w:val="auto"/>
                    </w:rPr>
                  </w:pPr>
                </w:p>
              </w:tc>
              <w:tc>
                <w:tcPr>
                  <w:tcW w:w="572" w:type="pct"/>
                  <w:vAlign w:val="center"/>
                </w:tcPr>
                <w:p>
                  <w:pPr>
                    <w:pStyle w:val="54"/>
                    <w:rPr>
                      <w:color w:val="auto"/>
                    </w:rPr>
                  </w:pPr>
                  <w:r>
                    <w:rPr>
                      <w:color w:val="auto"/>
                    </w:rPr>
                    <w:t>氨氮</w:t>
                  </w:r>
                </w:p>
              </w:tc>
              <w:tc>
                <w:tcPr>
                  <w:tcW w:w="813" w:type="pct"/>
                  <w:vAlign w:val="center"/>
                </w:tcPr>
                <w:p>
                  <w:pPr>
                    <w:pStyle w:val="54"/>
                    <w:rPr>
                      <w:color w:val="auto"/>
                    </w:rPr>
                  </w:pPr>
                  <w:r>
                    <w:rPr>
                      <w:rFonts w:hint="eastAsia"/>
                      <w:color w:val="auto"/>
                    </w:rPr>
                    <w:t>8mg/L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71" w:type="pct"/>
                  <w:vMerge w:val="continue"/>
                  <w:vAlign w:val="center"/>
                </w:tcPr>
                <w:p>
                  <w:pPr>
                    <w:pStyle w:val="54"/>
                    <w:rPr>
                      <w:rFonts w:hint="eastAsia"/>
                      <w:color w:val="auto"/>
                    </w:rPr>
                  </w:pPr>
                </w:p>
              </w:tc>
              <w:tc>
                <w:tcPr>
                  <w:tcW w:w="564" w:type="pct"/>
                  <w:vMerge w:val="continue"/>
                  <w:vAlign w:val="center"/>
                </w:tcPr>
                <w:p>
                  <w:pPr>
                    <w:pStyle w:val="54"/>
                    <w:rPr>
                      <w:rFonts w:hint="eastAsia"/>
                      <w:color w:val="auto"/>
                    </w:rPr>
                  </w:pPr>
                </w:p>
              </w:tc>
              <w:tc>
                <w:tcPr>
                  <w:tcW w:w="583" w:type="pct"/>
                  <w:vMerge w:val="continue"/>
                  <w:vAlign w:val="center"/>
                </w:tcPr>
                <w:p>
                  <w:pPr>
                    <w:pStyle w:val="54"/>
                    <w:rPr>
                      <w:rFonts w:hint="eastAsia"/>
                      <w:color w:val="auto"/>
                    </w:rPr>
                  </w:pPr>
                </w:p>
              </w:tc>
              <w:tc>
                <w:tcPr>
                  <w:tcW w:w="528" w:type="pct"/>
                  <w:vMerge w:val="continue"/>
                  <w:vAlign w:val="center"/>
                </w:tcPr>
                <w:p>
                  <w:pPr>
                    <w:pStyle w:val="54"/>
                    <w:rPr>
                      <w:rFonts w:hint="eastAsia"/>
                      <w:color w:val="auto"/>
                    </w:rPr>
                  </w:pPr>
                </w:p>
              </w:tc>
              <w:tc>
                <w:tcPr>
                  <w:tcW w:w="484" w:type="pct"/>
                  <w:vMerge w:val="continue"/>
                  <w:vAlign w:val="center"/>
                </w:tcPr>
                <w:p>
                  <w:pPr>
                    <w:pStyle w:val="54"/>
                    <w:rPr>
                      <w:rFonts w:hint="eastAsia"/>
                      <w:color w:val="auto"/>
                    </w:rPr>
                  </w:pPr>
                </w:p>
              </w:tc>
              <w:tc>
                <w:tcPr>
                  <w:tcW w:w="280" w:type="pct"/>
                  <w:vMerge w:val="continue"/>
                  <w:vAlign w:val="center"/>
                </w:tcPr>
                <w:p>
                  <w:pPr>
                    <w:pStyle w:val="54"/>
                    <w:rPr>
                      <w:rFonts w:hint="eastAsia"/>
                      <w:color w:val="auto"/>
                    </w:rPr>
                  </w:pPr>
                </w:p>
              </w:tc>
              <w:tc>
                <w:tcPr>
                  <w:tcW w:w="579" w:type="pct"/>
                  <w:vMerge w:val="continue"/>
                  <w:vAlign w:val="center"/>
                </w:tcPr>
                <w:p>
                  <w:pPr>
                    <w:pStyle w:val="54"/>
                    <w:rPr>
                      <w:rFonts w:hint="eastAsia"/>
                      <w:color w:val="auto"/>
                    </w:rPr>
                  </w:pPr>
                </w:p>
              </w:tc>
              <w:tc>
                <w:tcPr>
                  <w:tcW w:w="320" w:type="pct"/>
                  <w:vMerge w:val="continue"/>
                  <w:vAlign w:val="center"/>
                </w:tcPr>
                <w:p>
                  <w:pPr>
                    <w:pStyle w:val="54"/>
                    <w:rPr>
                      <w:rFonts w:hint="eastAsia"/>
                      <w:color w:val="auto"/>
                    </w:rPr>
                  </w:pPr>
                </w:p>
              </w:tc>
              <w:tc>
                <w:tcPr>
                  <w:tcW w:w="572" w:type="pct"/>
                  <w:vAlign w:val="center"/>
                </w:tcPr>
                <w:p>
                  <w:pPr>
                    <w:pStyle w:val="54"/>
                    <w:rPr>
                      <w:color w:val="auto"/>
                    </w:rPr>
                  </w:pPr>
                  <w:r>
                    <w:rPr>
                      <w:color w:val="auto"/>
                    </w:rPr>
                    <w:t>粪大肠菌群数</w:t>
                  </w:r>
                </w:p>
              </w:tc>
              <w:tc>
                <w:tcPr>
                  <w:tcW w:w="813" w:type="pct"/>
                  <w:vAlign w:val="center"/>
                </w:tcPr>
                <w:p>
                  <w:pPr>
                    <w:pStyle w:val="54"/>
                    <w:rPr>
                      <w:color w:val="auto"/>
                    </w:rPr>
                  </w:pPr>
                  <w:r>
                    <w:rPr>
                      <w:rFonts w:hint="eastAsia"/>
                      <w:color w:val="auto"/>
                    </w:rPr>
                    <w:t>10</w:t>
                  </w:r>
                  <w:r>
                    <w:rPr>
                      <w:rFonts w:hint="eastAsia"/>
                      <w:color w:val="auto"/>
                      <w:vertAlign w:val="superscript"/>
                    </w:rPr>
                    <w:t>4</w:t>
                  </w:r>
                  <w:r>
                    <w:rPr>
                      <w:rFonts w:hint="eastAsia"/>
                      <w:color w:val="auto"/>
                    </w:rPr>
                    <w:t>mg/L</w:t>
                  </w:r>
                </w:p>
              </w:tc>
            </w:tr>
          </w:tbl>
          <w:p>
            <w:pPr>
              <w:pStyle w:val="67"/>
              <w:spacing w:line="360" w:lineRule="auto"/>
              <w:rPr>
                <w:rFonts w:hint="eastAsia"/>
                <w:color w:val="auto"/>
                <w:sz w:val="21"/>
                <w:szCs w:val="21"/>
                <w:highlight w:val="yellow"/>
              </w:rPr>
            </w:pPr>
            <w:r>
              <w:rPr>
                <w:rFonts w:hint="eastAsia"/>
                <w:color w:val="auto"/>
                <w:sz w:val="21"/>
                <w:szCs w:val="21"/>
                <w:highlight w:val="none"/>
              </w:rPr>
              <w:t>表4-</w:t>
            </w:r>
            <w:r>
              <w:rPr>
                <w:rFonts w:hint="eastAsia"/>
                <w:color w:val="auto"/>
                <w:sz w:val="21"/>
                <w:szCs w:val="21"/>
                <w:highlight w:val="none"/>
                <w:lang w:val="en-US" w:eastAsia="zh-CN"/>
              </w:rPr>
              <w:t>11</w:t>
            </w:r>
            <w:r>
              <w:rPr>
                <w:rFonts w:hint="eastAsia"/>
                <w:color w:val="auto"/>
                <w:sz w:val="21"/>
                <w:szCs w:val="21"/>
                <w:highlight w:val="none"/>
              </w:rPr>
              <w:t xml:space="preserve"> 项目废水排放执行标准情况表</w:t>
            </w:r>
          </w:p>
          <w:tbl>
            <w:tblPr>
              <w:tblStyle w:val="37"/>
              <w:tblW w:w="84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2409"/>
              <w:gridCol w:w="2251"/>
              <w:gridCol w:w="2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582"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ind w:left="0" w:leftChars="0" w:right="0" w:rightChars="0" w:firstLine="0" w:firstLineChars="0"/>
                    <w:jc w:val="center"/>
                    <w:rPr>
                      <w:rFonts w:hint="default" w:ascii="宋体" w:eastAsia="宋体"/>
                      <w:b/>
                      <w:bCs/>
                      <w:color w:val="auto"/>
                      <w:sz w:val="21"/>
                    </w:rPr>
                  </w:pPr>
                  <w:r>
                    <w:rPr>
                      <w:rFonts w:hint="default" w:ascii="宋体" w:eastAsia="宋体"/>
                      <w:b/>
                      <w:bCs/>
                      <w:color w:val="auto"/>
                      <w:sz w:val="21"/>
                    </w:rPr>
                    <w:t>排放口编号</w:t>
                  </w:r>
                </w:p>
              </w:tc>
              <w:tc>
                <w:tcPr>
                  <w:tcW w:w="2409"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ind w:left="0" w:leftChars="0" w:right="0" w:rightChars="0" w:firstLine="0" w:firstLineChars="0"/>
                    <w:jc w:val="center"/>
                    <w:rPr>
                      <w:rFonts w:hint="default" w:ascii="宋体" w:eastAsia="宋体"/>
                      <w:b/>
                      <w:bCs/>
                      <w:color w:val="auto"/>
                      <w:sz w:val="21"/>
                    </w:rPr>
                  </w:pPr>
                  <w:r>
                    <w:rPr>
                      <w:rFonts w:hint="default" w:ascii="宋体" w:eastAsia="宋体"/>
                      <w:b/>
                      <w:bCs/>
                      <w:color w:val="auto"/>
                      <w:sz w:val="21"/>
                    </w:rPr>
                    <w:t>污染物种类</w:t>
                  </w:r>
                </w:p>
              </w:tc>
              <w:tc>
                <w:tcPr>
                  <w:tcW w:w="2251"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ind w:left="0" w:leftChars="0" w:right="0" w:rightChars="0" w:firstLine="0" w:firstLineChars="0"/>
                    <w:jc w:val="center"/>
                    <w:rPr>
                      <w:rFonts w:hint="default" w:ascii="宋体" w:eastAsia="宋体"/>
                      <w:b/>
                      <w:bCs/>
                      <w:color w:val="auto"/>
                      <w:sz w:val="21"/>
                    </w:rPr>
                  </w:pPr>
                  <w:r>
                    <w:rPr>
                      <w:rFonts w:hint="default" w:ascii="宋体" w:eastAsia="宋体"/>
                      <w:b/>
                      <w:bCs/>
                      <w:color w:val="auto"/>
                      <w:sz w:val="21"/>
                    </w:rPr>
                    <w:t>标准限值（</w:t>
                  </w:r>
                  <w:r>
                    <w:rPr>
                      <w:rFonts w:hint="eastAsia"/>
                      <w:b/>
                      <w:bCs/>
                      <w:color w:val="auto"/>
                      <w:sz w:val="21"/>
                    </w:rPr>
                    <w:t>mg/L</w:t>
                  </w:r>
                  <w:r>
                    <w:rPr>
                      <w:rFonts w:hint="default" w:ascii="宋体" w:eastAsia="宋体"/>
                      <w:b/>
                      <w:bCs/>
                      <w:color w:val="auto"/>
                      <w:sz w:val="21"/>
                    </w:rPr>
                    <w:t>）</w:t>
                  </w:r>
                </w:p>
              </w:tc>
              <w:tc>
                <w:tcPr>
                  <w:tcW w:w="2227"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ind w:left="0" w:leftChars="0" w:right="0" w:rightChars="0" w:firstLine="0" w:firstLineChars="0"/>
                    <w:jc w:val="center"/>
                    <w:rPr>
                      <w:rFonts w:hint="default" w:ascii="宋体" w:eastAsia="宋体"/>
                      <w:b/>
                      <w:bCs/>
                      <w:color w:val="auto"/>
                      <w:sz w:val="21"/>
                    </w:rPr>
                  </w:pPr>
                  <w:r>
                    <w:rPr>
                      <w:rFonts w:hint="default" w:ascii="宋体" w:eastAsia="宋体"/>
                      <w:b/>
                      <w:bCs/>
                      <w:color w:val="auto"/>
                      <w:sz w:val="21"/>
                    </w:rPr>
                    <w:t>标准依据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58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both"/>
                    <w:rPr>
                      <w:rFonts w:hint="default" w:ascii="宋体" w:eastAsia="宋体"/>
                      <w:color w:val="auto"/>
                      <w:sz w:val="21"/>
                    </w:rPr>
                  </w:pPr>
                  <w:r>
                    <w:rPr>
                      <w:rFonts w:hint="default" w:ascii="宋体" w:eastAsia="宋体"/>
                      <w:color w:val="auto"/>
                      <w:sz w:val="21"/>
                    </w:rPr>
                    <w:t>DW001</w:t>
                  </w:r>
                </w:p>
              </w:tc>
              <w:tc>
                <w:tcPr>
                  <w:tcW w:w="2409"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eastAsia"/>
                      <w:color w:val="auto"/>
                      <w:sz w:val="21"/>
                    </w:rPr>
                    <w:t>pH</w:t>
                  </w:r>
                  <w:r>
                    <w:rPr>
                      <w:rFonts w:hint="default" w:ascii="宋体" w:eastAsia="宋体"/>
                      <w:color w:val="auto"/>
                      <w:sz w:val="21"/>
                    </w:rPr>
                    <w:t>值</w:t>
                  </w:r>
                </w:p>
              </w:tc>
              <w:tc>
                <w:tcPr>
                  <w:tcW w:w="2251"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eastAsia"/>
                      <w:color w:val="auto"/>
                      <w:sz w:val="21"/>
                    </w:rPr>
                    <w:t>6~9</w:t>
                  </w:r>
                </w:p>
              </w:tc>
              <w:tc>
                <w:tcPr>
                  <w:tcW w:w="2227"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both"/>
                    <w:rPr>
                      <w:rFonts w:hint="default" w:ascii="宋体" w:eastAsia="宋体"/>
                      <w:color w:val="auto"/>
                      <w:sz w:val="21"/>
                    </w:rPr>
                  </w:pPr>
                  <w:r>
                    <w:rPr>
                      <w:rFonts w:hint="default" w:ascii="宋体" w:hAnsi="宋体" w:eastAsia="宋体"/>
                      <w:color w:val="auto"/>
                      <w:sz w:val="21"/>
                    </w:rPr>
                    <w:t>《医疗机构水污染物排放标准》（GB18466-2005）表2预处理标准和《污水排入城镇下水道水质标准》（GB/T31962-2015）表1（</w:t>
                  </w:r>
                  <w:r>
                    <w:rPr>
                      <w:rFonts w:hint="eastAsia" w:ascii="宋体" w:hAnsi="宋体" w:eastAsia="宋体"/>
                      <w:color w:val="auto"/>
                      <w:sz w:val="21"/>
                      <w:lang w:eastAsia="zh-CN"/>
                    </w:rPr>
                    <w:t>B等级</w:t>
                  </w:r>
                  <w:r>
                    <w:rPr>
                      <w:rFonts w:hint="default" w:ascii="宋体" w:hAnsi="宋体" w:eastAsia="宋体"/>
                      <w:color w:val="auto"/>
                      <w:sz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58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c>
                <w:tcPr>
                  <w:tcW w:w="2409"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default" w:ascii="宋体" w:eastAsia="宋体"/>
                      <w:color w:val="auto"/>
                      <w:sz w:val="21"/>
                    </w:rPr>
                    <w:t>悬浮物</w:t>
                  </w:r>
                </w:p>
              </w:tc>
              <w:tc>
                <w:tcPr>
                  <w:tcW w:w="2251"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eastAsia"/>
                      <w:color w:val="auto"/>
                      <w:sz w:val="21"/>
                    </w:rPr>
                    <w:t>60</w:t>
                  </w:r>
                </w:p>
              </w:tc>
              <w:tc>
                <w:tcPr>
                  <w:tcW w:w="222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58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c>
                <w:tcPr>
                  <w:tcW w:w="2409"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default" w:ascii="宋体" w:eastAsia="宋体"/>
                      <w:color w:val="auto"/>
                      <w:sz w:val="21"/>
                    </w:rPr>
                    <w:t>化学需氧量</w:t>
                  </w:r>
                </w:p>
              </w:tc>
              <w:tc>
                <w:tcPr>
                  <w:tcW w:w="2251"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eastAsia"/>
                      <w:color w:val="auto"/>
                      <w:sz w:val="21"/>
                    </w:rPr>
                    <w:t>250</w:t>
                  </w:r>
                </w:p>
              </w:tc>
              <w:tc>
                <w:tcPr>
                  <w:tcW w:w="222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58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c>
                <w:tcPr>
                  <w:tcW w:w="2409"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default" w:ascii="宋体" w:eastAsia="宋体"/>
                      <w:color w:val="auto"/>
                      <w:sz w:val="21"/>
                    </w:rPr>
                    <w:t>五日生化需氧量</w:t>
                  </w:r>
                </w:p>
              </w:tc>
              <w:tc>
                <w:tcPr>
                  <w:tcW w:w="2251"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eastAsia"/>
                      <w:color w:val="auto"/>
                      <w:sz w:val="21"/>
                    </w:rPr>
                    <w:t>100</w:t>
                  </w:r>
                </w:p>
              </w:tc>
              <w:tc>
                <w:tcPr>
                  <w:tcW w:w="222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58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c>
                <w:tcPr>
                  <w:tcW w:w="2409"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default" w:ascii="宋体" w:eastAsia="宋体"/>
                      <w:color w:val="auto"/>
                      <w:sz w:val="21"/>
                    </w:rPr>
                    <w:t>氨氮</w:t>
                  </w:r>
                </w:p>
              </w:tc>
              <w:tc>
                <w:tcPr>
                  <w:tcW w:w="2251"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lang w:val="en-US" w:eastAsia="zh-CN"/>
                    </w:rPr>
                  </w:pPr>
                  <w:r>
                    <w:rPr>
                      <w:rFonts w:hint="eastAsia" w:eastAsia="宋体"/>
                      <w:color w:val="auto"/>
                      <w:sz w:val="21"/>
                      <w:lang w:val="en-US" w:eastAsia="zh-CN"/>
                    </w:rPr>
                    <w:t>45</w:t>
                  </w:r>
                </w:p>
              </w:tc>
              <w:tc>
                <w:tcPr>
                  <w:tcW w:w="222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58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c>
                <w:tcPr>
                  <w:tcW w:w="2409"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default" w:ascii="宋体" w:eastAsia="宋体"/>
                      <w:color w:val="auto"/>
                      <w:sz w:val="21"/>
                    </w:rPr>
                    <w:t>阴离子表面活性剂</w:t>
                  </w:r>
                </w:p>
              </w:tc>
              <w:tc>
                <w:tcPr>
                  <w:tcW w:w="2251"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eastAsia"/>
                      <w:color w:val="auto"/>
                      <w:sz w:val="21"/>
                    </w:rPr>
                    <w:t>10</w:t>
                  </w:r>
                </w:p>
              </w:tc>
              <w:tc>
                <w:tcPr>
                  <w:tcW w:w="222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58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c>
                <w:tcPr>
                  <w:tcW w:w="2409"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default" w:ascii="宋体" w:eastAsia="宋体"/>
                      <w:color w:val="auto"/>
                      <w:sz w:val="21"/>
                    </w:rPr>
                    <w:t>动植物油</w:t>
                  </w:r>
                </w:p>
              </w:tc>
              <w:tc>
                <w:tcPr>
                  <w:tcW w:w="2251"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eastAsia"/>
                      <w:color w:val="auto"/>
                      <w:sz w:val="21"/>
                    </w:rPr>
                    <w:t>20</w:t>
                  </w:r>
                </w:p>
              </w:tc>
              <w:tc>
                <w:tcPr>
                  <w:tcW w:w="222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58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c>
                <w:tcPr>
                  <w:tcW w:w="2409"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default" w:ascii="宋体" w:eastAsia="宋体"/>
                      <w:color w:val="auto"/>
                      <w:sz w:val="21"/>
                    </w:rPr>
                    <w:t>石油类</w:t>
                  </w:r>
                </w:p>
              </w:tc>
              <w:tc>
                <w:tcPr>
                  <w:tcW w:w="2251"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eastAsia"/>
                      <w:color w:val="auto"/>
                      <w:sz w:val="21"/>
                    </w:rPr>
                    <w:t>20</w:t>
                  </w:r>
                </w:p>
              </w:tc>
              <w:tc>
                <w:tcPr>
                  <w:tcW w:w="222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58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c>
                <w:tcPr>
                  <w:tcW w:w="2409"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default" w:ascii="宋体" w:eastAsia="宋体"/>
                      <w:color w:val="auto"/>
                      <w:sz w:val="21"/>
                    </w:rPr>
                    <w:t>挥发酚</w:t>
                  </w:r>
                </w:p>
              </w:tc>
              <w:tc>
                <w:tcPr>
                  <w:tcW w:w="2251"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eastAsia"/>
                      <w:color w:val="auto"/>
                      <w:sz w:val="21"/>
                    </w:rPr>
                    <w:t>1.0</w:t>
                  </w:r>
                </w:p>
              </w:tc>
              <w:tc>
                <w:tcPr>
                  <w:tcW w:w="222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58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c>
                <w:tcPr>
                  <w:tcW w:w="2409"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default" w:ascii="宋体" w:eastAsia="宋体"/>
                      <w:color w:val="auto"/>
                      <w:sz w:val="21"/>
                    </w:rPr>
                    <w:t>总氰化物</w:t>
                  </w:r>
                </w:p>
              </w:tc>
              <w:tc>
                <w:tcPr>
                  <w:tcW w:w="2251"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eastAsia"/>
                      <w:color w:val="auto"/>
                      <w:sz w:val="21"/>
                    </w:rPr>
                    <w:t>0.5</w:t>
                  </w:r>
                </w:p>
              </w:tc>
              <w:tc>
                <w:tcPr>
                  <w:tcW w:w="222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58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c>
                <w:tcPr>
                  <w:tcW w:w="2409"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default" w:ascii="宋体" w:eastAsia="宋体"/>
                      <w:color w:val="auto"/>
                      <w:sz w:val="21"/>
                    </w:rPr>
                    <w:t>六价铬</w:t>
                  </w:r>
                </w:p>
              </w:tc>
              <w:tc>
                <w:tcPr>
                  <w:tcW w:w="2251"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eastAsia"/>
                      <w:color w:val="auto"/>
                      <w:sz w:val="21"/>
                    </w:rPr>
                    <w:t>0.5</w:t>
                  </w:r>
                </w:p>
              </w:tc>
              <w:tc>
                <w:tcPr>
                  <w:tcW w:w="222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58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c>
                <w:tcPr>
                  <w:tcW w:w="2409"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default" w:ascii="宋体" w:eastAsia="宋体"/>
                      <w:color w:val="auto"/>
                      <w:sz w:val="21"/>
                    </w:rPr>
                    <w:t>砷</w:t>
                  </w:r>
                </w:p>
              </w:tc>
              <w:tc>
                <w:tcPr>
                  <w:tcW w:w="2251"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eastAsia"/>
                      <w:color w:val="auto"/>
                      <w:sz w:val="21"/>
                    </w:rPr>
                    <w:t>0.5</w:t>
                  </w:r>
                </w:p>
              </w:tc>
              <w:tc>
                <w:tcPr>
                  <w:tcW w:w="222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58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c>
                <w:tcPr>
                  <w:tcW w:w="2409"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default" w:ascii="宋体" w:eastAsia="宋体"/>
                      <w:color w:val="auto"/>
                      <w:sz w:val="21"/>
                    </w:rPr>
                    <w:t>汞</w:t>
                  </w:r>
                </w:p>
              </w:tc>
              <w:tc>
                <w:tcPr>
                  <w:tcW w:w="2251"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eastAsia"/>
                      <w:color w:val="auto"/>
                      <w:sz w:val="21"/>
                    </w:rPr>
                    <w:t>0.05</w:t>
                  </w:r>
                </w:p>
              </w:tc>
              <w:tc>
                <w:tcPr>
                  <w:tcW w:w="222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58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c>
                <w:tcPr>
                  <w:tcW w:w="2409"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default" w:ascii="宋体" w:eastAsia="宋体"/>
                      <w:color w:val="auto"/>
                      <w:sz w:val="21"/>
                    </w:rPr>
                    <w:t>铅</w:t>
                  </w:r>
                </w:p>
              </w:tc>
              <w:tc>
                <w:tcPr>
                  <w:tcW w:w="2251"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eastAsia"/>
                      <w:color w:val="auto"/>
                      <w:sz w:val="21"/>
                    </w:rPr>
                    <w:t>1.0</w:t>
                  </w:r>
                </w:p>
              </w:tc>
              <w:tc>
                <w:tcPr>
                  <w:tcW w:w="222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6" w:hRule="atLeast"/>
                <w:jc w:val="center"/>
              </w:trPr>
              <w:tc>
                <w:tcPr>
                  <w:tcW w:w="158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c>
                <w:tcPr>
                  <w:tcW w:w="2409"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default" w:ascii="宋体" w:eastAsia="宋体"/>
                      <w:color w:val="auto"/>
                      <w:sz w:val="21"/>
                    </w:rPr>
                    <w:t>镉</w:t>
                  </w:r>
                </w:p>
              </w:tc>
              <w:tc>
                <w:tcPr>
                  <w:tcW w:w="2251"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eastAsia"/>
                      <w:color w:val="auto"/>
                      <w:sz w:val="21"/>
                    </w:rPr>
                    <w:t>0.1</w:t>
                  </w:r>
                </w:p>
              </w:tc>
              <w:tc>
                <w:tcPr>
                  <w:tcW w:w="222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58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c>
                <w:tcPr>
                  <w:tcW w:w="2409"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default" w:ascii="宋体" w:eastAsia="宋体"/>
                      <w:color w:val="auto"/>
                      <w:sz w:val="21"/>
                    </w:rPr>
                    <w:t>铬</w:t>
                  </w:r>
                </w:p>
              </w:tc>
              <w:tc>
                <w:tcPr>
                  <w:tcW w:w="2251"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eastAsia"/>
                      <w:color w:val="auto"/>
                      <w:sz w:val="21"/>
                    </w:rPr>
                    <w:t>1.5</w:t>
                  </w:r>
                </w:p>
              </w:tc>
              <w:tc>
                <w:tcPr>
                  <w:tcW w:w="222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58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c>
                <w:tcPr>
                  <w:tcW w:w="2409"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default" w:ascii="宋体" w:eastAsia="宋体"/>
                      <w:color w:val="auto"/>
                      <w:sz w:val="21"/>
                    </w:rPr>
                    <w:t>银</w:t>
                  </w:r>
                </w:p>
              </w:tc>
              <w:tc>
                <w:tcPr>
                  <w:tcW w:w="2251"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eastAsia"/>
                      <w:color w:val="auto"/>
                      <w:sz w:val="21"/>
                    </w:rPr>
                    <w:t>0.5</w:t>
                  </w:r>
                </w:p>
              </w:tc>
              <w:tc>
                <w:tcPr>
                  <w:tcW w:w="222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58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c>
                <w:tcPr>
                  <w:tcW w:w="2409"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default" w:ascii="宋体" w:eastAsia="宋体"/>
                      <w:color w:val="auto"/>
                      <w:sz w:val="21"/>
                    </w:rPr>
                    <w:t>总余氯</w:t>
                  </w:r>
                </w:p>
              </w:tc>
              <w:tc>
                <w:tcPr>
                  <w:tcW w:w="2251"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eastAsia"/>
                      <w:color w:val="auto"/>
                      <w:sz w:val="21"/>
                    </w:rPr>
                    <w:t>2-8</w:t>
                  </w:r>
                </w:p>
              </w:tc>
              <w:tc>
                <w:tcPr>
                  <w:tcW w:w="222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58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c>
                <w:tcPr>
                  <w:tcW w:w="2409"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default" w:ascii="宋体" w:eastAsia="宋体"/>
                      <w:color w:val="auto"/>
                      <w:sz w:val="21"/>
                    </w:rPr>
                    <w:t>粪大肠菌群</w:t>
                  </w:r>
                </w:p>
              </w:tc>
              <w:tc>
                <w:tcPr>
                  <w:tcW w:w="2251"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r>
                    <w:rPr>
                      <w:rFonts w:hint="eastAsia"/>
                      <w:color w:val="auto"/>
                      <w:sz w:val="21"/>
                    </w:rPr>
                    <w:t>5000</w:t>
                  </w:r>
                </w:p>
              </w:tc>
              <w:tc>
                <w:tcPr>
                  <w:tcW w:w="222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jc w:val="center"/>
                    <w:rPr>
                      <w:rFonts w:hint="default" w:ascii="宋体" w:eastAsia="宋体"/>
                      <w:color w:val="auto"/>
                      <w:sz w:val="21"/>
                    </w:rPr>
                  </w:pPr>
                </w:p>
              </w:tc>
            </w:tr>
          </w:tbl>
          <w:p>
            <w:pPr>
              <w:ind w:firstLine="482"/>
              <w:rPr>
                <w:b/>
                <w:bCs/>
                <w:color w:val="auto"/>
                <w:kern w:val="0"/>
                <w:szCs w:val="24"/>
              </w:rPr>
            </w:pPr>
            <w:r>
              <w:rPr>
                <w:rFonts w:hint="eastAsia"/>
                <w:b/>
                <w:bCs/>
                <w:color w:val="auto"/>
                <w:kern w:val="0"/>
                <w:szCs w:val="24"/>
              </w:rPr>
              <w:t>（3）水环境监测计划</w:t>
            </w:r>
          </w:p>
          <w:p>
            <w:pPr>
              <w:ind w:firstLine="480"/>
              <w:rPr>
                <w:rFonts w:eastAsia="宋体" w:cs="Times New Roman"/>
                <w:bCs/>
                <w:color w:val="auto"/>
                <w:szCs w:val="24"/>
              </w:rPr>
            </w:pPr>
            <w:r>
              <w:rPr>
                <w:rFonts w:hint="eastAsia" w:eastAsia="宋体" w:cs="Times New Roman"/>
                <w:bCs/>
                <w:color w:val="auto"/>
                <w:szCs w:val="24"/>
              </w:rPr>
              <w:t>便于建设项目的环境管理，现将建设项目水环境监测计划列于表4-</w:t>
            </w:r>
            <w:r>
              <w:rPr>
                <w:rFonts w:hint="eastAsia" w:eastAsia="宋体" w:cs="Times New Roman"/>
                <w:bCs/>
                <w:color w:val="auto"/>
                <w:szCs w:val="24"/>
                <w:lang w:val="en-US" w:eastAsia="zh-CN"/>
              </w:rPr>
              <w:t>12</w:t>
            </w:r>
            <w:r>
              <w:rPr>
                <w:rFonts w:hint="eastAsia" w:eastAsia="宋体" w:cs="Times New Roman"/>
                <w:bCs/>
                <w:color w:val="auto"/>
                <w:szCs w:val="24"/>
              </w:rPr>
              <w:t>。</w:t>
            </w:r>
          </w:p>
          <w:p>
            <w:pPr>
              <w:ind w:firstLine="315" w:firstLineChars="150"/>
              <w:jc w:val="center"/>
              <w:rPr>
                <w:b/>
                <w:color w:val="auto"/>
                <w:sz w:val="21"/>
                <w:szCs w:val="21"/>
              </w:rPr>
            </w:pPr>
            <w:r>
              <w:rPr>
                <w:b/>
                <w:color w:val="auto"/>
                <w:sz w:val="21"/>
                <w:szCs w:val="21"/>
              </w:rPr>
              <w:t>表</w:t>
            </w:r>
            <w:r>
              <w:rPr>
                <w:rFonts w:hint="eastAsia"/>
                <w:b/>
                <w:color w:val="auto"/>
                <w:sz w:val="21"/>
                <w:szCs w:val="21"/>
              </w:rPr>
              <w:t>4-</w:t>
            </w:r>
            <w:r>
              <w:rPr>
                <w:rFonts w:hint="eastAsia"/>
                <w:b/>
                <w:color w:val="auto"/>
                <w:sz w:val="21"/>
                <w:szCs w:val="21"/>
                <w:lang w:val="en-US" w:eastAsia="zh-CN"/>
              </w:rPr>
              <w:t>12</w:t>
            </w:r>
            <w:r>
              <w:rPr>
                <w:rFonts w:hint="eastAsia"/>
                <w:b/>
                <w:color w:val="auto"/>
                <w:sz w:val="21"/>
                <w:szCs w:val="21"/>
              </w:rPr>
              <w:t xml:space="preserve"> </w:t>
            </w:r>
            <w:r>
              <w:rPr>
                <w:b/>
                <w:color w:val="auto"/>
                <w:sz w:val="21"/>
                <w:szCs w:val="21"/>
              </w:rPr>
              <w:t xml:space="preserve"> </w:t>
            </w:r>
            <w:r>
              <w:rPr>
                <w:rFonts w:hint="eastAsia"/>
                <w:b/>
                <w:color w:val="auto"/>
                <w:sz w:val="21"/>
                <w:szCs w:val="21"/>
                <w:lang w:val="en-US" w:eastAsia="zh-CN"/>
              </w:rPr>
              <w:t>废水</w:t>
            </w:r>
            <w:r>
              <w:rPr>
                <w:b/>
                <w:color w:val="auto"/>
                <w:sz w:val="21"/>
                <w:szCs w:val="21"/>
              </w:rPr>
              <w:t>监测计划一览表</w:t>
            </w:r>
          </w:p>
          <w:tbl>
            <w:tblPr>
              <w:tblStyle w:val="37"/>
              <w:tblW w:w="85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841"/>
              <w:gridCol w:w="1123"/>
              <w:gridCol w:w="4122"/>
              <w:gridCol w:w="1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2" w:type="dxa"/>
                  <w:vAlign w:val="center"/>
                </w:tcPr>
                <w:p>
                  <w:pPr>
                    <w:pStyle w:val="146"/>
                    <w:spacing w:line="360" w:lineRule="auto"/>
                    <w:ind w:left="0" w:leftChars="0" w:right="0" w:rightChars="0" w:firstLine="0" w:firstLineChars="0"/>
                    <w:jc w:val="center"/>
                    <w:rPr>
                      <w:b/>
                      <w:bCs/>
                      <w:color w:val="auto"/>
                      <w:sz w:val="21"/>
                      <w:szCs w:val="21"/>
                    </w:rPr>
                  </w:pPr>
                  <w:r>
                    <w:rPr>
                      <w:rFonts w:hint="eastAsia"/>
                      <w:b/>
                      <w:bCs/>
                      <w:color w:val="auto"/>
                      <w:sz w:val="21"/>
                      <w:szCs w:val="21"/>
                    </w:rPr>
                    <w:t>监测时段</w:t>
                  </w:r>
                </w:p>
              </w:tc>
              <w:tc>
                <w:tcPr>
                  <w:tcW w:w="841" w:type="dxa"/>
                  <w:vAlign w:val="center"/>
                </w:tcPr>
                <w:p>
                  <w:pPr>
                    <w:pStyle w:val="146"/>
                    <w:spacing w:line="360" w:lineRule="auto"/>
                    <w:ind w:left="0" w:leftChars="0" w:right="0" w:rightChars="0" w:firstLine="0" w:firstLineChars="0"/>
                    <w:jc w:val="center"/>
                    <w:rPr>
                      <w:b/>
                      <w:bCs/>
                      <w:color w:val="auto"/>
                      <w:sz w:val="21"/>
                      <w:szCs w:val="21"/>
                    </w:rPr>
                  </w:pPr>
                  <w:r>
                    <w:rPr>
                      <w:rFonts w:hint="eastAsia"/>
                      <w:b/>
                      <w:bCs/>
                      <w:color w:val="auto"/>
                      <w:sz w:val="21"/>
                      <w:szCs w:val="21"/>
                    </w:rPr>
                    <w:t>监测项目</w:t>
                  </w:r>
                </w:p>
              </w:tc>
              <w:tc>
                <w:tcPr>
                  <w:tcW w:w="1123" w:type="dxa"/>
                  <w:vAlign w:val="center"/>
                </w:tcPr>
                <w:p>
                  <w:pPr>
                    <w:pStyle w:val="146"/>
                    <w:spacing w:line="360" w:lineRule="auto"/>
                    <w:ind w:left="0" w:leftChars="0" w:right="0" w:rightChars="0" w:firstLine="0" w:firstLineChars="0"/>
                    <w:jc w:val="center"/>
                    <w:rPr>
                      <w:rFonts w:hint="eastAsia" w:eastAsia="宋体"/>
                      <w:b/>
                      <w:bCs/>
                      <w:color w:val="auto"/>
                      <w:sz w:val="21"/>
                      <w:szCs w:val="21"/>
                      <w:lang w:eastAsia="zh-CN"/>
                    </w:rPr>
                  </w:pPr>
                  <w:r>
                    <w:rPr>
                      <w:rFonts w:hint="eastAsia"/>
                      <w:b/>
                      <w:bCs/>
                      <w:color w:val="auto"/>
                      <w:sz w:val="21"/>
                      <w:szCs w:val="21"/>
                      <w:lang w:eastAsia="zh-CN"/>
                    </w:rPr>
                    <w:t>监测点位</w:t>
                  </w:r>
                </w:p>
              </w:tc>
              <w:tc>
                <w:tcPr>
                  <w:tcW w:w="4122" w:type="dxa"/>
                  <w:vAlign w:val="center"/>
                </w:tcPr>
                <w:p>
                  <w:pPr>
                    <w:pStyle w:val="146"/>
                    <w:spacing w:line="360" w:lineRule="auto"/>
                    <w:ind w:left="0" w:leftChars="0" w:right="0" w:rightChars="0" w:firstLine="0" w:firstLineChars="0"/>
                    <w:jc w:val="center"/>
                    <w:rPr>
                      <w:rFonts w:hint="eastAsia" w:eastAsia="宋体"/>
                      <w:b/>
                      <w:bCs/>
                      <w:color w:val="auto"/>
                      <w:sz w:val="21"/>
                      <w:szCs w:val="21"/>
                      <w:lang w:eastAsia="zh-CN"/>
                    </w:rPr>
                  </w:pPr>
                  <w:r>
                    <w:rPr>
                      <w:b/>
                      <w:bCs/>
                      <w:color w:val="auto"/>
                      <w:sz w:val="21"/>
                      <w:szCs w:val="21"/>
                    </w:rPr>
                    <w:t>监测</w:t>
                  </w:r>
                  <w:r>
                    <w:rPr>
                      <w:rFonts w:hint="eastAsia"/>
                      <w:b/>
                      <w:bCs/>
                      <w:color w:val="auto"/>
                      <w:sz w:val="21"/>
                      <w:szCs w:val="21"/>
                      <w:lang w:eastAsia="zh-CN"/>
                    </w:rPr>
                    <w:t>因子</w:t>
                  </w:r>
                </w:p>
              </w:tc>
              <w:tc>
                <w:tcPr>
                  <w:tcW w:w="1474" w:type="dxa"/>
                  <w:vAlign w:val="center"/>
                </w:tcPr>
                <w:p>
                  <w:pPr>
                    <w:pStyle w:val="146"/>
                    <w:spacing w:line="360" w:lineRule="auto"/>
                    <w:ind w:left="0" w:leftChars="0" w:right="0" w:rightChars="0" w:firstLine="0" w:firstLineChars="0"/>
                    <w:jc w:val="center"/>
                    <w:rPr>
                      <w:rFonts w:hint="eastAsia" w:eastAsia="宋体"/>
                      <w:b/>
                      <w:bCs/>
                      <w:color w:val="auto"/>
                      <w:sz w:val="21"/>
                      <w:szCs w:val="21"/>
                      <w:lang w:eastAsia="zh-CN"/>
                    </w:rPr>
                  </w:pPr>
                  <w:r>
                    <w:rPr>
                      <w:b/>
                      <w:bCs/>
                      <w:color w:val="auto"/>
                      <w:sz w:val="21"/>
                      <w:szCs w:val="21"/>
                    </w:rPr>
                    <w:t>监测</w:t>
                  </w:r>
                  <w:r>
                    <w:rPr>
                      <w:rFonts w:hint="eastAsia"/>
                      <w:b/>
                      <w:bCs/>
                      <w:color w:val="auto"/>
                      <w:sz w:val="21"/>
                      <w:szCs w:val="21"/>
                      <w:lang w:eastAsia="zh-CN"/>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952" w:type="dxa"/>
                  <w:vAlign w:val="center"/>
                </w:tcPr>
                <w:p>
                  <w:pPr>
                    <w:pStyle w:val="146"/>
                    <w:spacing w:line="360" w:lineRule="auto"/>
                    <w:rPr>
                      <w:color w:val="auto"/>
                      <w:sz w:val="21"/>
                      <w:szCs w:val="21"/>
                    </w:rPr>
                  </w:pPr>
                  <w:r>
                    <w:rPr>
                      <w:color w:val="auto"/>
                      <w:sz w:val="21"/>
                      <w:szCs w:val="21"/>
                    </w:rPr>
                    <w:t>运营期</w:t>
                  </w:r>
                </w:p>
              </w:tc>
              <w:tc>
                <w:tcPr>
                  <w:tcW w:w="841" w:type="dxa"/>
                  <w:vAlign w:val="center"/>
                </w:tcPr>
                <w:p>
                  <w:pPr>
                    <w:pStyle w:val="146"/>
                    <w:spacing w:line="360" w:lineRule="auto"/>
                    <w:rPr>
                      <w:color w:val="auto"/>
                      <w:sz w:val="21"/>
                      <w:szCs w:val="21"/>
                    </w:rPr>
                  </w:pPr>
                  <w:r>
                    <w:rPr>
                      <w:rFonts w:hint="eastAsia"/>
                      <w:color w:val="auto"/>
                      <w:sz w:val="21"/>
                      <w:szCs w:val="21"/>
                    </w:rPr>
                    <w:t>废水</w:t>
                  </w:r>
                </w:p>
              </w:tc>
              <w:tc>
                <w:tcPr>
                  <w:tcW w:w="1123" w:type="dxa"/>
                  <w:vAlign w:val="center"/>
                </w:tcPr>
                <w:p>
                  <w:pPr>
                    <w:pStyle w:val="146"/>
                    <w:spacing w:line="360" w:lineRule="auto"/>
                    <w:rPr>
                      <w:color w:val="auto"/>
                      <w:sz w:val="21"/>
                      <w:szCs w:val="21"/>
                    </w:rPr>
                  </w:pPr>
                  <w:r>
                    <w:rPr>
                      <w:rFonts w:hint="eastAsia"/>
                      <w:color w:val="auto"/>
                      <w:sz w:val="21"/>
                      <w:szCs w:val="21"/>
                    </w:rPr>
                    <w:t>污水</w:t>
                  </w:r>
                  <w:r>
                    <w:rPr>
                      <w:rFonts w:hint="eastAsia"/>
                      <w:color w:val="auto"/>
                      <w:sz w:val="21"/>
                      <w:szCs w:val="21"/>
                      <w:lang w:val="en-US" w:eastAsia="zh-CN"/>
                    </w:rPr>
                    <w:t>总入口、总</w:t>
                  </w:r>
                  <w:r>
                    <w:rPr>
                      <w:rFonts w:hint="eastAsia"/>
                      <w:color w:val="auto"/>
                      <w:sz w:val="21"/>
                      <w:szCs w:val="21"/>
                    </w:rPr>
                    <w:t>排放口</w:t>
                  </w:r>
                </w:p>
              </w:tc>
              <w:tc>
                <w:tcPr>
                  <w:tcW w:w="4122" w:type="dxa"/>
                  <w:vAlign w:val="center"/>
                </w:tcPr>
                <w:p>
                  <w:pPr>
                    <w:pStyle w:val="146"/>
                    <w:spacing w:line="360" w:lineRule="auto"/>
                    <w:jc w:val="both"/>
                    <w:rPr>
                      <w:color w:val="auto"/>
                      <w:sz w:val="21"/>
                      <w:szCs w:val="21"/>
                    </w:rPr>
                  </w:pPr>
                  <w:r>
                    <w:rPr>
                      <w:rFonts w:ascii="Times New Roman" w:hAnsi="Times New Roman" w:cs="Times New Roman"/>
                      <w:color w:val="auto"/>
                      <w:sz w:val="21"/>
                      <w:szCs w:val="21"/>
                    </w:rPr>
                    <w:t>pH值、BOD</w:t>
                  </w:r>
                  <w:r>
                    <w:rPr>
                      <w:rFonts w:ascii="Times New Roman" w:hAnsi="Times New Roman" w:cs="Times New Roman"/>
                      <w:color w:val="auto"/>
                      <w:sz w:val="21"/>
                      <w:szCs w:val="21"/>
                      <w:vertAlign w:val="subscript"/>
                    </w:rPr>
                    <w:t>5</w:t>
                  </w:r>
                  <w:r>
                    <w:rPr>
                      <w:rFonts w:ascii="Times New Roman" w:hAnsi="Times New Roman" w:cs="Times New Roman"/>
                      <w:color w:val="auto"/>
                      <w:sz w:val="21"/>
                      <w:szCs w:val="21"/>
                    </w:rPr>
                    <w:t>、</w:t>
                  </w:r>
                  <w:r>
                    <w:rPr>
                      <w:rFonts w:hint="eastAsia" w:ascii="Times New Roman" w:hAnsi="Times New Roman" w:cs="Times New Roman"/>
                      <w:color w:val="auto"/>
                      <w:sz w:val="21"/>
                      <w:szCs w:val="21"/>
                    </w:rPr>
                    <w:t>C</w:t>
                  </w:r>
                  <w:r>
                    <w:rPr>
                      <w:rFonts w:ascii="Times New Roman" w:hAnsi="Times New Roman" w:cs="Times New Roman"/>
                      <w:color w:val="auto"/>
                      <w:sz w:val="21"/>
                      <w:szCs w:val="21"/>
                    </w:rPr>
                    <w:t>OD、</w:t>
                  </w:r>
                  <w:r>
                    <w:rPr>
                      <w:rFonts w:hint="eastAsia" w:ascii="Times New Roman" w:hAnsi="Times New Roman" w:cs="Times New Roman"/>
                      <w:color w:val="auto"/>
                      <w:sz w:val="21"/>
                      <w:szCs w:val="21"/>
                    </w:rPr>
                    <w:t>悬浮物（SS）</w:t>
                  </w:r>
                  <w:r>
                    <w:rPr>
                      <w:rFonts w:ascii="Times New Roman" w:hAnsi="Times New Roman" w:cs="Times New Roman"/>
                      <w:color w:val="auto"/>
                      <w:sz w:val="21"/>
                      <w:szCs w:val="21"/>
                    </w:rPr>
                    <w:t>、</w:t>
                  </w:r>
                  <w:r>
                    <w:rPr>
                      <w:rFonts w:hint="eastAsia" w:ascii="Times New Roman" w:hAnsi="Times New Roman" w:cs="Times New Roman"/>
                      <w:color w:val="auto"/>
                      <w:sz w:val="21"/>
                      <w:szCs w:val="21"/>
                    </w:rPr>
                    <w:t>氨氮</w:t>
                  </w:r>
                  <w:r>
                    <w:rPr>
                      <w:rFonts w:ascii="Times New Roman" w:hAnsi="Times New Roman" w:cs="Times New Roman"/>
                      <w:color w:val="auto"/>
                      <w:sz w:val="21"/>
                      <w:szCs w:val="21"/>
                    </w:rPr>
                    <w:t>、</w:t>
                  </w:r>
                  <w:r>
                    <w:rPr>
                      <w:rFonts w:hint="eastAsia" w:ascii="Times New Roman" w:hAnsi="Times New Roman" w:cs="Times New Roman"/>
                      <w:color w:val="auto"/>
                      <w:sz w:val="21"/>
                      <w:szCs w:val="21"/>
                    </w:rPr>
                    <w:t>动植物油、石油、</w:t>
                  </w:r>
                  <w:r>
                    <w:rPr>
                      <w:rFonts w:ascii="Times New Roman" w:hAnsi="Times New Roman" w:cs="Times New Roman"/>
                      <w:color w:val="auto"/>
                      <w:sz w:val="21"/>
                      <w:szCs w:val="21"/>
                    </w:rPr>
                    <w:t>阴离子表面活性剂、</w:t>
                  </w:r>
                  <w:r>
                    <w:rPr>
                      <w:rFonts w:hint="eastAsia" w:cs="Times New Roman"/>
                      <w:color w:val="auto"/>
                      <w:sz w:val="21"/>
                      <w:szCs w:val="21"/>
                      <w:lang w:eastAsia="zh-CN"/>
                    </w:rPr>
                    <w:t>粪</w:t>
                  </w:r>
                  <w:r>
                    <w:rPr>
                      <w:rFonts w:ascii="Times New Roman" w:hAnsi="Times New Roman" w:cs="Times New Roman"/>
                      <w:color w:val="auto"/>
                      <w:sz w:val="21"/>
                      <w:szCs w:val="21"/>
                    </w:rPr>
                    <w:t>大肠菌群</w:t>
                  </w:r>
                  <w:r>
                    <w:rPr>
                      <w:rFonts w:hint="eastAsia" w:ascii="Times New Roman" w:hAnsi="Times New Roman" w:cs="Times New Roman"/>
                      <w:color w:val="auto"/>
                      <w:sz w:val="21"/>
                      <w:szCs w:val="21"/>
                      <w:lang w:eastAsia="zh-CN"/>
                    </w:rPr>
                    <w:t>、六价铬、总铬、总镉、总砷、总汞、</w:t>
                  </w:r>
                  <w:r>
                    <w:rPr>
                      <w:rFonts w:hint="eastAsia" w:cs="Times New Roman"/>
                      <w:color w:val="auto"/>
                      <w:sz w:val="21"/>
                      <w:szCs w:val="21"/>
                      <w:lang w:eastAsia="zh-CN"/>
                    </w:rPr>
                    <w:t>总银、总铅、总氰化物、挥发酚、总余氯</w:t>
                  </w:r>
                  <w:r>
                    <w:rPr>
                      <w:color w:val="auto"/>
                      <w:sz w:val="21"/>
                      <w:szCs w:val="21"/>
                    </w:rPr>
                    <w:t>。</w:t>
                  </w:r>
                </w:p>
              </w:tc>
              <w:tc>
                <w:tcPr>
                  <w:tcW w:w="1474" w:type="dxa"/>
                  <w:vAlign w:val="center"/>
                </w:tcPr>
                <w:p>
                  <w:pPr>
                    <w:pStyle w:val="146"/>
                    <w:spacing w:line="360" w:lineRule="auto"/>
                    <w:rPr>
                      <w:color w:val="auto"/>
                      <w:sz w:val="21"/>
                      <w:szCs w:val="21"/>
                    </w:rPr>
                  </w:pPr>
                  <w:r>
                    <w:rPr>
                      <w:color w:val="auto"/>
                      <w:sz w:val="21"/>
                      <w:szCs w:val="21"/>
                    </w:rPr>
                    <w:t>按照国家相关要求</w:t>
                  </w:r>
                </w:p>
              </w:tc>
            </w:tr>
          </w:tbl>
          <w:p>
            <w:pPr>
              <w:pStyle w:val="34"/>
              <w:ind w:firstLine="482"/>
              <w:rPr>
                <w:rFonts w:hint="eastAsia" w:eastAsia="宋体"/>
                <w:color w:val="auto"/>
                <w:lang w:eastAsia="zh-CN"/>
              </w:rPr>
            </w:pPr>
            <w:r>
              <w:rPr>
                <w:rFonts w:hint="eastAsia"/>
                <w:color w:val="auto"/>
              </w:rPr>
              <w:t>（4）废水</w:t>
            </w:r>
            <w:r>
              <w:rPr>
                <w:rFonts w:hint="eastAsia"/>
                <w:color w:val="auto"/>
                <w:lang w:eastAsia="zh-CN"/>
              </w:rPr>
              <w:t>环境</w:t>
            </w:r>
            <w:r>
              <w:rPr>
                <w:rFonts w:hint="eastAsia"/>
                <w:color w:val="auto"/>
              </w:rPr>
              <w:t>影响评价</w:t>
            </w:r>
            <w:r>
              <w:rPr>
                <w:rFonts w:hint="eastAsia"/>
                <w:color w:val="auto"/>
                <w:lang w:eastAsia="zh-CN"/>
              </w:rPr>
              <w:t>及废水防治措施</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color w:val="auto"/>
              </w:rPr>
            </w:pPr>
            <w:r>
              <w:rPr>
                <w:rFonts w:hint="eastAsia"/>
                <w:color w:val="auto"/>
              </w:rPr>
              <w:t>本医院不设传染科、牙科，无传染病医院废水排放。项目执行雨污分流制，雨水经雨水管网收集后排入院外道路雨水管网。医学影像科采用DR成像技术，生成的图像为数字图像，可直接在电脑上显示出来，其照片的洗印采用“热感应数字化胶片”，出片用“数字化激光成像仪”，无废显影液、定影液产生，不产生传统的洗像重金属废水。</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color w:val="auto"/>
              </w:rPr>
            </w:pPr>
            <w:r>
              <w:rPr>
                <w:rFonts w:hint="eastAsia"/>
                <w:color w:val="auto"/>
                <w:lang w:eastAsia="zh-CN"/>
              </w:rPr>
              <w:t>医院产生的检验废水，</w:t>
            </w:r>
            <w:r>
              <w:rPr>
                <w:rFonts w:hint="eastAsia" w:ascii="Times New Roman" w:hAnsi="Times New Roman"/>
                <w:color w:val="auto"/>
                <w:lang w:val="en-US" w:eastAsia="zh-CN"/>
              </w:rPr>
              <w:t>产生量为0.08</w:t>
            </w:r>
            <w:r>
              <w:rPr>
                <w:rFonts w:ascii="Times New Roman" w:hAnsi="Times New Roman"/>
                <w:color w:val="auto"/>
              </w:rPr>
              <w:t>m</w:t>
            </w:r>
            <w:r>
              <w:rPr>
                <w:rFonts w:ascii="Times New Roman" w:hAnsi="Times New Roman"/>
                <w:color w:val="auto"/>
                <w:vertAlign w:val="superscript"/>
              </w:rPr>
              <w:t>3</w:t>
            </w:r>
            <w:r>
              <w:rPr>
                <w:rFonts w:ascii="Times New Roman" w:hAnsi="Times New Roman"/>
                <w:color w:val="auto"/>
              </w:rPr>
              <w:t>/d</w:t>
            </w:r>
            <w:r>
              <w:rPr>
                <w:rFonts w:hint="eastAsia" w:ascii="Times New Roman" w:hAnsi="Times New Roman"/>
                <w:color w:val="auto"/>
                <w:lang w:eastAsia="zh-CN"/>
              </w:rPr>
              <w:t>，</w:t>
            </w:r>
            <w:r>
              <w:rPr>
                <w:rFonts w:hint="eastAsia" w:ascii="Times New Roman" w:hAnsi="Times New Roman"/>
                <w:color w:val="auto"/>
                <w:lang w:val="en-US" w:eastAsia="zh-CN"/>
              </w:rPr>
              <w:t>29.2</w:t>
            </w:r>
            <w:r>
              <w:rPr>
                <w:rFonts w:ascii="Times New Roman" w:hAnsi="Times New Roman"/>
                <w:color w:val="auto"/>
              </w:rPr>
              <w:t>m</w:t>
            </w:r>
            <w:r>
              <w:rPr>
                <w:rFonts w:ascii="Times New Roman" w:hAnsi="Times New Roman"/>
                <w:color w:val="auto"/>
                <w:vertAlign w:val="superscript"/>
              </w:rPr>
              <w:t>3</w:t>
            </w:r>
            <w:r>
              <w:rPr>
                <w:rFonts w:hint="eastAsia" w:ascii="Times New Roman" w:hAnsi="Times New Roman"/>
                <w:color w:val="auto"/>
                <w:vertAlign w:val="baseline"/>
                <w:lang w:val="en-US" w:eastAsia="zh-CN"/>
              </w:rPr>
              <w:t>/a</w:t>
            </w:r>
            <w:r>
              <w:rPr>
                <w:rFonts w:hint="eastAsia" w:ascii="Times New Roman" w:hAnsi="Times New Roman"/>
                <w:color w:val="auto"/>
                <w:lang w:eastAsia="zh-CN"/>
              </w:rPr>
              <w:t>。</w:t>
            </w:r>
            <w:r>
              <w:rPr>
                <w:rFonts w:hint="eastAsia"/>
                <w:color w:val="auto"/>
                <w:lang w:eastAsia="zh-CN"/>
              </w:rPr>
              <w:t>本项目</w:t>
            </w:r>
            <w:r>
              <w:rPr>
                <w:rFonts w:hint="eastAsia"/>
                <w:color w:val="auto"/>
              </w:rPr>
              <w:t>不设置传染科，不涉及感染性毒性废物，故检验废水经单独收集消毒处理后，沿污水管网进入污水处理站处理。</w:t>
            </w:r>
          </w:p>
          <w:p>
            <w:pPr>
              <w:keepNext w:val="0"/>
              <w:keepLines w:val="0"/>
              <w:pageBreakBefore w:val="0"/>
              <w:widowControl w:val="0"/>
              <w:kinsoku/>
              <w:wordWrap/>
              <w:overflowPunct/>
              <w:topLinePunct w:val="0"/>
              <w:autoSpaceDE/>
              <w:autoSpaceDN/>
              <w:bidi w:val="0"/>
              <w:adjustRightInd/>
              <w:snapToGrid/>
              <w:ind w:firstLine="480"/>
              <w:textAlignment w:val="auto"/>
              <w:rPr>
                <w:color w:val="auto"/>
                <w:kern w:val="0"/>
              </w:rPr>
            </w:pPr>
            <w:r>
              <w:rPr>
                <w:rFonts w:hint="eastAsia"/>
                <w:color w:val="auto"/>
              </w:rPr>
              <w:t>医疗废水</w:t>
            </w:r>
            <w:r>
              <w:rPr>
                <w:rFonts w:hint="eastAsia"/>
                <w:color w:val="auto"/>
                <w:lang w:val="en-US" w:eastAsia="zh-CN"/>
              </w:rPr>
              <w:t>进入</w:t>
            </w:r>
            <w:r>
              <w:rPr>
                <w:rFonts w:hint="eastAsia"/>
                <w:color w:val="auto"/>
              </w:rPr>
              <w:t>化粪池处理，</w:t>
            </w:r>
            <w:r>
              <w:rPr>
                <w:rFonts w:hint="eastAsia"/>
                <w:color w:val="auto"/>
                <w:lang w:val="en-US" w:eastAsia="zh-CN"/>
              </w:rPr>
              <w:t>再</w:t>
            </w:r>
            <w:r>
              <w:rPr>
                <w:rFonts w:hint="eastAsia"/>
                <w:color w:val="auto"/>
              </w:rPr>
              <w:t>进入医院自建的一体化污水处理站处理达</w:t>
            </w:r>
            <w:r>
              <w:rPr>
                <w:rFonts w:hint="eastAsia" w:ascii="Times New Roman" w:hAnsi="Times New Roman" w:cs="Times New Roman"/>
                <w:color w:val="auto"/>
              </w:rPr>
              <w:t>《医疗机构水污染物排放标准》</w:t>
            </w:r>
            <w:r>
              <w:rPr>
                <w:rFonts w:hint="eastAsia" w:cs="Times New Roman"/>
                <w:color w:val="auto"/>
                <w:lang w:eastAsia="zh-CN"/>
              </w:rPr>
              <w:t>（</w:t>
            </w:r>
            <w:r>
              <w:rPr>
                <w:rFonts w:hint="eastAsia" w:ascii="Times New Roman" w:hAnsi="Times New Roman" w:cs="Times New Roman"/>
                <w:color w:val="auto"/>
              </w:rPr>
              <w:t>GB18466-2005</w:t>
            </w:r>
            <w:r>
              <w:rPr>
                <w:rFonts w:hint="eastAsia" w:cs="Times New Roman"/>
                <w:color w:val="auto"/>
                <w:lang w:val="en-US" w:eastAsia="zh-CN"/>
              </w:rPr>
              <w:t>）</w:t>
            </w:r>
            <w:r>
              <w:rPr>
                <w:rFonts w:hint="eastAsia" w:ascii="Times New Roman" w:hAnsi="Times New Roman" w:cs="Times New Roman"/>
                <w:color w:val="auto"/>
              </w:rPr>
              <w:t>表2中预处理标准</w:t>
            </w:r>
            <w:r>
              <w:rPr>
                <w:rFonts w:hint="eastAsia" w:ascii="Times New Roman" w:hAnsi="Times New Roman" w:cs="Times New Roman"/>
                <w:color w:val="auto"/>
                <w:lang w:val="en-US" w:eastAsia="zh-CN"/>
              </w:rPr>
              <w:t>和《污水排入城镇下水道水质标准》（</w:t>
            </w:r>
            <w:r>
              <w:rPr>
                <w:rFonts w:hint="default" w:ascii="Times New Roman" w:hAnsi="Times New Roman" w:cs="Times New Roman"/>
                <w:color w:val="auto"/>
                <w:lang w:val="en-US" w:eastAsia="zh-CN"/>
              </w:rPr>
              <w:t>GB/T31962-2015</w:t>
            </w:r>
            <w:r>
              <w:rPr>
                <w:rFonts w:hint="eastAsia" w:ascii="Times New Roman" w:hAnsi="Times New Roman" w:cs="Times New Roman"/>
                <w:color w:val="auto"/>
                <w:lang w:val="en-US" w:eastAsia="zh-CN"/>
              </w:rPr>
              <w:t>）表</w:t>
            </w: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w:t>
            </w:r>
            <w:r>
              <w:rPr>
                <w:rFonts w:hint="eastAsia" w:cs="Times New Roman"/>
                <w:color w:val="auto"/>
                <w:lang w:val="en-US" w:eastAsia="zh-CN"/>
              </w:rPr>
              <w:t>B等级</w:t>
            </w:r>
            <w:r>
              <w:rPr>
                <w:rFonts w:hint="eastAsia" w:ascii="Times New Roman" w:hAnsi="Times New Roman" w:cs="Times New Roman"/>
                <w:color w:val="auto"/>
                <w:lang w:val="en-US" w:eastAsia="zh-CN"/>
              </w:rPr>
              <w:t>）标准</w:t>
            </w:r>
            <w:r>
              <w:rPr>
                <w:rFonts w:hint="eastAsia" w:ascii="Times New Roman" w:hAnsi="Times New Roman" w:cs="Times New Roman"/>
                <w:color w:val="auto"/>
              </w:rPr>
              <w:t>后，排入</w:t>
            </w:r>
            <w:r>
              <w:rPr>
                <w:rFonts w:hint="eastAsia" w:cs="Times New Roman"/>
                <w:color w:val="auto"/>
                <w:lang w:val="en-US" w:eastAsia="zh-CN"/>
              </w:rPr>
              <w:t>姚安县</w:t>
            </w:r>
            <w:r>
              <w:rPr>
                <w:rFonts w:hint="eastAsia" w:ascii="Times New Roman" w:hAnsi="Times New Roman" w:cs="Times New Roman"/>
                <w:color w:val="auto"/>
              </w:rPr>
              <w:t>污水管网，最终进入</w:t>
            </w:r>
            <w:r>
              <w:rPr>
                <w:rFonts w:hint="eastAsia" w:cs="Times New Roman"/>
                <w:color w:val="auto"/>
                <w:lang w:val="en-US" w:eastAsia="zh-CN"/>
              </w:rPr>
              <w:t>姚安县</w:t>
            </w:r>
            <w:r>
              <w:rPr>
                <w:rFonts w:hint="eastAsia" w:ascii="Times New Roman" w:hAnsi="Times New Roman" w:cs="Times New Roman"/>
                <w:color w:val="auto"/>
              </w:rPr>
              <w:t>污水处理厂统一处理</w:t>
            </w:r>
            <w:r>
              <w:rPr>
                <w:rFonts w:hint="eastAsia"/>
                <w:color w:val="auto"/>
                <w:kern w:val="0"/>
              </w:rPr>
              <w:t>。</w:t>
            </w:r>
            <w:r>
              <w:rPr>
                <w:rFonts w:hint="eastAsia"/>
                <w:color w:val="auto"/>
              </w:rPr>
              <w:t>项目废水达标排放对周围环境及</w:t>
            </w:r>
            <w:r>
              <w:rPr>
                <w:rFonts w:hint="eastAsia"/>
                <w:color w:val="auto"/>
                <w:lang w:eastAsia="zh-CN"/>
              </w:rPr>
              <w:t>蜻岭河</w:t>
            </w:r>
            <w:r>
              <w:rPr>
                <w:rFonts w:hint="eastAsia"/>
                <w:color w:val="auto"/>
              </w:rPr>
              <w:t>影响较小。</w:t>
            </w:r>
          </w:p>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482"/>
              <w:textAlignment w:val="auto"/>
              <w:rPr>
                <w:color w:val="auto"/>
              </w:rPr>
            </w:pPr>
            <w:r>
              <w:rPr>
                <w:color w:val="auto"/>
              </w:rPr>
              <w:t>3</w:t>
            </w:r>
            <w:r>
              <w:rPr>
                <w:rFonts w:hint="eastAsia"/>
                <w:color w:val="auto"/>
              </w:rPr>
              <w:t>、噪声</w:t>
            </w:r>
          </w:p>
          <w:p>
            <w:pPr>
              <w:ind w:firstLine="480"/>
              <w:rPr>
                <w:b/>
                <w:bCs/>
                <w:color w:val="auto"/>
                <w:kern w:val="0"/>
              </w:rPr>
            </w:pPr>
            <w:r>
              <w:rPr>
                <w:rFonts w:hint="eastAsia"/>
                <w:b/>
                <w:bCs/>
                <w:color w:val="auto"/>
                <w:kern w:val="0"/>
                <w:lang w:val="en-US" w:eastAsia="zh-CN"/>
              </w:rPr>
              <w:t>（1）</w:t>
            </w:r>
            <w:r>
              <w:rPr>
                <w:b/>
                <w:bCs/>
                <w:color w:val="auto"/>
                <w:kern w:val="0"/>
              </w:rPr>
              <w:t>噪声源强分析</w:t>
            </w:r>
          </w:p>
          <w:p>
            <w:pPr>
              <w:ind w:firstLine="480"/>
              <w:rPr>
                <w:rFonts w:hint="eastAsia"/>
                <w:color w:val="auto"/>
                <w:kern w:val="0"/>
              </w:rPr>
            </w:pPr>
            <w:r>
              <w:rPr>
                <w:color w:val="auto"/>
                <w:kern w:val="0"/>
              </w:rPr>
              <w:t>本项目噪声</w:t>
            </w:r>
            <w:r>
              <w:rPr>
                <w:rFonts w:hint="eastAsia"/>
                <w:color w:val="auto"/>
                <w:kern w:val="0"/>
              </w:rPr>
              <w:t>来自</w:t>
            </w:r>
            <w:r>
              <w:rPr>
                <w:rFonts w:hint="eastAsia"/>
                <w:color w:val="auto"/>
                <w:kern w:val="0"/>
                <w:lang w:val="en-US" w:eastAsia="zh-CN"/>
              </w:rPr>
              <w:t>一体化污水处理站运行时的水泵、风机等噪声</w:t>
            </w:r>
            <w:r>
              <w:rPr>
                <w:rFonts w:hint="eastAsia"/>
                <w:color w:val="auto"/>
                <w:kern w:val="0"/>
                <w:lang w:eastAsia="zh-CN"/>
              </w:rPr>
              <w:t>，</w:t>
            </w:r>
            <w:r>
              <w:rPr>
                <w:color w:val="auto"/>
                <w:kern w:val="0"/>
              </w:rPr>
              <w:t>噪声源强</w:t>
            </w:r>
            <w:r>
              <w:rPr>
                <w:rFonts w:hint="eastAsia"/>
                <w:color w:val="auto"/>
                <w:kern w:val="0"/>
              </w:rPr>
              <w:t>下表</w:t>
            </w:r>
            <w:r>
              <w:rPr>
                <w:color w:val="auto"/>
                <w:kern w:val="0"/>
              </w:rPr>
              <w:t>。</w:t>
            </w:r>
          </w:p>
          <w:p>
            <w:pPr>
              <w:pStyle w:val="67"/>
              <w:spacing w:line="360" w:lineRule="auto"/>
              <w:ind w:firstLine="482"/>
              <w:rPr>
                <w:color w:val="auto"/>
                <w:kern w:val="0"/>
                <w:sz w:val="21"/>
                <w:szCs w:val="21"/>
              </w:rPr>
            </w:pPr>
            <w:r>
              <w:rPr>
                <w:color w:val="auto"/>
                <w:kern w:val="0"/>
                <w:sz w:val="21"/>
                <w:szCs w:val="21"/>
              </w:rPr>
              <w:t>表</w:t>
            </w:r>
            <w:r>
              <w:rPr>
                <w:rFonts w:hint="eastAsia"/>
                <w:color w:val="auto"/>
                <w:kern w:val="0"/>
                <w:sz w:val="21"/>
                <w:szCs w:val="21"/>
                <w:lang w:val="en-US" w:eastAsia="zh-CN"/>
              </w:rPr>
              <w:t>4-13</w:t>
            </w:r>
            <w:r>
              <w:rPr>
                <w:color w:val="auto"/>
                <w:kern w:val="0"/>
                <w:sz w:val="21"/>
                <w:szCs w:val="21"/>
              </w:rPr>
              <w:t xml:space="preserve"> 主要噪声源强一览表</w:t>
            </w:r>
          </w:p>
          <w:tbl>
            <w:tblPr>
              <w:tblStyle w:val="37"/>
              <w:tblW w:w="8521" w:type="dxa"/>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1252"/>
              <w:gridCol w:w="1225"/>
              <w:gridCol w:w="3383"/>
              <w:gridCol w:w="1308"/>
              <w:gridCol w:w="1353"/>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1252"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eastAsia" w:eastAsia="宋体"/>
                      <w:b/>
                      <w:bCs/>
                      <w:color w:val="auto"/>
                      <w:sz w:val="21"/>
                      <w:szCs w:val="21"/>
                      <w:lang w:eastAsia="zh-CN"/>
                    </w:rPr>
                  </w:pPr>
                  <w:r>
                    <w:rPr>
                      <w:rFonts w:hint="eastAsia"/>
                      <w:b/>
                      <w:bCs/>
                      <w:color w:val="auto"/>
                      <w:sz w:val="21"/>
                      <w:szCs w:val="21"/>
                      <w:lang w:val="en-US" w:eastAsia="zh-CN"/>
                    </w:rPr>
                    <w:t>产噪设备</w:t>
                  </w:r>
                </w:p>
              </w:tc>
              <w:tc>
                <w:tcPr>
                  <w:tcW w:w="1225"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default"/>
                      <w:b/>
                      <w:bCs/>
                      <w:color w:val="auto"/>
                      <w:sz w:val="21"/>
                      <w:szCs w:val="21"/>
                      <w:lang w:val="en-US" w:eastAsia="zh-CN"/>
                    </w:rPr>
                  </w:pPr>
                  <w:r>
                    <w:rPr>
                      <w:rFonts w:hint="eastAsia"/>
                      <w:b/>
                      <w:bCs/>
                      <w:color w:val="auto"/>
                      <w:sz w:val="21"/>
                      <w:szCs w:val="21"/>
                      <w:lang w:val="en-US" w:eastAsia="zh-CN"/>
                    </w:rPr>
                    <w:t>噪声源强</w:t>
                  </w:r>
                  <w:r>
                    <w:rPr>
                      <w:b/>
                      <w:bCs/>
                      <w:color w:val="auto"/>
                      <w:sz w:val="21"/>
                      <w:szCs w:val="21"/>
                    </w:rPr>
                    <w:t>（dB）</w:t>
                  </w:r>
                </w:p>
              </w:tc>
              <w:tc>
                <w:tcPr>
                  <w:tcW w:w="3383"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eastAsia" w:eastAsia="宋体"/>
                      <w:b/>
                      <w:bCs/>
                      <w:color w:val="auto"/>
                      <w:sz w:val="21"/>
                      <w:szCs w:val="21"/>
                      <w:lang w:eastAsia="zh-CN"/>
                    </w:rPr>
                  </w:pPr>
                  <w:r>
                    <w:rPr>
                      <w:rFonts w:hint="eastAsia"/>
                      <w:b/>
                      <w:bCs/>
                      <w:color w:val="auto"/>
                      <w:sz w:val="21"/>
                      <w:szCs w:val="21"/>
                      <w:lang w:val="en-US" w:eastAsia="zh-CN"/>
                    </w:rPr>
                    <w:t>降噪措施</w:t>
                  </w:r>
                </w:p>
              </w:tc>
              <w:tc>
                <w:tcPr>
                  <w:tcW w:w="1308"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b/>
                      <w:bCs/>
                      <w:color w:val="auto"/>
                      <w:sz w:val="21"/>
                      <w:szCs w:val="21"/>
                    </w:rPr>
                  </w:pPr>
                  <w:r>
                    <w:rPr>
                      <w:rFonts w:hint="eastAsia"/>
                      <w:b/>
                      <w:bCs/>
                      <w:color w:val="auto"/>
                      <w:sz w:val="21"/>
                      <w:szCs w:val="21"/>
                      <w:lang w:val="en-US" w:eastAsia="zh-CN"/>
                    </w:rPr>
                    <w:t>排放源强</w:t>
                  </w:r>
                  <w:r>
                    <w:rPr>
                      <w:b/>
                      <w:bCs/>
                      <w:color w:val="auto"/>
                      <w:sz w:val="21"/>
                      <w:szCs w:val="21"/>
                    </w:rPr>
                    <w:t>（dB）</w:t>
                  </w:r>
                </w:p>
              </w:tc>
              <w:tc>
                <w:tcPr>
                  <w:tcW w:w="1353"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b/>
                      <w:bCs/>
                      <w:color w:val="auto"/>
                      <w:sz w:val="21"/>
                      <w:szCs w:val="21"/>
                    </w:rPr>
                  </w:pPr>
                  <w:r>
                    <w:rPr>
                      <w:b/>
                      <w:bCs/>
                      <w:color w:val="auto"/>
                      <w:sz w:val="21"/>
                      <w:szCs w:val="21"/>
                    </w:rPr>
                    <w:t>噪声性质</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1252"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eastAsia" w:eastAsia="宋体"/>
                      <w:color w:val="auto"/>
                      <w:sz w:val="21"/>
                      <w:szCs w:val="21"/>
                      <w:lang w:val="en-US" w:eastAsia="zh-CN"/>
                    </w:rPr>
                  </w:pPr>
                  <w:r>
                    <w:rPr>
                      <w:rFonts w:hint="eastAsia"/>
                      <w:color w:val="auto"/>
                      <w:sz w:val="21"/>
                      <w:szCs w:val="21"/>
                      <w:lang w:val="en-US" w:eastAsia="zh-CN"/>
                    </w:rPr>
                    <w:t>水泵</w:t>
                  </w:r>
                </w:p>
              </w:tc>
              <w:tc>
                <w:tcPr>
                  <w:tcW w:w="1225"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default"/>
                      <w:color w:val="auto"/>
                      <w:sz w:val="21"/>
                      <w:szCs w:val="21"/>
                      <w:lang w:val="en-US" w:eastAsia="zh-CN"/>
                    </w:rPr>
                  </w:pPr>
                  <w:r>
                    <w:rPr>
                      <w:rFonts w:hint="eastAsia"/>
                      <w:color w:val="auto"/>
                      <w:sz w:val="21"/>
                      <w:szCs w:val="21"/>
                      <w:lang w:val="en-US" w:eastAsia="zh-CN"/>
                    </w:rPr>
                    <w:t>75</w:t>
                  </w:r>
                </w:p>
              </w:tc>
              <w:tc>
                <w:tcPr>
                  <w:tcW w:w="3383" w:type="dxa"/>
                  <w:tcBorders>
                    <w:right w:val="single" w:color="000000" w:sz="8" w:space="0"/>
                    <w:tl2br w:val="nil"/>
                    <w:tr2bl w:val="nil"/>
                  </w:tcBorders>
                  <w:vAlign w:val="center"/>
                </w:tcPr>
                <w:p>
                  <w:pPr>
                    <w:keepNext w:val="0"/>
                    <w:keepLines w:val="0"/>
                    <w:pageBreakBefore w:val="0"/>
                    <w:widowControl/>
                    <w:suppressLineNumbers w:val="0"/>
                    <w:kinsoku/>
                    <w:wordWrap/>
                    <w:overflowPunct/>
                    <w:topLinePunct w:val="0"/>
                    <w:bidi w:val="0"/>
                    <w:spacing w:line="360" w:lineRule="auto"/>
                    <w:ind w:left="0" w:leftChars="0" w:firstLine="0" w:firstLineChars="0"/>
                    <w:jc w:val="left"/>
                    <w:rPr>
                      <w:color w:val="auto"/>
                      <w:sz w:val="21"/>
                      <w:szCs w:val="21"/>
                    </w:rPr>
                  </w:pPr>
                  <w:r>
                    <w:rPr>
                      <w:rFonts w:hint="eastAsia" w:ascii="宋体" w:hAnsi="宋体" w:eastAsia="宋体" w:cs="宋体"/>
                      <w:color w:val="auto"/>
                      <w:kern w:val="0"/>
                      <w:sz w:val="21"/>
                      <w:szCs w:val="21"/>
                      <w:lang w:val="en-US" w:eastAsia="zh-CN" w:bidi="ar"/>
                    </w:rPr>
                    <w:t>安装减震垫，房屋隔声、合理布局</w:t>
                  </w:r>
                </w:p>
              </w:tc>
              <w:tc>
                <w:tcPr>
                  <w:tcW w:w="1308"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default" w:eastAsia="宋体"/>
                      <w:color w:val="auto"/>
                      <w:sz w:val="21"/>
                      <w:szCs w:val="21"/>
                      <w:lang w:val="en-US" w:eastAsia="zh-CN"/>
                    </w:rPr>
                  </w:pPr>
                  <w:r>
                    <w:rPr>
                      <w:rFonts w:hint="eastAsia"/>
                      <w:color w:val="auto"/>
                      <w:sz w:val="21"/>
                      <w:szCs w:val="21"/>
                      <w:lang w:val="en-US" w:eastAsia="zh-CN"/>
                    </w:rPr>
                    <w:t>60</w:t>
                  </w:r>
                </w:p>
              </w:tc>
              <w:tc>
                <w:tcPr>
                  <w:tcW w:w="1353"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eastAsia" w:eastAsia="宋体"/>
                      <w:color w:val="auto"/>
                      <w:sz w:val="21"/>
                      <w:szCs w:val="21"/>
                      <w:lang w:val="en-US" w:eastAsia="zh-CN"/>
                    </w:rPr>
                  </w:pPr>
                  <w:r>
                    <w:rPr>
                      <w:rFonts w:hint="eastAsia"/>
                      <w:color w:val="auto"/>
                      <w:sz w:val="21"/>
                      <w:szCs w:val="21"/>
                      <w:lang w:val="en-US" w:eastAsia="zh-CN"/>
                    </w:rPr>
                    <w:t>连续</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37" w:hRule="atLeast"/>
                <w:jc w:val="center"/>
              </w:trPr>
              <w:tc>
                <w:tcPr>
                  <w:tcW w:w="1252"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eastAsia" w:eastAsia="宋体"/>
                      <w:color w:val="auto"/>
                      <w:sz w:val="21"/>
                      <w:szCs w:val="21"/>
                      <w:lang w:val="en-US" w:eastAsia="zh-CN"/>
                    </w:rPr>
                  </w:pPr>
                  <w:r>
                    <w:rPr>
                      <w:rFonts w:hint="eastAsia"/>
                      <w:color w:val="auto"/>
                      <w:sz w:val="21"/>
                      <w:szCs w:val="21"/>
                      <w:lang w:val="en-US" w:eastAsia="zh-CN"/>
                    </w:rPr>
                    <w:t>风机</w:t>
                  </w:r>
                </w:p>
              </w:tc>
              <w:tc>
                <w:tcPr>
                  <w:tcW w:w="1225"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default"/>
                      <w:color w:val="auto"/>
                      <w:sz w:val="21"/>
                      <w:szCs w:val="21"/>
                      <w:lang w:val="en-US" w:eastAsia="zh-CN"/>
                    </w:rPr>
                  </w:pPr>
                  <w:r>
                    <w:rPr>
                      <w:rFonts w:hint="eastAsia"/>
                      <w:color w:val="auto"/>
                      <w:sz w:val="21"/>
                      <w:szCs w:val="21"/>
                      <w:lang w:val="en-US" w:eastAsia="zh-CN"/>
                    </w:rPr>
                    <w:t>80</w:t>
                  </w:r>
                </w:p>
              </w:tc>
              <w:tc>
                <w:tcPr>
                  <w:tcW w:w="3383" w:type="dxa"/>
                  <w:tcBorders>
                    <w:right w:val="single" w:color="000000" w:sz="8" w:space="0"/>
                    <w:tl2br w:val="nil"/>
                    <w:tr2bl w:val="nil"/>
                  </w:tcBorders>
                  <w:vAlign w:val="center"/>
                </w:tcPr>
                <w:p>
                  <w:pPr>
                    <w:keepNext w:val="0"/>
                    <w:keepLines w:val="0"/>
                    <w:pageBreakBefore w:val="0"/>
                    <w:widowControl/>
                    <w:suppressLineNumbers w:val="0"/>
                    <w:kinsoku/>
                    <w:wordWrap/>
                    <w:overflowPunct/>
                    <w:topLinePunct w:val="0"/>
                    <w:bidi w:val="0"/>
                    <w:spacing w:line="360" w:lineRule="auto"/>
                    <w:ind w:left="0" w:leftChars="0" w:firstLine="0" w:firstLineChars="0"/>
                    <w:jc w:val="left"/>
                    <w:rPr>
                      <w:color w:val="auto"/>
                      <w:sz w:val="21"/>
                      <w:szCs w:val="21"/>
                    </w:rPr>
                  </w:pPr>
                  <w:r>
                    <w:rPr>
                      <w:rFonts w:hint="eastAsia" w:ascii="宋体" w:hAnsi="宋体" w:eastAsia="宋体" w:cs="宋体"/>
                      <w:color w:val="auto"/>
                      <w:kern w:val="0"/>
                      <w:sz w:val="21"/>
                      <w:szCs w:val="21"/>
                      <w:lang w:val="en-US" w:eastAsia="zh-CN" w:bidi="ar"/>
                    </w:rPr>
                    <w:t>安装减震垫，合理布局</w:t>
                  </w:r>
                </w:p>
              </w:tc>
              <w:tc>
                <w:tcPr>
                  <w:tcW w:w="1308"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default" w:eastAsia="宋体"/>
                      <w:color w:val="auto"/>
                      <w:sz w:val="21"/>
                      <w:szCs w:val="21"/>
                      <w:lang w:val="en-US" w:eastAsia="zh-CN"/>
                    </w:rPr>
                  </w:pPr>
                  <w:r>
                    <w:rPr>
                      <w:rFonts w:hint="eastAsia"/>
                      <w:color w:val="auto"/>
                      <w:sz w:val="21"/>
                      <w:szCs w:val="21"/>
                      <w:lang w:val="en-US" w:eastAsia="zh-CN"/>
                    </w:rPr>
                    <w:t>65</w:t>
                  </w:r>
                </w:p>
              </w:tc>
              <w:tc>
                <w:tcPr>
                  <w:tcW w:w="1353"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eastAsia" w:eastAsia="宋体"/>
                      <w:color w:val="auto"/>
                      <w:sz w:val="21"/>
                      <w:szCs w:val="21"/>
                      <w:lang w:val="en-US" w:eastAsia="zh-CN"/>
                    </w:rPr>
                  </w:pPr>
                  <w:r>
                    <w:rPr>
                      <w:rFonts w:hint="eastAsia"/>
                      <w:color w:val="auto"/>
                      <w:sz w:val="21"/>
                      <w:szCs w:val="21"/>
                      <w:lang w:val="en-US" w:eastAsia="zh-CN"/>
                    </w:rPr>
                    <w:t>连续</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37" w:hRule="atLeast"/>
                <w:jc w:val="center"/>
              </w:trPr>
              <w:tc>
                <w:tcPr>
                  <w:tcW w:w="1252"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eastAsia"/>
                      <w:color w:val="auto"/>
                      <w:sz w:val="21"/>
                      <w:szCs w:val="21"/>
                      <w:lang w:val="en-US" w:eastAsia="zh-CN"/>
                    </w:rPr>
                  </w:pPr>
                  <w:r>
                    <w:rPr>
                      <w:rFonts w:hint="eastAsia"/>
                      <w:color w:val="auto"/>
                      <w:sz w:val="21"/>
                      <w:szCs w:val="21"/>
                      <w:lang w:val="en-US" w:eastAsia="zh-CN"/>
                    </w:rPr>
                    <w:t>柴油发电机</w:t>
                  </w:r>
                </w:p>
              </w:tc>
              <w:tc>
                <w:tcPr>
                  <w:tcW w:w="1225"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default"/>
                      <w:color w:val="auto"/>
                      <w:sz w:val="21"/>
                      <w:szCs w:val="21"/>
                      <w:lang w:val="en-US" w:eastAsia="zh-CN"/>
                    </w:rPr>
                  </w:pPr>
                  <w:r>
                    <w:rPr>
                      <w:rFonts w:hint="eastAsia"/>
                      <w:color w:val="auto"/>
                      <w:sz w:val="21"/>
                      <w:szCs w:val="21"/>
                      <w:lang w:val="en-US" w:eastAsia="zh-CN"/>
                    </w:rPr>
                    <w:t>95</w:t>
                  </w:r>
                </w:p>
              </w:tc>
              <w:tc>
                <w:tcPr>
                  <w:tcW w:w="3383"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eastAsia"/>
                      <w:color w:val="auto"/>
                      <w:sz w:val="21"/>
                      <w:szCs w:val="21"/>
                      <w:lang w:val="en-US" w:eastAsia="zh-CN"/>
                    </w:rPr>
                  </w:pPr>
                  <w:r>
                    <w:rPr>
                      <w:rFonts w:hint="eastAsia"/>
                      <w:color w:val="auto"/>
                      <w:sz w:val="21"/>
                      <w:szCs w:val="21"/>
                      <w:lang w:val="en-US" w:eastAsia="zh-CN"/>
                    </w:rPr>
                    <w:t>置于地下一层，柴油发电机采用吸噪声设计</w:t>
                  </w:r>
                </w:p>
              </w:tc>
              <w:tc>
                <w:tcPr>
                  <w:tcW w:w="1308"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default"/>
                      <w:color w:val="auto"/>
                      <w:sz w:val="21"/>
                      <w:szCs w:val="21"/>
                      <w:lang w:val="en-US" w:eastAsia="zh-CN"/>
                    </w:rPr>
                  </w:pPr>
                  <w:r>
                    <w:rPr>
                      <w:rFonts w:hint="eastAsia"/>
                      <w:color w:val="auto"/>
                      <w:sz w:val="21"/>
                      <w:szCs w:val="21"/>
                      <w:lang w:val="en-US" w:eastAsia="zh-CN"/>
                    </w:rPr>
                    <w:t>65</w:t>
                  </w:r>
                </w:p>
              </w:tc>
              <w:tc>
                <w:tcPr>
                  <w:tcW w:w="1353"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eastAsia"/>
                      <w:color w:val="auto"/>
                      <w:sz w:val="21"/>
                      <w:szCs w:val="21"/>
                      <w:lang w:val="en-US" w:eastAsia="zh-CN"/>
                    </w:rPr>
                  </w:pPr>
                  <w:r>
                    <w:rPr>
                      <w:rFonts w:hint="eastAsia"/>
                      <w:color w:val="auto"/>
                      <w:sz w:val="21"/>
                      <w:szCs w:val="21"/>
                      <w:lang w:val="en-US" w:eastAsia="zh-CN"/>
                    </w:rPr>
                    <w:t>连续</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139" w:hRule="atLeast"/>
                <w:jc w:val="center"/>
              </w:trPr>
              <w:tc>
                <w:tcPr>
                  <w:tcW w:w="8521" w:type="dxa"/>
                  <w:gridSpan w:val="5"/>
                  <w:tcBorders>
                    <w:right w:val="single" w:color="000000" w:sz="8" w:space="0"/>
                    <w:tl2br w:val="nil"/>
                    <w:tr2bl w:val="nil"/>
                  </w:tcBorders>
                  <w:vAlign w:val="center"/>
                </w:tcPr>
                <w:p>
                  <w:pPr>
                    <w:keepNext w:val="0"/>
                    <w:keepLines w:val="0"/>
                    <w:pageBreakBefore w:val="0"/>
                    <w:widowControl/>
                    <w:suppressLineNumbers w:val="0"/>
                    <w:kinsoku/>
                    <w:wordWrap/>
                    <w:overflowPunct/>
                    <w:topLinePunct w:val="0"/>
                    <w:bidi w:val="0"/>
                    <w:spacing w:line="360" w:lineRule="auto"/>
                    <w:ind w:left="0" w:leftChars="0" w:firstLine="0" w:firstLineChars="0"/>
                    <w:jc w:val="left"/>
                    <w:rPr>
                      <w:color w:val="auto"/>
                      <w:sz w:val="21"/>
                      <w:szCs w:val="21"/>
                    </w:rPr>
                  </w:pPr>
                  <w:r>
                    <w:rPr>
                      <w:rFonts w:hint="eastAsia" w:ascii="宋体" w:hAnsi="宋体" w:eastAsia="宋体" w:cs="宋体"/>
                      <w:color w:val="auto"/>
                      <w:kern w:val="0"/>
                      <w:sz w:val="21"/>
                      <w:szCs w:val="21"/>
                      <w:lang w:val="en-US" w:eastAsia="zh-CN" w:bidi="ar"/>
                    </w:rPr>
                    <w:t>注：一体化污水处理站本身设计已隔声，且位于地下一层，因此产生的噪声分贝较低。</w:t>
                  </w:r>
                </w:p>
              </w:tc>
            </w:tr>
          </w:tbl>
          <w:p>
            <w:pPr>
              <w:keepNext w:val="0"/>
              <w:keepLines w:val="0"/>
              <w:widowControl/>
              <w:suppressLineNumbers w:val="0"/>
              <w:jc w:val="left"/>
              <w:rPr>
                <w:b/>
                <w:bCs w:val="0"/>
                <w:color w:val="auto"/>
              </w:rPr>
            </w:pPr>
            <w:r>
              <w:rPr>
                <w:rFonts w:hint="eastAsia" w:eastAsia="宋体" w:cs="Times New Roman"/>
                <w:b/>
                <w:bCs w:val="0"/>
                <w:color w:val="auto"/>
                <w:kern w:val="0"/>
                <w:sz w:val="24"/>
                <w:szCs w:val="24"/>
                <w:lang w:val="en-US" w:eastAsia="zh-CN" w:bidi="ar"/>
              </w:rPr>
              <w:t>（2）</w:t>
            </w:r>
            <w:r>
              <w:rPr>
                <w:rFonts w:hint="eastAsia" w:ascii="宋体" w:hAnsi="宋体" w:eastAsia="宋体" w:cs="宋体"/>
                <w:b/>
                <w:bCs w:val="0"/>
                <w:color w:val="auto"/>
                <w:kern w:val="0"/>
                <w:sz w:val="24"/>
                <w:szCs w:val="24"/>
                <w:lang w:val="en-US" w:eastAsia="zh-CN" w:bidi="ar"/>
              </w:rPr>
              <w:t>噪声影响分析</w:t>
            </w:r>
          </w:p>
          <w:p>
            <w:pPr>
              <w:keepNext w:val="0"/>
              <w:keepLines w:val="0"/>
              <w:widowControl/>
              <w:suppressLineNumbers w:val="0"/>
              <w:jc w:val="left"/>
              <w:rPr>
                <w:b/>
                <w:bCs w:val="0"/>
                <w:color w:val="auto"/>
              </w:rPr>
            </w:pPr>
            <w:r>
              <w:rPr>
                <w:rFonts w:hint="eastAsia" w:eastAsia="宋体" w:cs="Times New Roman"/>
                <w:b/>
                <w:bCs w:val="0"/>
                <w:color w:val="auto"/>
                <w:kern w:val="0"/>
                <w:sz w:val="24"/>
                <w:szCs w:val="24"/>
                <w:lang w:val="en-US" w:eastAsia="zh-CN" w:bidi="ar"/>
              </w:rPr>
              <w:t>1）</w:t>
            </w:r>
            <w:r>
              <w:rPr>
                <w:rFonts w:hint="eastAsia" w:ascii="宋体" w:hAnsi="宋体" w:eastAsia="宋体" w:cs="宋体"/>
                <w:b/>
                <w:bCs w:val="0"/>
                <w:color w:val="auto"/>
                <w:kern w:val="0"/>
                <w:sz w:val="24"/>
                <w:szCs w:val="24"/>
                <w:lang w:val="en-US" w:eastAsia="zh-CN" w:bidi="ar"/>
              </w:rPr>
              <w:t xml:space="preserve">项目厂界噪声影响分析 </w:t>
            </w:r>
          </w:p>
          <w:p>
            <w:pPr>
              <w:keepNext w:val="0"/>
              <w:keepLines w:val="0"/>
              <w:widowControl/>
              <w:suppressLineNumbers w:val="0"/>
              <w:jc w:val="left"/>
              <w:rPr>
                <w:b/>
                <w:bCs w:val="0"/>
                <w:color w:val="auto"/>
              </w:rPr>
            </w:pPr>
            <w:r>
              <w:rPr>
                <w:rFonts w:hint="eastAsia" w:eastAsia="宋体" w:cs="Times New Roman"/>
                <w:b/>
                <w:bCs w:val="0"/>
                <w:color w:val="auto"/>
                <w:kern w:val="0"/>
                <w:sz w:val="24"/>
                <w:szCs w:val="24"/>
                <w:lang w:val="en-US" w:eastAsia="zh-CN" w:bidi="ar"/>
              </w:rPr>
              <w:t>①</w:t>
            </w:r>
            <w:r>
              <w:rPr>
                <w:rFonts w:hint="eastAsia" w:ascii="宋体" w:hAnsi="宋体" w:eastAsia="宋体" w:cs="宋体"/>
                <w:b/>
                <w:bCs w:val="0"/>
                <w:color w:val="auto"/>
                <w:kern w:val="0"/>
                <w:sz w:val="24"/>
                <w:szCs w:val="24"/>
                <w:lang w:val="en-US" w:eastAsia="zh-CN" w:bidi="ar"/>
              </w:rPr>
              <w:t>声环境影响预测</w:t>
            </w:r>
          </w:p>
          <w:p>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a、噪声衰减预测模式</w:t>
            </w:r>
          </w:p>
          <w:p>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 xml:space="preserve">噪声传播到受声点，受传播距离，空气吸收，阻挡物的反射与屏障等因素的影响而产生衰减。其预测模式如下： </w:t>
            </w:r>
          </w:p>
          <w:p>
            <w:pPr>
              <w:keepNext w:val="0"/>
              <w:keepLines w:val="0"/>
              <w:widowControl/>
              <w:suppressLineNumbers w:val="0"/>
              <w:jc w:val="left"/>
              <w:rPr>
                <w:color w:val="auto"/>
              </w:rPr>
            </w:pPr>
            <w:r>
              <w:rPr>
                <w:rFonts w:hint="default" w:ascii="Times New Roman" w:hAnsi="Times New Roman" w:eastAsia="宋体" w:cs="Times New Roman"/>
                <w:color w:val="auto"/>
                <w:kern w:val="0"/>
                <w:sz w:val="24"/>
                <w:szCs w:val="24"/>
                <w:lang w:val="en-US" w:eastAsia="zh-CN" w:bidi="ar"/>
              </w:rPr>
              <w:t>L</w:t>
            </w:r>
            <w:r>
              <w:rPr>
                <w:rFonts w:hint="default" w:ascii="Times New Roman" w:hAnsi="Times New Roman" w:eastAsia="宋体" w:cs="Times New Roman"/>
                <w:color w:val="auto"/>
                <w:kern w:val="0"/>
                <w:sz w:val="24"/>
                <w:szCs w:val="24"/>
                <w:vertAlign w:val="subscript"/>
                <w:lang w:val="en-US" w:eastAsia="zh-CN" w:bidi="ar"/>
              </w:rPr>
              <w:t>A</w:t>
            </w:r>
            <w:r>
              <w:rPr>
                <w:rFonts w:hint="eastAsia" w:ascii="宋体" w:hAnsi="宋体" w:eastAsia="宋体" w:cs="宋体"/>
                <w:color w:val="auto"/>
                <w:kern w:val="0"/>
                <w:sz w:val="24"/>
                <w:szCs w:val="24"/>
                <w:vertAlign w:val="subscript"/>
                <w:lang w:val="en-US" w:eastAsia="zh-CN" w:bidi="ar"/>
              </w:rPr>
              <w:t>（</w:t>
            </w:r>
            <w:r>
              <w:rPr>
                <w:rFonts w:hint="default" w:ascii="Times New Roman" w:hAnsi="Times New Roman" w:eastAsia="宋体" w:cs="Times New Roman"/>
                <w:color w:val="auto"/>
                <w:kern w:val="0"/>
                <w:sz w:val="24"/>
                <w:szCs w:val="24"/>
                <w:vertAlign w:val="subscript"/>
                <w:lang w:val="en-US" w:eastAsia="zh-CN" w:bidi="ar"/>
              </w:rPr>
              <w:t>r</w:t>
            </w:r>
            <w:r>
              <w:rPr>
                <w:rFonts w:hint="eastAsia" w:ascii="宋体" w:hAnsi="宋体" w:eastAsia="宋体" w:cs="宋体"/>
                <w:color w:val="auto"/>
                <w:kern w:val="0"/>
                <w:sz w:val="24"/>
                <w:szCs w:val="24"/>
                <w:vertAlign w:val="subscript"/>
                <w:lang w:val="en-US" w:eastAsia="zh-CN" w:bidi="ar"/>
              </w:rPr>
              <w:t>）</w:t>
            </w:r>
            <w:r>
              <w:rPr>
                <w:rFonts w:hint="default" w:ascii="Times New Roman" w:hAnsi="Times New Roman" w:eastAsia="宋体" w:cs="Times New Roman"/>
                <w:color w:val="auto"/>
                <w:kern w:val="0"/>
                <w:sz w:val="24"/>
                <w:szCs w:val="24"/>
                <w:lang w:val="en-US" w:eastAsia="zh-CN" w:bidi="ar"/>
              </w:rPr>
              <w:t>=L</w:t>
            </w:r>
            <w:r>
              <w:rPr>
                <w:rFonts w:hint="default" w:ascii="Times New Roman" w:hAnsi="Times New Roman" w:eastAsia="宋体" w:cs="Times New Roman"/>
                <w:color w:val="auto"/>
                <w:kern w:val="0"/>
                <w:sz w:val="24"/>
                <w:szCs w:val="24"/>
                <w:vertAlign w:val="subscript"/>
                <w:lang w:val="en-US" w:eastAsia="zh-CN" w:bidi="ar"/>
              </w:rPr>
              <w:t>A</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r</w:t>
            </w:r>
            <w:r>
              <w:rPr>
                <w:rFonts w:hint="default" w:ascii="Times New Roman" w:hAnsi="Times New Roman" w:eastAsia="宋体" w:cs="Times New Roman"/>
                <w:color w:val="auto"/>
                <w:kern w:val="0"/>
                <w:sz w:val="24"/>
                <w:szCs w:val="24"/>
                <w:vertAlign w:val="subscript"/>
                <w:lang w:val="en-US" w:eastAsia="zh-CN" w:bidi="ar"/>
              </w:rPr>
              <w:t>0</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 xml:space="preserve">A </w:t>
            </w:r>
          </w:p>
          <w:p>
            <w:pPr>
              <w:keepNext w:val="0"/>
              <w:keepLines w:val="0"/>
              <w:widowControl/>
              <w:suppressLineNumbers w:val="0"/>
              <w:jc w:val="left"/>
              <w:rPr>
                <w:color w:val="auto"/>
              </w:rPr>
            </w:pPr>
            <w:r>
              <w:rPr>
                <w:rFonts w:hint="default" w:ascii="Times New Roman" w:hAnsi="Times New Roman" w:eastAsia="宋体" w:cs="Times New Roman"/>
                <w:color w:val="auto"/>
                <w:kern w:val="0"/>
                <w:sz w:val="24"/>
                <w:szCs w:val="24"/>
                <w:lang w:val="en-US" w:eastAsia="zh-CN" w:bidi="ar"/>
              </w:rPr>
              <w:t xml:space="preserve">A= Adiv+ Abar+Aatm+Agr+ Amisc </w:t>
            </w:r>
          </w:p>
          <w:p>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式中：</w:t>
            </w:r>
            <w:r>
              <w:rPr>
                <w:rFonts w:hint="default" w:ascii="Times New Roman" w:hAnsi="Times New Roman" w:eastAsia="宋体" w:cs="Times New Roman"/>
                <w:color w:val="auto"/>
                <w:kern w:val="0"/>
                <w:sz w:val="24"/>
                <w:szCs w:val="24"/>
                <w:lang w:val="en-US" w:eastAsia="zh-CN" w:bidi="ar"/>
              </w:rPr>
              <w:t>LA (r)</w:t>
            </w:r>
            <w:r>
              <w:rPr>
                <w:rFonts w:hint="eastAsia" w:ascii="宋体" w:hAnsi="宋体" w:eastAsia="宋体" w:cs="宋体"/>
                <w:color w:val="auto"/>
                <w:kern w:val="0"/>
                <w:sz w:val="24"/>
                <w:szCs w:val="24"/>
                <w:lang w:val="en-US" w:eastAsia="zh-CN" w:bidi="ar"/>
              </w:rPr>
              <w:t>－距声源</w:t>
            </w:r>
            <w:r>
              <w:rPr>
                <w:rFonts w:hint="default" w:ascii="Times New Roman" w:hAnsi="Times New Roman" w:eastAsia="宋体" w:cs="Times New Roman"/>
                <w:color w:val="auto"/>
                <w:kern w:val="0"/>
                <w:sz w:val="24"/>
                <w:szCs w:val="24"/>
                <w:lang w:val="en-US" w:eastAsia="zh-CN" w:bidi="ar"/>
              </w:rPr>
              <w:t>r</w:t>
            </w:r>
            <w:r>
              <w:rPr>
                <w:rFonts w:hint="eastAsia" w:ascii="宋体" w:hAnsi="宋体" w:eastAsia="宋体" w:cs="宋体"/>
                <w:color w:val="auto"/>
                <w:kern w:val="0"/>
                <w:sz w:val="24"/>
                <w:szCs w:val="24"/>
                <w:lang w:val="en-US" w:eastAsia="zh-CN" w:bidi="ar"/>
              </w:rPr>
              <w:t>处的</w:t>
            </w:r>
            <w:r>
              <w:rPr>
                <w:rFonts w:hint="default" w:ascii="Times New Roman" w:hAnsi="Times New Roman" w:eastAsia="宋体" w:cs="Times New Roman"/>
                <w:color w:val="auto"/>
                <w:kern w:val="0"/>
                <w:sz w:val="24"/>
                <w:szCs w:val="24"/>
                <w:lang w:val="en-US" w:eastAsia="zh-CN" w:bidi="ar"/>
              </w:rPr>
              <w:t>A</w:t>
            </w:r>
            <w:r>
              <w:rPr>
                <w:rFonts w:hint="eastAsia" w:ascii="宋体" w:hAnsi="宋体" w:eastAsia="宋体" w:cs="宋体"/>
                <w:color w:val="auto"/>
                <w:kern w:val="0"/>
                <w:sz w:val="24"/>
                <w:szCs w:val="24"/>
                <w:lang w:val="en-US" w:eastAsia="zh-CN" w:bidi="ar"/>
              </w:rPr>
              <w:t>声级，</w:t>
            </w:r>
            <w:r>
              <w:rPr>
                <w:rFonts w:hint="default" w:ascii="Times New Roman" w:hAnsi="Times New Roman" w:eastAsia="宋体" w:cs="Times New Roman"/>
                <w:color w:val="auto"/>
                <w:kern w:val="0"/>
                <w:sz w:val="24"/>
                <w:szCs w:val="24"/>
                <w:lang w:val="en-US" w:eastAsia="zh-CN" w:bidi="ar"/>
              </w:rPr>
              <w:t>dB</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A</w:t>
            </w:r>
            <w:r>
              <w:rPr>
                <w:rFonts w:hint="eastAsia" w:ascii="宋体" w:hAnsi="宋体" w:eastAsia="宋体" w:cs="宋体"/>
                <w:color w:val="auto"/>
                <w:kern w:val="0"/>
                <w:sz w:val="24"/>
                <w:szCs w:val="24"/>
                <w:lang w:val="en-US" w:eastAsia="zh-CN" w:bidi="ar"/>
              </w:rPr>
              <w:t xml:space="preserve">）； </w:t>
            </w:r>
          </w:p>
          <w:p>
            <w:pPr>
              <w:keepNext w:val="0"/>
              <w:keepLines w:val="0"/>
              <w:widowControl/>
              <w:suppressLineNumbers w:val="0"/>
              <w:jc w:val="left"/>
              <w:rPr>
                <w:color w:val="auto"/>
              </w:rPr>
            </w:pPr>
            <w:r>
              <w:rPr>
                <w:rFonts w:hint="default" w:ascii="Times New Roman" w:hAnsi="Times New Roman" w:eastAsia="宋体" w:cs="Times New Roman"/>
                <w:color w:val="auto"/>
                <w:kern w:val="0"/>
                <w:sz w:val="24"/>
                <w:szCs w:val="24"/>
                <w:lang w:val="en-US" w:eastAsia="zh-CN" w:bidi="ar"/>
              </w:rPr>
              <w:t>LA (r0)</w:t>
            </w:r>
            <w:r>
              <w:rPr>
                <w:rFonts w:hint="eastAsia" w:ascii="宋体" w:hAnsi="宋体" w:eastAsia="宋体" w:cs="宋体"/>
                <w:color w:val="auto"/>
                <w:kern w:val="0"/>
                <w:sz w:val="24"/>
                <w:szCs w:val="24"/>
                <w:lang w:val="en-US" w:eastAsia="zh-CN" w:bidi="ar"/>
              </w:rPr>
              <w:t xml:space="preserve">－参考位置 </w:t>
            </w:r>
            <w:r>
              <w:rPr>
                <w:rFonts w:hint="default" w:ascii="Times New Roman" w:hAnsi="Times New Roman" w:eastAsia="宋体" w:cs="Times New Roman"/>
                <w:color w:val="auto"/>
                <w:kern w:val="0"/>
                <w:sz w:val="24"/>
                <w:szCs w:val="24"/>
                <w:lang w:val="en-US" w:eastAsia="zh-CN" w:bidi="ar"/>
              </w:rPr>
              <w:t xml:space="preserve">r0 </w:t>
            </w:r>
            <w:r>
              <w:rPr>
                <w:rFonts w:hint="eastAsia" w:ascii="宋体" w:hAnsi="宋体" w:eastAsia="宋体" w:cs="宋体"/>
                <w:color w:val="auto"/>
                <w:kern w:val="0"/>
                <w:sz w:val="24"/>
                <w:szCs w:val="24"/>
                <w:lang w:val="en-US" w:eastAsia="zh-CN" w:bidi="ar"/>
              </w:rPr>
              <w:t>处的</w:t>
            </w:r>
            <w:r>
              <w:rPr>
                <w:rFonts w:hint="default" w:ascii="Times New Roman" w:hAnsi="Times New Roman" w:eastAsia="宋体" w:cs="Times New Roman"/>
                <w:color w:val="auto"/>
                <w:kern w:val="0"/>
                <w:sz w:val="24"/>
                <w:szCs w:val="24"/>
                <w:lang w:val="en-US" w:eastAsia="zh-CN" w:bidi="ar"/>
              </w:rPr>
              <w:t>A</w:t>
            </w:r>
            <w:r>
              <w:rPr>
                <w:rFonts w:hint="eastAsia" w:ascii="宋体" w:hAnsi="宋体" w:eastAsia="宋体" w:cs="宋体"/>
                <w:color w:val="auto"/>
                <w:kern w:val="0"/>
                <w:sz w:val="24"/>
                <w:szCs w:val="24"/>
                <w:lang w:val="en-US" w:eastAsia="zh-CN" w:bidi="ar"/>
              </w:rPr>
              <w:t>声级，</w:t>
            </w:r>
            <w:r>
              <w:rPr>
                <w:rFonts w:hint="default" w:ascii="Times New Roman" w:hAnsi="Times New Roman" w:eastAsia="宋体" w:cs="Times New Roman"/>
                <w:color w:val="auto"/>
                <w:kern w:val="0"/>
                <w:sz w:val="24"/>
                <w:szCs w:val="24"/>
                <w:lang w:val="en-US" w:eastAsia="zh-CN" w:bidi="ar"/>
              </w:rPr>
              <w:t>dB</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A</w:t>
            </w:r>
            <w:r>
              <w:rPr>
                <w:rFonts w:hint="eastAsia" w:ascii="宋体" w:hAnsi="宋体" w:eastAsia="宋体" w:cs="宋体"/>
                <w:color w:val="auto"/>
                <w:kern w:val="0"/>
                <w:sz w:val="24"/>
                <w:szCs w:val="24"/>
                <w:lang w:val="en-US" w:eastAsia="zh-CN" w:bidi="ar"/>
              </w:rPr>
              <w:t xml:space="preserve">）； </w:t>
            </w:r>
          </w:p>
          <w:p>
            <w:pPr>
              <w:keepNext w:val="0"/>
              <w:keepLines w:val="0"/>
              <w:widowControl/>
              <w:suppressLineNumbers w:val="0"/>
              <w:jc w:val="left"/>
              <w:rPr>
                <w:color w:val="auto"/>
              </w:rPr>
            </w:pPr>
            <w:r>
              <w:rPr>
                <w:rFonts w:hint="default" w:ascii="Times New Roman" w:hAnsi="Times New Roman" w:eastAsia="宋体" w:cs="Times New Roman"/>
                <w:color w:val="auto"/>
                <w:kern w:val="0"/>
                <w:sz w:val="24"/>
                <w:szCs w:val="24"/>
                <w:lang w:val="en-US" w:eastAsia="zh-CN" w:bidi="ar"/>
              </w:rPr>
              <w:t>A—</w:t>
            </w:r>
            <w:r>
              <w:rPr>
                <w:rFonts w:hint="eastAsia" w:ascii="宋体" w:hAnsi="宋体" w:eastAsia="宋体" w:cs="宋体"/>
                <w:color w:val="auto"/>
                <w:kern w:val="0"/>
                <w:sz w:val="24"/>
                <w:szCs w:val="24"/>
                <w:lang w:val="en-US" w:eastAsia="zh-CN" w:bidi="ar"/>
              </w:rPr>
              <w:t>倍频带衰减，</w:t>
            </w:r>
            <w:r>
              <w:rPr>
                <w:rFonts w:hint="default" w:ascii="Times New Roman" w:hAnsi="Times New Roman" w:eastAsia="宋体" w:cs="Times New Roman"/>
                <w:color w:val="auto"/>
                <w:kern w:val="0"/>
                <w:sz w:val="24"/>
                <w:szCs w:val="24"/>
                <w:lang w:val="en-US" w:eastAsia="zh-CN" w:bidi="ar"/>
              </w:rPr>
              <w:t>dB</w:t>
            </w:r>
            <w:r>
              <w:rPr>
                <w:rFonts w:hint="eastAsia" w:ascii="宋体" w:hAnsi="宋体" w:eastAsia="宋体" w:cs="宋体"/>
                <w:color w:val="auto"/>
                <w:kern w:val="0"/>
                <w:sz w:val="24"/>
                <w:szCs w:val="24"/>
                <w:lang w:val="en-US" w:eastAsia="zh-CN" w:bidi="ar"/>
              </w:rPr>
              <w:t xml:space="preserve">； </w:t>
            </w:r>
          </w:p>
          <w:p>
            <w:pPr>
              <w:keepNext w:val="0"/>
              <w:keepLines w:val="0"/>
              <w:widowControl/>
              <w:suppressLineNumbers w:val="0"/>
              <w:jc w:val="left"/>
              <w:rPr>
                <w:color w:val="auto"/>
              </w:rPr>
            </w:pPr>
            <w:r>
              <w:rPr>
                <w:rFonts w:hint="default" w:ascii="Times New Roman" w:hAnsi="Times New Roman" w:eastAsia="宋体" w:cs="Times New Roman"/>
                <w:color w:val="auto"/>
                <w:kern w:val="0"/>
                <w:sz w:val="24"/>
                <w:szCs w:val="24"/>
                <w:lang w:val="en-US" w:eastAsia="zh-CN" w:bidi="ar"/>
              </w:rPr>
              <w:t>Adiv</w:t>
            </w:r>
            <w:r>
              <w:rPr>
                <w:rFonts w:hint="eastAsia" w:ascii="宋体" w:hAnsi="宋体" w:eastAsia="宋体" w:cs="宋体"/>
                <w:color w:val="auto"/>
                <w:kern w:val="0"/>
                <w:sz w:val="24"/>
                <w:szCs w:val="24"/>
                <w:lang w:val="en-US" w:eastAsia="zh-CN" w:bidi="ar"/>
              </w:rPr>
              <w:t>－几何发散所引起的倍频带衰减，即距离所引起的衰减，无指向性点声源几何发散衰减的基本公式为：</w:t>
            </w:r>
            <w:r>
              <w:rPr>
                <w:rFonts w:hint="default" w:ascii="Times New Roman" w:hAnsi="Times New Roman" w:eastAsia="宋体" w:cs="Times New Roman"/>
                <w:color w:val="auto"/>
                <w:kern w:val="0"/>
                <w:sz w:val="24"/>
                <w:szCs w:val="24"/>
                <w:lang w:val="en-US" w:eastAsia="zh-CN" w:bidi="ar"/>
              </w:rPr>
              <w:t>Adiv</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20 lg(r /r0)</w:t>
            </w:r>
            <w:r>
              <w:rPr>
                <w:rFonts w:hint="eastAsia" w:ascii="宋体" w:hAnsi="宋体" w:eastAsia="宋体" w:cs="宋体"/>
                <w:color w:val="auto"/>
                <w:kern w:val="0"/>
                <w:sz w:val="24"/>
                <w:szCs w:val="24"/>
                <w:lang w:val="en-US" w:eastAsia="zh-CN" w:bidi="ar"/>
              </w:rPr>
              <w:t xml:space="preserve">； </w:t>
            </w:r>
          </w:p>
          <w:p>
            <w:pPr>
              <w:keepNext w:val="0"/>
              <w:keepLines w:val="0"/>
              <w:widowControl/>
              <w:suppressLineNumbers w:val="0"/>
              <w:jc w:val="left"/>
              <w:rPr>
                <w:color w:val="auto"/>
              </w:rPr>
            </w:pPr>
            <w:r>
              <w:rPr>
                <w:rFonts w:hint="default" w:ascii="Times New Roman" w:hAnsi="Times New Roman" w:eastAsia="宋体" w:cs="Times New Roman"/>
                <w:color w:val="auto"/>
                <w:kern w:val="0"/>
                <w:sz w:val="24"/>
                <w:szCs w:val="24"/>
                <w:lang w:val="en-US" w:eastAsia="zh-CN" w:bidi="ar"/>
              </w:rPr>
              <w:t>Abar</w:t>
            </w:r>
            <w:r>
              <w:rPr>
                <w:rFonts w:hint="eastAsia" w:ascii="宋体" w:hAnsi="宋体" w:eastAsia="宋体" w:cs="宋体"/>
                <w:color w:val="auto"/>
                <w:kern w:val="0"/>
                <w:sz w:val="24"/>
                <w:szCs w:val="24"/>
                <w:lang w:val="en-US" w:eastAsia="zh-CN" w:bidi="ar"/>
              </w:rPr>
              <w:t xml:space="preserve">－屏障物所引起的倍频带衰减。 </w:t>
            </w:r>
          </w:p>
          <w:p>
            <w:pPr>
              <w:keepNext w:val="0"/>
              <w:keepLines w:val="0"/>
              <w:widowControl/>
              <w:suppressLineNumbers w:val="0"/>
              <w:jc w:val="left"/>
              <w:rPr>
                <w:color w:val="auto"/>
              </w:rPr>
            </w:pPr>
            <w:r>
              <w:rPr>
                <w:rFonts w:hint="default" w:ascii="Times New Roman" w:hAnsi="Times New Roman" w:eastAsia="宋体" w:cs="Times New Roman"/>
                <w:color w:val="auto"/>
                <w:kern w:val="0"/>
                <w:sz w:val="24"/>
                <w:szCs w:val="24"/>
                <w:lang w:val="en-US" w:eastAsia="zh-CN" w:bidi="ar"/>
              </w:rPr>
              <w:t>Aatm</w:t>
            </w:r>
            <w:r>
              <w:rPr>
                <w:rFonts w:hint="eastAsia" w:ascii="宋体" w:hAnsi="宋体" w:eastAsia="宋体" w:cs="宋体"/>
                <w:color w:val="auto"/>
                <w:kern w:val="0"/>
                <w:sz w:val="24"/>
                <w:szCs w:val="24"/>
                <w:lang w:val="en-US" w:eastAsia="zh-CN" w:bidi="ar"/>
              </w:rPr>
              <w:t xml:space="preserve">－空气吸收所引起的倍频带衰减，一般情况下可忽略不计。 </w:t>
            </w:r>
          </w:p>
          <w:p>
            <w:pPr>
              <w:keepNext w:val="0"/>
              <w:keepLines w:val="0"/>
              <w:widowControl/>
              <w:suppressLineNumbers w:val="0"/>
              <w:jc w:val="left"/>
              <w:rPr>
                <w:color w:val="auto"/>
              </w:rPr>
            </w:pPr>
            <w:r>
              <w:rPr>
                <w:rFonts w:hint="default" w:ascii="Times New Roman" w:hAnsi="Times New Roman" w:eastAsia="宋体" w:cs="Times New Roman"/>
                <w:color w:val="auto"/>
                <w:kern w:val="0"/>
                <w:sz w:val="24"/>
                <w:szCs w:val="24"/>
                <w:lang w:val="en-US" w:eastAsia="zh-CN" w:bidi="ar"/>
              </w:rPr>
              <w:t>Agr</w:t>
            </w:r>
            <w:r>
              <w:rPr>
                <w:rFonts w:hint="eastAsia" w:ascii="宋体" w:hAnsi="宋体" w:eastAsia="宋体" w:cs="宋体"/>
                <w:color w:val="auto"/>
                <w:kern w:val="0"/>
                <w:sz w:val="24"/>
                <w:szCs w:val="24"/>
                <w:lang w:val="en-US" w:eastAsia="zh-CN" w:bidi="ar"/>
              </w:rPr>
              <w:t xml:space="preserve">－地面效应所引起的倍频带衰减，本项目不考虑地面效应。 </w:t>
            </w:r>
          </w:p>
          <w:p>
            <w:pPr>
              <w:keepNext w:val="0"/>
              <w:keepLines w:val="0"/>
              <w:widowControl/>
              <w:suppressLineNumbers w:val="0"/>
              <w:jc w:val="left"/>
              <w:rPr>
                <w:color w:val="auto"/>
              </w:rPr>
            </w:pPr>
            <w:r>
              <w:rPr>
                <w:rFonts w:hint="default" w:ascii="Times New Roman" w:hAnsi="Times New Roman" w:eastAsia="宋体" w:cs="Times New Roman"/>
                <w:color w:val="auto"/>
                <w:kern w:val="0"/>
                <w:sz w:val="24"/>
                <w:szCs w:val="24"/>
                <w:lang w:val="en-US" w:eastAsia="zh-CN" w:bidi="ar"/>
              </w:rPr>
              <w:t>Amisc</w:t>
            </w:r>
            <w:r>
              <w:rPr>
                <w:rFonts w:hint="eastAsia" w:ascii="宋体" w:hAnsi="宋体" w:eastAsia="宋体" w:cs="宋体"/>
                <w:color w:val="auto"/>
                <w:kern w:val="0"/>
                <w:sz w:val="24"/>
                <w:szCs w:val="24"/>
                <w:lang w:val="en-US" w:eastAsia="zh-CN" w:bidi="ar"/>
              </w:rPr>
              <w:t xml:space="preserve">－其他多方面倍频带衰减，一般情况下的环境影响评价中，不需考虑附加影响。 </w:t>
            </w:r>
          </w:p>
          <w:p>
            <w:pPr>
              <w:keepNext w:val="0"/>
              <w:keepLines w:val="0"/>
              <w:widowControl/>
              <w:suppressLineNumbers w:val="0"/>
              <w:jc w:val="left"/>
              <w:rPr>
                <w:color w:val="auto"/>
              </w:rPr>
            </w:pPr>
            <w:r>
              <w:rPr>
                <w:rFonts w:hint="default" w:ascii="Times New Roman" w:hAnsi="Times New Roman" w:eastAsia="宋体" w:cs="Times New Roman"/>
                <w:color w:val="auto"/>
                <w:kern w:val="0"/>
                <w:sz w:val="24"/>
                <w:szCs w:val="24"/>
                <w:lang w:val="en-US" w:eastAsia="zh-CN" w:bidi="ar"/>
              </w:rPr>
              <w:t>b</w:t>
            </w:r>
            <w:r>
              <w:rPr>
                <w:rFonts w:hint="eastAsia" w:ascii="宋体" w:hAnsi="宋体" w:eastAsia="宋体" w:cs="宋体"/>
                <w:color w:val="auto"/>
                <w:kern w:val="0"/>
                <w:sz w:val="24"/>
                <w:szCs w:val="24"/>
                <w:lang w:val="en-US" w:eastAsia="zh-CN" w:bidi="ar"/>
              </w:rPr>
              <w:t>、预测点的</w:t>
            </w:r>
            <w:r>
              <w:rPr>
                <w:rFonts w:hint="default" w:ascii="Times New Roman" w:hAnsi="Times New Roman" w:eastAsia="宋体" w:cs="Times New Roman"/>
                <w:color w:val="auto"/>
                <w:kern w:val="0"/>
                <w:sz w:val="24"/>
                <w:szCs w:val="24"/>
                <w:lang w:val="en-US" w:eastAsia="zh-CN" w:bidi="ar"/>
              </w:rPr>
              <w:t>A</w:t>
            </w:r>
            <w:r>
              <w:rPr>
                <w:rFonts w:hint="eastAsia" w:ascii="宋体" w:hAnsi="宋体" w:eastAsia="宋体" w:cs="宋体"/>
                <w:color w:val="auto"/>
                <w:kern w:val="0"/>
                <w:sz w:val="24"/>
                <w:szCs w:val="24"/>
                <w:lang w:val="en-US" w:eastAsia="zh-CN" w:bidi="ar"/>
              </w:rPr>
              <w:t xml:space="preserve">声级叠加公式： </w:t>
            </w:r>
          </w:p>
          <w:p>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各受声点的声源叠加按下列公式计算：</w:t>
            </w:r>
          </w:p>
          <w:p>
            <w:pPr>
              <w:keepNext w:val="0"/>
              <w:keepLines w:val="0"/>
              <w:widowControl/>
              <w:suppressLineNumbers w:val="0"/>
              <w:jc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drawing>
                <wp:inline distT="0" distB="0" distL="114300" distR="114300">
                  <wp:extent cx="1628775" cy="657225"/>
                  <wp:effectExtent l="0" t="0" r="9525" b="9525"/>
                  <wp:docPr id="2" name="图片 2" descr="1628510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28510922(1)"/>
                          <pic:cNvPicPr>
                            <a:picLocks noChangeAspect="1"/>
                          </pic:cNvPicPr>
                        </pic:nvPicPr>
                        <pic:blipFill>
                          <a:blip r:embed="rId28"/>
                          <a:stretch>
                            <a:fillRect/>
                          </a:stretch>
                        </pic:blipFill>
                        <pic:spPr>
                          <a:xfrm>
                            <a:off x="0" y="0"/>
                            <a:ext cx="1628775" cy="657225"/>
                          </a:xfrm>
                          <a:prstGeom prst="rect">
                            <a:avLst/>
                          </a:prstGeom>
                        </pic:spPr>
                      </pic:pic>
                    </a:graphicData>
                  </a:graphic>
                </wp:inline>
              </w:drawing>
            </w:r>
          </w:p>
          <w:p>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式中：</w:t>
            </w:r>
            <w:r>
              <w:rPr>
                <w:rFonts w:hint="default" w:ascii="Times New Roman" w:hAnsi="Times New Roman" w:eastAsia="宋体" w:cs="Times New Roman"/>
                <w:color w:val="auto"/>
                <w:kern w:val="0"/>
                <w:sz w:val="24"/>
                <w:szCs w:val="24"/>
                <w:lang w:val="en-US" w:eastAsia="zh-CN" w:bidi="ar"/>
              </w:rPr>
              <w:t>LA——</w:t>
            </w:r>
            <w:r>
              <w:rPr>
                <w:rFonts w:hint="eastAsia" w:ascii="宋体" w:hAnsi="宋体" w:eastAsia="宋体" w:cs="宋体"/>
                <w:color w:val="auto"/>
                <w:kern w:val="0"/>
                <w:sz w:val="24"/>
                <w:szCs w:val="24"/>
                <w:lang w:val="en-US" w:eastAsia="zh-CN" w:bidi="ar"/>
              </w:rPr>
              <w:t xml:space="preserve">距声源r处的总A声级； </w:t>
            </w:r>
          </w:p>
          <w:p>
            <w:pPr>
              <w:keepNext w:val="0"/>
              <w:keepLines w:val="0"/>
              <w:widowControl/>
              <w:suppressLineNumbers w:val="0"/>
              <w:jc w:val="left"/>
              <w:rPr>
                <w:color w:val="auto"/>
              </w:rPr>
            </w:pPr>
            <w:r>
              <w:rPr>
                <w:rFonts w:hint="default" w:ascii="Times New Roman" w:hAnsi="Times New Roman" w:eastAsia="宋体" w:cs="Times New Roman"/>
                <w:color w:val="auto"/>
                <w:kern w:val="0"/>
                <w:sz w:val="24"/>
                <w:szCs w:val="24"/>
                <w:lang w:val="en-US" w:eastAsia="zh-CN" w:bidi="ar"/>
              </w:rPr>
              <w:t>n——</w:t>
            </w:r>
            <w:r>
              <w:rPr>
                <w:rFonts w:hint="eastAsia" w:ascii="宋体" w:hAnsi="宋体" w:eastAsia="宋体" w:cs="宋体"/>
                <w:color w:val="auto"/>
                <w:kern w:val="0"/>
                <w:sz w:val="24"/>
                <w:szCs w:val="24"/>
                <w:lang w:val="en-US" w:eastAsia="zh-CN" w:bidi="ar"/>
              </w:rPr>
              <w:t xml:space="preserve">声源数量； </w:t>
            </w:r>
          </w:p>
          <w:p>
            <w:pPr>
              <w:keepNext w:val="0"/>
              <w:keepLines w:val="0"/>
              <w:widowControl/>
              <w:suppressLineNumbers w:val="0"/>
              <w:jc w:val="left"/>
              <w:rPr>
                <w:color w:val="auto"/>
              </w:rPr>
            </w:pPr>
            <w:r>
              <w:rPr>
                <w:rFonts w:hint="default" w:ascii="Times New Roman" w:hAnsi="Times New Roman" w:eastAsia="宋体" w:cs="Times New Roman"/>
                <w:color w:val="auto"/>
                <w:kern w:val="0"/>
                <w:sz w:val="24"/>
                <w:szCs w:val="24"/>
                <w:lang w:val="en-US" w:eastAsia="zh-CN" w:bidi="ar"/>
              </w:rPr>
              <w:t>Li——</w:t>
            </w:r>
            <w:r>
              <w:rPr>
                <w:rFonts w:hint="eastAsia" w:ascii="宋体" w:hAnsi="宋体" w:eastAsia="宋体" w:cs="宋体"/>
                <w:color w:val="auto"/>
                <w:kern w:val="0"/>
                <w:sz w:val="24"/>
                <w:szCs w:val="24"/>
                <w:lang w:val="en-US" w:eastAsia="zh-CN" w:bidi="ar"/>
              </w:rPr>
              <w:t xml:space="preserve">第 </w:t>
            </w:r>
            <w:r>
              <w:rPr>
                <w:rFonts w:hint="default" w:ascii="Times New Roman" w:hAnsi="Times New Roman" w:eastAsia="宋体" w:cs="Times New Roman"/>
                <w:color w:val="auto"/>
                <w:kern w:val="0"/>
                <w:sz w:val="24"/>
                <w:szCs w:val="24"/>
                <w:lang w:val="en-US" w:eastAsia="zh-CN" w:bidi="ar"/>
              </w:rPr>
              <w:t>i</w:t>
            </w:r>
            <w:r>
              <w:rPr>
                <w:rFonts w:hint="eastAsia" w:ascii="宋体" w:hAnsi="宋体" w:eastAsia="宋体" w:cs="宋体"/>
                <w:color w:val="auto"/>
                <w:kern w:val="0"/>
                <w:sz w:val="24"/>
                <w:szCs w:val="24"/>
                <w:lang w:val="en-US" w:eastAsia="zh-CN" w:bidi="ar"/>
              </w:rPr>
              <w:t>个声源的</w:t>
            </w:r>
            <w:r>
              <w:rPr>
                <w:rFonts w:hint="default" w:ascii="Times New Roman" w:hAnsi="Times New Roman" w:eastAsia="宋体" w:cs="Times New Roman"/>
                <w:color w:val="auto"/>
                <w:kern w:val="0"/>
                <w:sz w:val="24"/>
                <w:szCs w:val="24"/>
                <w:lang w:val="en-US" w:eastAsia="zh-CN" w:bidi="ar"/>
              </w:rPr>
              <w:t>A</w:t>
            </w:r>
            <w:r>
              <w:rPr>
                <w:rFonts w:hint="eastAsia" w:ascii="宋体" w:hAnsi="宋体" w:eastAsia="宋体" w:cs="宋体"/>
                <w:color w:val="auto"/>
                <w:kern w:val="0"/>
                <w:sz w:val="24"/>
                <w:szCs w:val="24"/>
                <w:lang w:val="en-US" w:eastAsia="zh-CN" w:bidi="ar"/>
              </w:rPr>
              <w:t>声级，</w:t>
            </w:r>
            <w:r>
              <w:rPr>
                <w:rFonts w:hint="default" w:ascii="Times New Roman" w:hAnsi="Times New Roman" w:eastAsia="宋体" w:cs="Times New Roman"/>
                <w:color w:val="auto"/>
                <w:kern w:val="0"/>
                <w:sz w:val="24"/>
                <w:szCs w:val="24"/>
                <w:lang w:val="en-US" w:eastAsia="zh-CN" w:bidi="ar"/>
              </w:rPr>
              <w:t>dB</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A</w:t>
            </w:r>
            <w:r>
              <w:rPr>
                <w:rFonts w:hint="eastAsia" w:ascii="宋体" w:hAnsi="宋体" w:eastAsia="宋体" w:cs="宋体"/>
                <w:color w:val="auto"/>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rPr>
            </w:pPr>
            <w:r>
              <w:rPr>
                <w:rFonts w:hint="eastAsia" w:ascii="宋体" w:hAnsi="宋体" w:eastAsia="宋体" w:cs="宋体"/>
                <w:color w:val="auto"/>
                <w:kern w:val="0"/>
                <w:sz w:val="24"/>
                <w:szCs w:val="24"/>
                <w:lang w:val="en-US" w:eastAsia="zh-CN" w:bidi="ar"/>
              </w:rPr>
              <w:t>本项目噪声衰减除几何发散衰减后的其他衰减（包括空气吸收衰减、屏障物和地面效应引起的衰减、其他附加衰减）取值的因素很多，项目噪声源均在房屋内，本报告主要考虑墙壁隔声和距离衰减影响，墙体隔声衰减值取</w:t>
            </w:r>
            <w:r>
              <w:rPr>
                <w:rFonts w:hint="default" w:ascii="Times New Roman" w:hAnsi="Times New Roman" w:eastAsia="宋体" w:cs="Times New Roman"/>
                <w:color w:val="auto"/>
                <w:kern w:val="0"/>
                <w:sz w:val="24"/>
                <w:szCs w:val="24"/>
                <w:lang w:val="en-US" w:eastAsia="zh-CN" w:bidi="ar"/>
              </w:rPr>
              <w:t>15dB(A)</w:t>
            </w:r>
            <w:r>
              <w:rPr>
                <w:rFonts w:hint="eastAsia" w:ascii="宋体" w:hAnsi="宋体" w:eastAsia="宋体" w:cs="宋体"/>
                <w:color w:val="auto"/>
                <w:kern w:val="0"/>
                <w:sz w:val="24"/>
                <w:szCs w:val="24"/>
                <w:lang w:val="en-US" w:eastAsia="zh-CN" w:bidi="ar"/>
              </w:rPr>
              <w:t xml:space="preserve">。 </w:t>
            </w:r>
          </w:p>
          <w:p>
            <w:pPr>
              <w:keepNext w:val="0"/>
              <w:keepLines w:val="0"/>
              <w:widowControl/>
              <w:suppressLineNumbers w:val="0"/>
              <w:jc w:val="left"/>
              <w:rPr>
                <w:color w:val="auto"/>
              </w:rPr>
            </w:pPr>
            <w:r>
              <w:rPr>
                <w:rFonts w:hint="eastAsia" w:eastAsia="宋体" w:cs="Times New Roman"/>
                <w:b/>
                <w:color w:val="auto"/>
                <w:kern w:val="0"/>
                <w:sz w:val="24"/>
                <w:szCs w:val="24"/>
                <w:lang w:val="en-US" w:eastAsia="zh-CN" w:bidi="ar"/>
              </w:rPr>
              <w:t>②</w:t>
            </w:r>
            <w:r>
              <w:rPr>
                <w:rFonts w:hint="eastAsia" w:ascii="宋体" w:hAnsi="宋体" w:eastAsia="宋体" w:cs="宋体"/>
                <w:b/>
                <w:color w:val="auto"/>
                <w:kern w:val="0"/>
                <w:sz w:val="24"/>
                <w:szCs w:val="24"/>
                <w:lang w:val="en-US" w:eastAsia="zh-CN" w:bidi="ar"/>
              </w:rPr>
              <w:t>噪声影响预测及评价</w:t>
            </w:r>
          </w:p>
          <w:p>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项目噪声源均在房屋内，本次环评按照全部设备同时使用，噪声源位于项目东面，由此预测项目厂界及其对敏感点噪声情况。</w:t>
            </w:r>
          </w:p>
          <w:p>
            <w:pPr>
              <w:keepNext w:val="0"/>
              <w:keepLines w:val="0"/>
              <w:widowControl/>
              <w:suppressLineNumbers w:val="0"/>
              <w:ind w:left="0" w:leftChars="0" w:firstLine="0" w:firstLineChars="0"/>
              <w:jc w:val="left"/>
              <w:rPr>
                <w:b w:val="0"/>
                <w:bCs/>
                <w:color w:val="auto"/>
              </w:rPr>
            </w:pPr>
            <w:r>
              <w:rPr>
                <w:rFonts w:hint="eastAsia" w:ascii="宋体" w:hAnsi="宋体" w:eastAsia="宋体" w:cs="宋体"/>
                <w:b w:val="0"/>
                <w:bCs/>
                <w:color w:val="auto"/>
                <w:kern w:val="0"/>
                <w:sz w:val="24"/>
                <w:szCs w:val="24"/>
                <w:lang w:val="en-US" w:eastAsia="zh-CN" w:bidi="ar"/>
              </w:rPr>
              <w:t>设备同时运转时的噪声预测预测值见表</w:t>
            </w:r>
            <w:r>
              <w:rPr>
                <w:rFonts w:hint="default" w:ascii="Times New Roman" w:hAnsi="Times New Roman" w:eastAsia="宋体" w:cs="Times New Roman"/>
                <w:b w:val="0"/>
                <w:bCs/>
                <w:color w:val="auto"/>
                <w:kern w:val="0"/>
                <w:sz w:val="24"/>
                <w:szCs w:val="24"/>
                <w:lang w:val="en-US" w:eastAsia="zh-CN" w:bidi="ar"/>
              </w:rPr>
              <w:t>4-</w:t>
            </w:r>
            <w:r>
              <w:rPr>
                <w:rFonts w:hint="eastAsia" w:eastAsia="宋体" w:cs="Times New Roman"/>
                <w:b w:val="0"/>
                <w:bCs/>
                <w:color w:val="auto"/>
                <w:kern w:val="0"/>
                <w:sz w:val="24"/>
                <w:szCs w:val="24"/>
                <w:lang w:val="en-US" w:eastAsia="zh-CN" w:bidi="ar"/>
              </w:rPr>
              <w:t>14</w:t>
            </w:r>
            <w:r>
              <w:rPr>
                <w:rFonts w:hint="eastAsia" w:ascii="宋体" w:hAnsi="宋体" w:eastAsia="宋体" w:cs="宋体"/>
                <w:b w:val="0"/>
                <w:bCs/>
                <w:color w:val="auto"/>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b/>
                <w:bCs/>
                <w:color w:val="auto"/>
                <w:kern w:val="0"/>
                <w:sz w:val="21"/>
                <w:szCs w:val="21"/>
              </w:rPr>
              <w:t>表</w:t>
            </w:r>
            <w:r>
              <w:rPr>
                <w:rFonts w:hint="default" w:ascii="Times New Roman" w:hAnsi="Times New Roman" w:cs="Times New Roman"/>
                <w:b/>
                <w:bCs/>
                <w:color w:val="auto"/>
                <w:kern w:val="0"/>
                <w:sz w:val="21"/>
                <w:szCs w:val="21"/>
                <w:lang w:val="en-US" w:eastAsia="zh-CN"/>
              </w:rPr>
              <w:t>4-</w:t>
            </w:r>
            <w:r>
              <w:rPr>
                <w:rFonts w:hint="eastAsia" w:cs="Times New Roman"/>
                <w:b/>
                <w:bCs/>
                <w:color w:val="auto"/>
                <w:kern w:val="0"/>
                <w:sz w:val="21"/>
                <w:szCs w:val="21"/>
                <w:lang w:val="en-US" w:eastAsia="zh-CN"/>
              </w:rPr>
              <w:t>14</w:t>
            </w:r>
            <w:r>
              <w:rPr>
                <w:rFonts w:hint="default" w:ascii="Times New Roman" w:hAnsi="Times New Roman" w:cs="Times New Roman"/>
                <w:b/>
                <w:bCs/>
                <w:color w:val="auto"/>
                <w:kern w:val="0"/>
                <w:sz w:val="21"/>
                <w:szCs w:val="21"/>
              </w:rPr>
              <w:t xml:space="preserve"> </w:t>
            </w:r>
            <w:r>
              <w:rPr>
                <w:rFonts w:hint="default" w:ascii="Times New Roman" w:hAnsi="Times New Roman" w:eastAsia="宋体" w:cs="Times New Roman"/>
                <w:b/>
                <w:bCs/>
                <w:color w:val="auto"/>
                <w:kern w:val="0"/>
                <w:sz w:val="21"/>
                <w:szCs w:val="21"/>
                <w:lang w:val="en-US" w:eastAsia="zh-CN" w:bidi="ar"/>
              </w:rPr>
              <w:t>设备同时运转的噪声预测值 单位：dB（A）</w:t>
            </w:r>
          </w:p>
          <w:tbl>
            <w:tblPr>
              <w:tblStyle w:val="37"/>
              <w:tblW w:w="8522" w:type="dxa"/>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660"/>
              <w:gridCol w:w="1313"/>
              <w:gridCol w:w="1129"/>
              <w:gridCol w:w="2350"/>
              <w:gridCol w:w="1368"/>
              <w:gridCol w:w="1702"/>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660"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default" w:eastAsia="宋体"/>
                      <w:color w:val="auto"/>
                      <w:sz w:val="21"/>
                      <w:szCs w:val="21"/>
                      <w:lang w:val="en-US" w:eastAsia="zh-CN"/>
                    </w:rPr>
                  </w:pPr>
                  <w:r>
                    <w:rPr>
                      <w:rFonts w:hint="eastAsia"/>
                      <w:color w:val="auto"/>
                      <w:sz w:val="21"/>
                      <w:szCs w:val="21"/>
                      <w:lang w:val="en-US" w:eastAsia="zh-CN"/>
                    </w:rPr>
                    <w:t>序号</w:t>
                  </w:r>
                </w:p>
              </w:tc>
              <w:tc>
                <w:tcPr>
                  <w:tcW w:w="1313" w:type="dxa"/>
                  <w:tcBorders>
                    <w:left w:val="single" w:color="000000" w:sz="8" w:space="0"/>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firstLine="0" w:firstLineChars="0"/>
                    <w:rPr>
                      <w:rFonts w:hint="default" w:ascii="Times New Roman" w:hAnsi="Times New Roman" w:eastAsia="宋体" w:cs="Times New Roman"/>
                      <w:color w:val="auto"/>
                      <w:kern w:val="24"/>
                      <w:sz w:val="21"/>
                      <w:szCs w:val="21"/>
                      <w:lang w:val="en-US" w:eastAsia="zh-CN" w:bidi="ar-SA"/>
                    </w:rPr>
                  </w:pPr>
                  <w:r>
                    <w:rPr>
                      <w:rFonts w:hint="eastAsia"/>
                      <w:color w:val="auto"/>
                      <w:sz w:val="21"/>
                      <w:szCs w:val="21"/>
                      <w:lang w:val="en-US" w:eastAsia="zh-CN"/>
                    </w:rPr>
                    <w:t>设备名称</w:t>
                  </w:r>
                </w:p>
              </w:tc>
              <w:tc>
                <w:tcPr>
                  <w:tcW w:w="1129"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default"/>
                      <w:color w:val="auto"/>
                      <w:sz w:val="21"/>
                      <w:szCs w:val="21"/>
                      <w:lang w:val="en-US" w:eastAsia="zh-CN"/>
                    </w:rPr>
                  </w:pPr>
                  <w:r>
                    <w:rPr>
                      <w:rFonts w:hint="eastAsia"/>
                      <w:color w:val="auto"/>
                      <w:sz w:val="21"/>
                      <w:szCs w:val="21"/>
                      <w:lang w:val="en-US" w:eastAsia="zh-CN"/>
                    </w:rPr>
                    <w:t>噪声源强</w:t>
                  </w:r>
                </w:p>
              </w:tc>
              <w:tc>
                <w:tcPr>
                  <w:tcW w:w="2350"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eastAsia" w:eastAsia="宋体"/>
                      <w:color w:val="auto"/>
                      <w:sz w:val="21"/>
                      <w:szCs w:val="21"/>
                      <w:lang w:eastAsia="zh-CN"/>
                    </w:rPr>
                  </w:pPr>
                  <w:r>
                    <w:rPr>
                      <w:rFonts w:hint="eastAsia"/>
                      <w:color w:val="auto"/>
                      <w:sz w:val="21"/>
                      <w:szCs w:val="21"/>
                      <w:lang w:val="en-US" w:eastAsia="zh-CN"/>
                    </w:rPr>
                    <w:t>降噪措施</w:t>
                  </w:r>
                </w:p>
              </w:tc>
              <w:tc>
                <w:tcPr>
                  <w:tcW w:w="1368"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color w:val="auto"/>
                      <w:sz w:val="21"/>
                      <w:szCs w:val="21"/>
                    </w:rPr>
                  </w:pPr>
                  <w:r>
                    <w:rPr>
                      <w:rFonts w:hint="eastAsia"/>
                      <w:color w:val="auto"/>
                      <w:sz w:val="21"/>
                      <w:szCs w:val="21"/>
                      <w:lang w:val="en-US" w:eastAsia="zh-CN"/>
                    </w:rPr>
                    <w:t>噪声源强</w:t>
                  </w:r>
                </w:p>
              </w:tc>
              <w:tc>
                <w:tcPr>
                  <w:tcW w:w="1702"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default" w:eastAsia="宋体"/>
                      <w:color w:val="auto"/>
                      <w:sz w:val="21"/>
                      <w:szCs w:val="21"/>
                      <w:lang w:val="en-US" w:eastAsia="zh-CN"/>
                    </w:rPr>
                  </w:pPr>
                  <w:r>
                    <w:rPr>
                      <w:rFonts w:hint="eastAsia"/>
                      <w:color w:val="auto"/>
                      <w:sz w:val="21"/>
                      <w:szCs w:val="21"/>
                      <w:lang w:val="en-US" w:eastAsia="zh-CN"/>
                    </w:rPr>
                    <w:t>叠加噪声源强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660"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default" w:eastAsia="宋体"/>
                      <w:color w:val="auto"/>
                      <w:sz w:val="21"/>
                      <w:szCs w:val="21"/>
                      <w:lang w:val="en-US" w:eastAsia="zh-CN"/>
                    </w:rPr>
                  </w:pPr>
                  <w:r>
                    <w:rPr>
                      <w:rFonts w:hint="eastAsia"/>
                      <w:color w:val="auto"/>
                      <w:sz w:val="21"/>
                      <w:szCs w:val="21"/>
                      <w:lang w:val="en-US" w:eastAsia="zh-CN"/>
                    </w:rPr>
                    <w:t>1</w:t>
                  </w:r>
                </w:p>
              </w:tc>
              <w:tc>
                <w:tcPr>
                  <w:tcW w:w="1313" w:type="dxa"/>
                  <w:tcBorders>
                    <w:left w:val="single" w:color="000000" w:sz="8" w:space="0"/>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firstLine="0" w:firstLineChars="0"/>
                    <w:rPr>
                      <w:rFonts w:hint="eastAsia" w:ascii="Times New Roman" w:hAnsi="Times New Roman" w:eastAsia="宋体" w:cs="Times New Roman"/>
                      <w:color w:val="auto"/>
                      <w:kern w:val="24"/>
                      <w:sz w:val="21"/>
                      <w:szCs w:val="21"/>
                      <w:lang w:val="en-US" w:eastAsia="zh-CN" w:bidi="ar-SA"/>
                    </w:rPr>
                  </w:pPr>
                  <w:r>
                    <w:rPr>
                      <w:rFonts w:hint="eastAsia"/>
                      <w:color w:val="auto"/>
                      <w:sz w:val="21"/>
                      <w:szCs w:val="21"/>
                      <w:lang w:val="en-US" w:eastAsia="zh-CN"/>
                    </w:rPr>
                    <w:t>水泵</w:t>
                  </w:r>
                </w:p>
              </w:tc>
              <w:tc>
                <w:tcPr>
                  <w:tcW w:w="1129"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default"/>
                      <w:color w:val="auto"/>
                      <w:sz w:val="21"/>
                      <w:szCs w:val="21"/>
                      <w:lang w:val="en-US" w:eastAsia="zh-CN"/>
                    </w:rPr>
                  </w:pPr>
                  <w:r>
                    <w:rPr>
                      <w:rFonts w:hint="eastAsia"/>
                      <w:color w:val="auto"/>
                      <w:sz w:val="21"/>
                      <w:szCs w:val="21"/>
                      <w:lang w:val="en-US" w:eastAsia="zh-CN"/>
                    </w:rPr>
                    <w:t>75</w:t>
                  </w:r>
                </w:p>
              </w:tc>
              <w:tc>
                <w:tcPr>
                  <w:tcW w:w="2350" w:type="dxa"/>
                  <w:vMerge w:val="restart"/>
                  <w:tcBorders>
                    <w:right w:val="single" w:color="000000" w:sz="8" w:space="0"/>
                    <w:tl2br w:val="nil"/>
                    <w:tr2bl w:val="nil"/>
                  </w:tcBorders>
                  <w:vAlign w:val="center"/>
                </w:tcPr>
                <w:p>
                  <w:pPr>
                    <w:keepNext w:val="0"/>
                    <w:keepLines w:val="0"/>
                    <w:pageBreakBefore w:val="0"/>
                    <w:widowControl/>
                    <w:suppressLineNumbers w:val="0"/>
                    <w:kinsoku/>
                    <w:wordWrap/>
                    <w:overflowPunct/>
                    <w:topLinePunct w:val="0"/>
                    <w:bidi w:val="0"/>
                    <w:spacing w:line="360" w:lineRule="auto"/>
                    <w:ind w:left="0" w:leftChars="0" w:firstLine="0" w:firstLineChars="0"/>
                    <w:jc w:val="left"/>
                    <w:rPr>
                      <w:color w:val="auto"/>
                      <w:sz w:val="21"/>
                      <w:szCs w:val="21"/>
                    </w:rPr>
                  </w:pPr>
                  <w:r>
                    <w:rPr>
                      <w:rFonts w:hint="eastAsia" w:ascii="宋体" w:hAnsi="宋体" w:eastAsia="宋体" w:cs="宋体"/>
                      <w:color w:val="auto"/>
                      <w:kern w:val="0"/>
                      <w:sz w:val="21"/>
                      <w:szCs w:val="21"/>
                      <w:lang w:val="en-US" w:eastAsia="zh-CN" w:bidi="ar"/>
                    </w:rPr>
                    <w:t>安装减震垫，房屋隔声、合理布局</w:t>
                  </w:r>
                </w:p>
              </w:tc>
              <w:tc>
                <w:tcPr>
                  <w:tcW w:w="1368"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default" w:eastAsia="宋体"/>
                      <w:color w:val="auto"/>
                      <w:sz w:val="21"/>
                      <w:szCs w:val="21"/>
                      <w:lang w:val="en-US" w:eastAsia="zh-CN"/>
                    </w:rPr>
                  </w:pPr>
                  <w:r>
                    <w:rPr>
                      <w:rFonts w:hint="eastAsia"/>
                      <w:color w:val="auto"/>
                      <w:sz w:val="21"/>
                      <w:szCs w:val="21"/>
                      <w:lang w:val="en-US" w:eastAsia="zh-CN"/>
                    </w:rPr>
                    <w:t>60</w:t>
                  </w:r>
                </w:p>
              </w:tc>
              <w:tc>
                <w:tcPr>
                  <w:tcW w:w="1702" w:type="dxa"/>
                  <w:vMerge w:val="restart"/>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default" w:eastAsia="宋体"/>
                      <w:color w:val="auto"/>
                      <w:sz w:val="21"/>
                      <w:szCs w:val="21"/>
                      <w:lang w:val="en-US" w:eastAsia="zh-CN"/>
                    </w:rPr>
                  </w:pPr>
                  <w:r>
                    <w:rPr>
                      <w:rFonts w:hint="eastAsia"/>
                      <w:color w:val="auto"/>
                      <w:sz w:val="21"/>
                      <w:szCs w:val="21"/>
                      <w:lang w:val="en-US" w:eastAsia="zh-CN"/>
                    </w:rPr>
                    <w:t>68.65</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660"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default" w:eastAsia="宋体"/>
                      <w:color w:val="auto"/>
                      <w:sz w:val="21"/>
                      <w:szCs w:val="21"/>
                      <w:lang w:val="en-US" w:eastAsia="zh-CN"/>
                    </w:rPr>
                  </w:pPr>
                  <w:r>
                    <w:rPr>
                      <w:rFonts w:hint="eastAsia"/>
                      <w:color w:val="auto"/>
                      <w:sz w:val="21"/>
                      <w:szCs w:val="21"/>
                      <w:lang w:val="en-US" w:eastAsia="zh-CN"/>
                    </w:rPr>
                    <w:t>2</w:t>
                  </w:r>
                </w:p>
              </w:tc>
              <w:tc>
                <w:tcPr>
                  <w:tcW w:w="1313" w:type="dxa"/>
                  <w:tcBorders>
                    <w:left w:val="single" w:color="000000" w:sz="8" w:space="0"/>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firstLine="0" w:firstLineChars="0"/>
                    <w:rPr>
                      <w:rFonts w:hint="eastAsia" w:ascii="Times New Roman" w:hAnsi="Times New Roman" w:eastAsia="宋体" w:cs="Times New Roman"/>
                      <w:color w:val="auto"/>
                      <w:kern w:val="24"/>
                      <w:sz w:val="21"/>
                      <w:szCs w:val="21"/>
                      <w:lang w:val="en-US" w:eastAsia="zh-CN" w:bidi="ar-SA"/>
                    </w:rPr>
                  </w:pPr>
                  <w:r>
                    <w:rPr>
                      <w:rFonts w:hint="eastAsia"/>
                      <w:color w:val="auto"/>
                      <w:sz w:val="21"/>
                      <w:szCs w:val="21"/>
                      <w:lang w:val="en-US" w:eastAsia="zh-CN"/>
                    </w:rPr>
                    <w:t>风机</w:t>
                  </w:r>
                </w:p>
              </w:tc>
              <w:tc>
                <w:tcPr>
                  <w:tcW w:w="1129"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default"/>
                      <w:color w:val="auto"/>
                      <w:sz w:val="21"/>
                      <w:szCs w:val="21"/>
                      <w:lang w:val="en-US" w:eastAsia="zh-CN"/>
                    </w:rPr>
                  </w:pPr>
                  <w:r>
                    <w:rPr>
                      <w:rFonts w:hint="eastAsia"/>
                      <w:color w:val="auto"/>
                      <w:sz w:val="21"/>
                      <w:szCs w:val="21"/>
                      <w:lang w:val="en-US" w:eastAsia="zh-CN"/>
                    </w:rPr>
                    <w:t>80</w:t>
                  </w:r>
                </w:p>
              </w:tc>
              <w:tc>
                <w:tcPr>
                  <w:tcW w:w="2350" w:type="dxa"/>
                  <w:vMerge w:val="continue"/>
                  <w:tcBorders>
                    <w:right w:val="single" w:color="000000" w:sz="8" w:space="0"/>
                    <w:tl2br w:val="nil"/>
                    <w:tr2bl w:val="nil"/>
                  </w:tcBorders>
                  <w:vAlign w:val="center"/>
                </w:tcPr>
                <w:p>
                  <w:pPr>
                    <w:keepNext w:val="0"/>
                    <w:keepLines w:val="0"/>
                    <w:pageBreakBefore w:val="0"/>
                    <w:widowControl/>
                    <w:suppressLineNumbers w:val="0"/>
                    <w:kinsoku/>
                    <w:wordWrap/>
                    <w:overflowPunct/>
                    <w:topLinePunct w:val="0"/>
                    <w:bidi w:val="0"/>
                    <w:spacing w:line="360" w:lineRule="auto"/>
                    <w:ind w:left="0" w:leftChars="0" w:firstLine="0" w:firstLineChars="0"/>
                    <w:jc w:val="left"/>
                    <w:rPr>
                      <w:color w:val="auto"/>
                      <w:sz w:val="21"/>
                      <w:szCs w:val="21"/>
                    </w:rPr>
                  </w:pPr>
                </w:p>
              </w:tc>
              <w:tc>
                <w:tcPr>
                  <w:tcW w:w="1368"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default" w:eastAsia="宋体"/>
                      <w:color w:val="auto"/>
                      <w:sz w:val="21"/>
                      <w:szCs w:val="21"/>
                      <w:lang w:val="en-US" w:eastAsia="zh-CN"/>
                    </w:rPr>
                  </w:pPr>
                  <w:r>
                    <w:rPr>
                      <w:rFonts w:hint="eastAsia"/>
                      <w:color w:val="auto"/>
                      <w:sz w:val="21"/>
                      <w:szCs w:val="21"/>
                      <w:lang w:val="en-US" w:eastAsia="zh-CN"/>
                    </w:rPr>
                    <w:t>65</w:t>
                  </w:r>
                </w:p>
              </w:tc>
              <w:tc>
                <w:tcPr>
                  <w:tcW w:w="1702" w:type="dxa"/>
                  <w:vMerge w:val="continue"/>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eastAsia" w:eastAsia="宋体"/>
                      <w:color w:val="auto"/>
                      <w:sz w:val="21"/>
                      <w:szCs w:val="21"/>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660"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default"/>
                      <w:color w:val="auto"/>
                      <w:sz w:val="21"/>
                      <w:szCs w:val="21"/>
                      <w:lang w:val="en-US" w:eastAsia="zh-CN"/>
                    </w:rPr>
                  </w:pPr>
                  <w:r>
                    <w:rPr>
                      <w:rFonts w:hint="eastAsia"/>
                      <w:color w:val="auto"/>
                      <w:sz w:val="21"/>
                      <w:szCs w:val="21"/>
                      <w:lang w:val="en-US" w:eastAsia="zh-CN"/>
                    </w:rPr>
                    <w:t>3</w:t>
                  </w:r>
                </w:p>
              </w:tc>
              <w:tc>
                <w:tcPr>
                  <w:tcW w:w="1313" w:type="dxa"/>
                  <w:tcBorders>
                    <w:left w:val="single" w:color="000000" w:sz="8" w:space="0"/>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firstLine="0" w:firstLineChars="0"/>
                    <w:rPr>
                      <w:rFonts w:hint="eastAsia"/>
                      <w:color w:val="auto"/>
                      <w:sz w:val="21"/>
                      <w:szCs w:val="21"/>
                      <w:lang w:val="en-US" w:eastAsia="zh-CN"/>
                    </w:rPr>
                  </w:pPr>
                  <w:r>
                    <w:rPr>
                      <w:rFonts w:hint="eastAsia"/>
                      <w:color w:val="auto"/>
                      <w:sz w:val="21"/>
                      <w:szCs w:val="21"/>
                      <w:lang w:val="en-US" w:eastAsia="zh-CN"/>
                    </w:rPr>
                    <w:t>柴油发电机</w:t>
                  </w:r>
                </w:p>
              </w:tc>
              <w:tc>
                <w:tcPr>
                  <w:tcW w:w="1129"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eastAsia"/>
                      <w:color w:val="auto"/>
                      <w:sz w:val="21"/>
                      <w:szCs w:val="21"/>
                      <w:lang w:val="en-US" w:eastAsia="zh-CN"/>
                    </w:rPr>
                  </w:pPr>
                  <w:r>
                    <w:rPr>
                      <w:rFonts w:hint="eastAsia"/>
                      <w:color w:val="auto"/>
                      <w:sz w:val="21"/>
                      <w:szCs w:val="21"/>
                      <w:lang w:val="en-US" w:eastAsia="zh-CN"/>
                    </w:rPr>
                    <w:t>95</w:t>
                  </w:r>
                </w:p>
              </w:tc>
              <w:tc>
                <w:tcPr>
                  <w:tcW w:w="2350" w:type="dxa"/>
                  <w:tcBorders>
                    <w:right w:val="single" w:color="000000" w:sz="8" w:space="0"/>
                    <w:tl2br w:val="nil"/>
                    <w:tr2bl w:val="nil"/>
                  </w:tcBorders>
                  <w:vAlign w:val="center"/>
                </w:tcPr>
                <w:p>
                  <w:pPr>
                    <w:keepNext w:val="0"/>
                    <w:keepLines w:val="0"/>
                    <w:pageBreakBefore w:val="0"/>
                    <w:widowControl/>
                    <w:suppressLineNumbers w:val="0"/>
                    <w:kinsoku/>
                    <w:wordWrap/>
                    <w:overflowPunct/>
                    <w:topLinePunct w:val="0"/>
                    <w:bidi w:val="0"/>
                    <w:spacing w:line="360" w:lineRule="auto"/>
                    <w:ind w:left="0" w:leftChars="0" w:firstLine="0" w:firstLineChars="0"/>
                    <w:jc w:val="left"/>
                    <w:rPr>
                      <w:color w:val="auto"/>
                      <w:sz w:val="21"/>
                      <w:szCs w:val="21"/>
                    </w:rPr>
                  </w:pPr>
                  <w:r>
                    <w:rPr>
                      <w:rFonts w:hint="eastAsia"/>
                      <w:color w:val="auto"/>
                      <w:sz w:val="21"/>
                      <w:szCs w:val="21"/>
                    </w:rPr>
                    <w:t>置于地下一层，柴油发电机采用吸噪声设计</w:t>
                  </w:r>
                </w:p>
              </w:tc>
              <w:tc>
                <w:tcPr>
                  <w:tcW w:w="1368"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eastAsia"/>
                      <w:color w:val="auto"/>
                      <w:sz w:val="21"/>
                      <w:szCs w:val="21"/>
                      <w:lang w:val="en-US" w:eastAsia="zh-CN"/>
                    </w:rPr>
                  </w:pPr>
                  <w:r>
                    <w:rPr>
                      <w:rFonts w:hint="eastAsia"/>
                      <w:color w:val="auto"/>
                      <w:sz w:val="21"/>
                      <w:szCs w:val="21"/>
                      <w:lang w:val="en-US" w:eastAsia="zh-CN"/>
                    </w:rPr>
                    <w:t>65</w:t>
                  </w:r>
                </w:p>
              </w:tc>
              <w:tc>
                <w:tcPr>
                  <w:tcW w:w="1702" w:type="dxa"/>
                  <w:vMerge w:val="continue"/>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rPr>
                      <w:rFonts w:hint="eastAsia" w:eastAsia="宋体"/>
                      <w:color w:val="auto"/>
                      <w:sz w:val="21"/>
                      <w:szCs w:val="21"/>
                      <w:lang w:val="en-US" w:eastAsia="zh-CN"/>
                    </w:rPr>
                  </w:pPr>
                </w:p>
              </w:tc>
            </w:tr>
          </w:tbl>
          <w:p>
            <w:pPr>
              <w:keepNext w:val="0"/>
              <w:keepLines w:val="0"/>
              <w:widowControl/>
              <w:suppressLineNumbers w:val="0"/>
              <w:jc w:val="left"/>
              <w:rPr>
                <w:color w:val="auto"/>
              </w:rPr>
            </w:pPr>
            <w:r>
              <w:rPr>
                <w:rFonts w:hint="default" w:ascii="Times New Roman" w:hAnsi="Times New Roman" w:eastAsia="宋体" w:cs="Times New Roman"/>
                <w:b/>
                <w:color w:val="auto"/>
                <w:kern w:val="0"/>
                <w:sz w:val="24"/>
                <w:szCs w:val="24"/>
                <w:lang w:val="en-US" w:eastAsia="zh-CN" w:bidi="ar"/>
              </w:rPr>
              <w:t>2</w:t>
            </w:r>
            <w:r>
              <w:rPr>
                <w:rFonts w:hint="eastAsia" w:ascii="宋体" w:hAnsi="宋体" w:eastAsia="宋体" w:cs="宋体"/>
                <w:b/>
                <w:color w:val="auto"/>
                <w:kern w:val="0"/>
                <w:sz w:val="24"/>
                <w:szCs w:val="24"/>
                <w:lang w:val="en-US" w:eastAsia="zh-CN" w:bidi="ar"/>
              </w:rPr>
              <w:t>）厂界噪声贡献值预测</w:t>
            </w:r>
          </w:p>
          <w:p>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根据项目平面布局，各噪声源与厂界距离及厂界噪声预测贡献值见表</w:t>
            </w:r>
            <w:r>
              <w:rPr>
                <w:rFonts w:hint="default" w:ascii="Times New Roman" w:hAnsi="Times New Roman" w:eastAsia="宋体" w:cs="Times New Roman"/>
                <w:color w:val="auto"/>
                <w:kern w:val="0"/>
                <w:sz w:val="24"/>
                <w:szCs w:val="24"/>
                <w:lang w:val="en-US" w:eastAsia="zh-CN" w:bidi="ar"/>
              </w:rPr>
              <w:t>4-</w:t>
            </w:r>
            <w:r>
              <w:rPr>
                <w:rFonts w:hint="eastAsia" w:eastAsia="宋体" w:cs="Times New Roman"/>
                <w:color w:val="auto"/>
                <w:kern w:val="0"/>
                <w:sz w:val="24"/>
                <w:szCs w:val="24"/>
                <w:lang w:val="en-US" w:eastAsia="zh-CN" w:bidi="ar"/>
              </w:rPr>
              <w:t>14</w:t>
            </w:r>
            <w:r>
              <w:rPr>
                <w:rFonts w:hint="eastAsia" w:ascii="宋体" w:hAnsi="宋体" w:eastAsia="宋体" w:cs="宋体"/>
                <w:color w:val="auto"/>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表</w:t>
            </w:r>
            <w:r>
              <w:rPr>
                <w:rFonts w:hint="default" w:ascii="Times New Roman" w:hAnsi="Times New Roman" w:cs="Times New Roman"/>
                <w:b/>
                <w:bCs/>
                <w:color w:val="auto"/>
                <w:kern w:val="0"/>
                <w:sz w:val="21"/>
                <w:szCs w:val="21"/>
                <w:lang w:val="en-US" w:eastAsia="zh-CN"/>
              </w:rPr>
              <w:t>4-1</w:t>
            </w:r>
            <w:r>
              <w:rPr>
                <w:rFonts w:hint="eastAsia" w:cs="Times New Roman"/>
                <w:b/>
                <w:bCs/>
                <w:color w:val="auto"/>
                <w:kern w:val="0"/>
                <w:sz w:val="21"/>
                <w:szCs w:val="21"/>
                <w:lang w:val="en-US" w:eastAsia="zh-CN"/>
              </w:rPr>
              <w:t>5</w:t>
            </w:r>
            <w:r>
              <w:rPr>
                <w:rFonts w:hint="default" w:ascii="Times New Roman" w:hAnsi="Times New Roman" w:cs="Times New Roman"/>
                <w:b/>
                <w:bCs/>
                <w:color w:val="auto"/>
                <w:kern w:val="0"/>
                <w:sz w:val="21"/>
                <w:szCs w:val="21"/>
              </w:rPr>
              <w:t xml:space="preserve">  </w:t>
            </w:r>
            <w:r>
              <w:rPr>
                <w:rFonts w:hint="default" w:ascii="Times New Roman" w:hAnsi="Times New Roman" w:eastAsia="宋体" w:cs="Times New Roman"/>
                <w:b/>
                <w:bCs/>
                <w:color w:val="auto"/>
                <w:kern w:val="0"/>
                <w:sz w:val="21"/>
                <w:szCs w:val="21"/>
                <w:lang w:val="en-US" w:eastAsia="zh-CN" w:bidi="ar"/>
              </w:rPr>
              <w:t>噪声源与厂界距离一览表</w:t>
            </w:r>
          </w:p>
          <w:tbl>
            <w:tblPr>
              <w:tblStyle w:val="37"/>
              <w:tblW w:w="8507" w:type="dxa"/>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1538"/>
              <w:gridCol w:w="1686"/>
              <w:gridCol w:w="1864"/>
              <w:gridCol w:w="1791"/>
              <w:gridCol w:w="1628"/>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1538"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eastAsia" w:eastAsia="宋体"/>
                      <w:b/>
                      <w:bCs/>
                      <w:color w:val="auto"/>
                      <w:sz w:val="21"/>
                      <w:szCs w:val="21"/>
                      <w:lang w:eastAsia="zh-CN"/>
                    </w:rPr>
                  </w:pPr>
                  <w:r>
                    <w:rPr>
                      <w:rFonts w:hint="eastAsia"/>
                      <w:b/>
                      <w:bCs/>
                      <w:color w:val="auto"/>
                      <w:sz w:val="21"/>
                      <w:szCs w:val="21"/>
                      <w:lang w:val="en-US" w:eastAsia="zh-CN"/>
                    </w:rPr>
                    <w:t>项目名称</w:t>
                  </w:r>
                </w:p>
              </w:tc>
              <w:tc>
                <w:tcPr>
                  <w:tcW w:w="1686"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default"/>
                      <w:b/>
                      <w:bCs/>
                      <w:color w:val="auto"/>
                      <w:sz w:val="21"/>
                      <w:szCs w:val="21"/>
                      <w:lang w:val="en-US" w:eastAsia="zh-CN"/>
                    </w:rPr>
                  </w:pPr>
                  <w:r>
                    <w:rPr>
                      <w:rFonts w:hint="eastAsia"/>
                      <w:b/>
                      <w:bCs/>
                      <w:color w:val="auto"/>
                      <w:sz w:val="21"/>
                      <w:szCs w:val="21"/>
                      <w:lang w:val="en-US" w:eastAsia="zh-CN"/>
                    </w:rPr>
                    <w:t>东侧厂界</w:t>
                  </w:r>
                </w:p>
              </w:tc>
              <w:tc>
                <w:tcPr>
                  <w:tcW w:w="1864"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default" w:eastAsia="宋体"/>
                      <w:b/>
                      <w:bCs/>
                      <w:color w:val="auto"/>
                      <w:sz w:val="21"/>
                      <w:szCs w:val="21"/>
                      <w:lang w:val="en-US" w:eastAsia="zh-CN"/>
                    </w:rPr>
                  </w:pPr>
                  <w:r>
                    <w:rPr>
                      <w:rFonts w:hint="eastAsia"/>
                      <w:b/>
                      <w:bCs/>
                      <w:color w:val="auto"/>
                      <w:sz w:val="21"/>
                      <w:szCs w:val="21"/>
                      <w:lang w:val="en-US" w:eastAsia="zh-CN"/>
                    </w:rPr>
                    <w:t>西侧厂界</w:t>
                  </w:r>
                </w:p>
              </w:tc>
              <w:tc>
                <w:tcPr>
                  <w:tcW w:w="1791"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eastAsia" w:eastAsia="宋体"/>
                      <w:b/>
                      <w:bCs/>
                      <w:color w:val="auto"/>
                      <w:sz w:val="21"/>
                      <w:szCs w:val="21"/>
                      <w:lang w:val="en-US" w:eastAsia="zh-CN"/>
                    </w:rPr>
                  </w:pPr>
                  <w:r>
                    <w:rPr>
                      <w:rFonts w:hint="eastAsia"/>
                      <w:b/>
                      <w:bCs/>
                      <w:color w:val="auto"/>
                      <w:sz w:val="21"/>
                      <w:szCs w:val="21"/>
                      <w:lang w:val="en-US" w:eastAsia="zh-CN"/>
                    </w:rPr>
                    <w:t>南侧厂界</w:t>
                  </w:r>
                </w:p>
              </w:tc>
              <w:tc>
                <w:tcPr>
                  <w:tcW w:w="1628"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eastAsia" w:eastAsia="宋体"/>
                      <w:b/>
                      <w:bCs/>
                      <w:color w:val="auto"/>
                      <w:sz w:val="21"/>
                      <w:szCs w:val="21"/>
                      <w:lang w:val="en-US" w:eastAsia="zh-CN"/>
                    </w:rPr>
                  </w:pPr>
                  <w:r>
                    <w:rPr>
                      <w:rFonts w:hint="eastAsia"/>
                      <w:b/>
                      <w:bCs/>
                      <w:color w:val="auto"/>
                      <w:sz w:val="21"/>
                      <w:szCs w:val="21"/>
                      <w:lang w:val="en-US" w:eastAsia="zh-CN"/>
                    </w:rPr>
                    <w:t>北侧厂界</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1538"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default" w:eastAsia="宋体"/>
                      <w:color w:val="auto"/>
                      <w:sz w:val="21"/>
                      <w:szCs w:val="21"/>
                      <w:lang w:val="en-US" w:eastAsia="zh-CN"/>
                    </w:rPr>
                  </w:pPr>
                  <w:r>
                    <w:rPr>
                      <w:rFonts w:hint="eastAsia"/>
                      <w:color w:val="auto"/>
                      <w:sz w:val="21"/>
                      <w:szCs w:val="21"/>
                      <w:lang w:val="en-US" w:eastAsia="zh-CN"/>
                    </w:rPr>
                    <w:t>距离（m）</w:t>
                  </w:r>
                </w:p>
              </w:tc>
              <w:tc>
                <w:tcPr>
                  <w:tcW w:w="1686"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30</w:t>
                  </w:r>
                </w:p>
              </w:tc>
              <w:tc>
                <w:tcPr>
                  <w:tcW w:w="1864" w:type="dxa"/>
                  <w:tcBorders>
                    <w:right w:val="single" w:color="000000" w:sz="8" w:space="0"/>
                    <w:tl2br w:val="nil"/>
                    <w:tr2bl w:val="nil"/>
                  </w:tcBorders>
                  <w:vAlign w:val="center"/>
                </w:tcPr>
                <w:p>
                  <w:pPr>
                    <w:keepNext w:val="0"/>
                    <w:keepLines w:val="0"/>
                    <w:pageBreakBefore w:val="0"/>
                    <w:widowControl/>
                    <w:suppressLineNumbers w:val="0"/>
                    <w:kinsoku/>
                    <w:wordWrap/>
                    <w:overflowPunct/>
                    <w:topLinePunct w:val="0"/>
                    <w:bidi w:val="0"/>
                    <w:spacing w:line="360" w:lineRule="auto"/>
                    <w:ind w:left="0" w:leftChars="0" w:right="0" w:rightChars="0" w:firstLine="0" w:firstLineChars="0"/>
                    <w:jc w:val="center"/>
                    <w:rPr>
                      <w:rFonts w:hint="default" w:eastAsiaTheme="minorEastAsia"/>
                      <w:color w:val="auto"/>
                      <w:sz w:val="21"/>
                      <w:szCs w:val="21"/>
                      <w:lang w:val="en-US" w:eastAsia="zh-CN"/>
                    </w:rPr>
                  </w:pPr>
                  <w:r>
                    <w:rPr>
                      <w:rFonts w:hint="eastAsia"/>
                      <w:color w:val="auto"/>
                      <w:sz w:val="21"/>
                      <w:szCs w:val="21"/>
                      <w:lang w:val="en-US" w:eastAsia="zh-CN"/>
                    </w:rPr>
                    <w:t>100</w:t>
                  </w:r>
                </w:p>
              </w:tc>
              <w:tc>
                <w:tcPr>
                  <w:tcW w:w="1791"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default" w:eastAsia="宋体"/>
                      <w:color w:val="auto"/>
                      <w:sz w:val="21"/>
                      <w:szCs w:val="21"/>
                      <w:lang w:val="en-US" w:eastAsia="zh-CN"/>
                    </w:rPr>
                  </w:pPr>
                  <w:r>
                    <w:rPr>
                      <w:rFonts w:hint="eastAsia"/>
                      <w:color w:val="auto"/>
                      <w:sz w:val="21"/>
                      <w:szCs w:val="21"/>
                      <w:lang w:val="en-US" w:eastAsia="zh-CN"/>
                    </w:rPr>
                    <w:t>18</w:t>
                  </w:r>
                </w:p>
              </w:tc>
              <w:tc>
                <w:tcPr>
                  <w:tcW w:w="1628"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default" w:eastAsia="宋体"/>
                      <w:color w:val="auto"/>
                      <w:sz w:val="21"/>
                      <w:szCs w:val="21"/>
                      <w:lang w:val="en-US" w:eastAsia="zh-CN"/>
                    </w:rPr>
                  </w:pPr>
                  <w:r>
                    <w:rPr>
                      <w:rFonts w:hint="eastAsia"/>
                      <w:color w:val="auto"/>
                      <w:sz w:val="21"/>
                      <w:szCs w:val="21"/>
                      <w:lang w:val="en-US" w:eastAsia="zh-CN"/>
                    </w:rPr>
                    <w:t>37</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1538"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default" w:eastAsia="宋体"/>
                      <w:color w:val="auto"/>
                      <w:sz w:val="21"/>
                      <w:szCs w:val="21"/>
                      <w:lang w:val="en-US" w:eastAsia="zh-CN"/>
                    </w:rPr>
                  </w:pPr>
                  <w:r>
                    <w:rPr>
                      <w:rFonts w:hint="eastAsia"/>
                      <w:color w:val="auto"/>
                      <w:sz w:val="21"/>
                      <w:szCs w:val="21"/>
                      <w:lang w:val="en-US" w:eastAsia="zh-CN"/>
                    </w:rPr>
                    <w:t>水泵</w:t>
                  </w:r>
                  <w:r>
                    <w:rPr>
                      <w:rFonts w:hint="default" w:ascii="Times New Roman" w:hAnsi="Times New Roman" w:eastAsia="宋体" w:cs="Times New Roman"/>
                      <w:b w:val="0"/>
                      <w:bCs w:val="0"/>
                      <w:color w:val="auto"/>
                      <w:kern w:val="0"/>
                      <w:sz w:val="21"/>
                      <w:szCs w:val="21"/>
                      <w:lang w:val="en-US" w:eastAsia="zh-CN" w:bidi="ar"/>
                    </w:rPr>
                    <w:t>dB</w:t>
                  </w:r>
                  <w:r>
                    <w:rPr>
                      <w:rFonts w:hint="eastAsia" w:ascii="宋体" w:hAnsi="宋体" w:eastAsia="宋体" w:cs="宋体"/>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A</w:t>
                  </w:r>
                  <w:r>
                    <w:rPr>
                      <w:rFonts w:hint="eastAsia" w:ascii="宋体" w:hAnsi="宋体" w:eastAsia="宋体" w:cs="宋体"/>
                      <w:b w:val="0"/>
                      <w:bCs w:val="0"/>
                      <w:color w:val="auto"/>
                      <w:kern w:val="0"/>
                      <w:sz w:val="21"/>
                      <w:szCs w:val="21"/>
                      <w:lang w:val="en-US" w:eastAsia="zh-CN" w:bidi="ar"/>
                    </w:rPr>
                    <w:t>）</w:t>
                  </w:r>
                </w:p>
              </w:tc>
              <w:tc>
                <w:tcPr>
                  <w:tcW w:w="1686"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30.45</w:t>
                  </w:r>
                </w:p>
              </w:tc>
              <w:tc>
                <w:tcPr>
                  <w:tcW w:w="1864" w:type="dxa"/>
                  <w:tcBorders>
                    <w:right w:val="single" w:color="000000" w:sz="8" w:space="0"/>
                    <w:tl2br w:val="nil"/>
                    <w:tr2bl w:val="nil"/>
                  </w:tcBorders>
                  <w:vAlign w:val="center"/>
                </w:tcPr>
                <w:p>
                  <w:pPr>
                    <w:keepNext w:val="0"/>
                    <w:keepLines w:val="0"/>
                    <w:pageBreakBefore w:val="0"/>
                    <w:widowControl/>
                    <w:suppressLineNumbers w:val="0"/>
                    <w:kinsoku/>
                    <w:wordWrap/>
                    <w:overflowPunct/>
                    <w:topLinePunct w:val="0"/>
                    <w:bidi w:val="0"/>
                    <w:spacing w:line="360" w:lineRule="auto"/>
                    <w:ind w:left="0" w:leftChars="0" w:right="0" w:rightChars="0" w:firstLine="0" w:firstLineChars="0"/>
                    <w:jc w:val="center"/>
                    <w:rPr>
                      <w:rFonts w:hint="default" w:eastAsiaTheme="minorEastAsia"/>
                      <w:color w:val="auto"/>
                      <w:sz w:val="21"/>
                      <w:szCs w:val="21"/>
                      <w:lang w:val="en-US" w:eastAsia="zh-CN"/>
                    </w:rPr>
                  </w:pPr>
                  <w:r>
                    <w:rPr>
                      <w:rFonts w:hint="eastAsia"/>
                      <w:color w:val="auto"/>
                      <w:sz w:val="21"/>
                      <w:szCs w:val="21"/>
                      <w:lang w:val="en-US" w:eastAsia="zh-CN"/>
                    </w:rPr>
                    <w:t>20</w:t>
                  </w:r>
                </w:p>
              </w:tc>
              <w:tc>
                <w:tcPr>
                  <w:tcW w:w="1791"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default" w:eastAsia="宋体"/>
                      <w:color w:val="auto"/>
                      <w:sz w:val="21"/>
                      <w:szCs w:val="21"/>
                      <w:lang w:val="en-US" w:eastAsia="zh-CN"/>
                    </w:rPr>
                  </w:pPr>
                  <w:r>
                    <w:rPr>
                      <w:rFonts w:hint="eastAsia"/>
                      <w:color w:val="auto"/>
                      <w:sz w:val="21"/>
                      <w:szCs w:val="21"/>
                      <w:lang w:val="en-US" w:eastAsia="zh-CN"/>
                    </w:rPr>
                    <w:t>34.89</w:t>
                  </w:r>
                </w:p>
              </w:tc>
              <w:tc>
                <w:tcPr>
                  <w:tcW w:w="1628"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default" w:eastAsia="宋体"/>
                      <w:color w:val="auto"/>
                      <w:sz w:val="21"/>
                      <w:szCs w:val="21"/>
                      <w:lang w:val="en-US" w:eastAsia="zh-CN"/>
                    </w:rPr>
                  </w:pPr>
                  <w:r>
                    <w:rPr>
                      <w:rFonts w:hint="eastAsia"/>
                      <w:color w:val="auto"/>
                      <w:sz w:val="21"/>
                      <w:szCs w:val="21"/>
                      <w:lang w:val="en-US" w:eastAsia="zh-CN"/>
                    </w:rPr>
                    <w:t>28.63</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1538"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距离（m）</w:t>
                  </w:r>
                </w:p>
              </w:tc>
              <w:tc>
                <w:tcPr>
                  <w:tcW w:w="1686"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4"/>
                      <w:sz w:val="21"/>
                      <w:szCs w:val="21"/>
                      <w:lang w:val="en-US" w:eastAsia="zh-CN" w:bidi="ar-SA"/>
                    </w:rPr>
                  </w:pPr>
                  <w:r>
                    <w:rPr>
                      <w:rFonts w:hint="eastAsia"/>
                      <w:color w:val="auto"/>
                      <w:sz w:val="21"/>
                      <w:szCs w:val="21"/>
                      <w:lang w:val="en-US" w:eastAsia="zh-CN"/>
                    </w:rPr>
                    <w:t>20</w:t>
                  </w:r>
                </w:p>
              </w:tc>
              <w:tc>
                <w:tcPr>
                  <w:tcW w:w="1864" w:type="dxa"/>
                  <w:tcBorders>
                    <w:right w:val="single" w:color="000000" w:sz="8" w:space="0"/>
                    <w:tl2br w:val="nil"/>
                    <w:tr2bl w:val="nil"/>
                  </w:tcBorders>
                  <w:vAlign w:val="center"/>
                </w:tcPr>
                <w:p>
                  <w:pPr>
                    <w:keepNext w:val="0"/>
                    <w:keepLines w:val="0"/>
                    <w:pageBreakBefore w:val="0"/>
                    <w:widowControl/>
                    <w:suppressLineNumbers w:val="0"/>
                    <w:kinsoku/>
                    <w:wordWrap/>
                    <w:overflowPunct/>
                    <w:topLinePunct w:val="0"/>
                    <w:bidi w:val="0"/>
                    <w:spacing w:line="360" w:lineRule="auto"/>
                    <w:ind w:left="0" w:leftChars="0" w:right="0" w:rightChars="0" w:firstLine="0" w:firstLineChars="0"/>
                    <w:jc w:val="center"/>
                    <w:rPr>
                      <w:rFonts w:hint="default" w:ascii="Times New Roman" w:hAnsi="Times New Roman" w:eastAsiaTheme="minorEastAsia" w:cstheme="minorBidi"/>
                      <w:color w:val="auto"/>
                      <w:kern w:val="2"/>
                      <w:sz w:val="21"/>
                      <w:szCs w:val="21"/>
                      <w:lang w:val="en-US" w:eastAsia="zh-CN" w:bidi="ar-SA"/>
                    </w:rPr>
                  </w:pPr>
                  <w:r>
                    <w:rPr>
                      <w:rFonts w:hint="eastAsia"/>
                      <w:color w:val="auto"/>
                      <w:sz w:val="21"/>
                      <w:szCs w:val="21"/>
                      <w:lang w:val="en-US" w:eastAsia="zh-CN"/>
                    </w:rPr>
                    <w:t>100</w:t>
                  </w:r>
                </w:p>
              </w:tc>
              <w:tc>
                <w:tcPr>
                  <w:tcW w:w="1791"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4"/>
                      <w:sz w:val="21"/>
                      <w:szCs w:val="21"/>
                      <w:lang w:val="en-US" w:eastAsia="zh-CN" w:bidi="ar-SA"/>
                    </w:rPr>
                  </w:pPr>
                  <w:r>
                    <w:rPr>
                      <w:rFonts w:hint="eastAsia"/>
                      <w:color w:val="auto"/>
                      <w:sz w:val="21"/>
                      <w:szCs w:val="21"/>
                      <w:lang w:val="en-US" w:eastAsia="zh-CN"/>
                    </w:rPr>
                    <w:t>24</w:t>
                  </w:r>
                </w:p>
              </w:tc>
              <w:tc>
                <w:tcPr>
                  <w:tcW w:w="1628"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color w:val="auto"/>
                      <w:kern w:val="24"/>
                      <w:sz w:val="21"/>
                      <w:szCs w:val="21"/>
                      <w:lang w:val="en-US" w:eastAsia="zh-CN" w:bidi="ar-SA"/>
                    </w:rPr>
                  </w:pPr>
                  <w:r>
                    <w:rPr>
                      <w:rFonts w:hint="eastAsia"/>
                      <w:color w:val="auto"/>
                      <w:sz w:val="21"/>
                      <w:szCs w:val="21"/>
                      <w:lang w:val="en-US" w:eastAsia="zh-CN"/>
                    </w:rPr>
                    <w:t>12</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1538"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风机</w:t>
                  </w:r>
                  <w:r>
                    <w:rPr>
                      <w:rFonts w:hint="default" w:ascii="Times New Roman" w:hAnsi="Times New Roman" w:eastAsia="宋体" w:cs="Times New Roman"/>
                      <w:b w:val="0"/>
                      <w:bCs w:val="0"/>
                      <w:color w:val="auto"/>
                      <w:kern w:val="0"/>
                      <w:sz w:val="21"/>
                      <w:szCs w:val="21"/>
                      <w:lang w:val="en-US" w:eastAsia="zh-CN" w:bidi="ar"/>
                    </w:rPr>
                    <w:t>dB</w:t>
                  </w:r>
                  <w:r>
                    <w:rPr>
                      <w:rFonts w:hint="eastAsia" w:ascii="宋体" w:hAnsi="宋体" w:eastAsia="宋体" w:cs="宋体"/>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A</w:t>
                  </w:r>
                  <w:r>
                    <w:rPr>
                      <w:rFonts w:hint="eastAsia" w:ascii="宋体" w:hAnsi="宋体" w:eastAsia="宋体" w:cs="宋体"/>
                      <w:b w:val="0"/>
                      <w:bCs w:val="0"/>
                      <w:color w:val="auto"/>
                      <w:kern w:val="0"/>
                      <w:sz w:val="21"/>
                      <w:szCs w:val="21"/>
                      <w:lang w:val="en-US" w:eastAsia="zh-CN" w:bidi="ar"/>
                    </w:rPr>
                    <w:t>）</w:t>
                  </w:r>
                </w:p>
              </w:tc>
              <w:tc>
                <w:tcPr>
                  <w:tcW w:w="1686"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38.97</w:t>
                  </w:r>
                </w:p>
              </w:tc>
              <w:tc>
                <w:tcPr>
                  <w:tcW w:w="1864" w:type="dxa"/>
                  <w:tcBorders>
                    <w:right w:val="single" w:color="000000" w:sz="8" w:space="0"/>
                    <w:tl2br w:val="nil"/>
                    <w:tr2bl w:val="nil"/>
                  </w:tcBorders>
                  <w:vAlign w:val="center"/>
                </w:tcPr>
                <w:p>
                  <w:pPr>
                    <w:keepNext w:val="0"/>
                    <w:keepLines w:val="0"/>
                    <w:pageBreakBefore w:val="0"/>
                    <w:widowControl/>
                    <w:suppressLineNumbers w:val="0"/>
                    <w:kinsoku/>
                    <w:wordWrap/>
                    <w:overflowPunct/>
                    <w:topLinePunct w:val="0"/>
                    <w:bidi w:val="0"/>
                    <w:spacing w:line="360" w:lineRule="auto"/>
                    <w:ind w:left="0" w:leftChars="0" w:right="0" w:rightChars="0" w:firstLine="0" w:firstLineChars="0"/>
                    <w:jc w:val="center"/>
                    <w:rPr>
                      <w:rFonts w:hint="default" w:eastAsiaTheme="minorEastAsia"/>
                      <w:color w:val="auto"/>
                      <w:sz w:val="21"/>
                      <w:szCs w:val="21"/>
                      <w:lang w:val="en-US" w:eastAsia="zh-CN"/>
                    </w:rPr>
                  </w:pPr>
                  <w:r>
                    <w:rPr>
                      <w:rFonts w:hint="eastAsia"/>
                      <w:color w:val="auto"/>
                      <w:sz w:val="21"/>
                      <w:szCs w:val="21"/>
                      <w:lang w:val="en-US" w:eastAsia="zh-CN"/>
                    </w:rPr>
                    <w:t>25</w:t>
                  </w:r>
                </w:p>
              </w:tc>
              <w:tc>
                <w:tcPr>
                  <w:tcW w:w="1791"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default" w:eastAsia="宋体"/>
                      <w:color w:val="auto"/>
                      <w:sz w:val="21"/>
                      <w:szCs w:val="21"/>
                      <w:lang w:val="en-US" w:eastAsia="zh-CN"/>
                    </w:rPr>
                  </w:pPr>
                  <w:r>
                    <w:rPr>
                      <w:rFonts w:hint="eastAsia"/>
                      <w:color w:val="auto"/>
                      <w:sz w:val="21"/>
                      <w:szCs w:val="21"/>
                      <w:lang w:val="en-US" w:eastAsia="zh-CN"/>
                    </w:rPr>
                    <w:t>37.39</w:t>
                  </w:r>
                </w:p>
              </w:tc>
              <w:tc>
                <w:tcPr>
                  <w:tcW w:w="1628"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default" w:eastAsia="宋体"/>
                      <w:color w:val="auto"/>
                      <w:sz w:val="21"/>
                      <w:szCs w:val="21"/>
                      <w:lang w:val="en-US" w:eastAsia="zh-CN"/>
                    </w:rPr>
                  </w:pPr>
                  <w:r>
                    <w:rPr>
                      <w:rFonts w:hint="eastAsia"/>
                      <w:color w:val="auto"/>
                      <w:sz w:val="21"/>
                      <w:szCs w:val="21"/>
                      <w:lang w:val="en-US" w:eastAsia="zh-CN"/>
                    </w:rPr>
                    <w:t>43.41</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1538"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eastAsia"/>
                      <w:color w:val="auto"/>
                      <w:sz w:val="21"/>
                      <w:szCs w:val="21"/>
                      <w:lang w:val="en-US" w:eastAsia="zh-CN"/>
                    </w:rPr>
                  </w:pPr>
                  <w:r>
                    <w:rPr>
                      <w:rFonts w:hint="eastAsia"/>
                      <w:color w:val="auto"/>
                      <w:sz w:val="21"/>
                      <w:szCs w:val="21"/>
                      <w:lang w:val="en-US" w:eastAsia="zh-CN"/>
                    </w:rPr>
                    <w:t>距离（m）</w:t>
                  </w:r>
                </w:p>
              </w:tc>
              <w:tc>
                <w:tcPr>
                  <w:tcW w:w="1686"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48</w:t>
                  </w:r>
                </w:p>
              </w:tc>
              <w:tc>
                <w:tcPr>
                  <w:tcW w:w="1864" w:type="dxa"/>
                  <w:tcBorders>
                    <w:right w:val="single" w:color="000000" w:sz="8" w:space="0"/>
                    <w:tl2br w:val="nil"/>
                    <w:tr2bl w:val="nil"/>
                  </w:tcBorders>
                  <w:vAlign w:val="center"/>
                </w:tcPr>
                <w:p>
                  <w:pPr>
                    <w:keepNext w:val="0"/>
                    <w:keepLines w:val="0"/>
                    <w:pageBreakBefore w:val="0"/>
                    <w:widowControl/>
                    <w:suppressLineNumbers w:val="0"/>
                    <w:kinsoku/>
                    <w:wordWrap/>
                    <w:overflowPunct/>
                    <w:topLinePunct w:val="0"/>
                    <w:bidi w:val="0"/>
                    <w:spacing w:line="360" w:lineRule="auto"/>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60</w:t>
                  </w:r>
                </w:p>
              </w:tc>
              <w:tc>
                <w:tcPr>
                  <w:tcW w:w="1791"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30</w:t>
                  </w:r>
                </w:p>
              </w:tc>
              <w:tc>
                <w:tcPr>
                  <w:tcW w:w="1628"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26</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1538"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eastAsia"/>
                      <w:color w:val="auto"/>
                      <w:sz w:val="21"/>
                      <w:szCs w:val="21"/>
                      <w:lang w:val="en-US" w:eastAsia="zh-CN"/>
                    </w:rPr>
                  </w:pPr>
                  <w:r>
                    <w:rPr>
                      <w:rFonts w:hint="eastAsia"/>
                      <w:color w:val="auto"/>
                      <w:sz w:val="21"/>
                      <w:szCs w:val="21"/>
                      <w:lang w:val="en-US" w:eastAsia="zh-CN"/>
                    </w:rPr>
                    <w:t>柴油发电机</w:t>
                  </w:r>
                </w:p>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eastAsia"/>
                      <w:color w:val="auto"/>
                      <w:sz w:val="21"/>
                      <w:szCs w:val="21"/>
                      <w:lang w:val="en-US" w:eastAsia="zh-CN"/>
                    </w:rPr>
                  </w:pPr>
                  <w:r>
                    <w:rPr>
                      <w:rFonts w:hint="eastAsia"/>
                      <w:color w:val="auto"/>
                      <w:sz w:val="21"/>
                      <w:szCs w:val="21"/>
                      <w:lang w:val="en-US" w:eastAsia="zh-CN"/>
                    </w:rPr>
                    <w:t>dB（A）</w:t>
                  </w:r>
                </w:p>
              </w:tc>
              <w:tc>
                <w:tcPr>
                  <w:tcW w:w="1686"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eastAsia"/>
                      <w:color w:val="auto"/>
                      <w:sz w:val="21"/>
                      <w:szCs w:val="21"/>
                      <w:lang w:val="en-US" w:eastAsia="zh-CN"/>
                    </w:rPr>
                  </w:pPr>
                  <w:r>
                    <w:rPr>
                      <w:rFonts w:hint="eastAsia"/>
                      <w:color w:val="auto"/>
                      <w:sz w:val="21"/>
                      <w:szCs w:val="21"/>
                      <w:lang w:val="en-US" w:eastAsia="zh-CN"/>
                    </w:rPr>
                    <w:t>31.37</w:t>
                  </w:r>
                </w:p>
              </w:tc>
              <w:tc>
                <w:tcPr>
                  <w:tcW w:w="1864" w:type="dxa"/>
                  <w:tcBorders>
                    <w:right w:val="single" w:color="000000" w:sz="8" w:space="0"/>
                    <w:tl2br w:val="nil"/>
                    <w:tr2bl w:val="nil"/>
                  </w:tcBorders>
                  <w:vAlign w:val="center"/>
                </w:tcPr>
                <w:p>
                  <w:pPr>
                    <w:keepNext w:val="0"/>
                    <w:keepLines w:val="0"/>
                    <w:pageBreakBefore w:val="0"/>
                    <w:widowControl/>
                    <w:suppressLineNumbers w:val="0"/>
                    <w:kinsoku/>
                    <w:wordWrap/>
                    <w:overflowPunct/>
                    <w:topLinePunct w:val="0"/>
                    <w:bidi w:val="0"/>
                    <w:spacing w:line="360" w:lineRule="auto"/>
                    <w:ind w:left="0" w:leftChars="0" w:right="0" w:rightChars="0" w:firstLine="0" w:firstLineChars="0"/>
                    <w:jc w:val="center"/>
                    <w:rPr>
                      <w:rFonts w:hint="eastAsia"/>
                      <w:color w:val="auto"/>
                      <w:sz w:val="21"/>
                      <w:szCs w:val="21"/>
                      <w:lang w:val="en-US" w:eastAsia="zh-CN"/>
                    </w:rPr>
                  </w:pPr>
                  <w:r>
                    <w:rPr>
                      <w:rFonts w:hint="eastAsia"/>
                      <w:color w:val="auto"/>
                      <w:sz w:val="21"/>
                      <w:szCs w:val="21"/>
                      <w:lang w:val="en-US" w:eastAsia="zh-CN"/>
                    </w:rPr>
                    <w:t>29.43</w:t>
                  </w:r>
                </w:p>
              </w:tc>
              <w:tc>
                <w:tcPr>
                  <w:tcW w:w="1791" w:type="dxa"/>
                  <w:tcBorders>
                    <w:lef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eastAsia"/>
                      <w:color w:val="auto"/>
                      <w:sz w:val="21"/>
                      <w:szCs w:val="21"/>
                      <w:lang w:val="en-US" w:eastAsia="zh-CN"/>
                    </w:rPr>
                  </w:pPr>
                  <w:r>
                    <w:rPr>
                      <w:rFonts w:hint="eastAsia"/>
                      <w:color w:val="auto"/>
                      <w:sz w:val="21"/>
                      <w:szCs w:val="21"/>
                      <w:lang w:val="en-US" w:eastAsia="zh-CN"/>
                    </w:rPr>
                    <w:t>35.45</w:t>
                  </w:r>
                </w:p>
              </w:tc>
              <w:tc>
                <w:tcPr>
                  <w:tcW w:w="1628" w:type="dxa"/>
                  <w:tcBorders>
                    <w:right w:val="single" w:color="000000" w:sz="8" w:space="0"/>
                    <w:tl2br w:val="nil"/>
                    <w:tr2bl w:val="nil"/>
                  </w:tcBorders>
                  <w:vAlign w:val="center"/>
                </w:tcPr>
                <w:p>
                  <w:pPr>
                    <w:pStyle w:val="146"/>
                    <w:keepNext w:val="0"/>
                    <w:keepLines w:val="0"/>
                    <w:pageBreakBefore w:val="0"/>
                    <w:kinsoku/>
                    <w:wordWrap/>
                    <w:overflowPunct/>
                    <w:topLinePunct w:val="0"/>
                    <w:bidi w:val="0"/>
                    <w:spacing w:line="360" w:lineRule="auto"/>
                    <w:ind w:left="0" w:leftChars="0" w:right="0" w:rightChars="0" w:firstLine="0" w:firstLineChars="0"/>
                    <w:jc w:val="center"/>
                    <w:rPr>
                      <w:rFonts w:hint="eastAsia"/>
                      <w:color w:val="auto"/>
                      <w:sz w:val="21"/>
                      <w:szCs w:val="21"/>
                      <w:lang w:val="en-US" w:eastAsia="zh-CN"/>
                    </w:rPr>
                  </w:pPr>
                  <w:r>
                    <w:rPr>
                      <w:rFonts w:hint="eastAsia"/>
                      <w:color w:val="auto"/>
                      <w:sz w:val="21"/>
                      <w:szCs w:val="21"/>
                      <w:lang w:val="en-US" w:eastAsia="zh-CN"/>
                    </w:rPr>
                    <w:t>36.70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8507" w:type="dxa"/>
                  <w:gridSpan w:val="5"/>
                  <w:tcBorders>
                    <w:right w:val="single" w:color="000000" w:sz="8" w:space="0"/>
                    <w:tl2br w:val="nil"/>
                    <w:tr2bl w:val="nil"/>
                  </w:tcBorders>
                  <w:vAlign w:val="center"/>
                </w:tcPr>
                <w:p>
                  <w:pPr>
                    <w:keepNext w:val="0"/>
                    <w:keepLines w:val="0"/>
                    <w:widowControl/>
                    <w:suppressLineNumbers w:val="0"/>
                    <w:spacing w:line="360" w:lineRule="auto"/>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厂界执行标准：</w:t>
                  </w:r>
                  <w:r>
                    <w:rPr>
                      <w:rFonts w:hint="eastAsia" w:ascii="宋体" w:hAnsi="宋体" w:eastAsia="宋体" w:cs="宋体"/>
                      <w:color w:val="auto"/>
                      <w:kern w:val="0"/>
                      <w:sz w:val="21"/>
                      <w:szCs w:val="21"/>
                      <w:lang w:val="en-US" w:eastAsia="zh-CN" w:bidi="ar"/>
                    </w:rPr>
                    <w:t>昼间</w:t>
                  </w:r>
                  <w:r>
                    <w:rPr>
                      <w:rFonts w:hint="default" w:ascii="Times New Roman" w:hAnsi="Times New Roman" w:eastAsia="宋体" w:cs="Times New Roman"/>
                      <w:color w:val="auto"/>
                      <w:kern w:val="0"/>
                      <w:sz w:val="21"/>
                      <w:szCs w:val="21"/>
                      <w:lang w:val="en-US" w:eastAsia="zh-CN" w:bidi="ar"/>
                    </w:rPr>
                    <w:t>≤60</w:t>
                  </w:r>
                  <w:r>
                    <w:rPr>
                      <w:rFonts w:hint="default" w:ascii="Times New Roman" w:hAnsi="Times New Roman" w:eastAsia="宋体" w:cs="Times New Roman"/>
                      <w:b w:val="0"/>
                      <w:bCs w:val="0"/>
                      <w:color w:val="auto"/>
                      <w:kern w:val="0"/>
                      <w:sz w:val="21"/>
                      <w:szCs w:val="21"/>
                      <w:lang w:val="en-US" w:eastAsia="zh-CN" w:bidi="ar"/>
                    </w:rPr>
                    <w:t>dB</w:t>
                  </w:r>
                  <w:r>
                    <w:rPr>
                      <w:rFonts w:hint="eastAsia" w:ascii="宋体" w:hAnsi="宋体" w:eastAsia="宋体" w:cs="宋体"/>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A</w:t>
                  </w:r>
                  <w:r>
                    <w:rPr>
                      <w:rFonts w:hint="eastAsia" w:ascii="宋体" w:hAnsi="宋体" w:eastAsia="宋体" w:cs="宋体"/>
                      <w:b w:val="0"/>
                      <w:bCs w:val="0"/>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，夜间≤</w:t>
                  </w:r>
                  <w:r>
                    <w:rPr>
                      <w:rFonts w:hint="default" w:ascii="Times New Roman" w:hAnsi="Times New Roman" w:eastAsia="宋体" w:cs="Times New Roman"/>
                      <w:color w:val="auto"/>
                      <w:kern w:val="0"/>
                      <w:sz w:val="21"/>
                      <w:szCs w:val="21"/>
                      <w:lang w:val="en-US" w:eastAsia="zh-CN" w:bidi="ar"/>
                    </w:rPr>
                    <w:t>50</w:t>
                  </w:r>
                  <w:r>
                    <w:rPr>
                      <w:rFonts w:hint="default" w:ascii="Times New Roman" w:hAnsi="Times New Roman" w:eastAsia="宋体" w:cs="Times New Roman"/>
                      <w:b w:val="0"/>
                      <w:bCs w:val="0"/>
                      <w:color w:val="auto"/>
                      <w:kern w:val="0"/>
                      <w:sz w:val="21"/>
                      <w:szCs w:val="21"/>
                      <w:lang w:val="en-US" w:eastAsia="zh-CN" w:bidi="ar"/>
                    </w:rPr>
                    <w:t>dB</w:t>
                  </w:r>
                  <w:r>
                    <w:rPr>
                      <w:rFonts w:hint="eastAsia" w:ascii="宋体" w:hAnsi="宋体" w:eastAsia="宋体" w:cs="宋体"/>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A</w:t>
                  </w:r>
                  <w:r>
                    <w:rPr>
                      <w:rFonts w:hint="eastAsia" w:ascii="宋体" w:hAnsi="宋体" w:eastAsia="宋体" w:cs="宋体"/>
                      <w:b w:val="0"/>
                      <w:bCs w:val="0"/>
                      <w:color w:val="auto"/>
                      <w:kern w:val="0"/>
                      <w:sz w:val="21"/>
                      <w:szCs w:val="21"/>
                      <w:lang w:val="en-US" w:eastAsia="zh-CN" w:bidi="ar"/>
                    </w:rPr>
                    <w:t>）</w:t>
                  </w:r>
                </w:p>
              </w:tc>
            </w:tr>
          </w:tbl>
          <w:p>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由表</w:t>
            </w:r>
            <w:r>
              <w:rPr>
                <w:rFonts w:hint="default" w:ascii="Times New Roman" w:hAnsi="Times New Roman" w:eastAsia="宋体" w:cs="Times New Roman"/>
                <w:color w:val="auto"/>
                <w:kern w:val="0"/>
                <w:sz w:val="24"/>
                <w:szCs w:val="24"/>
                <w:lang w:val="en-US" w:eastAsia="zh-CN" w:bidi="ar"/>
              </w:rPr>
              <w:t>4-</w:t>
            </w:r>
            <w:r>
              <w:rPr>
                <w:rFonts w:hint="eastAsia" w:eastAsia="宋体" w:cs="Times New Roman"/>
                <w:color w:val="auto"/>
                <w:kern w:val="0"/>
                <w:sz w:val="24"/>
                <w:szCs w:val="24"/>
                <w:lang w:val="en-US" w:eastAsia="zh-CN" w:bidi="ar"/>
              </w:rPr>
              <w:t>15</w:t>
            </w:r>
            <w:r>
              <w:rPr>
                <w:rFonts w:hint="eastAsia" w:ascii="宋体" w:hAnsi="宋体" w:eastAsia="宋体" w:cs="宋体"/>
                <w:color w:val="auto"/>
                <w:kern w:val="0"/>
                <w:sz w:val="24"/>
                <w:szCs w:val="24"/>
                <w:lang w:val="en-US" w:eastAsia="zh-CN" w:bidi="ar"/>
              </w:rPr>
              <w:t>可以看出，在安装减震垫，房屋隔声、合理布局、距离衰减、污水处理站采用地埋式的情况下，项目各个厂界噪声均可达到《工业企业厂界环境噪声排放标准》（</w:t>
            </w:r>
            <w:r>
              <w:rPr>
                <w:rFonts w:hint="default" w:ascii="Times New Roman" w:hAnsi="Times New Roman" w:eastAsia="宋体" w:cs="Times New Roman"/>
                <w:color w:val="auto"/>
                <w:kern w:val="0"/>
                <w:sz w:val="24"/>
                <w:szCs w:val="24"/>
                <w:lang w:val="en-US" w:eastAsia="zh-CN" w:bidi="ar"/>
              </w:rPr>
              <w:t>GB12348-2008</w:t>
            </w:r>
            <w:r>
              <w:rPr>
                <w:rFonts w:hint="eastAsia" w:ascii="宋体" w:hAnsi="宋体" w:eastAsia="宋体" w:cs="宋体"/>
                <w:color w:val="auto"/>
                <w:kern w:val="0"/>
                <w:sz w:val="24"/>
                <w:szCs w:val="24"/>
                <w:lang w:val="en-US" w:eastAsia="zh-CN" w:bidi="ar"/>
              </w:rPr>
              <w:t>）</w:t>
            </w:r>
            <w:r>
              <w:rPr>
                <w:rFonts w:hint="eastAsia" w:eastAsia="宋体" w:cs="Times New Roman"/>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类区标准要求，即：昼间≤</w:t>
            </w:r>
            <w:r>
              <w:rPr>
                <w:rFonts w:hint="default" w:ascii="Times New Roman" w:hAnsi="Times New Roman" w:eastAsia="宋体" w:cs="Times New Roman"/>
                <w:color w:val="auto"/>
                <w:kern w:val="0"/>
                <w:sz w:val="24"/>
                <w:szCs w:val="24"/>
                <w:lang w:val="en-US" w:eastAsia="zh-CN" w:bidi="ar"/>
              </w:rPr>
              <w:t>60dB</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A</w:t>
            </w:r>
            <w:r>
              <w:rPr>
                <w:rFonts w:hint="eastAsia" w:ascii="宋体" w:hAnsi="宋体" w:eastAsia="宋体" w:cs="宋体"/>
                <w:color w:val="auto"/>
                <w:kern w:val="0"/>
                <w:sz w:val="24"/>
                <w:szCs w:val="24"/>
                <w:lang w:val="en-US" w:eastAsia="zh-CN" w:bidi="ar"/>
              </w:rPr>
              <w:t>），夜间≤</w:t>
            </w:r>
            <w:r>
              <w:rPr>
                <w:rFonts w:hint="default" w:ascii="Times New Roman" w:hAnsi="Times New Roman" w:eastAsia="宋体" w:cs="Times New Roman"/>
                <w:color w:val="auto"/>
                <w:kern w:val="0"/>
                <w:sz w:val="24"/>
                <w:szCs w:val="24"/>
                <w:lang w:val="en-US" w:eastAsia="zh-CN" w:bidi="ar"/>
              </w:rPr>
              <w:t>50dB</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A</w:t>
            </w:r>
            <w:r>
              <w:rPr>
                <w:rFonts w:hint="eastAsia" w:ascii="宋体" w:hAnsi="宋体" w:eastAsia="宋体" w:cs="宋体"/>
                <w:color w:val="auto"/>
                <w:kern w:val="0"/>
                <w:sz w:val="24"/>
                <w:szCs w:val="24"/>
                <w:lang w:val="en-US" w:eastAsia="zh-CN" w:bidi="ar"/>
              </w:rPr>
              <w:t>）。</w:t>
            </w:r>
          </w:p>
          <w:p>
            <w:pPr>
              <w:keepNext w:val="0"/>
              <w:keepLines w:val="0"/>
              <w:widowControl/>
              <w:suppressLineNumbers w:val="0"/>
              <w:jc w:val="left"/>
              <w:rPr>
                <w:color w:val="auto"/>
              </w:rPr>
            </w:pPr>
            <w:r>
              <w:rPr>
                <w:rFonts w:hint="default" w:ascii="Times New Roman" w:hAnsi="Times New Roman" w:eastAsia="宋体" w:cs="Times New Roman"/>
                <w:b/>
                <w:color w:val="auto"/>
                <w:kern w:val="0"/>
                <w:sz w:val="24"/>
                <w:szCs w:val="24"/>
                <w:lang w:val="en-US" w:eastAsia="zh-CN" w:bidi="ar"/>
              </w:rPr>
              <w:t>3</w:t>
            </w:r>
            <w:r>
              <w:rPr>
                <w:rFonts w:hint="eastAsia" w:ascii="宋体" w:hAnsi="宋体" w:eastAsia="宋体" w:cs="宋体"/>
                <w:b/>
                <w:color w:val="auto"/>
                <w:kern w:val="0"/>
                <w:sz w:val="24"/>
                <w:szCs w:val="24"/>
                <w:lang w:val="en-US" w:eastAsia="zh-CN" w:bidi="ar"/>
              </w:rPr>
              <w:t>）敏感目标影响</w:t>
            </w:r>
          </w:p>
          <w:p>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根据项目噪声预测，项目厂界四周各个厂界均可达到《工业企业厂界环境噪声排放标准》（</w:t>
            </w:r>
            <w:r>
              <w:rPr>
                <w:rFonts w:hint="default" w:ascii="Times New Roman" w:hAnsi="Times New Roman" w:eastAsia="宋体" w:cs="Times New Roman"/>
                <w:color w:val="auto"/>
                <w:kern w:val="0"/>
                <w:sz w:val="24"/>
                <w:szCs w:val="24"/>
                <w:lang w:val="en-US" w:eastAsia="zh-CN" w:bidi="ar"/>
              </w:rPr>
              <w:t>GB12348-2008</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类区标准要求。因此，本项目噪声排放对敏感点影响较小。</w:t>
            </w:r>
          </w:p>
          <w:p>
            <w:pPr>
              <w:ind w:firstLine="482"/>
              <w:rPr>
                <w:b/>
                <w:bCs/>
                <w:color w:val="auto"/>
                <w:kern w:val="0"/>
                <w:szCs w:val="24"/>
              </w:rPr>
            </w:pPr>
            <w:r>
              <w:rPr>
                <w:rFonts w:hint="eastAsia" w:eastAsia="宋体" w:cs="Times New Roman"/>
                <w:b/>
                <w:bCs/>
                <w:color w:val="auto"/>
                <w:szCs w:val="24"/>
                <w:lang w:val="en-US" w:eastAsia="zh-CN"/>
              </w:rPr>
              <w:t>（3）</w:t>
            </w:r>
            <w:r>
              <w:rPr>
                <w:rFonts w:hint="eastAsia" w:eastAsia="宋体" w:cs="Times New Roman"/>
                <w:b/>
                <w:bCs/>
                <w:color w:val="auto"/>
                <w:szCs w:val="24"/>
              </w:rPr>
              <w:t>声</w:t>
            </w:r>
            <w:r>
              <w:rPr>
                <w:rFonts w:hint="eastAsia"/>
                <w:b/>
                <w:bCs/>
                <w:color w:val="auto"/>
                <w:kern w:val="0"/>
                <w:szCs w:val="24"/>
              </w:rPr>
              <w:t>环境监测计划</w:t>
            </w:r>
          </w:p>
          <w:p>
            <w:pPr>
              <w:ind w:firstLine="480"/>
              <w:rPr>
                <w:rFonts w:eastAsia="宋体" w:cs="Times New Roman"/>
                <w:bCs/>
                <w:color w:val="auto"/>
                <w:szCs w:val="24"/>
              </w:rPr>
            </w:pPr>
            <w:r>
              <w:rPr>
                <w:rFonts w:hint="eastAsia" w:eastAsia="宋体" w:cs="Times New Roman"/>
                <w:bCs/>
                <w:color w:val="auto"/>
                <w:szCs w:val="24"/>
              </w:rPr>
              <w:t>便于建设项目的环境管理，现将建设项目声环境监测计划列于表4-</w:t>
            </w:r>
            <w:r>
              <w:rPr>
                <w:rFonts w:hint="eastAsia" w:eastAsia="宋体" w:cs="Times New Roman"/>
                <w:bCs/>
                <w:color w:val="auto"/>
                <w:szCs w:val="24"/>
                <w:lang w:val="en-US" w:eastAsia="zh-CN"/>
              </w:rPr>
              <w:t>15</w:t>
            </w:r>
            <w:r>
              <w:rPr>
                <w:rFonts w:hint="eastAsia" w:eastAsia="宋体" w:cs="Times New Roman"/>
                <w:bCs/>
                <w:color w:val="auto"/>
                <w:szCs w:val="24"/>
              </w:rPr>
              <w:t>。</w:t>
            </w:r>
          </w:p>
          <w:p>
            <w:pPr>
              <w:pStyle w:val="67"/>
              <w:spacing w:line="360" w:lineRule="auto"/>
              <w:rPr>
                <w:color w:val="auto"/>
                <w:sz w:val="21"/>
                <w:szCs w:val="21"/>
              </w:rPr>
            </w:pPr>
            <w:r>
              <w:rPr>
                <w:color w:val="auto"/>
                <w:sz w:val="21"/>
                <w:szCs w:val="21"/>
              </w:rPr>
              <w:t>表</w:t>
            </w:r>
            <w:r>
              <w:rPr>
                <w:rFonts w:hint="eastAsia"/>
                <w:color w:val="auto"/>
                <w:sz w:val="21"/>
                <w:szCs w:val="21"/>
              </w:rPr>
              <w:t>4-</w:t>
            </w:r>
            <w:r>
              <w:rPr>
                <w:rFonts w:hint="eastAsia"/>
                <w:color w:val="auto"/>
                <w:sz w:val="21"/>
                <w:szCs w:val="21"/>
                <w:lang w:val="en-US" w:eastAsia="zh-CN"/>
              </w:rPr>
              <w:t>16</w:t>
            </w:r>
            <w:r>
              <w:rPr>
                <w:rFonts w:hint="eastAsia"/>
                <w:color w:val="auto"/>
                <w:sz w:val="21"/>
                <w:szCs w:val="21"/>
              </w:rPr>
              <w:t xml:space="preserve"> </w:t>
            </w:r>
            <w:r>
              <w:rPr>
                <w:color w:val="auto"/>
                <w:sz w:val="21"/>
                <w:szCs w:val="21"/>
              </w:rPr>
              <w:t xml:space="preserve"> </w:t>
            </w:r>
            <w:r>
              <w:rPr>
                <w:rFonts w:hint="eastAsia"/>
                <w:color w:val="auto"/>
                <w:sz w:val="21"/>
                <w:szCs w:val="21"/>
              </w:rPr>
              <w:t>声</w:t>
            </w:r>
            <w:r>
              <w:rPr>
                <w:color w:val="auto"/>
                <w:sz w:val="21"/>
                <w:szCs w:val="21"/>
              </w:rPr>
              <w:t>环境监测计划一览表</w:t>
            </w:r>
          </w:p>
          <w:tbl>
            <w:tblPr>
              <w:tblStyle w:val="37"/>
              <w:tblW w:w="8453"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139"/>
              <w:gridCol w:w="1082"/>
              <w:gridCol w:w="1293"/>
              <w:gridCol w:w="2827"/>
              <w:gridCol w:w="211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1139" w:type="dxa"/>
                  <w:tcBorders>
                    <w:tl2br w:val="nil"/>
                    <w:tr2bl w:val="nil"/>
                  </w:tcBorders>
                  <w:vAlign w:val="center"/>
                </w:tcPr>
                <w:p>
                  <w:pPr>
                    <w:pStyle w:val="146"/>
                    <w:spacing w:line="360" w:lineRule="auto"/>
                    <w:rPr>
                      <w:b/>
                      <w:bCs/>
                      <w:color w:val="auto"/>
                      <w:sz w:val="21"/>
                      <w:szCs w:val="21"/>
                    </w:rPr>
                  </w:pPr>
                  <w:r>
                    <w:rPr>
                      <w:rFonts w:hint="eastAsia"/>
                      <w:b/>
                      <w:bCs/>
                      <w:color w:val="auto"/>
                      <w:sz w:val="21"/>
                      <w:szCs w:val="21"/>
                    </w:rPr>
                    <w:t>监测时段</w:t>
                  </w:r>
                </w:p>
              </w:tc>
              <w:tc>
                <w:tcPr>
                  <w:tcW w:w="1082" w:type="dxa"/>
                  <w:tcBorders>
                    <w:tl2br w:val="nil"/>
                    <w:tr2bl w:val="nil"/>
                  </w:tcBorders>
                  <w:vAlign w:val="center"/>
                </w:tcPr>
                <w:p>
                  <w:pPr>
                    <w:pStyle w:val="146"/>
                    <w:spacing w:line="360" w:lineRule="auto"/>
                    <w:rPr>
                      <w:b/>
                      <w:bCs/>
                      <w:color w:val="auto"/>
                      <w:sz w:val="21"/>
                      <w:szCs w:val="21"/>
                    </w:rPr>
                  </w:pPr>
                  <w:r>
                    <w:rPr>
                      <w:rFonts w:hint="eastAsia"/>
                      <w:b/>
                      <w:bCs/>
                      <w:color w:val="auto"/>
                      <w:sz w:val="21"/>
                      <w:szCs w:val="21"/>
                    </w:rPr>
                    <w:t>监测项目</w:t>
                  </w:r>
                </w:p>
              </w:tc>
              <w:tc>
                <w:tcPr>
                  <w:tcW w:w="1293" w:type="dxa"/>
                  <w:tcBorders>
                    <w:tl2br w:val="nil"/>
                    <w:tr2bl w:val="nil"/>
                  </w:tcBorders>
                  <w:vAlign w:val="center"/>
                </w:tcPr>
                <w:p>
                  <w:pPr>
                    <w:pStyle w:val="146"/>
                    <w:spacing w:line="360" w:lineRule="auto"/>
                    <w:rPr>
                      <w:b/>
                      <w:bCs/>
                      <w:color w:val="auto"/>
                      <w:sz w:val="21"/>
                      <w:szCs w:val="21"/>
                    </w:rPr>
                  </w:pPr>
                  <w:r>
                    <w:rPr>
                      <w:b/>
                      <w:bCs/>
                      <w:color w:val="auto"/>
                      <w:sz w:val="21"/>
                      <w:szCs w:val="21"/>
                    </w:rPr>
                    <w:t>采样点</w:t>
                  </w:r>
                </w:p>
              </w:tc>
              <w:tc>
                <w:tcPr>
                  <w:tcW w:w="2827" w:type="dxa"/>
                  <w:tcBorders>
                    <w:tl2br w:val="nil"/>
                    <w:tr2bl w:val="nil"/>
                  </w:tcBorders>
                  <w:vAlign w:val="center"/>
                </w:tcPr>
                <w:p>
                  <w:pPr>
                    <w:pStyle w:val="146"/>
                    <w:spacing w:line="360" w:lineRule="auto"/>
                    <w:rPr>
                      <w:rFonts w:hint="eastAsia" w:eastAsia="宋体"/>
                      <w:b/>
                      <w:bCs/>
                      <w:color w:val="auto"/>
                      <w:sz w:val="21"/>
                      <w:szCs w:val="21"/>
                      <w:lang w:eastAsia="zh-CN"/>
                    </w:rPr>
                  </w:pPr>
                  <w:r>
                    <w:rPr>
                      <w:b/>
                      <w:bCs/>
                      <w:color w:val="auto"/>
                      <w:sz w:val="21"/>
                      <w:szCs w:val="21"/>
                    </w:rPr>
                    <w:t>监测</w:t>
                  </w:r>
                  <w:r>
                    <w:rPr>
                      <w:rFonts w:hint="eastAsia"/>
                      <w:b/>
                      <w:bCs/>
                      <w:color w:val="auto"/>
                      <w:sz w:val="21"/>
                      <w:szCs w:val="21"/>
                      <w:lang w:eastAsia="zh-CN"/>
                    </w:rPr>
                    <w:t>因子</w:t>
                  </w:r>
                </w:p>
              </w:tc>
              <w:tc>
                <w:tcPr>
                  <w:tcW w:w="2112" w:type="dxa"/>
                  <w:tcBorders>
                    <w:tl2br w:val="nil"/>
                    <w:tr2bl w:val="nil"/>
                  </w:tcBorders>
                  <w:vAlign w:val="center"/>
                </w:tcPr>
                <w:p>
                  <w:pPr>
                    <w:pStyle w:val="146"/>
                    <w:spacing w:line="360" w:lineRule="auto"/>
                    <w:rPr>
                      <w:rFonts w:hint="eastAsia" w:eastAsia="宋体"/>
                      <w:b/>
                      <w:bCs/>
                      <w:color w:val="auto"/>
                      <w:sz w:val="21"/>
                      <w:szCs w:val="21"/>
                      <w:lang w:eastAsia="zh-CN"/>
                    </w:rPr>
                  </w:pPr>
                  <w:r>
                    <w:rPr>
                      <w:b/>
                      <w:bCs/>
                      <w:color w:val="auto"/>
                      <w:sz w:val="21"/>
                      <w:szCs w:val="21"/>
                    </w:rPr>
                    <w:t>监测</w:t>
                  </w:r>
                  <w:r>
                    <w:rPr>
                      <w:rFonts w:hint="eastAsia"/>
                      <w:b/>
                      <w:bCs/>
                      <w:color w:val="auto"/>
                      <w:sz w:val="21"/>
                      <w:szCs w:val="21"/>
                      <w:lang w:eastAsia="zh-CN"/>
                    </w:rPr>
                    <w:t>频次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16" w:hRule="atLeast"/>
                <w:jc w:val="center"/>
              </w:trPr>
              <w:tc>
                <w:tcPr>
                  <w:tcW w:w="1139" w:type="dxa"/>
                  <w:tcBorders>
                    <w:tl2br w:val="nil"/>
                    <w:tr2bl w:val="nil"/>
                  </w:tcBorders>
                  <w:vAlign w:val="center"/>
                </w:tcPr>
                <w:p>
                  <w:pPr>
                    <w:pStyle w:val="146"/>
                    <w:spacing w:line="360" w:lineRule="auto"/>
                    <w:rPr>
                      <w:color w:val="auto"/>
                      <w:sz w:val="21"/>
                      <w:szCs w:val="21"/>
                    </w:rPr>
                  </w:pPr>
                  <w:r>
                    <w:rPr>
                      <w:color w:val="auto"/>
                      <w:sz w:val="21"/>
                      <w:szCs w:val="21"/>
                    </w:rPr>
                    <w:t>运营期</w:t>
                  </w:r>
                </w:p>
              </w:tc>
              <w:tc>
                <w:tcPr>
                  <w:tcW w:w="1082" w:type="dxa"/>
                  <w:tcBorders>
                    <w:tl2br w:val="nil"/>
                    <w:tr2bl w:val="nil"/>
                  </w:tcBorders>
                  <w:vAlign w:val="center"/>
                </w:tcPr>
                <w:p>
                  <w:pPr>
                    <w:pStyle w:val="146"/>
                    <w:spacing w:line="360" w:lineRule="auto"/>
                    <w:rPr>
                      <w:color w:val="auto"/>
                      <w:sz w:val="21"/>
                      <w:szCs w:val="21"/>
                    </w:rPr>
                  </w:pPr>
                  <w:r>
                    <w:rPr>
                      <w:color w:val="auto"/>
                      <w:sz w:val="21"/>
                      <w:szCs w:val="21"/>
                    </w:rPr>
                    <w:t>噪声</w:t>
                  </w:r>
                </w:p>
              </w:tc>
              <w:tc>
                <w:tcPr>
                  <w:tcW w:w="1293" w:type="dxa"/>
                  <w:tcBorders>
                    <w:tl2br w:val="nil"/>
                    <w:tr2bl w:val="nil"/>
                  </w:tcBorders>
                  <w:vAlign w:val="center"/>
                </w:tcPr>
                <w:p>
                  <w:pPr>
                    <w:pStyle w:val="146"/>
                    <w:spacing w:line="360" w:lineRule="auto"/>
                    <w:rPr>
                      <w:color w:val="auto"/>
                      <w:sz w:val="21"/>
                      <w:szCs w:val="21"/>
                    </w:rPr>
                  </w:pPr>
                  <w:r>
                    <w:rPr>
                      <w:color w:val="auto"/>
                      <w:sz w:val="21"/>
                      <w:szCs w:val="21"/>
                    </w:rPr>
                    <w:t>厂界四周</w:t>
                  </w:r>
                </w:p>
              </w:tc>
              <w:tc>
                <w:tcPr>
                  <w:tcW w:w="2827" w:type="dxa"/>
                  <w:tcBorders>
                    <w:tl2br w:val="nil"/>
                    <w:tr2bl w:val="nil"/>
                  </w:tcBorders>
                  <w:vAlign w:val="center"/>
                </w:tcPr>
                <w:p>
                  <w:pPr>
                    <w:pStyle w:val="146"/>
                    <w:spacing w:line="360" w:lineRule="auto"/>
                    <w:rPr>
                      <w:color w:val="auto"/>
                      <w:sz w:val="21"/>
                      <w:szCs w:val="21"/>
                    </w:rPr>
                  </w:pPr>
                  <w:r>
                    <w:rPr>
                      <w:color w:val="auto"/>
                      <w:sz w:val="21"/>
                      <w:szCs w:val="21"/>
                    </w:rPr>
                    <w:t>连续等效A声级</w:t>
                  </w:r>
                </w:p>
              </w:tc>
              <w:tc>
                <w:tcPr>
                  <w:tcW w:w="2112" w:type="dxa"/>
                  <w:tcBorders>
                    <w:tl2br w:val="nil"/>
                    <w:tr2bl w:val="nil"/>
                  </w:tcBorders>
                  <w:vAlign w:val="center"/>
                </w:tcPr>
                <w:p>
                  <w:pPr>
                    <w:pStyle w:val="146"/>
                    <w:spacing w:line="360" w:lineRule="auto"/>
                    <w:rPr>
                      <w:rFonts w:hint="default" w:eastAsia="宋体"/>
                      <w:color w:val="auto"/>
                      <w:sz w:val="21"/>
                      <w:szCs w:val="21"/>
                      <w:lang w:val="en-US" w:eastAsia="zh-CN"/>
                    </w:rPr>
                  </w:pPr>
                  <w:r>
                    <w:rPr>
                      <w:rFonts w:hint="eastAsia"/>
                      <w:color w:val="auto"/>
                      <w:sz w:val="21"/>
                      <w:szCs w:val="21"/>
                      <w:lang w:val="en-US" w:eastAsia="zh-CN"/>
                    </w:rPr>
                    <w:t>1次/季度</w:t>
                  </w:r>
                </w:p>
              </w:tc>
            </w:tr>
          </w:tbl>
          <w:p>
            <w:pPr>
              <w:pStyle w:val="34"/>
              <w:ind w:firstLine="482"/>
              <w:rPr>
                <w:color w:val="auto"/>
              </w:rPr>
            </w:pPr>
            <w:r>
              <w:rPr>
                <w:color w:val="auto"/>
              </w:rPr>
              <w:t>4</w:t>
            </w:r>
            <w:r>
              <w:rPr>
                <w:rFonts w:hint="eastAsia"/>
                <w:color w:val="auto"/>
              </w:rPr>
              <w:t>、固体废物</w:t>
            </w:r>
          </w:p>
          <w:p>
            <w:pPr>
              <w:ind w:firstLine="482"/>
              <w:rPr>
                <w:b/>
                <w:color w:val="auto"/>
              </w:rPr>
            </w:pPr>
            <w:r>
              <w:rPr>
                <w:rFonts w:hint="eastAsia"/>
                <w:b/>
                <w:color w:val="auto"/>
              </w:rPr>
              <w:t>（1）固体废物产生情况</w:t>
            </w:r>
          </w:p>
          <w:p>
            <w:pPr>
              <w:ind w:firstLine="480"/>
              <w:rPr>
                <w:color w:val="auto"/>
              </w:rPr>
            </w:pPr>
            <w:r>
              <w:rPr>
                <w:color w:val="auto"/>
              </w:rPr>
              <w:t>项目运营期产生的固体废物主要为医疗废物、废水处理站污泥及办公、生活垃圾</w:t>
            </w:r>
            <w:r>
              <w:rPr>
                <w:rFonts w:hint="eastAsia"/>
                <w:color w:val="auto"/>
              </w:rPr>
              <w:t>等</w:t>
            </w:r>
            <w:r>
              <w:rPr>
                <w:color w:val="auto"/>
                <w:szCs w:val="24"/>
              </w:rPr>
              <w:t>。</w:t>
            </w:r>
          </w:p>
          <w:p>
            <w:pPr>
              <w:pStyle w:val="28"/>
              <w:spacing w:after="0"/>
              <w:ind w:left="0" w:leftChars="0" w:firstLine="480"/>
              <w:rPr>
                <w:b/>
                <w:bCs/>
                <w:color w:val="auto"/>
                <w:sz w:val="24"/>
              </w:rPr>
            </w:pPr>
            <w:r>
              <w:rPr>
                <w:b/>
                <w:bCs/>
                <w:color w:val="auto"/>
                <w:sz w:val="24"/>
              </w:rPr>
              <w:fldChar w:fldCharType="begin"/>
            </w:r>
            <w:r>
              <w:rPr>
                <w:b/>
                <w:bCs/>
                <w:color w:val="auto"/>
                <w:sz w:val="24"/>
              </w:rPr>
              <w:instrText xml:space="preserve"> </w:instrText>
            </w:r>
            <w:r>
              <w:rPr>
                <w:rFonts w:hint="eastAsia"/>
                <w:b/>
                <w:bCs/>
                <w:color w:val="auto"/>
                <w:sz w:val="24"/>
              </w:rPr>
              <w:instrText xml:space="preserve">= 1 \* GB3</w:instrText>
            </w:r>
            <w:r>
              <w:rPr>
                <w:b/>
                <w:bCs/>
                <w:color w:val="auto"/>
                <w:sz w:val="24"/>
              </w:rPr>
              <w:instrText xml:space="preserve"> </w:instrText>
            </w:r>
            <w:r>
              <w:rPr>
                <w:b/>
                <w:bCs/>
                <w:color w:val="auto"/>
                <w:sz w:val="24"/>
              </w:rPr>
              <w:fldChar w:fldCharType="separate"/>
            </w:r>
            <w:r>
              <w:rPr>
                <w:rFonts w:hint="eastAsia"/>
                <w:b/>
                <w:bCs/>
                <w:color w:val="auto"/>
                <w:sz w:val="24"/>
              </w:rPr>
              <w:t>①</w:t>
            </w:r>
            <w:r>
              <w:rPr>
                <w:b/>
                <w:bCs/>
                <w:color w:val="auto"/>
                <w:sz w:val="24"/>
              </w:rPr>
              <w:fldChar w:fldCharType="end"/>
            </w:r>
            <w:r>
              <w:rPr>
                <w:b/>
                <w:bCs/>
                <w:color w:val="auto"/>
                <w:sz w:val="24"/>
              </w:rPr>
              <w:t>医疗废物</w:t>
            </w:r>
          </w:p>
          <w:p>
            <w:pPr>
              <w:keepNext w:val="0"/>
              <w:keepLines w:val="0"/>
              <w:widowControl/>
              <w:suppressLineNumbers w:val="0"/>
              <w:jc w:val="left"/>
              <w:rPr>
                <w:color w:val="auto"/>
              </w:rPr>
            </w:pPr>
            <w:r>
              <w:rPr>
                <w:rFonts w:hint="eastAsia"/>
                <w:color w:val="auto"/>
              </w:rPr>
              <w:t>项目医疗废物主要为废输液管、废输液袋、废针头</w:t>
            </w:r>
            <w:r>
              <w:rPr>
                <w:rFonts w:hint="eastAsia"/>
                <w:color w:val="auto"/>
                <w:lang w:eastAsia="zh-CN"/>
              </w:rPr>
              <w:t>、</w:t>
            </w:r>
            <w:r>
              <w:rPr>
                <w:rFonts w:hint="eastAsia"/>
                <w:color w:val="auto"/>
                <w:lang w:val="en-US" w:eastAsia="zh-CN"/>
              </w:rPr>
              <w:t>过期药品及病理性废物</w:t>
            </w:r>
            <w:r>
              <w:rPr>
                <w:rFonts w:hint="eastAsia"/>
                <w:color w:val="auto"/>
              </w:rPr>
              <w:t>。</w:t>
            </w:r>
          </w:p>
          <w:p>
            <w:pPr>
              <w:ind w:firstLine="480"/>
              <w:rPr>
                <w:rFonts w:hint="eastAsia"/>
                <w:color w:val="auto"/>
                <w:lang w:eastAsia="zh-CN"/>
              </w:rPr>
            </w:pPr>
            <w:r>
              <w:rPr>
                <w:color w:val="auto"/>
              </w:rPr>
              <w:t>参考《医疗废物集中焚烧处置工程建设技术规范》（HJ/T177—2005），病床的医疗废物产生量（公斤/天）=床位医疗废物产生系数（公斤/床·天）×床位数（床）×床位使用率（%）。根据第一次全国污染源普查城镇生活源产排污系数手册，医院医疗废物的产生系数为0.65kg/(床·d)，</w:t>
            </w:r>
            <w:r>
              <w:rPr>
                <w:rFonts w:hint="eastAsia"/>
                <w:color w:val="auto"/>
                <w:lang w:val="en-US" w:eastAsia="zh-CN"/>
              </w:rPr>
              <w:t>门诊</w:t>
            </w:r>
            <w:r>
              <w:rPr>
                <w:color w:val="auto"/>
              </w:rPr>
              <w:t>医疗废物的产生系数为0.</w:t>
            </w:r>
            <w:r>
              <w:rPr>
                <w:rFonts w:hint="eastAsia"/>
                <w:color w:val="auto"/>
                <w:lang w:val="en-US" w:eastAsia="zh-CN"/>
              </w:rPr>
              <w:t>02</w:t>
            </w:r>
            <w:r>
              <w:rPr>
                <w:color w:val="auto"/>
              </w:rPr>
              <w:t>kg/(</w:t>
            </w:r>
            <w:r>
              <w:rPr>
                <w:rFonts w:hint="eastAsia"/>
                <w:color w:val="auto"/>
                <w:lang w:val="en-US" w:eastAsia="zh-CN"/>
              </w:rPr>
              <w:t>人次</w:t>
            </w:r>
            <w:r>
              <w:rPr>
                <w:color w:val="auto"/>
              </w:rPr>
              <w:t>·d)，病床使用率</w:t>
            </w:r>
            <w:r>
              <w:rPr>
                <w:rFonts w:hint="eastAsia"/>
                <w:color w:val="auto"/>
                <w:lang w:val="en-US" w:eastAsia="zh-CN"/>
              </w:rPr>
              <w:t>及门诊就诊率均</w:t>
            </w:r>
            <w:r>
              <w:rPr>
                <w:color w:val="auto"/>
              </w:rPr>
              <w:t>按100%计算，则本项目病床医疗废物量为0</w:t>
            </w:r>
            <w:r>
              <w:rPr>
                <w:rFonts w:hint="eastAsia"/>
                <w:color w:val="auto"/>
              </w:rPr>
              <w:t>.65</w:t>
            </w:r>
            <w:r>
              <w:rPr>
                <w:color w:val="auto"/>
              </w:rPr>
              <w:t>×</w:t>
            </w:r>
            <w:r>
              <w:rPr>
                <w:rFonts w:hint="eastAsia"/>
                <w:color w:val="auto"/>
                <w:lang w:val="en-US" w:eastAsia="zh-CN"/>
              </w:rPr>
              <w:t>200</w:t>
            </w:r>
            <w:r>
              <w:rPr>
                <w:color w:val="auto"/>
              </w:rPr>
              <w:t>×100%=</w:t>
            </w:r>
            <w:r>
              <w:rPr>
                <w:rFonts w:hint="eastAsia"/>
                <w:color w:val="auto"/>
                <w:lang w:val="en-US" w:eastAsia="zh-CN"/>
              </w:rPr>
              <w:t>130</w:t>
            </w:r>
            <w:r>
              <w:rPr>
                <w:color w:val="auto"/>
              </w:rPr>
              <w:t>kg/d</w:t>
            </w:r>
            <w:r>
              <w:rPr>
                <w:rFonts w:hint="eastAsia"/>
                <w:color w:val="auto"/>
                <w:lang w:eastAsia="zh-CN"/>
              </w:rPr>
              <w:t>。</w:t>
            </w:r>
          </w:p>
          <w:p>
            <w:pPr>
              <w:ind w:firstLine="480"/>
              <w:rPr>
                <w:color w:val="auto"/>
              </w:rPr>
            </w:pPr>
            <w:r>
              <w:rPr>
                <w:color w:val="auto"/>
              </w:rPr>
              <w:t>门诊医疗废物产生量（公斤/天）=门诊医疗废物产生系数（公斤/人次·天）×门诊人数（人次），则本项目门诊医疗废物量=0.02×</w:t>
            </w:r>
            <w:r>
              <w:rPr>
                <w:rFonts w:hint="eastAsia"/>
                <w:color w:val="auto"/>
                <w:lang w:val="en-US" w:eastAsia="zh-CN"/>
              </w:rPr>
              <w:t>400</w:t>
            </w:r>
            <w:r>
              <w:rPr>
                <w:color w:val="auto"/>
              </w:rPr>
              <w:t>=</w:t>
            </w:r>
            <w:r>
              <w:rPr>
                <w:rFonts w:hint="eastAsia"/>
                <w:color w:val="auto"/>
                <w:lang w:val="en-US" w:eastAsia="zh-CN"/>
              </w:rPr>
              <w:t>8</w:t>
            </w:r>
            <w:r>
              <w:rPr>
                <w:color w:val="auto"/>
              </w:rPr>
              <w:t>kg/d。</w:t>
            </w:r>
          </w:p>
          <w:p>
            <w:pPr>
              <w:ind w:firstLine="480"/>
              <w:rPr>
                <w:color w:val="auto"/>
              </w:rPr>
            </w:pPr>
            <w:r>
              <w:rPr>
                <w:rFonts w:hint="eastAsia"/>
                <w:color w:val="auto"/>
                <w:lang w:val="en-US" w:eastAsia="zh-CN"/>
              </w:rPr>
              <w:t>检验废液产生量约为0.08t/d，根据《</w:t>
            </w:r>
            <w:r>
              <w:rPr>
                <w:rFonts w:hint="eastAsia"/>
                <w:color w:val="auto"/>
              </w:rPr>
              <w:t>国家危险废物名录（2021年版）</w:t>
            </w:r>
            <w:r>
              <w:rPr>
                <w:rFonts w:hint="eastAsia"/>
                <w:color w:val="auto"/>
                <w:lang w:val="en-US" w:eastAsia="zh-CN"/>
              </w:rPr>
              <w:t>》，检验废液属于医废，环评要求建设单位对检验废液采用</w:t>
            </w:r>
            <w:r>
              <w:rPr>
                <w:rFonts w:hint="eastAsia"/>
                <w:color w:val="auto"/>
              </w:rPr>
              <w:t>单独容器收集后</w:t>
            </w:r>
            <w:r>
              <w:rPr>
                <w:rFonts w:hint="eastAsia"/>
                <w:color w:val="auto"/>
                <w:lang w:val="en-US" w:eastAsia="zh-CN"/>
              </w:rPr>
              <w:t>暂存于医疗废物暂存间，委托有资质的单位定期清运处置</w:t>
            </w:r>
            <w:r>
              <w:rPr>
                <w:rFonts w:hint="eastAsia"/>
                <w:color w:val="auto"/>
              </w:rPr>
              <w:t>。</w:t>
            </w:r>
          </w:p>
          <w:p>
            <w:pPr>
              <w:pStyle w:val="67"/>
              <w:spacing w:line="360" w:lineRule="auto"/>
              <w:rPr>
                <w:color w:val="auto"/>
                <w:sz w:val="21"/>
                <w:szCs w:val="21"/>
              </w:rPr>
            </w:pPr>
            <w:r>
              <w:rPr>
                <w:rFonts w:hint="eastAsia"/>
                <w:color w:val="auto"/>
                <w:sz w:val="21"/>
                <w:szCs w:val="21"/>
              </w:rPr>
              <w:t>表4-</w:t>
            </w:r>
            <w:r>
              <w:rPr>
                <w:rFonts w:hint="eastAsia"/>
                <w:color w:val="auto"/>
                <w:sz w:val="21"/>
                <w:szCs w:val="21"/>
                <w:lang w:val="en-US" w:eastAsia="zh-CN"/>
              </w:rPr>
              <w:t>16</w:t>
            </w:r>
            <w:r>
              <w:rPr>
                <w:rFonts w:hint="eastAsia"/>
                <w:color w:val="auto"/>
                <w:sz w:val="21"/>
                <w:szCs w:val="21"/>
              </w:rPr>
              <w:t xml:space="preserve">  项目固体废物产</w:t>
            </w:r>
            <w:r>
              <w:rPr>
                <w:rFonts w:hint="eastAsia"/>
                <w:color w:val="auto"/>
                <w:sz w:val="21"/>
                <w:szCs w:val="21"/>
                <w:lang w:val="en-US" w:eastAsia="zh-CN"/>
              </w:rPr>
              <w:t>生量</w:t>
            </w:r>
            <w:r>
              <w:rPr>
                <w:rFonts w:hint="eastAsia"/>
                <w:color w:val="auto"/>
                <w:sz w:val="21"/>
                <w:szCs w:val="21"/>
              </w:rPr>
              <w:t>一览表</w:t>
            </w:r>
          </w:p>
          <w:tbl>
            <w:tblPr>
              <w:tblStyle w:val="37"/>
              <w:tblW w:w="84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0"/>
              <w:gridCol w:w="995"/>
              <w:gridCol w:w="1418"/>
              <w:gridCol w:w="982"/>
              <w:gridCol w:w="1022"/>
              <w:gridCol w:w="1079"/>
              <w:gridCol w:w="2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1595" w:type="dxa"/>
                  <w:gridSpan w:val="2"/>
                  <w:shd w:val="clear" w:color="auto" w:fill="auto"/>
                  <w:vAlign w:val="center"/>
                </w:tcPr>
                <w:p>
                  <w:pPr>
                    <w:pStyle w:val="146"/>
                    <w:spacing w:line="360" w:lineRule="auto"/>
                    <w:ind w:left="0" w:leftChars="0" w:right="0" w:rightChars="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产生</w:t>
                  </w:r>
                  <w:r>
                    <w:rPr>
                      <w:rFonts w:hint="default" w:ascii="Times New Roman" w:hAnsi="Times New Roman" w:cs="Times New Roman"/>
                      <w:b/>
                      <w:bCs/>
                      <w:color w:val="auto"/>
                      <w:sz w:val="21"/>
                      <w:szCs w:val="21"/>
                    </w:rPr>
                    <w:t>部位</w:t>
                  </w:r>
                </w:p>
              </w:tc>
              <w:tc>
                <w:tcPr>
                  <w:tcW w:w="1418" w:type="dxa"/>
                  <w:shd w:val="clear" w:color="auto" w:fill="auto"/>
                  <w:vAlign w:val="center"/>
                </w:tcPr>
                <w:p>
                  <w:pPr>
                    <w:pStyle w:val="146"/>
                    <w:spacing w:line="360" w:lineRule="auto"/>
                    <w:ind w:left="0" w:leftChars="0" w:right="0" w:rightChars="0"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val="en-US" w:eastAsia="zh-CN"/>
                    </w:rPr>
                    <w:t>产生系数</w:t>
                  </w:r>
                </w:p>
              </w:tc>
              <w:tc>
                <w:tcPr>
                  <w:tcW w:w="982" w:type="dxa"/>
                  <w:shd w:val="clear" w:color="auto" w:fill="auto"/>
                  <w:vAlign w:val="center"/>
                </w:tcPr>
                <w:p>
                  <w:pPr>
                    <w:pStyle w:val="146"/>
                    <w:spacing w:line="360" w:lineRule="auto"/>
                    <w:ind w:left="0" w:leftChars="0" w:right="0" w:rightChars="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病床</w:t>
                  </w:r>
                  <w:r>
                    <w:rPr>
                      <w:rFonts w:hint="default" w:ascii="Times New Roman" w:hAnsi="Times New Roman" w:cs="Times New Roman"/>
                      <w:b/>
                      <w:bCs/>
                      <w:color w:val="auto"/>
                      <w:sz w:val="21"/>
                      <w:szCs w:val="21"/>
                    </w:rPr>
                    <w:t>数量</w:t>
                  </w:r>
                </w:p>
              </w:tc>
              <w:tc>
                <w:tcPr>
                  <w:tcW w:w="2101" w:type="dxa"/>
                  <w:gridSpan w:val="2"/>
                  <w:shd w:val="clear" w:color="auto" w:fill="auto"/>
                  <w:vAlign w:val="center"/>
                </w:tcPr>
                <w:p>
                  <w:pPr>
                    <w:pStyle w:val="146"/>
                    <w:spacing w:line="360" w:lineRule="auto"/>
                    <w:ind w:left="0" w:leftChars="0" w:right="0" w:rightChars="0"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医疗废物产生数量</w:t>
                  </w:r>
                </w:p>
              </w:tc>
              <w:tc>
                <w:tcPr>
                  <w:tcW w:w="2395" w:type="dxa"/>
                  <w:shd w:val="clear" w:color="auto" w:fill="auto"/>
                  <w:vAlign w:val="center"/>
                </w:tcPr>
                <w:p>
                  <w:pPr>
                    <w:pStyle w:val="146"/>
                    <w:spacing w:line="360" w:lineRule="auto"/>
                    <w:ind w:left="0" w:leftChars="0" w:right="0" w:rightChars="0"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1" w:hRule="atLeast"/>
                <w:jc w:val="center"/>
              </w:trPr>
              <w:tc>
                <w:tcPr>
                  <w:tcW w:w="600" w:type="dxa"/>
                  <w:vMerge w:val="restart"/>
                  <w:shd w:val="clear" w:color="auto" w:fill="auto"/>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医疗</w:t>
                  </w:r>
                  <w:r>
                    <w:rPr>
                      <w:rFonts w:hint="default" w:ascii="Times New Roman" w:hAnsi="Times New Roman" w:cs="Times New Roman"/>
                      <w:color w:val="auto"/>
                      <w:sz w:val="21"/>
                      <w:szCs w:val="21"/>
                      <w:lang w:val="en-US" w:eastAsia="zh-CN"/>
                    </w:rPr>
                    <w:t>废物</w:t>
                  </w:r>
                </w:p>
              </w:tc>
              <w:tc>
                <w:tcPr>
                  <w:tcW w:w="995" w:type="dxa"/>
                  <w:shd w:val="clear" w:color="auto" w:fill="auto"/>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住院病床</w:t>
                  </w:r>
                </w:p>
              </w:tc>
              <w:tc>
                <w:tcPr>
                  <w:tcW w:w="1418" w:type="dxa"/>
                  <w:shd w:val="clear" w:color="auto" w:fill="auto"/>
                  <w:vAlign w:val="center"/>
                </w:tcPr>
                <w:p>
                  <w:pPr>
                    <w:pStyle w:val="146"/>
                    <w:spacing w:line="36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0.65kg/(床·d)</w:t>
                  </w:r>
                </w:p>
              </w:tc>
              <w:tc>
                <w:tcPr>
                  <w:tcW w:w="982" w:type="dxa"/>
                  <w:shd w:val="clear" w:color="auto" w:fill="auto"/>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200</w:t>
                  </w:r>
                </w:p>
              </w:tc>
              <w:tc>
                <w:tcPr>
                  <w:tcW w:w="1022" w:type="dxa"/>
                  <w:shd w:val="clear" w:color="auto" w:fill="auto"/>
                  <w:vAlign w:val="center"/>
                </w:tcPr>
                <w:p>
                  <w:pPr>
                    <w:pStyle w:val="146"/>
                    <w:spacing w:line="36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130</w:t>
                  </w:r>
                  <w:r>
                    <w:rPr>
                      <w:rFonts w:hint="default" w:ascii="Times New Roman" w:hAnsi="Times New Roman" w:cs="Times New Roman"/>
                      <w:color w:val="auto"/>
                      <w:sz w:val="21"/>
                      <w:szCs w:val="21"/>
                    </w:rPr>
                    <w:t>kg/d</w:t>
                  </w:r>
                </w:p>
              </w:tc>
              <w:tc>
                <w:tcPr>
                  <w:tcW w:w="1079" w:type="dxa"/>
                  <w:shd w:val="clear" w:color="auto" w:fill="auto"/>
                  <w:vAlign w:val="center"/>
                </w:tcPr>
                <w:p>
                  <w:pPr>
                    <w:pStyle w:val="146"/>
                    <w:spacing w:line="36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47.45t/a</w:t>
                  </w:r>
                </w:p>
              </w:tc>
              <w:tc>
                <w:tcPr>
                  <w:tcW w:w="2395" w:type="dxa"/>
                  <w:vMerge w:val="restart"/>
                  <w:shd w:val="clear" w:color="auto" w:fill="auto"/>
                  <w:vAlign w:val="center"/>
                </w:tcPr>
                <w:p>
                  <w:pPr>
                    <w:pStyle w:val="146"/>
                    <w:spacing w:line="360" w:lineRule="auto"/>
                    <w:ind w:left="0" w:leftChars="0" w:right="0" w:righ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委托有资质的医疗废物处置单位进行清运处置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6" w:hRule="atLeast"/>
                <w:jc w:val="center"/>
              </w:trPr>
              <w:tc>
                <w:tcPr>
                  <w:tcW w:w="600" w:type="dxa"/>
                  <w:vMerge w:val="continue"/>
                  <w:vAlign w:val="center"/>
                </w:tcPr>
                <w:p>
                  <w:pPr>
                    <w:pStyle w:val="146"/>
                    <w:spacing w:line="360" w:lineRule="auto"/>
                    <w:ind w:left="0" w:leftChars="0" w:right="0" w:rightChars="0" w:firstLine="0" w:firstLineChars="0"/>
                    <w:jc w:val="center"/>
                    <w:rPr>
                      <w:rFonts w:hint="default" w:ascii="Times New Roman" w:hAnsi="Times New Roman" w:cs="Times New Roman"/>
                      <w:color w:val="auto"/>
                      <w:sz w:val="21"/>
                      <w:szCs w:val="21"/>
                    </w:rPr>
                  </w:pPr>
                </w:p>
              </w:tc>
              <w:tc>
                <w:tcPr>
                  <w:tcW w:w="995" w:type="dxa"/>
                  <w:shd w:val="clear" w:color="auto" w:fill="auto"/>
                  <w:vAlign w:val="center"/>
                </w:tcPr>
                <w:p>
                  <w:pPr>
                    <w:pStyle w:val="146"/>
                    <w:spacing w:line="36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门诊</w:t>
                  </w:r>
                </w:p>
              </w:tc>
              <w:tc>
                <w:tcPr>
                  <w:tcW w:w="1418" w:type="dxa"/>
                  <w:shd w:val="clear" w:color="auto" w:fill="auto"/>
                  <w:vAlign w:val="center"/>
                </w:tcPr>
                <w:p>
                  <w:pPr>
                    <w:pStyle w:val="146"/>
                    <w:spacing w:line="36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02</w:t>
                  </w:r>
                  <w:r>
                    <w:rPr>
                      <w:rFonts w:hint="default" w:ascii="Times New Roman" w:hAnsi="Times New Roman" w:cs="Times New Roman"/>
                      <w:color w:val="auto"/>
                      <w:sz w:val="21"/>
                      <w:szCs w:val="21"/>
                    </w:rPr>
                    <w:t>kg/(</w:t>
                  </w:r>
                  <w:r>
                    <w:rPr>
                      <w:rFonts w:hint="default" w:ascii="Times New Roman" w:hAnsi="Times New Roman" w:cs="Times New Roman"/>
                      <w:color w:val="auto"/>
                      <w:sz w:val="21"/>
                      <w:szCs w:val="21"/>
                      <w:lang w:val="en-US" w:eastAsia="zh-CN"/>
                    </w:rPr>
                    <w:t>人次</w:t>
                  </w:r>
                  <w:r>
                    <w:rPr>
                      <w:rFonts w:hint="default" w:ascii="Times New Roman" w:hAnsi="Times New Roman" w:cs="Times New Roman"/>
                      <w:color w:val="auto"/>
                      <w:sz w:val="21"/>
                      <w:szCs w:val="21"/>
                    </w:rPr>
                    <w:t>·d)</w:t>
                  </w:r>
                </w:p>
              </w:tc>
              <w:tc>
                <w:tcPr>
                  <w:tcW w:w="982" w:type="dxa"/>
                  <w:shd w:val="clear" w:color="auto" w:fill="auto"/>
                  <w:vAlign w:val="center"/>
                </w:tcPr>
                <w:p>
                  <w:pPr>
                    <w:pStyle w:val="146"/>
                    <w:spacing w:line="360" w:lineRule="auto"/>
                    <w:ind w:left="0" w:leftChars="0" w:right="0" w:rightChars="0" w:firstLine="0" w:firstLineChars="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400</w:t>
                  </w:r>
                </w:p>
              </w:tc>
              <w:tc>
                <w:tcPr>
                  <w:tcW w:w="1022" w:type="dxa"/>
                  <w:shd w:val="clear" w:color="auto" w:fill="auto"/>
                  <w:vAlign w:val="center"/>
                </w:tcPr>
                <w:p>
                  <w:pPr>
                    <w:pStyle w:val="146"/>
                    <w:spacing w:line="360" w:lineRule="auto"/>
                    <w:ind w:left="0" w:leftChars="0" w:right="0" w:righ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w:t>
                  </w:r>
                  <w:r>
                    <w:rPr>
                      <w:rFonts w:hint="default" w:ascii="Times New Roman" w:hAnsi="Times New Roman" w:cs="Times New Roman"/>
                      <w:color w:val="auto"/>
                      <w:sz w:val="21"/>
                      <w:szCs w:val="21"/>
                    </w:rPr>
                    <w:t>kg/d</w:t>
                  </w:r>
                </w:p>
              </w:tc>
              <w:tc>
                <w:tcPr>
                  <w:tcW w:w="1079" w:type="dxa"/>
                  <w:shd w:val="clear" w:color="auto" w:fill="auto"/>
                  <w:vAlign w:val="center"/>
                </w:tcPr>
                <w:p>
                  <w:pPr>
                    <w:pStyle w:val="146"/>
                    <w:spacing w:line="360" w:lineRule="auto"/>
                    <w:ind w:left="0" w:leftChars="0" w:right="0" w:righ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2.92t/a</w:t>
                  </w:r>
                </w:p>
              </w:tc>
              <w:tc>
                <w:tcPr>
                  <w:tcW w:w="2395" w:type="dxa"/>
                  <w:vMerge w:val="continue"/>
                  <w:shd w:val="clear" w:color="auto" w:fill="auto"/>
                  <w:vAlign w:val="center"/>
                </w:tcPr>
                <w:p>
                  <w:pPr>
                    <w:pStyle w:val="146"/>
                    <w:spacing w:line="360" w:lineRule="auto"/>
                    <w:ind w:left="0" w:leftChars="0" w:right="0" w:rightChars="0" w:firstLine="0" w:firstLineChars="0"/>
                    <w:jc w:val="center"/>
                    <w:rPr>
                      <w:rFonts w:hint="default" w:ascii="Times New Roman" w:hAnsi="Times New Roman" w:cs="Times New Roman"/>
                      <w:color w:val="auto"/>
                      <w:sz w:val="21"/>
                      <w:szCs w:val="21"/>
                      <w:lang w:val="en-US" w:eastAsia="zh-CN"/>
                    </w:rPr>
                  </w:pPr>
                </w:p>
              </w:tc>
            </w:tr>
          </w:tbl>
          <w:p>
            <w:pPr>
              <w:keepNext w:val="0"/>
              <w:keepLines w:val="0"/>
              <w:pageBreakBefore w:val="0"/>
              <w:widowControl w:val="0"/>
              <w:kinsoku/>
              <w:wordWrap/>
              <w:overflowPunct/>
              <w:topLinePunct w:val="0"/>
              <w:autoSpaceDE/>
              <w:autoSpaceDN/>
              <w:bidi w:val="0"/>
              <w:adjustRightInd/>
              <w:snapToGrid/>
              <w:ind w:firstLine="480"/>
              <w:jc w:val="both"/>
              <w:textAlignment w:val="auto"/>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则项目医疗废物产生量为</w:t>
            </w:r>
            <w:r>
              <w:rPr>
                <w:rFonts w:hint="default" w:ascii="Times New Roman" w:hAnsi="Times New Roman" w:cs="Times New Roman" w:eastAsiaTheme="minorEastAsia"/>
                <w:color w:val="auto"/>
                <w:lang w:val="en-US" w:eastAsia="zh-CN"/>
              </w:rPr>
              <w:t>138</w:t>
            </w:r>
            <w:r>
              <w:rPr>
                <w:rFonts w:hint="default" w:ascii="Times New Roman" w:hAnsi="Times New Roman" w:cs="Times New Roman" w:eastAsiaTheme="minorEastAsia"/>
                <w:color w:val="auto"/>
              </w:rPr>
              <w:t>kg/d，约</w:t>
            </w:r>
            <w:r>
              <w:rPr>
                <w:rFonts w:hint="default" w:ascii="Times New Roman" w:hAnsi="Times New Roman" w:cs="Times New Roman" w:eastAsiaTheme="minorEastAsia"/>
                <w:color w:val="auto"/>
                <w:lang w:val="en-US" w:eastAsia="zh-CN"/>
              </w:rPr>
              <w:t>50.37</w:t>
            </w:r>
            <w:r>
              <w:rPr>
                <w:rFonts w:hint="default" w:ascii="Times New Roman" w:hAnsi="Times New Roman" w:cs="Times New Roman" w:eastAsiaTheme="minorEastAsia"/>
                <w:color w:val="auto"/>
              </w:rPr>
              <w:t>t/a。</w:t>
            </w:r>
          </w:p>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eastAsiaTheme="minorEastAsia"/>
                <w:color w:val="auto"/>
                <w:highlight w:val="yellow"/>
                <w:lang w:eastAsia="zh-CN"/>
              </w:rPr>
            </w:pPr>
            <w:r>
              <w:rPr>
                <w:rFonts w:hint="default" w:ascii="Times New Roman" w:hAnsi="Times New Roman" w:cs="Times New Roman" w:eastAsiaTheme="minorEastAsia"/>
                <w:color w:val="auto"/>
              </w:rPr>
              <w:t>根据</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rPr>
              <w:t>关于印发医疗废物分类目录（2021年版）的通知</w:t>
            </w:r>
            <w:r>
              <w:rPr>
                <w:rFonts w:hint="default" w:ascii="Times New Roman" w:hAnsi="Times New Roman" w:cs="Times New Roman" w:eastAsiaTheme="minorEastAsia"/>
                <w:color w:val="auto"/>
                <w:lang w:eastAsia="zh-CN"/>
              </w:rPr>
              <w:t>》（国卫医函〔2021〕238号）</w:t>
            </w:r>
            <w:r>
              <w:rPr>
                <w:rFonts w:hint="default" w:ascii="Times New Roman" w:hAnsi="Times New Roman" w:cs="Times New Roman" w:eastAsiaTheme="minorEastAsia"/>
                <w:color w:val="auto"/>
              </w:rPr>
              <w:t>，医疗废物分为感染性废物、病理性废物、损伤性废物、药物性废物和化学性废物五大类。</w:t>
            </w:r>
            <w:r>
              <w:rPr>
                <w:rFonts w:hint="eastAsia" w:ascii="Times New Roman" w:hAnsi="Times New Roman" w:cs="Times New Roman"/>
                <w:color w:val="auto"/>
                <w:lang w:val="en-US" w:eastAsia="zh-CN"/>
              </w:rPr>
              <w:t>本项目将产生五种医疗废物，其中感染性废物、损伤性废物、药物性废物和化学性废物，</w:t>
            </w:r>
            <w:r>
              <w:rPr>
                <w:rFonts w:hint="default" w:ascii="Times New Roman" w:hAnsi="Times New Roman" w:cs="Times New Roman" w:eastAsiaTheme="minorEastAsia"/>
                <w:color w:val="auto"/>
                <w:lang w:val="en-US" w:eastAsia="zh-CN"/>
              </w:rPr>
              <w:t>送至医疗废物暂存间</w:t>
            </w:r>
            <w:r>
              <w:rPr>
                <w:rFonts w:hint="default" w:ascii="Times New Roman" w:hAnsi="Times New Roman" w:cs="Times New Roman" w:eastAsiaTheme="minorEastAsia"/>
                <w:color w:val="auto"/>
                <w:lang w:eastAsia="zh-CN"/>
              </w:rPr>
              <w:t>委托有资质的单位</w:t>
            </w:r>
            <w:r>
              <w:rPr>
                <w:rFonts w:hint="default" w:ascii="Times New Roman" w:hAnsi="Times New Roman" w:cs="Times New Roman" w:eastAsiaTheme="minorEastAsia"/>
                <w:color w:val="auto"/>
              </w:rPr>
              <w:t>处置</w:t>
            </w:r>
            <w:r>
              <w:rPr>
                <w:rFonts w:hint="default" w:ascii="Times New Roman" w:hAnsi="Times New Roman" w:cs="Times New Roman" w:eastAsiaTheme="minorEastAsia"/>
                <w:color w:val="auto"/>
                <w:lang w:eastAsia="zh-CN"/>
              </w:rPr>
              <w:t>，病理性</w:t>
            </w:r>
            <w:r>
              <w:rPr>
                <w:rFonts w:hint="default" w:ascii="Times New Roman" w:hAnsi="Times New Roman" w:cs="Times New Roman" w:eastAsiaTheme="minorEastAsia"/>
                <w:color w:val="auto"/>
                <w:highlight w:val="none"/>
                <w:lang w:eastAsia="zh-CN"/>
              </w:rPr>
              <w:t>废物委托姚安县殡仪馆处置。</w:t>
            </w:r>
          </w:p>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eastAsia="zh-CN"/>
              </w:rPr>
              <w:t>表</w:t>
            </w:r>
            <w:r>
              <w:rPr>
                <w:rFonts w:hint="eastAsia" w:ascii="Times New Roman" w:hAnsi="Times New Roman" w:cs="Times New Roman"/>
                <w:b/>
                <w:bCs/>
                <w:color w:val="auto"/>
                <w:sz w:val="21"/>
                <w:szCs w:val="21"/>
                <w:highlight w:val="none"/>
                <w:lang w:val="en-US" w:eastAsia="zh-CN"/>
              </w:rPr>
              <w:t>4-17医疗废物收集、转运及暂存要求情况表</w:t>
            </w:r>
          </w:p>
          <w:tbl>
            <w:tblPr>
              <w:tblStyle w:val="37"/>
              <w:tblW w:w="85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8"/>
              <w:gridCol w:w="2022"/>
              <w:gridCol w:w="1267"/>
              <w:gridCol w:w="1624"/>
              <w:gridCol w:w="22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128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34" w:line="360" w:lineRule="auto"/>
                    <w:ind w:left="0" w:leftChars="0" w:right="0" w:rightChars="0" w:firstLine="0" w:firstLineChars="0"/>
                    <w:jc w:val="center"/>
                    <w:rPr>
                      <w:rFonts w:hint="eastAsia"/>
                      <w:b/>
                      <w:color w:val="auto"/>
                      <w:sz w:val="21"/>
                    </w:rPr>
                  </w:pPr>
                  <w:r>
                    <w:rPr>
                      <w:rFonts w:hint="eastAsia" w:eastAsia="宋体"/>
                      <w:b/>
                      <w:color w:val="auto"/>
                      <w:sz w:val="21"/>
                    </w:rPr>
                    <w:t>医废类别</w:t>
                  </w:r>
                </w:p>
              </w:tc>
              <w:tc>
                <w:tcPr>
                  <w:tcW w:w="202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34" w:line="360" w:lineRule="auto"/>
                    <w:ind w:left="0" w:leftChars="0" w:right="0" w:rightChars="0" w:firstLine="0" w:firstLineChars="0"/>
                    <w:jc w:val="center"/>
                    <w:rPr>
                      <w:rFonts w:hint="eastAsia"/>
                      <w:b/>
                      <w:color w:val="auto"/>
                      <w:sz w:val="21"/>
                    </w:rPr>
                  </w:pPr>
                  <w:r>
                    <w:rPr>
                      <w:rFonts w:hint="eastAsia" w:eastAsia="宋体"/>
                      <w:b/>
                      <w:color w:val="auto"/>
                      <w:sz w:val="21"/>
                    </w:rPr>
                    <w:t>分类收集</w:t>
                  </w:r>
                </w:p>
              </w:tc>
              <w:tc>
                <w:tcPr>
                  <w:tcW w:w="12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34" w:line="360" w:lineRule="auto"/>
                    <w:ind w:left="0" w:leftChars="0" w:right="0" w:rightChars="0" w:firstLine="0" w:firstLineChars="0"/>
                    <w:jc w:val="center"/>
                    <w:rPr>
                      <w:rFonts w:hint="eastAsia"/>
                      <w:b/>
                      <w:color w:val="auto"/>
                      <w:sz w:val="21"/>
                    </w:rPr>
                  </w:pPr>
                  <w:r>
                    <w:rPr>
                      <w:rFonts w:hint="eastAsia" w:eastAsia="宋体"/>
                      <w:b/>
                      <w:color w:val="auto"/>
                      <w:sz w:val="21"/>
                    </w:rPr>
                    <w:t>暂存位置</w:t>
                  </w:r>
                </w:p>
              </w:tc>
              <w:tc>
                <w:tcPr>
                  <w:tcW w:w="162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34" w:line="360" w:lineRule="auto"/>
                    <w:ind w:left="0" w:leftChars="0" w:right="0" w:rightChars="0" w:firstLine="0" w:firstLineChars="0"/>
                    <w:jc w:val="center"/>
                    <w:rPr>
                      <w:rFonts w:hint="eastAsia"/>
                      <w:b/>
                      <w:color w:val="auto"/>
                      <w:sz w:val="21"/>
                    </w:rPr>
                  </w:pPr>
                  <w:r>
                    <w:rPr>
                      <w:rFonts w:hint="eastAsia" w:eastAsia="宋体"/>
                      <w:b/>
                      <w:color w:val="auto"/>
                      <w:sz w:val="21"/>
                    </w:rPr>
                    <w:t>暂存温度</w:t>
                  </w:r>
                </w:p>
              </w:tc>
              <w:tc>
                <w:tcPr>
                  <w:tcW w:w="229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34" w:line="360" w:lineRule="auto"/>
                    <w:ind w:left="0" w:leftChars="0" w:right="0" w:rightChars="0" w:firstLine="0" w:firstLineChars="0"/>
                    <w:jc w:val="center"/>
                    <w:rPr>
                      <w:rFonts w:hint="eastAsia"/>
                      <w:b/>
                      <w:color w:val="auto"/>
                      <w:sz w:val="21"/>
                    </w:rPr>
                  </w:pPr>
                  <w:r>
                    <w:rPr>
                      <w:rFonts w:hint="eastAsia" w:eastAsia="宋体"/>
                      <w:b/>
                      <w:color w:val="auto"/>
                      <w:sz w:val="21"/>
                    </w:rPr>
                    <w:t>实际建设情况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7" w:hRule="atLeast"/>
                <w:jc w:val="center"/>
              </w:trPr>
              <w:tc>
                <w:tcPr>
                  <w:tcW w:w="128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37" w:line="360" w:lineRule="auto"/>
                    <w:ind w:left="0" w:leftChars="0" w:right="0" w:rightChars="0" w:firstLine="0" w:firstLineChars="0"/>
                    <w:jc w:val="center"/>
                    <w:rPr>
                      <w:rFonts w:hint="eastAsia"/>
                      <w:color w:val="auto"/>
                      <w:sz w:val="21"/>
                    </w:rPr>
                  </w:pPr>
                  <w:r>
                    <w:rPr>
                      <w:rFonts w:hint="eastAsia" w:eastAsia="宋体"/>
                      <w:color w:val="auto"/>
                      <w:sz w:val="21"/>
                    </w:rPr>
                    <w:t>感染性废物</w:t>
                  </w:r>
                </w:p>
              </w:tc>
              <w:tc>
                <w:tcPr>
                  <w:tcW w:w="202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 w:line="360" w:lineRule="auto"/>
                    <w:ind w:left="0" w:leftChars="0" w:right="0" w:rightChars="0" w:firstLine="0" w:firstLineChars="0"/>
                    <w:jc w:val="center"/>
                    <w:rPr>
                      <w:rFonts w:hint="eastAsia"/>
                      <w:color w:val="auto"/>
                      <w:sz w:val="21"/>
                    </w:rPr>
                  </w:pPr>
                  <w:r>
                    <w:rPr>
                      <w:rFonts w:hint="eastAsia" w:eastAsia="宋体"/>
                      <w:color w:val="auto"/>
                      <w:sz w:val="21"/>
                    </w:rPr>
                    <w:t>医废专用黄色包装</w:t>
                  </w:r>
                </w:p>
                <w:p>
                  <w:pPr>
                    <w:pStyle w:val="167"/>
                    <w:spacing w:before="4" w:line="360" w:lineRule="auto"/>
                    <w:ind w:left="0" w:leftChars="0" w:right="0" w:rightChars="0" w:firstLine="0" w:firstLineChars="0"/>
                    <w:jc w:val="center"/>
                    <w:rPr>
                      <w:rFonts w:hint="eastAsia"/>
                      <w:color w:val="auto"/>
                      <w:sz w:val="21"/>
                    </w:rPr>
                  </w:pPr>
                  <w:r>
                    <w:rPr>
                      <w:rFonts w:hint="eastAsia" w:eastAsia="宋体"/>
                      <w:color w:val="auto"/>
                      <w:sz w:val="21"/>
                    </w:rPr>
                    <w:t>袋收集，装入周转箱</w:t>
                  </w:r>
                </w:p>
              </w:tc>
              <w:tc>
                <w:tcPr>
                  <w:tcW w:w="12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37" w:line="360" w:lineRule="auto"/>
                    <w:ind w:left="0" w:leftChars="0" w:right="0" w:rightChars="0" w:firstLine="0" w:firstLineChars="0"/>
                    <w:jc w:val="center"/>
                    <w:rPr>
                      <w:rFonts w:hint="eastAsia"/>
                      <w:color w:val="auto"/>
                      <w:sz w:val="21"/>
                    </w:rPr>
                  </w:pPr>
                  <w:r>
                    <w:rPr>
                      <w:rFonts w:hint="eastAsia" w:eastAsia="宋体"/>
                      <w:color w:val="auto"/>
                      <w:sz w:val="21"/>
                    </w:rPr>
                    <w:t>感染性废物暂存区</w:t>
                  </w:r>
                </w:p>
              </w:tc>
              <w:tc>
                <w:tcPr>
                  <w:tcW w:w="162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37" w:line="360" w:lineRule="auto"/>
                    <w:ind w:left="0" w:leftChars="0" w:right="0" w:rightChars="0" w:firstLine="0" w:firstLineChars="0"/>
                    <w:jc w:val="center"/>
                    <w:rPr>
                      <w:rFonts w:hint="eastAsia"/>
                      <w:color w:val="auto"/>
                      <w:sz w:val="21"/>
                    </w:rPr>
                  </w:pPr>
                  <w:r>
                    <w:rPr>
                      <w:rFonts w:hint="eastAsia"/>
                      <w:color w:val="auto"/>
                      <w:sz w:val="21"/>
                    </w:rPr>
                    <w:t>&lt;20℃</w:t>
                  </w:r>
                </w:p>
              </w:tc>
              <w:tc>
                <w:tcPr>
                  <w:tcW w:w="2299"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37" w:line="360" w:lineRule="auto"/>
                    <w:ind w:left="0" w:leftChars="0" w:right="0" w:rightChars="0" w:firstLine="0" w:firstLineChars="0"/>
                    <w:jc w:val="center"/>
                    <w:rPr>
                      <w:rFonts w:hint="eastAsia"/>
                      <w:color w:val="auto"/>
                      <w:sz w:val="21"/>
                    </w:rPr>
                  </w:pPr>
                  <w:r>
                    <w:rPr>
                      <w:rFonts w:hint="eastAsia" w:eastAsia="宋体"/>
                      <w:color w:val="auto"/>
                      <w:sz w:val="21"/>
                    </w:rPr>
                    <w:t>委托</w:t>
                  </w:r>
                  <w:r>
                    <w:rPr>
                      <w:rFonts w:hint="eastAsia" w:eastAsia="宋体"/>
                      <w:color w:val="auto"/>
                      <w:sz w:val="21"/>
                      <w:lang w:eastAsia="zh-CN"/>
                    </w:rPr>
                    <w:t>有资质的单位</w:t>
                  </w:r>
                  <w:r>
                    <w:rPr>
                      <w:rFonts w:hint="eastAsia" w:eastAsia="宋体"/>
                      <w:color w:val="auto"/>
                      <w:sz w:val="21"/>
                    </w:rPr>
                    <w:t>清运处置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jc w:val="center"/>
              </w:trPr>
              <w:tc>
                <w:tcPr>
                  <w:tcW w:w="128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38" w:line="360" w:lineRule="auto"/>
                    <w:ind w:left="0" w:leftChars="0" w:right="0" w:rightChars="0" w:firstLine="0" w:firstLineChars="0"/>
                    <w:jc w:val="center"/>
                    <w:rPr>
                      <w:rFonts w:hint="eastAsia"/>
                      <w:color w:val="auto"/>
                      <w:sz w:val="21"/>
                    </w:rPr>
                  </w:pPr>
                  <w:r>
                    <w:rPr>
                      <w:rFonts w:hint="eastAsia" w:eastAsia="宋体"/>
                      <w:color w:val="auto"/>
                      <w:sz w:val="21"/>
                    </w:rPr>
                    <w:t>损伤性废物</w:t>
                  </w:r>
                </w:p>
              </w:tc>
              <w:tc>
                <w:tcPr>
                  <w:tcW w:w="202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 w:line="360" w:lineRule="auto"/>
                    <w:ind w:left="0" w:leftChars="0" w:right="0" w:rightChars="0" w:firstLine="0" w:firstLineChars="0"/>
                    <w:jc w:val="center"/>
                    <w:rPr>
                      <w:rFonts w:hint="eastAsia"/>
                      <w:color w:val="auto"/>
                      <w:sz w:val="21"/>
                    </w:rPr>
                  </w:pPr>
                  <w:r>
                    <w:rPr>
                      <w:rFonts w:hint="eastAsia" w:eastAsia="宋体"/>
                      <w:color w:val="auto"/>
                      <w:sz w:val="21"/>
                    </w:rPr>
                    <w:t>医废专用黄色利器</w:t>
                  </w:r>
                </w:p>
                <w:p>
                  <w:pPr>
                    <w:pStyle w:val="167"/>
                    <w:spacing w:before="4" w:line="360" w:lineRule="auto"/>
                    <w:ind w:left="0" w:leftChars="0" w:right="0" w:rightChars="0" w:firstLine="0" w:firstLineChars="0"/>
                    <w:jc w:val="center"/>
                    <w:rPr>
                      <w:rFonts w:hint="eastAsia"/>
                      <w:color w:val="auto"/>
                      <w:sz w:val="21"/>
                    </w:rPr>
                  </w:pPr>
                  <w:r>
                    <w:rPr>
                      <w:rFonts w:hint="eastAsia" w:eastAsia="宋体"/>
                      <w:color w:val="auto"/>
                      <w:sz w:val="21"/>
                    </w:rPr>
                    <w:t>盒收集，装入周转箱</w:t>
                  </w:r>
                </w:p>
              </w:tc>
              <w:tc>
                <w:tcPr>
                  <w:tcW w:w="12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38" w:line="360" w:lineRule="auto"/>
                    <w:ind w:left="0" w:leftChars="0" w:right="0" w:rightChars="0" w:firstLine="0" w:firstLineChars="0"/>
                    <w:jc w:val="center"/>
                    <w:rPr>
                      <w:rFonts w:hint="eastAsia"/>
                      <w:color w:val="auto"/>
                      <w:sz w:val="21"/>
                    </w:rPr>
                  </w:pPr>
                  <w:r>
                    <w:rPr>
                      <w:rFonts w:hint="eastAsia" w:eastAsia="宋体"/>
                      <w:color w:val="auto"/>
                      <w:sz w:val="21"/>
                    </w:rPr>
                    <w:t>损伤性废物暂存区</w:t>
                  </w:r>
                </w:p>
              </w:tc>
              <w:tc>
                <w:tcPr>
                  <w:tcW w:w="162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38" w:line="360" w:lineRule="auto"/>
                    <w:ind w:left="0" w:leftChars="0" w:right="0" w:rightChars="0" w:firstLine="0" w:firstLineChars="0"/>
                    <w:jc w:val="center"/>
                    <w:rPr>
                      <w:rFonts w:hint="eastAsia"/>
                      <w:color w:val="auto"/>
                      <w:sz w:val="21"/>
                    </w:rPr>
                  </w:pPr>
                  <w:r>
                    <w:rPr>
                      <w:rFonts w:hint="eastAsia"/>
                      <w:color w:val="auto"/>
                      <w:sz w:val="21"/>
                    </w:rPr>
                    <w:t>&lt;20℃</w:t>
                  </w:r>
                </w:p>
              </w:tc>
              <w:tc>
                <w:tcPr>
                  <w:tcW w:w="2299"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38" w:line="360" w:lineRule="auto"/>
                    <w:ind w:left="0" w:leftChars="0" w:right="0" w:rightChars="0" w:firstLine="0" w:firstLineChars="0"/>
                    <w:jc w:val="center"/>
                    <w:rPr>
                      <w:rFonts w:hint="eastAsia"/>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7" w:hRule="atLeast"/>
                <w:jc w:val="center"/>
              </w:trPr>
              <w:tc>
                <w:tcPr>
                  <w:tcW w:w="128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37" w:line="360" w:lineRule="auto"/>
                    <w:ind w:left="0" w:leftChars="0" w:right="0" w:rightChars="0" w:firstLine="0" w:firstLineChars="0"/>
                    <w:jc w:val="center"/>
                    <w:rPr>
                      <w:rFonts w:hint="eastAsia"/>
                      <w:color w:val="auto"/>
                      <w:sz w:val="21"/>
                    </w:rPr>
                  </w:pPr>
                  <w:r>
                    <w:rPr>
                      <w:rFonts w:hint="eastAsia" w:eastAsia="宋体"/>
                      <w:color w:val="auto"/>
                      <w:sz w:val="21"/>
                    </w:rPr>
                    <w:t>病理性废物</w:t>
                  </w:r>
                </w:p>
              </w:tc>
              <w:tc>
                <w:tcPr>
                  <w:tcW w:w="202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 w:line="360" w:lineRule="auto"/>
                    <w:ind w:left="0" w:leftChars="0" w:right="0" w:rightChars="0" w:firstLine="0" w:firstLineChars="0"/>
                    <w:jc w:val="center"/>
                    <w:rPr>
                      <w:rFonts w:hint="eastAsia"/>
                      <w:color w:val="auto"/>
                      <w:sz w:val="21"/>
                    </w:rPr>
                  </w:pPr>
                  <w:r>
                    <w:rPr>
                      <w:rFonts w:hint="eastAsia" w:eastAsia="宋体"/>
                      <w:color w:val="auto"/>
                      <w:sz w:val="21"/>
                    </w:rPr>
                    <w:t>医废专用红色包装</w:t>
                  </w:r>
                </w:p>
                <w:p>
                  <w:pPr>
                    <w:pStyle w:val="167"/>
                    <w:spacing w:before="4" w:line="360" w:lineRule="auto"/>
                    <w:ind w:left="0" w:leftChars="0" w:right="0" w:rightChars="0" w:firstLine="0" w:firstLineChars="0"/>
                    <w:jc w:val="center"/>
                    <w:rPr>
                      <w:rFonts w:hint="eastAsia" w:eastAsia="宋体"/>
                      <w:color w:val="auto"/>
                      <w:sz w:val="21"/>
                      <w:lang w:eastAsia="zh-CN"/>
                    </w:rPr>
                  </w:pPr>
                  <w:r>
                    <w:rPr>
                      <w:rFonts w:hint="eastAsia" w:eastAsia="宋体"/>
                      <w:color w:val="auto"/>
                      <w:sz w:val="21"/>
                    </w:rPr>
                    <w:t>袋收集，装入周转箱</w:t>
                  </w:r>
                  <w:r>
                    <w:rPr>
                      <w:rFonts w:hint="eastAsia" w:eastAsia="宋体"/>
                      <w:color w:val="auto"/>
                      <w:sz w:val="21"/>
                      <w:lang w:eastAsia="zh-CN"/>
                    </w:rPr>
                    <w:t>。或暂存于冰箱</w:t>
                  </w:r>
                </w:p>
              </w:tc>
              <w:tc>
                <w:tcPr>
                  <w:tcW w:w="12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37" w:line="360" w:lineRule="auto"/>
                    <w:ind w:left="0" w:leftChars="0" w:right="0" w:rightChars="0" w:firstLine="0" w:firstLineChars="0"/>
                    <w:jc w:val="center"/>
                    <w:rPr>
                      <w:rFonts w:hint="eastAsia"/>
                      <w:color w:val="auto"/>
                      <w:sz w:val="21"/>
                    </w:rPr>
                  </w:pPr>
                  <w:r>
                    <w:rPr>
                      <w:rFonts w:hint="eastAsia" w:eastAsia="宋体"/>
                      <w:color w:val="auto"/>
                      <w:sz w:val="21"/>
                    </w:rPr>
                    <w:t>病理性废物暂存区</w:t>
                  </w:r>
                </w:p>
              </w:tc>
              <w:tc>
                <w:tcPr>
                  <w:tcW w:w="162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37" w:line="360" w:lineRule="auto"/>
                    <w:ind w:left="0" w:leftChars="0" w:right="0" w:rightChars="0" w:firstLine="0" w:firstLineChars="0"/>
                    <w:jc w:val="center"/>
                    <w:rPr>
                      <w:rFonts w:hint="eastAsia"/>
                      <w:color w:val="auto"/>
                      <w:sz w:val="21"/>
                    </w:rPr>
                  </w:pPr>
                  <w:r>
                    <w:rPr>
                      <w:rFonts w:hint="eastAsia"/>
                      <w:color w:val="auto"/>
                      <w:sz w:val="21"/>
                    </w:rPr>
                    <w:t>-4℃</w:t>
                  </w:r>
                </w:p>
              </w:tc>
              <w:tc>
                <w:tcPr>
                  <w:tcW w:w="229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37" w:line="360" w:lineRule="auto"/>
                    <w:ind w:left="0" w:leftChars="0" w:right="0" w:rightChars="0" w:firstLine="0" w:firstLineChars="0"/>
                    <w:jc w:val="center"/>
                    <w:rPr>
                      <w:rFonts w:hint="eastAsia" w:eastAsia="宋体"/>
                      <w:color w:val="auto"/>
                      <w:sz w:val="21"/>
                    </w:rPr>
                  </w:pPr>
                  <w:r>
                    <w:rPr>
                      <w:rFonts w:hint="eastAsia" w:eastAsia="宋体"/>
                      <w:color w:val="auto"/>
                      <w:sz w:val="21"/>
                    </w:rPr>
                    <w:t>委托姚安县殡仪馆处置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7" w:hRule="atLeast"/>
                <w:jc w:val="center"/>
              </w:trPr>
              <w:tc>
                <w:tcPr>
                  <w:tcW w:w="128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37" w:line="360" w:lineRule="auto"/>
                    <w:ind w:left="0" w:leftChars="0" w:right="0" w:rightChars="0" w:firstLine="0" w:firstLineChars="0"/>
                    <w:jc w:val="center"/>
                    <w:rPr>
                      <w:rFonts w:hint="eastAsia"/>
                      <w:color w:val="auto"/>
                      <w:sz w:val="21"/>
                    </w:rPr>
                  </w:pPr>
                  <w:r>
                    <w:rPr>
                      <w:rFonts w:hint="eastAsia" w:eastAsia="宋体"/>
                      <w:color w:val="auto"/>
                      <w:sz w:val="21"/>
                    </w:rPr>
                    <w:t>化学性废物</w:t>
                  </w:r>
                </w:p>
              </w:tc>
              <w:tc>
                <w:tcPr>
                  <w:tcW w:w="202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 w:line="360" w:lineRule="auto"/>
                    <w:ind w:left="0" w:leftChars="0" w:right="0" w:rightChars="0" w:firstLine="0" w:firstLineChars="0"/>
                    <w:jc w:val="center"/>
                    <w:rPr>
                      <w:rFonts w:hint="eastAsia"/>
                      <w:color w:val="auto"/>
                      <w:sz w:val="21"/>
                    </w:rPr>
                  </w:pPr>
                  <w:r>
                    <w:rPr>
                      <w:rFonts w:hint="eastAsia" w:eastAsia="宋体"/>
                      <w:color w:val="auto"/>
                      <w:sz w:val="21"/>
                    </w:rPr>
                    <w:t>医废专用红色包装</w:t>
                  </w:r>
                </w:p>
                <w:p>
                  <w:pPr>
                    <w:pStyle w:val="167"/>
                    <w:spacing w:before="4" w:line="360" w:lineRule="auto"/>
                    <w:ind w:left="0" w:leftChars="0" w:right="0" w:rightChars="0" w:firstLine="0" w:firstLineChars="0"/>
                    <w:jc w:val="center"/>
                    <w:rPr>
                      <w:rFonts w:hint="eastAsia"/>
                      <w:color w:val="auto"/>
                      <w:sz w:val="21"/>
                    </w:rPr>
                  </w:pPr>
                  <w:r>
                    <w:rPr>
                      <w:rFonts w:hint="eastAsia" w:eastAsia="宋体"/>
                      <w:color w:val="auto"/>
                      <w:sz w:val="21"/>
                    </w:rPr>
                    <w:t>袋收集，装入周转箱</w:t>
                  </w:r>
                </w:p>
              </w:tc>
              <w:tc>
                <w:tcPr>
                  <w:tcW w:w="12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37" w:line="360" w:lineRule="auto"/>
                    <w:ind w:left="0" w:leftChars="0" w:right="0" w:rightChars="0" w:firstLine="0" w:firstLineChars="0"/>
                    <w:jc w:val="center"/>
                    <w:rPr>
                      <w:rFonts w:hint="eastAsia"/>
                      <w:color w:val="auto"/>
                      <w:sz w:val="21"/>
                    </w:rPr>
                  </w:pPr>
                  <w:r>
                    <w:rPr>
                      <w:rFonts w:hint="eastAsia" w:eastAsia="宋体"/>
                      <w:color w:val="auto"/>
                      <w:sz w:val="21"/>
                    </w:rPr>
                    <w:t>化学性废物暂存区</w:t>
                  </w:r>
                </w:p>
              </w:tc>
              <w:tc>
                <w:tcPr>
                  <w:tcW w:w="162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37" w:line="360" w:lineRule="auto"/>
                    <w:ind w:left="0" w:leftChars="0" w:right="0" w:rightChars="0" w:firstLine="0" w:firstLineChars="0"/>
                    <w:jc w:val="center"/>
                    <w:rPr>
                      <w:rFonts w:hint="eastAsia"/>
                      <w:color w:val="auto"/>
                      <w:sz w:val="21"/>
                    </w:rPr>
                  </w:pPr>
                  <w:r>
                    <w:rPr>
                      <w:rFonts w:hint="eastAsia"/>
                      <w:color w:val="auto"/>
                      <w:sz w:val="21"/>
                    </w:rPr>
                    <w:t>&lt;20℃</w:t>
                  </w:r>
                </w:p>
              </w:tc>
              <w:tc>
                <w:tcPr>
                  <w:tcW w:w="2299"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38" w:line="360" w:lineRule="auto"/>
                    <w:ind w:left="0" w:leftChars="0" w:right="0" w:rightChars="0" w:firstLine="0" w:firstLineChars="0"/>
                    <w:jc w:val="center"/>
                    <w:rPr>
                      <w:rFonts w:hint="eastAsia" w:eastAsia="宋体"/>
                      <w:color w:val="auto"/>
                      <w:sz w:val="21"/>
                    </w:rPr>
                  </w:pPr>
                  <w:r>
                    <w:rPr>
                      <w:rFonts w:hint="eastAsia" w:eastAsia="宋体"/>
                      <w:color w:val="auto"/>
                      <w:sz w:val="21"/>
                    </w:rPr>
                    <w:t>委托有资质的单位清运处置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08" w:hRule="atLeast"/>
                <w:jc w:val="center"/>
              </w:trPr>
              <w:tc>
                <w:tcPr>
                  <w:tcW w:w="128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38" w:line="360" w:lineRule="auto"/>
                    <w:ind w:left="0" w:leftChars="0" w:right="0" w:rightChars="0" w:firstLine="0" w:firstLineChars="0"/>
                    <w:jc w:val="center"/>
                    <w:rPr>
                      <w:rFonts w:hint="eastAsia"/>
                      <w:color w:val="auto"/>
                      <w:sz w:val="21"/>
                    </w:rPr>
                  </w:pPr>
                  <w:r>
                    <w:rPr>
                      <w:rFonts w:hint="eastAsia" w:eastAsia="宋体"/>
                      <w:color w:val="auto"/>
                      <w:sz w:val="21"/>
                    </w:rPr>
                    <w:t>药物性废物</w:t>
                  </w:r>
                </w:p>
              </w:tc>
              <w:tc>
                <w:tcPr>
                  <w:tcW w:w="202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3" w:line="360" w:lineRule="auto"/>
                    <w:ind w:left="0" w:leftChars="0" w:right="0" w:rightChars="0" w:firstLine="0" w:firstLineChars="0"/>
                    <w:jc w:val="center"/>
                    <w:rPr>
                      <w:rFonts w:hint="eastAsia"/>
                      <w:color w:val="auto"/>
                      <w:sz w:val="21"/>
                    </w:rPr>
                  </w:pPr>
                  <w:r>
                    <w:rPr>
                      <w:rFonts w:hint="eastAsia" w:eastAsia="宋体"/>
                      <w:color w:val="auto"/>
                      <w:sz w:val="21"/>
                    </w:rPr>
                    <w:t>医废专用红色包装袋收集，装入周转箱</w:t>
                  </w:r>
                </w:p>
              </w:tc>
              <w:tc>
                <w:tcPr>
                  <w:tcW w:w="126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38" w:line="360" w:lineRule="auto"/>
                    <w:ind w:left="0" w:leftChars="0" w:right="0" w:rightChars="0" w:firstLine="0" w:firstLineChars="0"/>
                    <w:jc w:val="center"/>
                    <w:rPr>
                      <w:rFonts w:hint="eastAsia"/>
                      <w:color w:val="auto"/>
                      <w:sz w:val="21"/>
                    </w:rPr>
                  </w:pPr>
                  <w:r>
                    <w:rPr>
                      <w:rFonts w:hint="eastAsia" w:eastAsia="宋体"/>
                      <w:color w:val="auto"/>
                      <w:sz w:val="21"/>
                    </w:rPr>
                    <w:t>药物性废物暂存区</w:t>
                  </w:r>
                </w:p>
              </w:tc>
              <w:tc>
                <w:tcPr>
                  <w:tcW w:w="162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38" w:line="360" w:lineRule="auto"/>
                    <w:ind w:left="0" w:leftChars="0" w:right="0" w:rightChars="0" w:firstLine="0" w:firstLineChars="0"/>
                    <w:jc w:val="center"/>
                    <w:rPr>
                      <w:rFonts w:hint="eastAsia"/>
                      <w:color w:val="auto"/>
                      <w:sz w:val="21"/>
                    </w:rPr>
                  </w:pPr>
                  <w:r>
                    <w:rPr>
                      <w:rFonts w:hint="eastAsia"/>
                      <w:color w:val="auto"/>
                      <w:sz w:val="21"/>
                    </w:rPr>
                    <w:t>&lt;20℃</w:t>
                  </w:r>
                </w:p>
              </w:tc>
              <w:tc>
                <w:tcPr>
                  <w:tcW w:w="2299"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167"/>
                    <w:spacing w:before="138" w:line="360" w:lineRule="auto"/>
                    <w:ind w:left="0" w:leftChars="0" w:right="0" w:rightChars="0" w:firstLine="0" w:firstLineChars="0"/>
                    <w:jc w:val="center"/>
                    <w:rPr>
                      <w:rFonts w:hint="eastAsia"/>
                      <w:color w:val="auto"/>
                      <w:sz w:val="21"/>
                    </w:rPr>
                  </w:pPr>
                </w:p>
              </w:tc>
            </w:tr>
          </w:tbl>
          <w:p>
            <w:pPr>
              <w:ind w:firstLine="480"/>
              <w:jc w:val="both"/>
              <w:rPr>
                <w:rFonts w:hint="default" w:ascii="Times New Roman" w:hAnsi="Times New Roman" w:cs="Times New Roman"/>
                <w:b/>
                <w:bCs/>
                <w:color w:val="auto"/>
              </w:rPr>
            </w:pP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 2 \* GB3 </w:instrText>
            </w:r>
            <w:r>
              <w:rPr>
                <w:rFonts w:hint="default" w:ascii="Times New Roman" w:hAnsi="Times New Roman" w:cs="Times New Roman"/>
                <w:b/>
                <w:bCs/>
                <w:color w:val="auto"/>
              </w:rPr>
              <w:fldChar w:fldCharType="separate"/>
            </w:r>
            <w:r>
              <w:rPr>
                <w:rFonts w:hint="default" w:ascii="Times New Roman" w:hAnsi="Times New Roman" w:cs="Times New Roman"/>
                <w:b/>
                <w:bCs/>
                <w:color w:val="auto"/>
              </w:rPr>
              <w:t>②</w:t>
            </w:r>
            <w:r>
              <w:rPr>
                <w:rFonts w:hint="default" w:ascii="Times New Roman" w:hAnsi="Times New Roman" w:cs="Times New Roman"/>
                <w:b/>
                <w:bCs/>
                <w:color w:val="auto"/>
              </w:rPr>
              <w:fldChar w:fldCharType="end"/>
            </w:r>
            <w:r>
              <w:rPr>
                <w:rFonts w:hint="default" w:ascii="Times New Roman" w:hAnsi="Times New Roman" w:cs="Times New Roman"/>
                <w:b/>
                <w:bCs/>
                <w:color w:val="auto"/>
              </w:rPr>
              <w:t>办公、生活垃圾</w:t>
            </w:r>
          </w:p>
          <w:p>
            <w:pPr>
              <w:ind w:firstLine="480"/>
              <w:jc w:val="both"/>
              <w:rPr>
                <w:rFonts w:hint="default" w:ascii="Times New Roman" w:hAnsi="Times New Roman" w:cs="Times New Roman"/>
                <w:color w:val="auto"/>
              </w:rPr>
            </w:pPr>
            <w:r>
              <w:rPr>
                <w:rFonts w:hint="default" w:ascii="Times New Roman" w:hAnsi="Times New Roman" w:cs="Times New Roman"/>
                <w:color w:val="auto"/>
              </w:rPr>
              <w:t>本项目共有职工</w:t>
            </w:r>
            <w:r>
              <w:rPr>
                <w:rFonts w:hint="default" w:ascii="Times New Roman" w:hAnsi="Times New Roman" w:cs="Times New Roman"/>
                <w:color w:val="auto"/>
                <w:lang w:val="en-US" w:eastAsia="zh-CN"/>
              </w:rPr>
              <w:t>55</w:t>
            </w:r>
            <w:r>
              <w:rPr>
                <w:rFonts w:hint="default" w:ascii="Times New Roman" w:hAnsi="Times New Roman" w:cs="Times New Roman"/>
                <w:color w:val="auto"/>
              </w:rPr>
              <w:t>名，接诊</w:t>
            </w:r>
            <w:r>
              <w:rPr>
                <w:rFonts w:hint="default" w:ascii="Times New Roman" w:hAnsi="Times New Roman" w:cs="Times New Roman"/>
                <w:color w:val="auto"/>
                <w:lang w:val="en-US" w:eastAsia="zh-CN"/>
              </w:rPr>
              <w:t>400</w:t>
            </w:r>
            <w:r>
              <w:rPr>
                <w:rFonts w:hint="default" w:ascii="Times New Roman" w:hAnsi="Times New Roman" w:cs="Times New Roman"/>
                <w:color w:val="auto"/>
              </w:rPr>
              <w:t>余次</w:t>
            </w:r>
            <w:r>
              <w:rPr>
                <w:rFonts w:hint="default" w:ascii="Times New Roman" w:hAnsi="Times New Roman" w:cs="Times New Roman"/>
                <w:color w:val="auto"/>
                <w:lang w:val="en-US" w:eastAsia="zh-CN"/>
              </w:rPr>
              <w:t>/天</w:t>
            </w:r>
            <w:r>
              <w:rPr>
                <w:rFonts w:hint="default" w:ascii="Times New Roman" w:hAnsi="Times New Roman" w:cs="Times New Roman"/>
                <w:color w:val="auto"/>
              </w:rPr>
              <w:t>，住院</w:t>
            </w:r>
            <w:r>
              <w:rPr>
                <w:rFonts w:hint="default" w:ascii="Times New Roman" w:hAnsi="Times New Roman" w:cs="Times New Roman"/>
                <w:color w:val="auto"/>
                <w:lang w:val="en-US" w:eastAsia="zh-CN"/>
              </w:rPr>
              <w:t>2</w:t>
            </w:r>
            <w:r>
              <w:rPr>
                <w:rFonts w:hint="default" w:ascii="Times New Roman" w:hAnsi="Times New Roman" w:cs="Times New Roman"/>
                <w:color w:val="auto"/>
              </w:rPr>
              <w:t>00余人次。职工及住院人员生活垃圾产生量按1kg/人•d计，门诊就诊人员生活垃圾产生量按0.2kg/人次计，则项目生活垃圾产生量约</w:t>
            </w:r>
            <w:r>
              <w:rPr>
                <w:rFonts w:hint="default" w:ascii="Times New Roman" w:hAnsi="Times New Roman" w:cs="Times New Roman"/>
                <w:color w:val="auto"/>
                <w:lang w:val="en-US" w:eastAsia="zh-CN"/>
              </w:rPr>
              <w:t>335</w:t>
            </w:r>
            <w:r>
              <w:rPr>
                <w:rFonts w:hint="default" w:ascii="Times New Roman" w:hAnsi="Times New Roman" w:cs="Times New Roman"/>
                <w:color w:val="auto"/>
              </w:rPr>
              <w:t>kg/d，合年产生量约</w:t>
            </w:r>
            <w:r>
              <w:rPr>
                <w:rFonts w:hint="default" w:ascii="Times New Roman" w:hAnsi="Times New Roman" w:cs="Times New Roman"/>
                <w:color w:val="auto"/>
                <w:lang w:val="en-US" w:eastAsia="zh-CN"/>
              </w:rPr>
              <w:t>122.275</w:t>
            </w:r>
            <w:r>
              <w:rPr>
                <w:rFonts w:hint="default" w:ascii="Times New Roman" w:hAnsi="Times New Roman" w:cs="Times New Roman"/>
                <w:color w:val="auto"/>
              </w:rPr>
              <w:t>t/a。</w:t>
            </w:r>
          </w:p>
          <w:p>
            <w:pPr>
              <w:ind w:firstLine="480"/>
              <w:jc w:val="both"/>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项目</w:t>
            </w:r>
            <w:r>
              <w:rPr>
                <w:rFonts w:hint="eastAsia" w:eastAsia="宋体" w:cs="Times New Roman"/>
                <w:color w:val="auto"/>
                <w:szCs w:val="24"/>
                <w:lang w:eastAsia="zh-CN"/>
              </w:rPr>
              <w:t>产生的</w:t>
            </w:r>
            <w:r>
              <w:rPr>
                <w:rFonts w:hint="default" w:ascii="Times New Roman" w:hAnsi="Times New Roman" w:eastAsia="宋体" w:cs="Times New Roman"/>
                <w:color w:val="auto"/>
                <w:szCs w:val="24"/>
              </w:rPr>
              <w:t>生活垃圾</w:t>
            </w:r>
            <w:r>
              <w:rPr>
                <w:rFonts w:hint="eastAsia" w:eastAsia="宋体" w:cs="Times New Roman"/>
                <w:color w:val="auto"/>
                <w:szCs w:val="24"/>
                <w:lang w:eastAsia="zh-CN"/>
              </w:rPr>
              <w:t>由</w:t>
            </w:r>
            <w:r>
              <w:rPr>
                <w:rFonts w:hint="default" w:ascii="Times New Roman" w:hAnsi="Times New Roman" w:eastAsia="宋体" w:cs="Times New Roman"/>
                <w:color w:val="auto"/>
                <w:szCs w:val="24"/>
              </w:rPr>
              <w:t>内部保洁员每天清理收集后运至垃圾</w:t>
            </w:r>
            <w:r>
              <w:rPr>
                <w:rFonts w:hint="eastAsia" w:eastAsia="宋体" w:cs="Times New Roman"/>
                <w:color w:val="auto"/>
                <w:szCs w:val="24"/>
                <w:lang w:eastAsia="zh-CN"/>
              </w:rPr>
              <w:t>房</w:t>
            </w:r>
            <w:r>
              <w:rPr>
                <w:rFonts w:hint="default" w:ascii="Times New Roman" w:hAnsi="Times New Roman" w:eastAsia="宋体" w:cs="Times New Roman"/>
                <w:color w:val="auto"/>
                <w:szCs w:val="24"/>
              </w:rPr>
              <w:t>，由</w:t>
            </w:r>
            <w:r>
              <w:rPr>
                <w:rFonts w:hint="eastAsia" w:eastAsia="宋体" w:cs="Times New Roman"/>
                <w:color w:val="auto"/>
                <w:szCs w:val="24"/>
                <w:lang w:eastAsia="zh-CN"/>
              </w:rPr>
              <w:t>当地</w:t>
            </w:r>
            <w:r>
              <w:rPr>
                <w:rFonts w:hint="default" w:ascii="Times New Roman" w:hAnsi="Times New Roman" w:eastAsia="宋体" w:cs="Times New Roman"/>
                <w:color w:val="auto"/>
                <w:szCs w:val="24"/>
              </w:rPr>
              <w:t>环卫部门清运处置。</w:t>
            </w:r>
          </w:p>
          <w:p>
            <w:pPr>
              <w:ind w:firstLine="480"/>
              <w:jc w:val="both"/>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fldChar w:fldCharType="begin"/>
            </w:r>
            <w:r>
              <w:rPr>
                <w:rFonts w:hint="default" w:ascii="Times New Roman" w:hAnsi="Times New Roman" w:cs="Times New Roman"/>
                <w:b/>
                <w:bCs/>
                <w:color w:val="auto"/>
                <w:highlight w:val="none"/>
              </w:rPr>
              <w:instrText xml:space="preserve"> = 3 \* GB3 </w:instrText>
            </w:r>
            <w:r>
              <w:rPr>
                <w:rFonts w:hint="default" w:ascii="Times New Roman" w:hAnsi="Times New Roman" w:cs="Times New Roman"/>
                <w:b/>
                <w:bCs/>
                <w:color w:val="auto"/>
                <w:highlight w:val="none"/>
              </w:rPr>
              <w:fldChar w:fldCharType="separate"/>
            </w:r>
            <w:r>
              <w:rPr>
                <w:rFonts w:hint="default" w:ascii="Times New Roman" w:hAnsi="Times New Roman" w:cs="Times New Roman"/>
                <w:b/>
                <w:bCs/>
                <w:color w:val="auto"/>
                <w:highlight w:val="none"/>
              </w:rPr>
              <w:t>③</w:t>
            </w:r>
            <w:r>
              <w:rPr>
                <w:rFonts w:hint="default" w:ascii="Times New Roman" w:hAnsi="Times New Roman" w:cs="Times New Roman"/>
                <w:b/>
                <w:bCs/>
                <w:color w:val="auto"/>
                <w:highlight w:val="none"/>
              </w:rPr>
              <w:fldChar w:fldCharType="end"/>
            </w:r>
            <w:r>
              <w:rPr>
                <w:rFonts w:hint="default" w:ascii="Times New Roman" w:hAnsi="Times New Roman" w:cs="Times New Roman"/>
                <w:b/>
                <w:bCs/>
                <w:color w:val="auto"/>
                <w:highlight w:val="none"/>
              </w:rPr>
              <w:t>污水处理污泥</w:t>
            </w:r>
          </w:p>
          <w:p>
            <w:pPr>
              <w:ind w:firstLine="480"/>
              <w:jc w:val="both"/>
              <w:rPr>
                <w:rFonts w:eastAsia="宋体" w:cs="Times New Roman"/>
                <w:color w:val="auto"/>
                <w:spacing w:val="-6"/>
                <w:kern w:val="0"/>
                <w:szCs w:val="24"/>
                <w:highlight w:val="none"/>
              </w:rPr>
            </w:pPr>
            <w:r>
              <w:rPr>
                <w:rFonts w:hint="default" w:ascii="Times New Roman" w:hAnsi="Times New Roman" w:cs="Times New Roman"/>
                <w:color w:val="auto"/>
                <w:highlight w:val="none"/>
              </w:rPr>
              <w:t>医疗单位废水处理污泥，由医院废水处理设施产生，也属于医疗废物。本项目</w:t>
            </w:r>
            <w:r>
              <w:rPr>
                <w:rFonts w:hint="default" w:ascii="Times New Roman" w:hAnsi="Times New Roman" w:eastAsia="宋体" w:cs="Times New Roman"/>
                <w:color w:val="auto"/>
                <w:highlight w:val="none"/>
              </w:rPr>
              <w:t>医院废水产生量约为</w:t>
            </w:r>
            <w:r>
              <w:rPr>
                <w:rFonts w:hint="eastAsia" w:eastAsia="宋体" w:cs="Times New Roman"/>
                <w:color w:val="auto"/>
                <w:highlight w:val="none"/>
                <w:lang w:val="en-US" w:eastAsia="zh-CN"/>
              </w:rPr>
              <w:t>17782.8</w:t>
            </w:r>
            <w:r>
              <w:rPr>
                <w:rFonts w:hint="default" w:ascii="Times New Roman" w:hAnsi="Times New Roman" w:eastAsia="宋体" w:cs="Times New Roman"/>
                <w:color w:val="auto"/>
                <w:highlight w:val="none"/>
              </w:rPr>
              <w:t>t/a，污泥产生量按废水量的0.2%计，则污泥的产生量约</w:t>
            </w:r>
            <w:r>
              <w:rPr>
                <w:rFonts w:hint="default" w:ascii="Times New Roman" w:hAnsi="Times New Roman" w:eastAsia="宋体" w:cs="Times New Roman"/>
                <w:color w:val="auto"/>
                <w:highlight w:val="none"/>
                <w:lang w:val="en-US" w:eastAsia="zh-CN"/>
              </w:rPr>
              <w:t>35.5</w:t>
            </w:r>
            <w:r>
              <w:rPr>
                <w:rFonts w:hint="eastAsia" w:eastAsia="宋体" w:cs="Times New Roman"/>
                <w:color w:val="auto"/>
                <w:highlight w:val="none"/>
                <w:lang w:val="en-US" w:eastAsia="zh-CN"/>
              </w:rPr>
              <w:t>6</w:t>
            </w:r>
            <w:r>
              <w:rPr>
                <w:rFonts w:hint="default" w:ascii="Times New Roman" w:hAnsi="Times New Roman" w:eastAsia="宋体" w:cs="Times New Roman"/>
                <w:color w:val="auto"/>
                <w:highlight w:val="none"/>
              </w:rPr>
              <w:t>t/a</w:t>
            </w:r>
            <w:r>
              <w:rPr>
                <w:rFonts w:hint="default" w:ascii="Times New Roman" w:hAnsi="Times New Roman" w:cs="Times New Roman"/>
                <w:color w:val="auto"/>
                <w:highlight w:val="none"/>
                <w:lang w:eastAsia="zh-CN"/>
              </w:rPr>
              <w:t>，根据《国家危险废物名录》（2021年版）可知，化粪池和污水处理站污泥未纳入危废管理名录，处置方式为投加消毒剂消毒后委托环卫部门清运处置，清理频率为1次/季度。</w:t>
            </w:r>
          </w:p>
          <w:p>
            <w:pPr>
              <w:ind w:firstLine="482"/>
              <w:rPr>
                <w:b/>
                <w:color w:val="auto"/>
              </w:rPr>
            </w:pPr>
            <w:r>
              <w:rPr>
                <w:rFonts w:hint="eastAsia"/>
                <w:b/>
                <w:color w:val="auto"/>
              </w:rPr>
              <w:t>（2）处置去向及管理要求</w:t>
            </w:r>
          </w:p>
          <w:p>
            <w:pPr>
              <w:ind w:firstLine="480"/>
              <w:jc w:val="left"/>
              <w:rPr>
                <w:rFonts w:eastAsia="宋体" w:cs="Times New Roman"/>
                <w:color w:val="auto"/>
                <w:szCs w:val="24"/>
              </w:rPr>
            </w:pPr>
            <w:r>
              <w:rPr>
                <w:rFonts w:eastAsia="宋体" w:cs="Times New Roman"/>
                <w:color w:val="auto"/>
                <w:szCs w:val="24"/>
              </w:rPr>
              <w:fldChar w:fldCharType="begin"/>
            </w:r>
            <w:r>
              <w:rPr>
                <w:rFonts w:eastAsia="宋体" w:cs="Times New Roman"/>
                <w:color w:val="auto"/>
                <w:szCs w:val="24"/>
              </w:rPr>
              <w:instrText xml:space="preserve"> </w:instrText>
            </w:r>
            <w:r>
              <w:rPr>
                <w:rFonts w:hint="eastAsia" w:eastAsia="宋体" w:cs="Times New Roman"/>
                <w:color w:val="auto"/>
                <w:szCs w:val="24"/>
              </w:rPr>
              <w:instrText xml:space="preserve">= 1 \* GB3</w:instrText>
            </w:r>
            <w:r>
              <w:rPr>
                <w:rFonts w:eastAsia="宋体" w:cs="Times New Roman"/>
                <w:color w:val="auto"/>
                <w:szCs w:val="24"/>
              </w:rPr>
              <w:instrText xml:space="preserve"> </w:instrText>
            </w:r>
            <w:r>
              <w:rPr>
                <w:rFonts w:eastAsia="宋体" w:cs="Times New Roman"/>
                <w:color w:val="auto"/>
                <w:szCs w:val="24"/>
              </w:rPr>
              <w:fldChar w:fldCharType="separate"/>
            </w:r>
            <w:r>
              <w:rPr>
                <w:rFonts w:hint="eastAsia" w:eastAsia="宋体" w:cs="Times New Roman"/>
                <w:color w:val="auto"/>
                <w:szCs w:val="24"/>
              </w:rPr>
              <w:t>①</w:t>
            </w:r>
            <w:r>
              <w:rPr>
                <w:rFonts w:eastAsia="宋体" w:cs="Times New Roman"/>
                <w:color w:val="auto"/>
                <w:szCs w:val="24"/>
              </w:rPr>
              <w:fldChar w:fldCharType="end"/>
            </w:r>
            <w:r>
              <w:rPr>
                <w:rFonts w:hint="eastAsia" w:eastAsia="宋体" w:cs="Times New Roman"/>
                <w:color w:val="auto"/>
                <w:szCs w:val="24"/>
              </w:rPr>
              <w:t>生活垃圾</w:t>
            </w:r>
          </w:p>
          <w:p>
            <w:pPr>
              <w:ind w:firstLine="480"/>
              <w:jc w:val="left"/>
              <w:rPr>
                <w:rFonts w:eastAsia="宋体" w:cs="Times New Roman"/>
                <w:color w:val="auto"/>
                <w:szCs w:val="24"/>
              </w:rPr>
            </w:pPr>
            <w:r>
              <w:rPr>
                <w:rFonts w:hint="eastAsia" w:eastAsia="宋体" w:cs="Times New Roman"/>
                <w:color w:val="auto"/>
                <w:szCs w:val="24"/>
              </w:rPr>
              <w:t>生活垃圾经分类收集后可回收部分回收利用，不可回收部分收集于垃圾收集桶内，委托当地环卫部门定期清运处置，对周围环境影响不大。</w:t>
            </w:r>
          </w:p>
          <w:p>
            <w:pPr>
              <w:ind w:firstLine="480"/>
              <w:rPr>
                <w:color w:val="auto"/>
              </w:rPr>
            </w:pPr>
            <w:r>
              <w:rPr>
                <w:color w:val="auto"/>
              </w:rPr>
              <w:fldChar w:fldCharType="begin"/>
            </w:r>
            <w:r>
              <w:rPr>
                <w:color w:val="auto"/>
              </w:rPr>
              <w:instrText xml:space="preserve"> </w:instrText>
            </w:r>
            <w:r>
              <w:rPr>
                <w:rFonts w:hint="eastAsia"/>
                <w:color w:val="auto"/>
              </w:rPr>
              <w:instrText xml:space="preserve">= 2 \* GB3</w:instrText>
            </w:r>
            <w:r>
              <w:rPr>
                <w:color w:val="auto"/>
              </w:rPr>
              <w:instrText xml:space="preserve"> </w:instrText>
            </w:r>
            <w:r>
              <w:rPr>
                <w:color w:val="auto"/>
              </w:rPr>
              <w:fldChar w:fldCharType="separate"/>
            </w:r>
            <w:r>
              <w:rPr>
                <w:rFonts w:hint="eastAsia"/>
                <w:color w:val="auto"/>
              </w:rPr>
              <w:t>②</w:t>
            </w:r>
            <w:r>
              <w:rPr>
                <w:color w:val="auto"/>
              </w:rPr>
              <w:fldChar w:fldCharType="end"/>
            </w:r>
            <w:r>
              <w:rPr>
                <w:rFonts w:hint="eastAsia"/>
                <w:color w:val="auto"/>
              </w:rPr>
              <w:t>医疗废物</w:t>
            </w:r>
          </w:p>
          <w:p>
            <w:pPr>
              <w:ind w:firstLine="480"/>
              <w:rPr>
                <w:color w:val="auto"/>
              </w:rPr>
            </w:pPr>
            <w:r>
              <w:rPr>
                <w:rFonts w:hint="eastAsia"/>
                <w:color w:val="auto"/>
              </w:rPr>
              <w:t>按照《国家危险废物名录》的分类，医疗废物为危险废物（编号HW01），应严格按照《医疗废物管理条例》要求，对其收集、运送、贮存、处理处置过程统一监督管理，必须由具有相应资质的处置单位进行清运集中处置。</w:t>
            </w:r>
          </w:p>
          <w:p>
            <w:pPr>
              <w:ind w:firstLine="480"/>
              <w:rPr>
                <w:color w:val="auto"/>
              </w:rPr>
            </w:pPr>
            <w:r>
              <w:rPr>
                <w:rFonts w:hint="eastAsia"/>
                <w:color w:val="auto"/>
              </w:rPr>
              <w:t>项目建设一座</w:t>
            </w:r>
            <w:r>
              <w:rPr>
                <w:rFonts w:hint="eastAsia"/>
                <w:color w:val="auto"/>
                <w:lang w:val="en-US" w:eastAsia="zh-CN"/>
              </w:rPr>
              <w:t>75.6</w:t>
            </w:r>
            <w:r>
              <w:rPr>
                <w:rFonts w:hint="eastAsia"/>
                <w:color w:val="auto"/>
              </w:rPr>
              <w:t>m</w:t>
            </w:r>
            <w:r>
              <w:rPr>
                <w:rFonts w:hint="eastAsia"/>
                <w:color w:val="auto"/>
                <w:vertAlign w:val="superscript"/>
              </w:rPr>
              <w:t>2</w:t>
            </w:r>
            <w:r>
              <w:rPr>
                <w:rFonts w:hint="eastAsia"/>
                <w:color w:val="auto"/>
              </w:rPr>
              <w:t>的医疗废物暂存间，分类收集后</w:t>
            </w:r>
            <w:r>
              <w:rPr>
                <w:rFonts w:hint="eastAsia"/>
                <w:color w:val="auto"/>
                <w:lang w:eastAsia="zh-CN"/>
              </w:rPr>
              <w:t>委托有资质的单位</w:t>
            </w:r>
            <w:r>
              <w:rPr>
                <w:rFonts w:hint="eastAsia"/>
                <w:color w:val="auto"/>
              </w:rPr>
              <w:t>清运并处置。项目医疗废物得到规范处置对环境影响较小。</w:t>
            </w:r>
          </w:p>
          <w:p>
            <w:pPr>
              <w:ind w:firstLine="480"/>
              <w:rPr>
                <w:color w:val="auto"/>
              </w:rPr>
            </w:pPr>
            <w:r>
              <w:rPr>
                <w:rFonts w:hint="eastAsia"/>
                <w:color w:val="auto"/>
              </w:rPr>
              <w:t>根据《危险废物贮存污染控制标准》危废暂存间应达到以下要求：</w:t>
            </w:r>
          </w:p>
          <w:p>
            <w:pPr>
              <w:widowControl/>
              <w:ind w:firstLine="480"/>
              <w:jc w:val="left"/>
              <w:rPr>
                <w:rFonts w:ascii="宋体" w:hAnsi="宋体" w:eastAsia="宋体" w:cs="宋体"/>
                <w:color w:val="auto"/>
                <w:kern w:val="0"/>
                <w:szCs w:val="24"/>
                <w:lang w:bidi="ar"/>
              </w:rPr>
            </w:pPr>
            <w:r>
              <w:rPr>
                <w:rFonts w:hint="eastAsia" w:ascii="宋体" w:hAnsi="宋体" w:eastAsia="宋体" w:cs="宋体"/>
                <w:color w:val="auto"/>
                <w:kern w:val="0"/>
                <w:szCs w:val="24"/>
                <w:lang w:bidi="ar"/>
              </w:rPr>
              <w:t>a、远离医疗区、人员活动区和生活垃圾存放场所，方便医疗废物运送人员及运送工具、车辆的出入；</w:t>
            </w:r>
          </w:p>
          <w:p>
            <w:pPr>
              <w:widowControl/>
              <w:ind w:firstLine="480"/>
              <w:jc w:val="left"/>
              <w:rPr>
                <w:rFonts w:ascii="宋体" w:hAnsi="宋体" w:eastAsia="宋体" w:cs="宋体"/>
                <w:color w:val="auto"/>
                <w:kern w:val="0"/>
                <w:szCs w:val="24"/>
                <w:lang w:bidi="ar"/>
              </w:rPr>
            </w:pPr>
            <w:r>
              <w:rPr>
                <w:rFonts w:hint="eastAsia" w:ascii="宋体" w:hAnsi="宋体" w:eastAsia="宋体" w:cs="宋体"/>
                <w:color w:val="auto"/>
                <w:kern w:val="0"/>
                <w:szCs w:val="24"/>
                <w:lang w:bidi="ar"/>
              </w:rPr>
              <w:t>b、有严密的封闭措施，设专（兼）职人员管理，防止非工作人员接触医疗废物；有防鼠、防蚊蝇、防蟑螂的安全措施；防止渗漏和雨水冲刷；易于清洁和消毒；避免阳光直射；</w:t>
            </w:r>
          </w:p>
          <w:p>
            <w:pPr>
              <w:widowControl/>
              <w:ind w:firstLine="480"/>
              <w:jc w:val="left"/>
              <w:rPr>
                <w:rFonts w:ascii="宋体" w:hAnsi="宋体" w:eastAsia="宋体" w:cs="宋体"/>
                <w:color w:val="auto"/>
                <w:kern w:val="0"/>
                <w:szCs w:val="24"/>
                <w:lang w:bidi="ar"/>
              </w:rPr>
            </w:pPr>
            <w:r>
              <w:rPr>
                <w:rFonts w:hint="eastAsia" w:ascii="宋体" w:hAnsi="宋体" w:eastAsia="宋体" w:cs="宋体"/>
                <w:color w:val="auto"/>
                <w:kern w:val="0"/>
                <w:szCs w:val="24"/>
                <w:lang w:bidi="ar"/>
              </w:rPr>
              <w:t>c、设有明显的医疗废物警示标识和“禁止吸烟、饮食”的警示标识；</w:t>
            </w:r>
          </w:p>
          <w:p>
            <w:pPr>
              <w:widowControl/>
              <w:ind w:firstLine="480"/>
              <w:jc w:val="left"/>
              <w:rPr>
                <w:rFonts w:ascii="宋体" w:hAnsi="宋体" w:eastAsia="宋体" w:cs="宋体"/>
                <w:color w:val="auto"/>
                <w:kern w:val="0"/>
                <w:szCs w:val="24"/>
                <w:lang w:bidi="ar"/>
              </w:rPr>
            </w:pPr>
            <w:r>
              <w:rPr>
                <w:rFonts w:hint="eastAsia" w:ascii="宋体" w:hAnsi="宋体" w:eastAsia="宋体" w:cs="宋体"/>
                <w:color w:val="auto"/>
                <w:kern w:val="0"/>
                <w:szCs w:val="24"/>
                <w:lang w:bidi="ar"/>
              </w:rPr>
              <w:t>d、暂时贮存病理性废物，应当具备低温贮存或者防腐条件。对于感染性废料和锐利废物，其贮存地应有“生物危险”标志和进入管理限制，且应位于产生废物地点附近。同时感染性废物和锐利废物的贮存应满足以下要求：</w:t>
            </w:r>
          </w:p>
          <w:p>
            <w:pPr>
              <w:widowControl/>
              <w:ind w:firstLine="480"/>
              <w:jc w:val="left"/>
              <w:rPr>
                <w:rFonts w:ascii="宋体" w:hAnsi="宋体" w:eastAsia="宋体" w:cs="宋体"/>
                <w:color w:val="auto"/>
                <w:kern w:val="0"/>
                <w:szCs w:val="24"/>
                <w:lang w:bidi="ar"/>
              </w:rPr>
            </w:pPr>
            <w:r>
              <w:rPr>
                <w:rFonts w:hint="eastAsia" w:ascii="宋体" w:hAnsi="宋体" w:eastAsia="宋体" w:cs="宋体"/>
                <w:color w:val="auto"/>
                <w:kern w:val="0"/>
                <w:szCs w:val="24"/>
                <w:lang w:bidi="ar"/>
              </w:rPr>
              <w:t>e、保证包装内容物不暴露于空气和受潮；</w:t>
            </w:r>
          </w:p>
          <w:p>
            <w:pPr>
              <w:widowControl/>
              <w:ind w:firstLine="480"/>
              <w:jc w:val="left"/>
              <w:rPr>
                <w:rFonts w:ascii="宋体" w:hAnsi="宋体" w:eastAsia="宋体" w:cs="宋体"/>
                <w:color w:val="auto"/>
                <w:kern w:val="0"/>
                <w:szCs w:val="24"/>
                <w:lang w:bidi="ar"/>
              </w:rPr>
            </w:pPr>
            <w:r>
              <w:rPr>
                <w:rFonts w:hint="eastAsia" w:ascii="宋体" w:hAnsi="宋体" w:eastAsia="宋体" w:cs="宋体"/>
                <w:color w:val="auto"/>
                <w:kern w:val="0"/>
                <w:szCs w:val="24"/>
                <w:lang w:bidi="ar"/>
              </w:rPr>
              <w:t>f、保存温度及时间应使保存物无腐败发生，必要时，可用低温保存，以防微生物生长和产生异味；</w:t>
            </w:r>
          </w:p>
          <w:p>
            <w:pPr>
              <w:widowControl/>
              <w:ind w:firstLine="480"/>
              <w:jc w:val="left"/>
              <w:rPr>
                <w:rFonts w:ascii="宋体" w:hAnsi="宋体" w:eastAsia="宋体" w:cs="宋体"/>
                <w:color w:val="auto"/>
                <w:kern w:val="0"/>
                <w:szCs w:val="24"/>
                <w:lang w:bidi="ar"/>
              </w:rPr>
            </w:pPr>
            <w:r>
              <w:rPr>
                <w:rFonts w:hint="eastAsia" w:ascii="宋体" w:hAnsi="宋体" w:eastAsia="宋体" w:cs="宋体"/>
                <w:color w:val="auto"/>
                <w:kern w:val="0"/>
                <w:szCs w:val="24"/>
                <w:lang w:bidi="ar"/>
              </w:rPr>
              <w:t>g、贮存地及包装应确保内容物不成为鼠类或其它生物的食物来源；</w:t>
            </w:r>
          </w:p>
          <w:p>
            <w:pPr>
              <w:widowControl/>
              <w:ind w:firstLine="480"/>
              <w:jc w:val="left"/>
              <w:rPr>
                <w:rFonts w:ascii="宋体" w:hAnsi="宋体" w:eastAsia="宋体" w:cs="宋体"/>
                <w:color w:val="auto"/>
                <w:kern w:val="0"/>
                <w:szCs w:val="24"/>
                <w:lang w:bidi="ar"/>
              </w:rPr>
            </w:pPr>
            <w:r>
              <w:rPr>
                <w:rFonts w:hint="eastAsia" w:ascii="宋体" w:hAnsi="宋体" w:eastAsia="宋体" w:cs="宋体"/>
                <w:color w:val="auto"/>
                <w:kern w:val="0"/>
                <w:szCs w:val="24"/>
                <w:lang w:bidi="ar"/>
              </w:rPr>
              <w:t>h、贮存地不得对公众开放。</w:t>
            </w:r>
          </w:p>
          <w:p>
            <w:pPr>
              <w:widowControl/>
              <w:ind w:firstLine="480"/>
              <w:jc w:val="left"/>
              <w:rPr>
                <w:rFonts w:ascii="宋体" w:hAnsi="宋体" w:eastAsia="宋体" w:cs="宋体"/>
                <w:color w:val="auto"/>
                <w:kern w:val="0"/>
                <w:szCs w:val="24"/>
                <w:lang w:bidi="ar"/>
              </w:rPr>
            </w:pPr>
            <w:r>
              <w:rPr>
                <w:rFonts w:hint="eastAsia" w:ascii="宋体" w:hAnsi="宋体" w:eastAsia="宋体" w:cs="宋体"/>
                <w:color w:val="auto"/>
                <w:kern w:val="0"/>
                <w:szCs w:val="24"/>
                <w:lang w:bidi="ar"/>
              </w:rPr>
              <w:t>医疗废物转交出去后，应当对暂时贮存地点、设施及时进行清洁和消毒处理。</w:t>
            </w:r>
          </w:p>
          <w:p>
            <w:pPr>
              <w:widowControl/>
              <w:ind w:firstLine="480"/>
              <w:jc w:val="left"/>
              <w:rPr>
                <w:rFonts w:eastAsia="宋体" w:cs="Times New Roman"/>
                <w:b/>
                <w:color w:val="auto"/>
                <w:szCs w:val="24"/>
              </w:rPr>
            </w:pPr>
            <w:r>
              <w:rPr>
                <w:rFonts w:hint="eastAsia" w:ascii="宋体" w:hAnsi="宋体" w:eastAsia="宋体" w:cs="宋体"/>
                <w:color w:val="auto"/>
                <w:kern w:val="0"/>
                <w:szCs w:val="24"/>
                <w:lang w:bidi="ar"/>
              </w:rPr>
              <w:t>对于医疗固体废物，禁止将其在非收集、非暂时贮存地点倾倒、堆放；禁止将医疗废物混入其它废物和生活垃圾。</w:t>
            </w:r>
          </w:p>
          <w:p>
            <w:pPr>
              <w:ind w:firstLine="480"/>
              <w:rPr>
                <w:color w:val="auto"/>
              </w:rPr>
            </w:pPr>
            <w:r>
              <w:rPr>
                <w:rFonts w:hint="eastAsia"/>
                <w:color w:val="auto"/>
              </w:rPr>
              <w:t>按规范填写危险固体废弃物转移联单，建立</w:t>
            </w:r>
            <w:r>
              <w:rPr>
                <w:rFonts w:hint="eastAsia"/>
                <w:color w:val="auto"/>
                <w:lang w:eastAsia="zh-CN"/>
              </w:rPr>
              <w:t>医疗</w:t>
            </w:r>
            <w:r>
              <w:rPr>
                <w:rFonts w:hint="eastAsia"/>
                <w:color w:val="auto"/>
              </w:rPr>
              <w:t>废弃物管理台</w:t>
            </w:r>
            <w:r>
              <w:rPr>
                <w:rFonts w:hint="eastAsia"/>
                <w:color w:val="auto"/>
                <w:lang w:eastAsia="zh-CN"/>
              </w:rPr>
              <w:t>账</w:t>
            </w:r>
            <w:r>
              <w:rPr>
                <w:rFonts w:hint="eastAsia"/>
                <w:color w:val="auto"/>
              </w:rPr>
              <w:t>制度</w:t>
            </w:r>
            <w:r>
              <w:rPr>
                <w:rFonts w:hint="eastAsia"/>
                <w:color w:val="auto"/>
                <w:lang w:eastAsia="zh-CN"/>
              </w:rPr>
              <w:t>，</w:t>
            </w:r>
            <w:r>
              <w:rPr>
                <w:rFonts w:hint="eastAsia" w:eastAsia="宋体" w:cs="Times New Roman"/>
                <w:color w:val="auto"/>
                <w:spacing w:val="-6"/>
                <w:kern w:val="0"/>
                <w:szCs w:val="24"/>
              </w:rPr>
              <w:t>完善</w:t>
            </w:r>
            <w:r>
              <w:rPr>
                <w:rFonts w:hint="eastAsia" w:eastAsia="宋体" w:cs="Times New Roman"/>
                <w:color w:val="auto"/>
                <w:spacing w:val="-6"/>
                <w:kern w:val="0"/>
                <w:szCs w:val="24"/>
                <w:lang w:eastAsia="zh-CN"/>
              </w:rPr>
              <w:t>医疗</w:t>
            </w:r>
            <w:r>
              <w:rPr>
                <w:rFonts w:hint="eastAsia" w:eastAsia="宋体" w:cs="Times New Roman"/>
                <w:color w:val="auto"/>
                <w:spacing w:val="-6"/>
                <w:kern w:val="0"/>
                <w:szCs w:val="24"/>
              </w:rPr>
              <w:t>废物收集、转移台账记录。</w:t>
            </w:r>
          </w:p>
          <w:p>
            <w:pPr>
              <w:pStyle w:val="67"/>
              <w:spacing w:line="360" w:lineRule="auto"/>
              <w:rPr>
                <w:color w:val="auto"/>
                <w:sz w:val="21"/>
                <w:szCs w:val="21"/>
              </w:rPr>
            </w:pPr>
            <w:r>
              <w:rPr>
                <w:rFonts w:hint="eastAsia"/>
                <w:color w:val="auto"/>
                <w:sz w:val="21"/>
                <w:szCs w:val="21"/>
              </w:rPr>
              <w:t>表4-</w:t>
            </w:r>
            <w:r>
              <w:rPr>
                <w:rFonts w:hint="eastAsia"/>
                <w:color w:val="auto"/>
                <w:sz w:val="21"/>
                <w:szCs w:val="21"/>
                <w:lang w:val="en-US" w:eastAsia="zh-CN"/>
              </w:rPr>
              <w:t>18</w:t>
            </w:r>
            <w:r>
              <w:rPr>
                <w:rFonts w:hint="eastAsia"/>
                <w:color w:val="auto"/>
                <w:sz w:val="21"/>
                <w:szCs w:val="21"/>
              </w:rPr>
              <w:t xml:space="preserve"> 项目固体废物产</w:t>
            </w:r>
            <w:r>
              <w:rPr>
                <w:rFonts w:hint="eastAsia"/>
                <w:color w:val="auto"/>
                <w:sz w:val="21"/>
                <w:szCs w:val="21"/>
                <w:lang w:val="en-US" w:eastAsia="zh-CN"/>
              </w:rPr>
              <w:t>生量</w:t>
            </w:r>
            <w:r>
              <w:rPr>
                <w:rFonts w:hint="eastAsia"/>
                <w:color w:val="auto"/>
                <w:sz w:val="21"/>
                <w:szCs w:val="21"/>
              </w:rPr>
              <w:t>一览表</w:t>
            </w:r>
          </w:p>
          <w:tbl>
            <w:tblPr>
              <w:tblStyle w:val="38"/>
              <w:tblW w:w="8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2916"/>
              <w:gridCol w:w="2063"/>
              <w:gridCol w:w="2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85"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0" w:firstLineChars="0"/>
                    <w:jc w:val="center"/>
                    <w:textAlignment w:val="auto"/>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产污环节</w:t>
                  </w:r>
                </w:p>
              </w:tc>
              <w:tc>
                <w:tcPr>
                  <w:tcW w:w="2916"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eastAsia="宋体"/>
                      <w:b/>
                      <w:bCs/>
                      <w:color w:val="auto"/>
                      <w:sz w:val="21"/>
                      <w:szCs w:val="21"/>
                      <w:vertAlign w:val="baseline"/>
                      <w:lang w:val="en-US" w:eastAsia="zh-CN"/>
                    </w:rPr>
                  </w:pPr>
                  <w:r>
                    <w:rPr>
                      <w:rFonts w:hint="eastAsia"/>
                      <w:b/>
                      <w:bCs/>
                      <w:color w:val="auto"/>
                      <w:sz w:val="21"/>
                      <w:szCs w:val="21"/>
                      <w:vertAlign w:val="baseline"/>
                      <w:lang w:val="en-US" w:eastAsia="zh-CN"/>
                    </w:rPr>
                    <w:t>病人就诊过程</w:t>
                  </w:r>
                </w:p>
              </w:tc>
              <w:tc>
                <w:tcPr>
                  <w:tcW w:w="2063"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eastAsia="宋体"/>
                      <w:b/>
                      <w:bCs/>
                      <w:color w:val="auto"/>
                      <w:sz w:val="21"/>
                      <w:szCs w:val="21"/>
                      <w:vertAlign w:val="baseline"/>
                      <w:lang w:val="en-US" w:eastAsia="zh-CN"/>
                    </w:rPr>
                  </w:pPr>
                  <w:r>
                    <w:rPr>
                      <w:rFonts w:hint="eastAsia"/>
                      <w:b/>
                      <w:bCs/>
                      <w:color w:val="auto"/>
                      <w:sz w:val="21"/>
                      <w:szCs w:val="21"/>
                      <w:vertAlign w:val="baseline"/>
                      <w:lang w:val="en-US" w:eastAsia="zh-CN"/>
                    </w:rPr>
                    <w:t>废水处理</w:t>
                  </w:r>
                </w:p>
              </w:tc>
              <w:tc>
                <w:tcPr>
                  <w:tcW w:w="2154"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eastAsia="宋体"/>
                      <w:b/>
                      <w:bCs/>
                      <w:color w:val="auto"/>
                      <w:sz w:val="21"/>
                      <w:szCs w:val="21"/>
                      <w:vertAlign w:val="baseline"/>
                      <w:lang w:val="en-US" w:eastAsia="zh-CN"/>
                    </w:rPr>
                  </w:pPr>
                  <w:r>
                    <w:rPr>
                      <w:rFonts w:hint="eastAsia"/>
                      <w:b/>
                      <w:bCs/>
                      <w:color w:val="auto"/>
                      <w:sz w:val="21"/>
                      <w:szCs w:val="21"/>
                      <w:vertAlign w:val="baseline"/>
                      <w:lang w:val="en-US" w:eastAsia="zh-CN"/>
                    </w:rPr>
                    <w:t>员工生活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85"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eastAsia="宋体"/>
                      <w:b/>
                      <w:bCs/>
                      <w:color w:val="auto"/>
                      <w:sz w:val="21"/>
                      <w:szCs w:val="21"/>
                      <w:vertAlign w:val="baseline"/>
                      <w:lang w:val="en-US" w:eastAsia="zh-CN"/>
                    </w:rPr>
                  </w:pPr>
                  <w:r>
                    <w:rPr>
                      <w:rFonts w:hint="eastAsia"/>
                      <w:b/>
                      <w:bCs/>
                      <w:color w:val="auto"/>
                      <w:sz w:val="21"/>
                      <w:szCs w:val="21"/>
                      <w:vertAlign w:val="baseline"/>
                      <w:lang w:val="en-US" w:eastAsia="zh-CN"/>
                    </w:rPr>
                    <w:t>名称</w:t>
                  </w:r>
                </w:p>
              </w:tc>
              <w:tc>
                <w:tcPr>
                  <w:tcW w:w="2916"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医疗废物</w:t>
                  </w:r>
                </w:p>
              </w:tc>
              <w:tc>
                <w:tcPr>
                  <w:tcW w:w="2063"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污泥</w:t>
                  </w:r>
                </w:p>
              </w:tc>
              <w:tc>
                <w:tcPr>
                  <w:tcW w:w="2154"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85"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eastAsia="宋体"/>
                      <w:b/>
                      <w:bCs/>
                      <w:color w:val="auto"/>
                      <w:sz w:val="21"/>
                      <w:szCs w:val="21"/>
                      <w:vertAlign w:val="baseline"/>
                      <w:lang w:val="en-US" w:eastAsia="zh-CN"/>
                    </w:rPr>
                  </w:pPr>
                  <w:r>
                    <w:rPr>
                      <w:rFonts w:hint="eastAsia"/>
                      <w:b/>
                      <w:bCs/>
                      <w:color w:val="auto"/>
                      <w:sz w:val="21"/>
                      <w:szCs w:val="21"/>
                      <w:vertAlign w:val="baseline"/>
                      <w:lang w:val="en-US" w:eastAsia="zh-CN"/>
                    </w:rPr>
                    <w:t>属性</w:t>
                  </w:r>
                </w:p>
              </w:tc>
              <w:tc>
                <w:tcPr>
                  <w:tcW w:w="2916"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危险固废</w:t>
                  </w:r>
                </w:p>
              </w:tc>
              <w:tc>
                <w:tcPr>
                  <w:tcW w:w="2063"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一般工业固废</w:t>
                  </w:r>
                </w:p>
              </w:tc>
              <w:tc>
                <w:tcPr>
                  <w:tcW w:w="2154"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exact"/>
                <w:jc w:val="center"/>
              </w:trPr>
              <w:tc>
                <w:tcPr>
                  <w:tcW w:w="1485"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0" w:firstLineChars="0"/>
                    <w:jc w:val="center"/>
                    <w:textAlignment w:val="auto"/>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主要有毒有害物质名称</w:t>
                  </w:r>
                </w:p>
              </w:tc>
              <w:tc>
                <w:tcPr>
                  <w:tcW w:w="2916"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w:t>
                  </w:r>
                </w:p>
              </w:tc>
              <w:tc>
                <w:tcPr>
                  <w:tcW w:w="2063"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w:t>
                  </w:r>
                </w:p>
              </w:tc>
              <w:tc>
                <w:tcPr>
                  <w:tcW w:w="2154"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85"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eastAsia="宋体"/>
                      <w:b/>
                      <w:bCs/>
                      <w:color w:val="auto"/>
                      <w:sz w:val="21"/>
                      <w:szCs w:val="21"/>
                      <w:vertAlign w:val="baseline"/>
                      <w:lang w:val="en-US" w:eastAsia="zh-CN"/>
                    </w:rPr>
                  </w:pPr>
                  <w:r>
                    <w:rPr>
                      <w:rFonts w:hint="eastAsia"/>
                      <w:b/>
                      <w:bCs/>
                      <w:color w:val="auto"/>
                      <w:sz w:val="21"/>
                      <w:szCs w:val="21"/>
                      <w:vertAlign w:val="baseline"/>
                      <w:lang w:val="en-US" w:eastAsia="zh-CN"/>
                    </w:rPr>
                    <w:t>物理性状</w:t>
                  </w:r>
                </w:p>
              </w:tc>
              <w:tc>
                <w:tcPr>
                  <w:tcW w:w="2916"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固态、液态</w:t>
                  </w:r>
                </w:p>
              </w:tc>
              <w:tc>
                <w:tcPr>
                  <w:tcW w:w="2063"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固态</w:t>
                  </w:r>
                </w:p>
              </w:tc>
              <w:tc>
                <w:tcPr>
                  <w:tcW w:w="2154"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固态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85"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eastAsia="宋体"/>
                      <w:b/>
                      <w:bCs/>
                      <w:color w:val="auto"/>
                      <w:sz w:val="21"/>
                      <w:szCs w:val="21"/>
                      <w:vertAlign w:val="baseline"/>
                      <w:lang w:val="en-US" w:eastAsia="zh-CN"/>
                    </w:rPr>
                  </w:pPr>
                  <w:r>
                    <w:rPr>
                      <w:rFonts w:hint="eastAsia"/>
                      <w:b/>
                      <w:bCs/>
                      <w:color w:val="auto"/>
                      <w:sz w:val="21"/>
                      <w:szCs w:val="21"/>
                      <w:vertAlign w:val="baseline"/>
                      <w:lang w:val="en-US" w:eastAsia="zh-CN"/>
                    </w:rPr>
                    <w:t>环境危险特性</w:t>
                  </w:r>
                </w:p>
              </w:tc>
              <w:tc>
                <w:tcPr>
                  <w:tcW w:w="2916"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ascii="Times New Roman" w:hAnsi="Times New Roman" w:eastAsia="宋体" w:cstheme="majorBidi"/>
                      <w:b w:val="0"/>
                      <w:bCs w:val="0"/>
                      <w:snapToGrid w:val="0"/>
                      <w:color w:val="auto"/>
                      <w:kern w:val="0"/>
                      <w:sz w:val="21"/>
                      <w:szCs w:val="21"/>
                      <w:vertAlign w:val="baseline"/>
                      <w:lang w:val="en-US" w:eastAsia="zh-CN" w:bidi="ar-SA"/>
                    </w:rPr>
                  </w:pPr>
                  <w:r>
                    <w:rPr>
                      <w:rFonts w:hint="eastAsia"/>
                      <w:b w:val="0"/>
                      <w:bCs w:val="0"/>
                      <w:color w:val="auto"/>
                      <w:sz w:val="21"/>
                      <w:szCs w:val="21"/>
                      <w:vertAlign w:val="baseline"/>
                      <w:lang w:val="en-US" w:eastAsia="zh-CN"/>
                    </w:rPr>
                    <w:t>T/C/I/R/In</w:t>
                  </w:r>
                </w:p>
              </w:tc>
              <w:tc>
                <w:tcPr>
                  <w:tcW w:w="2063"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ascii="Times New Roman" w:hAnsi="Times New Roman" w:eastAsia="宋体" w:cstheme="majorBidi"/>
                      <w:b w:val="0"/>
                      <w:bCs w:val="0"/>
                      <w:snapToGrid w:val="0"/>
                      <w:color w:val="auto"/>
                      <w:kern w:val="0"/>
                      <w:sz w:val="21"/>
                      <w:szCs w:val="21"/>
                      <w:vertAlign w:val="baseline"/>
                      <w:lang w:val="en-US" w:eastAsia="zh-CN" w:bidi="ar-SA"/>
                    </w:rPr>
                  </w:pPr>
                  <w:r>
                    <w:rPr>
                      <w:rFonts w:hint="eastAsia"/>
                      <w:b w:val="0"/>
                      <w:bCs w:val="0"/>
                      <w:color w:val="auto"/>
                      <w:sz w:val="21"/>
                      <w:szCs w:val="21"/>
                      <w:vertAlign w:val="baseline"/>
                      <w:lang w:val="en-US" w:eastAsia="zh-CN"/>
                    </w:rPr>
                    <w:t>/</w:t>
                  </w:r>
                </w:p>
              </w:tc>
              <w:tc>
                <w:tcPr>
                  <w:tcW w:w="2154"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ascii="Times New Roman" w:hAnsi="Times New Roman" w:eastAsia="宋体" w:cstheme="majorBidi"/>
                      <w:b w:val="0"/>
                      <w:bCs w:val="0"/>
                      <w:snapToGrid w:val="0"/>
                      <w:color w:val="auto"/>
                      <w:kern w:val="0"/>
                      <w:sz w:val="21"/>
                      <w:szCs w:val="21"/>
                      <w:vertAlign w:val="baseline"/>
                      <w:lang w:val="en-US" w:eastAsia="zh-CN" w:bidi="ar-SA"/>
                    </w:rPr>
                  </w:pPr>
                  <w:r>
                    <w:rPr>
                      <w:rFonts w:hint="eastAsia"/>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85"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eastAsia="宋体"/>
                      <w:b/>
                      <w:bCs/>
                      <w:color w:val="auto"/>
                      <w:sz w:val="21"/>
                      <w:szCs w:val="21"/>
                      <w:vertAlign w:val="baseline"/>
                      <w:lang w:val="en-US" w:eastAsia="zh-CN"/>
                    </w:rPr>
                  </w:pPr>
                  <w:r>
                    <w:rPr>
                      <w:rFonts w:hint="eastAsia"/>
                      <w:b/>
                      <w:bCs/>
                      <w:color w:val="auto"/>
                      <w:sz w:val="21"/>
                      <w:szCs w:val="21"/>
                      <w:vertAlign w:val="baseline"/>
                      <w:lang w:val="en-US" w:eastAsia="zh-CN"/>
                    </w:rPr>
                    <w:t>年产生量</w:t>
                  </w:r>
                </w:p>
              </w:tc>
              <w:tc>
                <w:tcPr>
                  <w:tcW w:w="2916"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lang w:val="en-US" w:eastAsia="zh-CN"/>
                    </w:rPr>
                    <w:t>50.34</w:t>
                  </w:r>
                  <w:r>
                    <w:rPr>
                      <w:rFonts w:hint="eastAsia"/>
                      <w:b w:val="0"/>
                      <w:bCs w:val="0"/>
                      <w:color w:val="auto"/>
                      <w:sz w:val="21"/>
                      <w:szCs w:val="21"/>
                    </w:rPr>
                    <w:t>t/a</w:t>
                  </w:r>
                </w:p>
              </w:tc>
              <w:tc>
                <w:tcPr>
                  <w:tcW w:w="2063"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b w:val="0"/>
                      <w:bCs w:val="0"/>
                      <w:color w:val="auto"/>
                      <w:sz w:val="21"/>
                      <w:szCs w:val="21"/>
                      <w:vertAlign w:val="baseline"/>
                    </w:rPr>
                  </w:pPr>
                  <w:r>
                    <w:rPr>
                      <w:rFonts w:hint="eastAsia"/>
                      <w:b w:val="0"/>
                      <w:bCs w:val="0"/>
                      <w:color w:val="auto"/>
                      <w:sz w:val="21"/>
                      <w:szCs w:val="21"/>
                      <w:lang w:val="en-US" w:eastAsia="zh-CN"/>
                    </w:rPr>
                    <w:t>35.56</w:t>
                  </w:r>
                  <w:r>
                    <w:rPr>
                      <w:rFonts w:hint="eastAsia"/>
                      <w:b w:val="0"/>
                      <w:bCs w:val="0"/>
                      <w:color w:val="auto"/>
                      <w:sz w:val="21"/>
                      <w:szCs w:val="21"/>
                    </w:rPr>
                    <w:t>t/a</w:t>
                  </w:r>
                </w:p>
              </w:tc>
              <w:tc>
                <w:tcPr>
                  <w:tcW w:w="2154"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b w:val="0"/>
                      <w:bCs w:val="0"/>
                      <w:color w:val="auto"/>
                      <w:sz w:val="21"/>
                      <w:szCs w:val="21"/>
                      <w:vertAlign w:val="baseline"/>
                    </w:rPr>
                  </w:pPr>
                  <w:r>
                    <w:rPr>
                      <w:rFonts w:hint="eastAsia"/>
                      <w:b w:val="0"/>
                      <w:bCs w:val="0"/>
                      <w:color w:val="auto"/>
                      <w:sz w:val="21"/>
                      <w:szCs w:val="21"/>
                      <w:lang w:val="en-US" w:eastAsia="zh-CN"/>
                    </w:rPr>
                    <w:t>122.275</w:t>
                  </w:r>
                  <w:r>
                    <w:rPr>
                      <w:rFonts w:hint="eastAsia"/>
                      <w:b w:val="0"/>
                      <w:bCs w:val="0"/>
                      <w:color w:val="auto"/>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exact"/>
                <w:jc w:val="center"/>
              </w:trPr>
              <w:tc>
                <w:tcPr>
                  <w:tcW w:w="1485"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eastAsia="宋体"/>
                      <w:b/>
                      <w:bCs/>
                      <w:color w:val="auto"/>
                      <w:sz w:val="21"/>
                      <w:szCs w:val="21"/>
                      <w:vertAlign w:val="baseline"/>
                      <w:lang w:val="en-US" w:eastAsia="zh-CN"/>
                    </w:rPr>
                  </w:pPr>
                  <w:r>
                    <w:rPr>
                      <w:rFonts w:hint="eastAsia"/>
                      <w:b/>
                      <w:bCs/>
                      <w:color w:val="auto"/>
                      <w:sz w:val="21"/>
                      <w:szCs w:val="21"/>
                      <w:vertAlign w:val="baseline"/>
                      <w:lang w:val="en-US" w:eastAsia="zh-CN"/>
                    </w:rPr>
                    <w:t>贮存方式</w:t>
                  </w:r>
                </w:p>
              </w:tc>
              <w:tc>
                <w:tcPr>
                  <w:tcW w:w="2916"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rPr>
                    <w:t>医疗废物暂存间</w:t>
                  </w:r>
                </w:p>
              </w:tc>
              <w:tc>
                <w:tcPr>
                  <w:tcW w:w="2063"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w:t>
                  </w:r>
                </w:p>
              </w:tc>
              <w:tc>
                <w:tcPr>
                  <w:tcW w:w="2154"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rPr>
                    <w:t>桶装、生活垃圾收集箱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5" w:hRule="exact"/>
                <w:jc w:val="center"/>
              </w:trPr>
              <w:tc>
                <w:tcPr>
                  <w:tcW w:w="1485"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利用处置方式和去向</w:t>
                  </w:r>
                </w:p>
              </w:tc>
              <w:tc>
                <w:tcPr>
                  <w:tcW w:w="2916"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both"/>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医疗固废委托有资质的单位清运处置</w:t>
                  </w:r>
                </w:p>
              </w:tc>
              <w:tc>
                <w:tcPr>
                  <w:tcW w:w="2063"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both"/>
                    <w:textAlignment w:val="auto"/>
                    <w:rPr>
                      <w:rFonts w:hint="eastAsia" w:eastAsia="宋体"/>
                      <w:b w:val="0"/>
                      <w:bCs w:val="0"/>
                      <w:color w:val="auto"/>
                      <w:sz w:val="21"/>
                      <w:szCs w:val="21"/>
                      <w:vertAlign w:val="baseline"/>
                      <w:lang w:val="en-US" w:eastAsia="zh-CN"/>
                    </w:rPr>
                  </w:pPr>
                  <w:r>
                    <w:rPr>
                      <w:rFonts w:hint="eastAsia" w:ascii="宋体" w:hAnsi="宋体" w:cs="宋体"/>
                      <w:b w:val="0"/>
                      <w:bCs w:val="0"/>
                      <w:color w:val="auto"/>
                      <w:kern w:val="0"/>
                      <w:sz w:val="21"/>
                      <w:szCs w:val="21"/>
                      <w:lang w:val="en-US" w:eastAsia="zh-CN" w:bidi="ar"/>
                    </w:rPr>
                    <w:t>消毒后委托当地环卫部门清运处置</w:t>
                  </w:r>
                </w:p>
              </w:tc>
              <w:tc>
                <w:tcPr>
                  <w:tcW w:w="2154"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both"/>
                    <w:textAlignment w:val="auto"/>
                    <w:rPr>
                      <w:b w:val="0"/>
                      <w:bCs w:val="0"/>
                      <w:color w:val="auto"/>
                      <w:sz w:val="21"/>
                      <w:szCs w:val="21"/>
                      <w:vertAlign w:val="baseline"/>
                    </w:rPr>
                  </w:pPr>
                  <w:r>
                    <w:rPr>
                      <w:rFonts w:hint="eastAsia" w:ascii="宋体" w:hAnsi="宋体" w:eastAsia="宋体" w:cs="宋体"/>
                      <w:b w:val="0"/>
                      <w:bCs w:val="0"/>
                      <w:color w:val="auto"/>
                      <w:kern w:val="0"/>
                      <w:sz w:val="21"/>
                      <w:szCs w:val="21"/>
                      <w:lang w:val="en-US" w:eastAsia="zh-CN" w:bidi="ar"/>
                    </w:rPr>
                    <w:t>委托当地环卫部门清运处置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1485"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eastAsia="宋体"/>
                      <w:b/>
                      <w:bCs/>
                      <w:color w:val="auto"/>
                      <w:sz w:val="21"/>
                      <w:szCs w:val="21"/>
                      <w:vertAlign w:val="baseline"/>
                      <w:lang w:val="en-US" w:eastAsia="zh-CN"/>
                    </w:rPr>
                  </w:pPr>
                  <w:r>
                    <w:rPr>
                      <w:rFonts w:hint="eastAsia"/>
                      <w:b/>
                      <w:bCs/>
                      <w:color w:val="auto"/>
                      <w:sz w:val="21"/>
                      <w:szCs w:val="21"/>
                      <w:vertAlign w:val="baseline"/>
                      <w:lang w:val="en-US" w:eastAsia="zh-CN"/>
                    </w:rPr>
                    <w:t>利用或处置量</w:t>
                  </w:r>
                </w:p>
              </w:tc>
              <w:tc>
                <w:tcPr>
                  <w:tcW w:w="2916"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ascii="Times New Roman" w:hAnsi="Times New Roman" w:eastAsia="宋体" w:cstheme="majorBidi"/>
                      <w:b w:val="0"/>
                      <w:bCs w:val="0"/>
                      <w:snapToGrid w:val="0"/>
                      <w:color w:val="auto"/>
                      <w:kern w:val="0"/>
                      <w:sz w:val="21"/>
                      <w:szCs w:val="21"/>
                      <w:vertAlign w:val="baseline"/>
                      <w:lang w:val="en-US" w:eastAsia="zh-CN" w:bidi="ar-SA"/>
                    </w:rPr>
                  </w:pPr>
                  <w:r>
                    <w:rPr>
                      <w:rFonts w:hint="eastAsia" w:ascii="Times New Roman" w:eastAsia="宋体"/>
                      <w:b w:val="0"/>
                      <w:bCs w:val="0"/>
                      <w:color w:val="auto"/>
                      <w:sz w:val="21"/>
                      <w:szCs w:val="21"/>
                      <w:lang w:val="en-US" w:eastAsia="zh-CN"/>
                    </w:rPr>
                    <w:t>50.34</w:t>
                  </w:r>
                  <w:r>
                    <w:rPr>
                      <w:rFonts w:hint="eastAsia"/>
                      <w:b w:val="0"/>
                      <w:bCs w:val="0"/>
                      <w:color w:val="auto"/>
                      <w:sz w:val="21"/>
                      <w:szCs w:val="21"/>
                    </w:rPr>
                    <w:t>t/a</w:t>
                  </w:r>
                </w:p>
              </w:tc>
              <w:tc>
                <w:tcPr>
                  <w:tcW w:w="2063"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ascii="Times New Roman" w:hAnsi="Times New Roman" w:eastAsia="宋体" w:cstheme="majorBidi"/>
                      <w:b w:val="0"/>
                      <w:bCs w:val="0"/>
                      <w:snapToGrid w:val="0"/>
                      <w:color w:val="auto"/>
                      <w:kern w:val="0"/>
                      <w:sz w:val="21"/>
                      <w:szCs w:val="21"/>
                      <w:vertAlign w:val="baseline"/>
                      <w:lang w:val="en-US" w:eastAsia="zh-CN" w:bidi="ar-SA"/>
                    </w:rPr>
                  </w:pPr>
                  <w:r>
                    <w:rPr>
                      <w:rFonts w:hint="eastAsia"/>
                      <w:b w:val="0"/>
                      <w:bCs w:val="0"/>
                      <w:color w:val="auto"/>
                      <w:sz w:val="21"/>
                      <w:szCs w:val="21"/>
                      <w:lang w:val="en-US" w:eastAsia="zh-CN"/>
                    </w:rPr>
                    <w:t>35.56</w:t>
                  </w:r>
                  <w:r>
                    <w:rPr>
                      <w:rFonts w:hint="eastAsia"/>
                      <w:b w:val="0"/>
                      <w:bCs w:val="0"/>
                      <w:color w:val="auto"/>
                      <w:sz w:val="21"/>
                      <w:szCs w:val="21"/>
                    </w:rPr>
                    <w:t>t/a</w:t>
                  </w:r>
                </w:p>
              </w:tc>
              <w:tc>
                <w:tcPr>
                  <w:tcW w:w="2154"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ascii="Times New Roman" w:hAnsi="Times New Roman" w:eastAsia="宋体" w:cstheme="majorBidi"/>
                      <w:b w:val="0"/>
                      <w:bCs w:val="0"/>
                      <w:snapToGrid w:val="0"/>
                      <w:color w:val="auto"/>
                      <w:kern w:val="0"/>
                      <w:sz w:val="21"/>
                      <w:szCs w:val="21"/>
                      <w:vertAlign w:val="baseline"/>
                      <w:lang w:val="en-US" w:eastAsia="zh-CN" w:bidi="ar-SA"/>
                    </w:rPr>
                  </w:pPr>
                  <w:r>
                    <w:rPr>
                      <w:rFonts w:hint="eastAsia"/>
                      <w:b w:val="0"/>
                      <w:bCs w:val="0"/>
                      <w:color w:val="auto"/>
                      <w:sz w:val="21"/>
                      <w:szCs w:val="21"/>
                      <w:lang w:val="en-US" w:eastAsia="zh-CN"/>
                    </w:rPr>
                    <w:t>122.275t/a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exact"/>
                <w:jc w:val="center"/>
              </w:trPr>
              <w:tc>
                <w:tcPr>
                  <w:tcW w:w="1485"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eastAsia" w:eastAsia="宋体"/>
                      <w:b/>
                      <w:bCs/>
                      <w:color w:val="auto"/>
                      <w:sz w:val="21"/>
                      <w:szCs w:val="21"/>
                      <w:vertAlign w:val="baseline"/>
                      <w:lang w:val="en-US" w:eastAsia="zh-CN"/>
                    </w:rPr>
                  </w:pPr>
                  <w:r>
                    <w:rPr>
                      <w:rFonts w:hint="eastAsia"/>
                      <w:b/>
                      <w:bCs/>
                      <w:color w:val="auto"/>
                      <w:sz w:val="21"/>
                      <w:szCs w:val="21"/>
                      <w:vertAlign w:val="baseline"/>
                      <w:lang w:val="en-US" w:eastAsia="zh-CN"/>
                    </w:rPr>
                    <w:t>环境管理要求</w:t>
                  </w:r>
                </w:p>
              </w:tc>
              <w:tc>
                <w:tcPr>
                  <w:tcW w:w="2916"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处置率100%，并建立台账</w:t>
                  </w:r>
                </w:p>
              </w:tc>
              <w:tc>
                <w:tcPr>
                  <w:tcW w:w="2063"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b w:val="0"/>
                      <w:bCs w:val="0"/>
                      <w:color w:val="auto"/>
                      <w:sz w:val="21"/>
                      <w:szCs w:val="21"/>
                      <w:vertAlign w:val="baseline"/>
                    </w:rPr>
                  </w:pPr>
                  <w:r>
                    <w:rPr>
                      <w:rFonts w:hint="eastAsia"/>
                      <w:b w:val="0"/>
                      <w:bCs w:val="0"/>
                      <w:color w:val="auto"/>
                      <w:sz w:val="21"/>
                      <w:szCs w:val="21"/>
                      <w:vertAlign w:val="baseline"/>
                      <w:lang w:val="en-US" w:eastAsia="zh-CN"/>
                    </w:rPr>
                    <w:t>处置率100%</w:t>
                  </w:r>
                </w:p>
              </w:tc>
              <w:tc>
                <w:tcPr>
                  <w:tcW w:w="2154" w:type="dxa"/>
                  <w:vAlign w:val="center"/>
                </w:tcPr>
                <w:p>
                  <w:pPr>
                    <w:pStyle w:val="34"/>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b w:val="0"/>
                      <w:bCs w:val="0"/>
                      <w:color w:val="auto"/>
                      <w:sz w:val="21"/>
                      <w:szCs w:val="21"/>
                      <w:vertAlign w:val="baseline"/>
                    </w:rPr>
                  </w:pPr>
                  <w:r>
                    <w:rPr>
                      <w:rFonts w:hint="eastAsia"/>
                      <w:b w:val="0"/>
                      <w:bCs w:val="0"/>
                      <w:color w:val="auto"/>
                      <w:sz w:val="21"/>
                      <w:szCs w:val="21"/>
                      <w:vertAlign w:val="baseline"/>
                      <w:lang w:val="en-US" w:eastAsia="zh-CN"/>
                    </w:rPr>
                    <w:t>处置率100%</w:t>
                  </w:r>
                </w:p>
              </w:tc>
            </w:tr>
          </w:tbl>
          <w:p>
            <w:pPr>
              <w:pStyle w:val="34"/>
              <w:ind w:firstLine="482"/>
              <w:rPr>
                <w:color w:val="auto"/>
              </w:rPr>
            </w:pPr>
            <w:r>
              <w:rPr>
                <w:color w:val="auto"/>
              </w:rPr>
              <w:t>5</w:t>
            </w:r>
            <w:r>
              <w:rPr>
                <w:rFonts w:hint="eastAsia"/>
                <w:color w:val="auto"/>
              </w:rPr>
              <w:t>、地下水、土壤</w:t>
            </w:r>
          </w:p>
          <w:p>
            <w:pPr>
              <w:keepNext w:val="0"/>
              <w:keepLines w:val="0"/>
              <w:widowControl/>
              <w:suppressLineNumbers w:val="0"/>
              <w:jc w:val="both"/>
              <w:rPr>
                <w:color w:val="auto"/>
              </w:rPr>
            </w:pPr>
            <w:r>
              <w:rPr>
                <w:rFonts w:hint="default" w:ascii="Times New Roman" w:hAnsi="Times New Roman" w:eastAsia="宋体" w:cs="Times New Roman"/>
                <w:b/>
                <w:color w:val="auto"/>
                <w:kern w:val="0"/>
                <w:sz w:val="24"/>
                <w:szCs w:val="24"/>
                <w:lang w:val="en-US" w:eastAsia="zh-CN" w:bidi="ar"/>
              </w:rPr>
              <w:t xml:space="preserve">5.1 </w:t>
            </w:r>
            <w:r>
              <w:rPr>
                <w:rFonts w:hint="eastAsia" w:ascii="宋体" w:hAnsi="宋体" w:eastAsia="宋体" w:cs="宋体"/>
                <w:b/>
                <w:color w:val="auto"/>
                <w:kern w:val="0"/>
                <w:sz w:val="24"/>
                <w:szCs w:val="24"/>
                <w:lang w:val="en-US" w:eastAsia="zh-CN" w:bidi="ar"/>
              </w:rPr>
              <w:t>地下水、土壤影响分析</w:t>
            </w:r>
          </w:p>
          <w:p>
            <w:pPr>
              <w:keepNext w:val="0"/>
              <w:keepLines w:val="0"/>
              <w:pageBreakBefore w:val="0"/>
              <w:widowControl/>
              <w:suppressLineNumbers w:val="0"/>
              <w:kinsoku/>
              <w:wordWrap/>
              <w:overflowPunct/>
              <w:topLinePunct w:val="0"/>
              <w:autoSpaceDE/>
              <w:autoSpaceDN/>
              <w:bidi w:val="0"/>
              <w:adjustRightInd/>
              <w:snapToGrid/>
              <w:ind w:left="0" w:leftChars="0" w:firstLine="480" w:firstLineChars="200"/>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根据《环境影响评价技术导则 地下水环境》（HJ610-2016），本项目</w:t>
            </w:r>
            <w:r>
              <w:rPr>
                <w:rFonts w:hint="eastAsia" w:ascii="Times New Roman" w:hAnsi="Times New Roman" w:eastAsia="宋体" w:cs="Times New Roman"/>
                <w:color w:val="auto"/>
                <w:kern w:val="2"/>
                <w:sz w:val="24"/>
                <w:szCs w:val="24"/>
                <w:lang w:val="en-US" w:eastAsia="zh-CN" w:bidi="ar"/>
              </w:rPr>
              <w:t>为</w:t>
            </w:r>
            <w:r>
              <w:rPr>
                <w:rFonts w:hint="default" w:ascii="Times New Roman" w:hAnsi="Times New Roman" w:eastAsia="宋体" w:cs="Times New Roman"/>
                <w:color w:val="auto"/>
                <w:kern w:val="2"/>
                <w:sz w:val="24"/>
                <w:szCs w:val="24"/>
                <w:lang w:val="en-US" w:eastAsia="zh-CN" w:bidi="ar"/>
              </w:rPr>
              <w:t>姚安县保健院妇婴医院住院综合楼建设项目，属于“V 社会事业与服务业”中“161、社区医疗、卫生院（站、所）、血站、急救中心等其他卫生机构”，地下水环境影响评价为Ⅳ类。本项目不做地下水环境影响专项</w:t>
            </w:r>
            <w:r>
              <w:rPr>
                <w:rFonts w:hint="eastAsia" w:ascii="Times New Roman" w:hAnsi="Times New Roman" w:eastAsia="宋体" w:cs="Times New Roman"/>
                <w:color w:val="auto"/>
                <w:kern w:val="2"/>
                <w:sz w:val="24"/>
                <w:szCs w:val="24"/>
                <w:lang w:val="en-US" w:eastAsia="zh-CN" w:bidi="ar"/>
              </w:rPr>
              <w:t>评价</w:t>
            </w:r>
            <w:r>
              <w:rPr>
                <w:rFonts w:hint="default" w:ascii="Times New Roman" w:hAnsi="Times New Roman" w:eastAsia="宋体" w:cs="Times New Roman"/>
                <w:color w:val="auto"/>
                <w:kern w:val="2"/>
                <w:sz w:val="24"/>
                <w:szCs w:val="24"/>
                <w:lang w:val="en-US" w:eastAsia="zh-CN" w:bidi="ar"/>
              </w:rPr>
              <w:t>，仅做简单分析。</w:t>
            </w:r>
          </w:p>
          <w:p>
            <w:pPr>
              <w:keepNext w:val="0"/>
              <w:keepLines w:val="0"/>
              <w:pageBreakBefore w:val="0"/>
              <w:widowControl/>
              <w:suppressLineNumbers w:val="0"/>
              <w:kinsoku/>
              <w:wordWrap/>
              <w:overflowPunct/>
              <w:topLinePunct w:val="0"/>
              <w:autoSpaceDE/>
              <w:autoSpaceDN/>
              <w:bidi w:val="0"/>
              <w:adjustRightInd/>
              <w:snapToGrid/>
              <w:ind w:left="0" w:leftChars="0" w:firstLine="480" w:firstLineChars="200"/>
              <w:jc w:val="both"/>
              <w:textAlignment w:val="auto"/>
              <w:rPr>
                <w:rFonts w:hint="default" w:ascii="Times New Roman" w:hAnsi="Times New Roman" w:eastAsia="宋体" w:cs="Times New Roman"/>
                <w:color w:val="auto"/>
                <w:kern w:val="2"/>
                <w:sz w:val="24"/>
                <w:szCs w:val="24"/>
                <w:lang w:val="en-US" w:eastAsia="zh-CN" w:bidi="ar"/>
              </w:rPr>
            </w:pPr>
            <w:r>
              <w:rPr>
                <w:rFonts w:hint="eastAsia"/>
                <w:color w:val="auto"/>
                <w:lang w:val="en-US" w:eastAsia="zh-CN"/>
              </w:rPr>
              <w:t>根据</w:t>
            </w:r>
            <w:r>
              <w:rPr>
                <w:rFonts w:hint="default" w:ascii="Times New Roman" w:hAnsi="Times New Roman" w:eastAsia="宋体" w:cs="Times New Roman"/>
                <w:color w:val="auto"/>
                <w:kern w:val="2"/>
                <w:sz w:val="24"/>
                <w:szCs w:val="24"/>
                <w:lang w:val="en-US" w:eastAsia="zh-CN" w:bidi="ar"/>
              </w:rPr>
              <w:t xml:space="preserve">《环境影响评价技术导则 </w:t>
            </w:r>
            <w:r>
              <w:rPr>
                <w:rFonts w:hint="eastAsia" w:ascii="Times New Roman" w:hAnsi="Times New Roman" w:eastAsia="宋体" w:cs="Times New Roman"/>
                <w:color w:val="auto"/>
                <w:kern w:val="2"/>
                <w:sz w:val="24"/>
                <w:szCs w:val="24"/>
                <w:lang w:val="en-US" w:eastAsia="zh-CN" w:bidi="ar"/>
              </w:rPr>
              <w:t>土壤</w:t>
            </w:r>
            <w:r>
              <w:rPr>
                <w:rFonts w:hint="default" w:ascii="Times New Roman" w:hAnsi="Times New Roman" w:eastAsia="宋体" w:cs="Times New Roman"/>
                <w:color w:val="auto"/>
                <w:kern w:val="2"/>
                <w:sz w:val="24"/>
                <w:szCs w:val="24"/>
                <w:lang w:val="en-US" w:eastAsia="zh-CN" w:bidi="ar"/>
              </w:rPr>
              <w:t>环境》（HJ</w:t>
            </w:r>
            <w:r>
              <w:rPr>
                <w:rFonts w:hint="eastAsia" w:ascii="Times New Roman" w:hAnsi="Times New Roman" w:eastAsia="宋体" w:cs="Times New Roman"/>
                <w:color w:val="auto"/>
                <w:kern w:val="2"/>
                <w:sz w:val="24"/>
                <w:szCs w:val="24"/>
                <w:lang w:val="en-US" w:eastAsia="zh-CN" w:bidi="ar"/>
              </w:rPr>
              <w:t>964-2018</w:t>
            </w:r>
            <w:r>
              <w:rPr>
                <w:rFonts w:hint="default" w:ascii="Times New Roman" w:hAnsi="Times New Roman" w:eastAsia="宋体" w:cs="Times New Roman"/>
                <w:color w:val="auto"/>
                <w:kern w:val="2"/>
                <w:sz w:val="24"/>
                <w:szCs w:val="24"/>
                <w:lang w:val="en-US" w:eastAsia="zh-CN" w:bidi="ar"/>
              </w:rPr>
              <w:t>），本项目</w:t>
            </w:r>
            <w:r>
              <w:rPr>
                <w:rFonts w:hint="eastAsia" w:ascii="Times New Roman" w:hAnsi="Times New Roman" w:eastAsia="宋体" w:cs="Times New Roman"/>
                <w:color w:val="auto"/>
                <w:kern w:val="2"/>
                <w:sz w:val="24"/>
                <w:szCs w:val="24"/>
                <w:lang w:val="en-US" w:eastAsia="zh-CN" w:bidi="ar"/>
              </w:rPr>
              <w:t>为</w:t>
            </w:r>
            <w:r>
              <w:rPr>
                <w:rFonts w:hint="default" w:ascii="Times New Roman" w:hAnsi="Times New Roman" w:eastAsia="宋体" w:cs="Times New Roman"/>
                <w:color w:val="auto"/>
                <w:kern w:val="2"/>
                <w:sz w:val="24"/>
                <w:szCs w:val="24"/>
                <w:lang w:val="en-US" w:eastAsia="zh-CN" w:bidi="ar"/>
              </w:rPr>
              <w:t>姚安县保健院妇婴医院住院综合楼建设项目，土壤环境影响评价项目类别</w:t>
            </w:r>
            <w:r>
              <w:rPr>
                <w:rFonts w:hint="eastAsia" w:ascii="Times New Roman" w:hAnsi="Times New Roman" w:eastAsia="宋体" w:cs="Times New Roman"/>
                <w:color w:val="auto"/>
                <w:kern w:val="2"/>
                <w:sz w:val="24"/>
                <w:szCs w:val="24"/>
                <w:lang w:val="en-US" w:eastAsia="zh-CN" w:bidi="ar"/>
              </w:rPr>
              <w:t>为</w:t>
            </w:r>
            <w:r>
              <w:rPr>
                <w:rFonts w:hint="default" w:ascii="Times New Roman" w:hAnsi="Times New Roman" w:eastAsia="宋体" w:cs="Times New Roman"/>
                <w:color w:val="auto"/>
                <w:kern w:val="2"/>
                <w:sz w:val="24"/>
                <w:szCs w:val="24"/>
                <w:lang w:val="en-US" w:eastAsia="zh-CN" w:bidi="ar"/>
              </w:rPr>
              <w:t>“V 社会事业与服务业”中“</w:t>
            </w:r>
            <w:r>
              <w:rPr>
                <w:rFonts w:hint="eastAsia" w:ascii="Times New Roman" w:hAnsi="Times New Roman" w:eastAsia="宋体" w:cs="Times New Roman"/>
                <w:color w:val="auto"/>
                <w:kern w:val="2"/>
                <w:sz w:val="24"/>
                <w:szCs w:val="24"/>
                <w:lang w:val="en-US" w:eastAsia="zh-CN" w:bidi="ar"/>
              </w:rPr>
              <w:t>全部</w:t>
            </w:r>
            <w:r>
              <w:rPr>
                <w:rFonts w:hint="default" w:ascii="Times New Roman" w:hAnsi="Times New Roman" w:eastAsia="宋体" w:cs="Times New Roman"/>
                <w:color w:val="auto"/>
                <w:kern w:val="2"/>
                <w:sz w:val="24"/>
                <w:szCs w:val="24"/>
                <w:lang w:val="en-US" w:eastAsia="zh-CN" w:bidi="ar"/>
              </w:rPr>
              <w:t>”，土壤环境影响评价为Ⅳ类。本项目不做地土壤环境影响专项</w:t>
            </w:r>
            <w:r>
              <w:rPr>
                <w:rFonts w:hint="eastAsia" w:ascii="Times New Roman" w:hAnsi="Times New Roman" w:eastAsia="宋体" w:cs="Times New Roman"/>
                <w:color w:val="auto"/>
                <w:kern w:val="2"/>
                <w:sz w:val="24"/>
                <w:szCs w:val="24"/>
                <w:lang w:val="en-US" w:eastAsia="zh-CN" w:bidi="ar"/>
              </w:rPr>
              <w:t>评价</w:t>
            </w:r>
            <w:r>
              <w:rPr>
                <w:rFonts w:hint="default" w:ascii="Times New Roman" w:hAnsi="Times New Roman" w:eastAsia="宋体" w:cs="Times New Roman"/>
                <w:color w:val="auto"/>
                <w:kern w:val="2"/>
                <w:sz w:val="24"/>
                <w:szCs w:val="24"/>
                <w:lang w:val="en-US" w:eastAsia="zh-CN" w:bidi="ar"/>
              </w:rPr>
              <w:t>，仅做简单分析。</w:t>
            </w:r>
          </w:p>
          <w:p>
            <w:pPr>
              <w:keepNext w:val="0"/>
              <w:keepLines w:val="0"/>
              <w:widowControl/>
              <w:suppressLineNumbers w:val="0"/>
              <w:jc w:val="left"/>
              <w:rPr>
                <w:color w:val="auto"/>
              </w:rPr>
            </w:pPr>
            <w:r>
              <w:rPr>
                <w:rFonts w:hint="default" w:ascii="Times New Roman" w:hAnsi="Times New Roman" w:eastAsia="宋体" w:cs="Times New Roman"/>
                <w:b/>
                <w:color w:val="auto"/>
                <w:kern w:val="0"/>
                <w:sz w:val="24"/>
                <w:szCs w:val="24"/>
                <w:lang w:val="en-US" w:eastAsia="zh-CN" w:bidi="ar"/>
              </w:rPr>
              <w:t xml:space="preserve">5.2 </w:t>
            </w:r>
            <w:r>
              <w:rPr>
                <w:rFonts w:hint="eastAsia" w:ascii="宋体" w:hAnsi="宋体" w:eastAsia="宋体" w:cs="宋体"/>
                <w:b/>
                <w:color w:val="auto"/>
                <w:kern w:val="0"/>
                <w:sz w:val="24"/>
                <w:szCs w:val="24"/>
                <w:lang w:val="en-US" w:eastAsia="zh-CN" w:bidi="ar"/>
              </w:rPr>
              <w:t>保护措施及监测计划</w:t>
            </w:r>
          </w:p>
          <w:p>
            <w:pPr>
              <w:keepNext w:val="0"/>
              <w:keepLines w:val="0"/>
              <w:widowControl/>
              <w:suppressLineNumbers w:val="0"/>
              <w:jc w:val="both"/>
              <w:rPr>
                <w:color w:val="auto"/>
              </w:rPr>
            </w:pPr>
            <w:r>
              <w:rPr>
                <w:rFonts w:hint="eastAsia" w:ascii="宋体" w:hAnsi="宋体" w:eastAsia="宋体" w:cs="宋体"/>
                <w:b/>
                <w:color w:val="auto"/>
                <w:kern w:val="0"/>
                <w:sz w:val="24"/>
                <w:szCs w:val="24"/>
                <w:lang w:val="en-US" w:eastAsia="zh-CN" w:bidi="ar"/>
              </w:rPr>
              <w:t>（</w:t>
            </w:r>
            <w:r>
              <w:rPr>
                <w:rFonts w:hint="default" w:ascii="Times New Roman" w:hAnsi="Times New Roman" w:eastAsia="宋体" w:cs="Times New Roman"/>
                <w:b/>
                <w:color w:val="auto"/>
                <w:kern w:val="0"/>
                <w:sz w:val="24"/>
                <w:szCs w:val="24"/>
                <w:lang w:val="en-US" w:eastAsia="zh-CN" w:bidi="ar"/>
              </w:rPr>
              <w:t>1</w:t>
            </w:r>
            <w:r>
              <w:rPr>
                <w:rFonts w:hint="eastAsia" w:ascii="宋体" w:hAnsi="宋体" w:eastAsia="宋体" w:cs="宋体"/>
                <w:b/>
                <w:color w:val="auto"/>
                <w:kern w:val="0"/>
                <w:sz w:val="24"/>
                <w:szCs w:val="24"/>
                <w:lang w:val="en-US" w:eastAsia="zh-CN" w:bidi="ar"/>
              </w:rPr>
              <w:t>）分区防渗措施</w:t>
            </w:r>
          </w:p>
          <w:p>
            <w:pPr>
              <w:keepNext w:val="0"/>
              <w:keepLines w:val="0"/>
              <w:widowControl/>
              <w:suppressLineNumbers w:val="0"/>
              <w:jc w:val="both"/>
              <w:rPr>
                <w:rFonts w:hint="default" w:ascii="Times New Roman" w:hAnsi="Times New Roman" w:cs="Times New Roman"/>
                <w:color w:val="auto"/>
                <w:kern w:val="2"/>
              </w:rPr>
            </w:pPr>
            <w:r>
              <w:rPr>
                <w:rFonts w:hint="default" w:ascii="Times New Roman" w:hAnsi="Times New Roman" w:eastAsia="宋体" w:cs="Times New Roman"/>
                <w:color w:val="auto"/>
                <w:kern w:val="2"/>
                <w:sz w:val="24"/>
                <w:szCs w:val="24"/>
                <w:lang w:val="en-US" w:eastAsia="zh-CN" w:bidi="ar"/>
              </w:rPr>
              <w:t>污染防治措施坚持“源头控制、末端防治、污染监控、应急响应相结合”的原则，即采取主动控制和被动控制相结合的措施。</w:t>
            </w:r>
          </w:p>
          <w:p>
            <w:pPr>
              <w:keepNext w:val="0"/>
              <w:keepLines w:val="0"/>
              <w:widowControl/>
              <w:suppressLineNumbers w:val="0"/>
              <w:jc w:val="both"/>
              <w:rPr>
                <w:rFonts w:hint="default" w:ascii="Times New Roman" w:hAnsi="Times New Roman" w:cs="Times New Roman"/>
                <w:color w:val="auto"/>
                <w:kern w:val="2"/>
              </w:rPr>
            </w:pPr>
            <w:r>
              <w:rPr>
                <w:rFonts w:hint="default" w:ascii="Times New Roman" w:hAnsi="Times New Roman" w:eastAsia="宋体" w:cs="Times New Roman"/>
                <w:color w:val="auto"/>
                <w:kern w:val="2"/>
                <w:sz w:val="24"/>
                <w:szCs w:val="24"/>
                <w:lang w:val="en-US" w:eastAsia="zh-CN" w:bidi="ar"/>
              </w:rPr>
              <w:t>①主动控制：从源头控制措施，主要包括在工艺、设备、污水储存及处理构筑物采取相应措施，防止和降低污染物跑、冒、滴、漏，将污染物泄漏的环境风险事故降到最低程度；</w:t>
            </w:r>
          </w:p>
          <w:p>
            <w:pPr>
              <w:keepNext w:val="0"/>
              <w:keepLines w:val="0"/>
              <w:widowControl/>
              <w:suppressLineNumbers w:val="0"/>
              <w:jc w:val="both"/>
              <w:rPr>
                <w:rFonts w:hint="default" w:ascii="Times New Roman" w:hAnsi="Times New Roman" w:cs="Times New Roman"/>
                <w:color w:val="auto"/>
                <w:kern w:val="2"/>
              </w:rPr>
            </w:pPr>
            <w:r>
              <w:rPr>
                <w:rFonts w:hint="default" w:ascii="Times New Roman" w:hAnsi="Times New Roman" w:eastAsia="宋体" w:cs="Times New Roman"/>
                <w:color w:val="auto"/>
                <w:kern w:val="2"/>
                <w:sz w:val="24"/>
                <w:szCs w:val="24"/>
                <w:lang w:val="en-US" w:eastAsia="zh-CN" w:bidi="ar"/>
              </w:rPr>
              <w:t>②被动控制：末端控制措施，主要包括项目内污染区地面的防渗措施和泄漏、渗漏污染物收集措施，即在污染区地面进行防渗处理，防止洒落地面的污染物渗入地下及土壤，并把滞留在地面的污染物收集起来，集中送至污水处理厂。</w:t>
            </w:r>
          </w:p>
          <w:p>
            <w:pPr>
              <w:keepNext w:val="0"/>
              <w:keepLines w:val="0"/>
              <w:widowControl/>
              <w:suppressLineNumbers w:val="0"/>
              <w:jc w:val="both"/>
              <w:rPr>
                <w:rFonts w:hint="default" w:ascii="Times New Roman" w:hAnsi="Times New Roman" w:cs="Times New Roman"/>
                <w:color w:val="auto"/>
                <w:kern w:val="2"/>
              </w:rPr>
            </w:pPr>
            <w:r>
              <w:rPr>
                <w:rFonts w:hint="default" w:ascii="Times New Roman" w:hAnsi="Times New Roman" w:eastAsia="宋体" w:cs="Times New Roman"/>
                <w:color w:val="auto"/>
                <w:kern w:val="2"/>
                <w:sz w:val="24"/>
                <w:szCs w:val="24"/>
                <w:lang w:val="en-US" w:eastAsia="zh-CN" w:bidi="ar"/>
              </w:rPr>
              <w:t>③实施覆盖项目区的地下水、土壤污染监控系统，包括建立完善的监测制度、配备先进的检测仪器和设备，科学、合理设置地下水污染监控井，及时发现污染、及时控制。</w:t>
            </w:r>
          </w:p>
          <w:p>
            <w:pPr>
              <w:keepNext w:val="0"/>
              <w:keepLines w:val="0"/>
              <w:widowControl/>
              <w:suppressLineNumbers w:val="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④应急响应措施，包括一旦发现地下水、土壤污染事故，立即启动应急预案、采取应急措施控制地下水污染，并使污染得到治理。</w:t>
            </w:r>
          </w:p>
          <w:p>
            <w:pPr>
              <w:keepNext w:val="0"/>
              <w:keepLines w:val="0"/>
              <w:widowControl/>
              <w:suppressLineNumbers w:val="0"/>
              <w:jc w:val="both"/>
              <w:rPr>
                <w:color w:val="auto"/>
              </w:rPr>
            </w:pPr>
            <w:r>
              <w:rPr>
                <w:rFonts w:hint="default" w:ascii="Times New Roman" w:hAnsi="Times New Roman" w:eastAsia="宋体" w:cs="Times New Roman"/>
                <w:color w:val="auto"/>
                <w:kern w:val="2"/>
                <w:sz w:val="24"/>
                <w:szCs w:val="24"/>
                <w:lang w:val="en-US" w:eastAsia="zh-CN" w:bidi="ar"/>
              </w:rPr>
              <w:t>地下水分区防渗参照表见下表：</w:t>
            </w:r>
          </w:p>
          <w:p>
            <w:pPr>
              <w:pStyle w:val="58"/>
              <w:spacing w:line="360" w:lineRule="auto"/>
              <w:ind w:firstLine="422"/>
              <w:jc w:val="center"/>
              <w:rPr>
                <w:b/>
                <w:bCs/>
                <w:color w:val="auto"/>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4-</w:t>
            </w:r>
            <w:r>
              <w:rPr>
                <w:rFonts w:hint="eastAsia" w:cs="Times New Roman"/>
                <w:b/>
                <w:bCs/>
                <w:color w:val="auto"/>
                <w:sz w:val="21"/>
                <w:szCs w:val="21"/>
                <w:lang w:val="en-US" w:eastAsia="zh-CN"/>
              </w:rPr>
              <w:t>19</w:t>
            </w:r>
            <w:r>
              <w:rPr>
                <w:rFonts w:hint="default" w:ascii="Times New Roman" w:hAnsi="Times New Roman" w:cs="Times New Roman"/>
                <w:b/>
                <w:bCs/>
                <w:color w:val="auto"/>
                <w:sz w:val="21"/>
                <w:szCs w:val="21"/>
              </w:rPr>
              <w:t xml:space="preserve"> 地下水污染防渗分区参照表</w:t>
            </w:r>
          </w:p>
          <w:tbl>
            <w:tblPr>
              <w:tblStyle w:val="37"/>
              <w:tblW w:w="85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7"/>
              <w:gridCol w:w="1212"/>
              <w:gridCol w:w="898"/>
              <w:gridCol w:w="2233"/>
              <w:gridCol w:w="2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防渗分区</w:t>
                  </w:r>
                </w:p>
              </w:tc>
              <w:tc>
                <w:tcPr>
                  <w:tcW w:w="12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天然包气带防污性能</w:t>
                  </w:r>
                </w:p>
              </w:tc>
              <w:tc>
                <w:tcPr>
                  <w:tcW w:w="8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污染控制难易程度</w:t>
                  </w:r>
                </w:p>
              </w:tc>
              <w:tc>
                <w:tcPr>
                  <w:tcW w:w="223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污染物类型</w:t>
                  </w:r>
                </w:p>
              </w:tc>
              <w:tc>
                <w:tcPr>
                  <w:tcW w:w="272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重点防渗区</w:t>
                  </w:r>
                </w:p>
              </w:tc>
              <w:tc>
                <w:tcPr>
                  <w:tcW w:w="12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弱</w:t>
                  </w:r>
                </w:p>
              </w:tc>
              <w:tc>
                <w:tcPr>
                  <w:tcW w:w="8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难</w:t>
                  </w:r>
                </w:p>
              </w:tc>
              <w:tc>
                <w:tcPr>
                  <w:tcW w:w="223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重金属、持久性有机污染物</w:t>
                  </w:r>
                </w:p>
              </w:tc>
              <w:tc>
                <w:tcPr>
                  <w:tcW w:w="272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等效黏土防渗层Mb≥6.0m，K≤1×10</w:t>
                  </w:r>
                  <w:r>
                    <w:rPr>
                      <w:color w:val="auto"/>
                      <w:sz w:val="21"/>
                      <w:szCs w:val="21"/>
                      <w:vertAlign w:val="superscript"/>
                    </w:rPr>
                    <w:t>-</w:t>
                  </w:r>
                  <w:r>
                    <w:rPr>
                      <w:rFonts w:hint="eastAsia"/>
                      <w:color w:val="auto"/>
                      <w:sz w:val="21"/>
                      <w:szCs w:val="21"/>
                      <w:vertAlign w:val="superscript"/>
                    </w:rPr>
                    <w:t>10</w:t>
                  </w:r>
                  <w:r>
                    <w:rPr>
                      <w:rFonts w:hint="eastAsia"/>
                      <w:color w:val="auto"/>
                      <w:sz w:val="21"/>
                      <w:szCs w:val="21"/>
                    </w:rPr>
                    <w:t>cm/s；或参照GB18598执行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p>
              </w:tc>
              <w:tc>
                <w:tcPr>
                  <w:tcW w:w="12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中-强</w:t>
                  </w:r>
                </w:p>
              </w:tc>
              <w:tc>
                <w:tcPr>
                  <w:tcW w:w="8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难</w:t>
                  </w:r>
                </w:p>
              </w:tc>
              <w:tc>
                <w:tcPr>
                  <w:tcW w:w="22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p>
              </w:tc>
              <w:tc>
                <w:tcPr>
                  <w:tcW w:w="272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p>
              </w:tc>
              <w:tc>
                <w:tcPr>
                  <w:tcW w:w="12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弱</w:t>
                  </w:r>
                </w:p>
              </w:tc>
              <w:tc>
                <w:tcPr>
                  <w:tcW w:w="8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易</w:t>
                  </w:r>
                </w:p>
              </w:tc>
              <w:tc>
                <w:tcPr>
                  <w:tcW w:w="22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p>
              </w:tc>
              <w:tc>
                <w:tcPr>
                  <w:tcW w:w="272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一般防渗区</w:t>
                  </w:r>
                </w:p>
              </w:tc>
              <w:tc>
                <w:tcPr>
                  <w:tcW w:w="12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弱</w:t>
                  </w:r>
                </w:p>
              </w:tc>
              <w:tc>
                <w:tcPr>
                  <w:tcW w:w="8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易-难</w:t>
                  </w:r>
                </w:p>
              </w:tc>
              <w:tc>
                <w:tcPr>
                  <w:tcW w:w="223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其他类型</w:t>
                  </w:r>
                </w:p>
              </w:tc>
              <w:tc>
                <w:tcPr>
                  <w:tcW w:w="272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等效黏土防渗层Mb≥1.5m，K≤1×10</w:t>
                  </w:r>
                  <w:r>
                    <w:rPr>
                      <w:color w:val="auto"/>
                      <w:sz w:val="21"/>
                      <w:szCs w:val="21"/>
                      <w:vertAlign w:val="superscript"/>
                    </w:rPr>
                    <w:t>-7</w:t>
                  </w:r>
                  <w:r>
                    <w:rPr>
                      <w:rFonts w:hint="eastAsia"/>
                      <w:color w:val="auto"/>
                      <w:sz w:val="21"/>
                      <w:szCs w:val="21"/>
                    </w:rPr>
                    <w:t>cm/s；或参照GB16889执行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p>
              </w:tc>
              <w:tc>
                <w:tcPr>
                  <w:tcW w:w="12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中-强</w:t>
                  </w:r>
                </w:p>
              </w:tc>
              <w:tc>
                <w:tcPr>
                  <w:tcW w:w="8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难</w:t>
                  </w:r>
                </w:p>
              </w:tc>
              <w:tc>
                <w:tcPr>
                  <w:tcW w:w="22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p>
              </w:tc>
              <w:tc>
                <w:tcPr>
                  <w:tcW w:w="272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p>
              </w:tc>
              <w:tc>
                <w:tcPr>
                  <w:tcW w:w="12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中</w:t>
                  </w:r>
                </w:p>
              </w:tc>
              <w:tc>
                <w:tcPr>
                  <w:tcW w:w="8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易</w:t>
                  </w:r>
                </w:p>
              </w:tc>
              <w:tc>
                <w:tcPr>
                  <w:tcW w:w="223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重金属、持久性有机污染物</w:t>
                  </w:r>
                </w:p>
              </w:tc>
              <w:tc>
                <w:tcPr>
                  <w:tcW w:w="272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p>
              </w:tc>
              <w:tc>
                <w:tcPr>
                  <w:tcW w:w="12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强</w:t>
                  </w:r>
                </w:p>
              </w:tc>
              <w:tc>
                <w:tcPr>
                  <w:tcW w:w="8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易</w:t>
                  </w:r>
                </w:p>
              </w:tc>
              <w:tc>
                <w:tcPr>
                  <w:tcW w:w="22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p>
              </w:tc>
              <w:tc>
                <w:tcPr>
                  <w:tcW w:w="272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简单防渗区</w:t>
                  </w:r>
                </w:p>
              </w:tc>
              <w:tc>
                <w:tcPr>
                  <w:tcW w:w="12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中-强</w:t>
                  </w:r>
                </w:p>
              </w:tc>
              <w:tc>
                <w:tcPr>
                  <w:tcW w:w="8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易</w:t>
                  </w:r>
                </w:p>
              </w:tc>
              <w:tc>
                <w:tcPr>
                  <w:tcW w:w="223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其他类型</w:t>
                  </w:r>
                </w:p>
              </w:tc>
              <w:tc>
                <w:tcPr>
                  <w:tcW w:w="272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一般地面硬化</w:t>
                  </w:r>
                </w:p>
              </w:tc>
            </w:tr>
          </w:tbl>
          <w:p>
            <w:pPr>
              <w:keepNext w:val="0"/>
              <w:keepLines w:val="0"/>
              <w:pageBreakBefore w:val="0"/>
              <w:widowControl/>
              <w:suppressLineNumbers w:val="0"/>
              <w:kinsoku/>
              <w:wordWrap/>
              <w:overflowPunct/>
              <w:topLinePunct w:val="0"/>
              <w:autoSpaceDE/>
              <w:autoSpaceDN/>
              <w:bidi w:val="0"/>
              <w:adjustRightInd/>
              <w:snapToGrid/>
              <w:spacing w:before="164" w:beforeLines="50"/>
              <w:jc w:val="both"/>
              <w:textAlignment w:val="auto"/>
              <w:rPr>
                <w:rFonts w:hint="default" w:ascii="Times New Roman" w:hAnsi="Times New Roman" w:cs="Times New Roman"/>
                <w:color w:val="auto"/>
                <w:kern w:val="2"/>
              </w:rPr>
            </w:pPr>
            <w:r>
              <w:rPr>
                <w:rFonts w:hint="default" w:ascii="Times New Roman" w:hAnsi="Times New Roman" w:eastAsia="宋体" w:cs="Times New Roman"/>
                <w:color w:val="auto"/>
                <w:kern w:val="2"/>
                <w:sz w:val="24"/>
                <w:szCs w:val="24"/>
                <w:lang w:val="en-US" w:eastAsia="zh-CN" w:bidi="ar"/>
              </w:rPr>
              <w:t>依据表4-1</w:t>
            </w:r>
            <w:r>
              <w:rPr>
                <w:rFonts w:hint="eastAsia" w:eastAsia="宋体" w:cs="Times New Roman"/>
                <w:color w:val="auto"/>
                <w:kern w:val="2"/>
                <w:sz w:val="24"/>
                <w:szCs w:val="24"/>
                <w:lang w:val="en-US" w:eastAsia="zh-CN" w:bidi="ar"/>
              </w:rPr>
              <w:t>9</w:t>
            </w:r>
            <w:r>
              <w:rPr>
                <w:rFonts w:hint="default" w:ascii="Times New Roman" w:hAnsi="Times New Roman" w:eastAsia="宋体" w:cs="Times New Roman"/>
                <w:color w:val="auto"/>
                <w:kern w:val="2"/>
                <w:sz w:val="24"/>
                <w:szCs w:val="24"/>
                <w:lang w:val="en-US" w:eastAsia="zh-CN" w:bidi="ar"/>
              </w:rPr>
              <w:t>划分要求及本项目污染物产生、处理的过程环节，结合场区的总平面布置情况，将厂区分为重点防渗区、一般防渗区及简单防渗区，本项目防渗要求见表4-</w:t>
            </w:r>
            <w:r>
              <w:rPr>
                <w:rFonts w:hint="eastAsia" w:eastAsia="宋体" w:cs="Times New Roman"/>
                <w:color w:val="auto"/>
                <w:kern w:val="2"/>
                <w:sz w:val="24"/>
                <w:szCs w:val="24"/>
                <w:lang w:val="en-US" w:eastAsia="zh-CN" w:bidi="ar"/>
              </w:rPr>
              <w:t>20</w:t>
            </w:r>
            <w:r>
              <w:rPr>
                <w:rFonts w:hint="default" w:ascii="Times New Roman" w:hAnsi="Times New Roman" w:eastAsia="宋体" w:cs="Times New Roman"/>
                <w:color w:val="auto"/>
                <w:kern w:val="2"/>
                <w:sz w:val="24"/>
                <w:szCs w:val="24"/>
                <w:lang w:val="en-US" w:eastAsia="zh-CN" w:bidi="ar"/>
              </w:rPr>
              <w:t>。</w:t>
            </w:r>
          </w:p>
          <w:p>
            <w:pPr>
              <w:keepNext w:val="0"/>
              <w:keepLines w:val="0"/>
              <w:widowControl/>
              <w:suppressLineNumbers w:val="0"/>
              <w:ind w:left="0" w:leftChars="0" w:firstLine="0" w:firstLineChars="0"/>
              <w:jc w:val="center"/>
              <w:rPr>
                <w:color w:val="auto"/>
                <w:sz w:val="21"/>
                <w:szCs w:val="21"/>
              </w:rPr>
            </w:pPr>
            <w:r>
              <w:rPr>
                <w:rFonts w:hint="eastAsia" w:ascii="宋体" w:hAnsi="宋体" w:eastAsia="宋体" w:cs="宋体"/>
                <w:b/>
                <w:color w:val="auto"/>
                <w:kern w:val="0"/>
                <w:sz w:val="21"/>
                <w:szCs w:val="21"/>
                <w:lang w:val="en-US" w:eastAsia="zh-CN" w:bidi="ar"/>
              </w:rPr>
              <w:t>表</w:t>
            </w:r>
            <w:r>
              <w:rPr>
                <w:rFonts w:hint="default" w:ascii="Times New Roman" w:hAnsi="Times New Roman" w:eastAsia="宋体" w:cs="Times New Roman"/>
                <w:b/>
                <w:color w:val="auto"/>
                <w:kern w:val="0"/>
                <w:sz w:val="21"/>
                <w:szCs w:val="21"/>
                <w:lang w:val="en-US" w:eastAsia="zh-CN" w:bidi="ar"/>
              </w:rPr>
              <w:t>4-</w:t>
            </w:r>
            <w:r>
              <w:rPr>
                <w:rFonts w:hint="eastAsia" w:eastAsia="宋体" w:cs="Times New Roman"/>
                <w:b/>
                <w:color w:val="auto"/>
                <w:kern w:val="0"/>
                <w:sz w:val="21"/>
                <w:szCs w:val="21"/>
                <w:lang w:val="en-US" w:eastAsia="zh-CN" w:bidi="ar"/>
              </w:rPr>
              <w:t>20</w:t>
            </w:r>
            <w:r>
              <w:rPr>
                <w:rFonts w:hint="eastAsia" w:ascii="宋体" w:hAnsi="宋体" w:eastAsia="宋体" w:cs="宋体"/>
                <w:b/>
                <w:color w:val="auto"/>
                <w:kern w:val="0"/>
                <w:sz w:val="21"/>
                <w:szCs w:val="21"/>
                <w:lang w:val="en-US" w:eastAsia="zh-CN" w:bidi="ar"/>
              </w:rPr>
              <w:t>项目防渗措施汇总表</w:t>
            </w:r>
          </w:p>
          <w:tbl>
            <w:tblPr>
              <w:tblStyle w:val="38"/>
              <w:tblW w:w="84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921"/>
              <w:gridCol w:w="4326"/>
              <w:gridCol w:w="2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6"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Theme="minorEastAsia"/>
                      <w:b/>
                      <w:bCs/>
                      <w:color w:val="auto"/>
                      <w:sz w:val="21"/>
                      <w:szCs w:val="21"/>
                      <w:vertAlign w:val="baseline"/>
                      <w:lang w:val="en-US" w:eastAsia="zh-CN"/>
                    </w:rPr>
                  </w:pPr>
                  <w:r>
                    <w:rPr>
                      <w:rFonts w:hint="eastAsia"/>
                      <w:b/>
                      <w:bCs/>
                      <w:color w:val="auto"/>
                      <w:sz w:val="21"/>
                      <w:szCs w:val="21"/>
                      <w:vertAlign w:val="baseline"/>
                      <w:lang w:val="en-US" w:eastAsia="zh-CN"/>
                    </w:rPr>
                    <w:t>防渗分区</w:t>
                  </w:r>
                </w:p>
              </w:tc>
              <w:tc>
                <w:tcPr>
                  <w:tcW w:w="4326"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Theme="minorEastAsia"/>
                      <w:b/>
                      <w:bCs/>
                      <w:color w:val="auto"/>
                      <w:sz w:val="21"/>
                      <w:szCs w:val="21"/>
                      <w:vertAlign w:val="baseline"/>
                      <w:lang w:val="en-US" w:eastAsia="zh-CN"/>
                    </w:rPr>
                  </w:pPr>
                  <w:r>
                    <w:rPr>
                      <w:rFonts w:hint="eastAsia"/>
                      <w:b/>
                      <w:bCs/>
                      <w:color w:val="auto"/>
                      <w:sz w:val="21"/>
                      <w:szCs w:val="21"/>
                      <w:vertAlign w:val="baseline"/>
                      <w:lang w:val="en-US" w:eastAsia="zh-CN"/>
                    </w:rPr>
                    <w:t>防渗措施</w:t>
                  </w:r>
                </w:p>
              </w:tc>
              <w:tc>
                <w:tcPr>
                  <w:tcW w:w="2359"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Theme="minorEastAsia"/>
                      <w:b/>
                      <w:bCs/>
                      <w:color w:val="auto"/>
                      <w:sz w:val="21"/>
                      <w:szCs w:val="21"/>
                      <w:vertAlign w:val="baseline"/>
                      <w:lang w:val="en-US" w:eastAsia="zh-CN"/>
                    </w:rPr>
                  </w:pPr>
                  <w:r>
                    <w:rPr>
                      <w:rFonts w:hint="eastAsia"/>
                      <w:b/>
                      <w:bCs/>
                      <w:color w:val="auto"/>
                      <w:sz w:val="21"/>
                      <w:szCs w:val="21"/>
                      <w:vertAlign w:val="baseline"/>
                      <w:lang w:val="en-US" w:eastAsia="zh-CN"/>
                    </w:rPr>
                    <w:t>防渗要求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Theme="minorEastAsia"/>
                      <w:color w:val="auto"/>
                      <w:sz w:val="21"/>
                      <w:szCs w:val="21"/>
                      <w:vertAlign w:val="baseline"/>
                      <w:lang w:val="en-US" w:eastAsia="zh-CN"/>
                    </w:rPr>
                  </w:pPr>
                  <w:r>
                    <w:rPr>
                      <w:rFonts w:hint="eastAsia"/>
                      <w:color w:val="auto"/>
                      <w:sz w:val="21"/>
                      <w:szCs w:val="21"/>
                      <w:vertAlign w:val="baseline"/>
                      <w:lang w:val="en-US" w:eastAsia="zh-CN"/>
                    </w:rPr>
                    <w:t>重点防渗区</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Theme="minorEastAsia"/>
                      <w:color w:val="auto"/>
                      <w:sz w:val="21"/>
                      <w:szCs w:val="21"/>
                      <w:vertAlign w:val="baseline"/>
                      <w:lang w:val="en-US" w:eastAsia="zh-CN"/>
                    </w:rPr>
                  </w:pPr>
                  <w:r>
                    <w:rPr>
                      <w:rFonts w:hint="eastAsia"/>
                      <w:color w:val="auto"/>
                      <w:sz w:val="21"/>
                      <w:szCs w:val="21"/>
                      <w:vertAlign w:val="baseline"/>
                      <w:lang w:val="en-US" w:eastAsia="zh-CN"/>
                    </w:rPr>
                    <w:t>医疗废物暂存间</w:t>
                  </w:r>
                </w:p>
              </w:tc>
              <w:tc>
                <w:tcPr>
                  <w:tcW w:w="4326" w:type="dxa"/>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color w:val="auto"/>
                      <w:sz w:val="21"/>
                      <w:szCs w:val="21"/>
                      <w:vertAlign w:val="baseline"/>
                    </w:rPr>
                  </w:pPr>
                  <w:r>
                    <w:rPr>
                      <w:rFonts w:hint="eastAsia" w:ascii="宋体" w:hAnsi="宋体" w:eastAsia="宋体" w:cs="宋体"/>
                      <w:color w:val="auto"/>
                      <w:kern w:val="0"/>
                      <w:sz w:val="21"/>
                      <w:szCs w:val="21"/>
                      <w:lang w:val="en-US" w:eastAsia="zh-CN" w:bidi="ar"/>
                    </w:rPr>
                    <w:t>根据《危险废物贮存污染控制标准》（</w:t>
                  </w:r>
                  <w:r>
                    <w:rPr>
                      <w:rFonts w:hint="default" w:ascii="Times New Roman" w:hAnsi="Times New Roman" w:eastAsia="宋体" w:cs="Times New Roman"/>
                      <w:color w:val="auto"/>
                      <w:kern w:val="0"/>
                      <w:sz w:val="21"/>
                      <w:szCs w:val="21"/>
                      <w:lang w:val="en-US" w:eastAsia="zh-CN" w:bidi="ar"/>
                    </w:rPr>
                    <w:t>GB18597-2001</w:t>
                  </w:r>
                  <w:r>
                    <w:rPr>
                      <w:rFonts w:hint="eastAsia" w:ascii="宋体" w:hAnsi="宋体" w:eastAsia="宋体" w:cs="宋体"/>
                      <w:color w:val="auto"/>
                      <w:kern w:val="0"/>
                      <w:sz w:val="21"/>
                      <w:szCs w:val="21"/>
                      <w:lang w:val="en-US" w:eastAsia="zh-CN" w:bidi="ar"/>
                    </w:rPr>
                    <w:t>），基础必须防渗，防渗层为至少</w:t>
                  </w:r>
                  <w:r>
                    <w:rPr>
                      <w:rFonts w:hint="default" w:ascii="Times New Roman" w:hAnsi="Times New Roman" w:eastAsia="宋体" w:cs="Times New Roman"/>
                      <w:color w:val="auto"/>
                      <w:kern w:val="0"/>
                      <w:sz w:val="21"/>
                      <w:szCs w:val="21"/>
                      <w:lang w:val="en-US" w:eastAsia="zh-CN" w:bidi="ar"/>
                    </w:rPr>
                    <w:t>1m</w:t>
                  </w:r>
                  <w:r>
                    <w:rPr>
                      <w:rFonts w:hint="eastAsia" w:ascii="宋体" w:hAnsi="宋体" w:eastAsia="宋体" w:cs="宋体"/>
                      <w:color w:val="auto"/>
                      <w:kern w:val="0"/>
                      <w:sz w:val="21"/>
                      <w:szCs w:val="21"/>
                      <w:lang w:val="en-US" w:eastAsia="zh-CN" w:bidi="ar"/>
                    </w:rPr>
                    <w:t>厚粘土层（渗透系数</w:t>
                  </w:r>
                  <w:r>
                    <w:rPr>
                      <w:rFonts w:hint="default" w:ascii="Times New Roman" w:hAnsi="Times New Roman" w:eastAsia="宋体" w:cs="Times New Roman"/>
                      <w:color w:val="auto"/>
                      <w:kern w:val="0"/>
                      <w:sz w:val="21"/>
                      <w:szCs w:val="21"/>
                      <w:lang w:val="en-US" w:eastAsia="zh-CN" w:bidi="ar"/>
                    </w:rPr>
                    <w:t>≤10</w:t>
                  </w:r>
                  <w:r>
                    <w:rPr>
                      <w:rFonts w:hint="default" w:ascii="Times New Roman" w:hAnsi="Times New Roman" w:eastAsia="宋体" w:cs="Times New Roman"/>
                      <w:color w:val="auto"/>
                      <w:kern w:val="0"/>
                      <w:sz w:val="21"/>
                      <w:szCs w:val="21"/>
                      <w:vertAlign w:val="superscript"/>
                      <w:lang w:val="en-US" w:eastAsia="zh-CN" w:bidi="ar"/>
                    </w:rPr>
                    <w:t>-7</w:t>
                  </w:r>
                  <w:r>
                    <w:rPr>
                      <w:rFonts w:hint="default" w:ascii="Times New Roman" w:hAnsi="Times New Roman" w:eastAsia="宋体" w:cs="Times New Roman"/>
                      <w:color w:val="auto"/>
                      <w:kern w:val="0"/>
                      <w:sz w:val="21"/>
                      <w:szCs w:val="21"/>
                      <w:lang w:val="en-US" w:eastAsia="zh-CN" w:bidi="ar"/>
                    </w:rPr>
                    <w:t>cm/s</w:t>
                  </w:r>
                  <w:r>
                    <w:rPr>
                      <w:rFonts w:hint="eastAsia" w:ascii="宋体" w:hAnsi="宋体" w:eastAsia="宋体" w:cs="宋体"/>
                      <w:color w:val="auto"/>
                      <w:kern w:val="0"/>
                      <w:sz w:val="21"/>
                      <w:szCs w:val="21"/>
                      <w:lang w:val="en-US" w:eastAsia="zh-CN" w:bidi="ar"/>
                    </w:rPr>
                    <w:t>），或</w:t>
                  </w:r>
                  <w:r>
                    <w:rPr>
                      <w:rFonts w:hint="default" w:ascii="Times New Roman" w:hAnsi="Times New Roman" w:eastAsia="宋体" w:cs="Times New Roman"/>
                      <w:color w:val="auto"/>
                      <w:kern w:val="0"/>
                      <w:sz w:val="21"/>
                      <w:szCs w:val="21"/>
                      <w:lang w:val="en-US" w:eastAsia="zh-CN" w:bidi="ar"/>
                    </w:rPr>
                    <w:t>2mm</w:t>
                  </w:r>
                  <w:r>
                    <w:rPr>
                      <w:rFonts w:hint="eastAsia" w:ascii="宋体" w:hAnsi="宋体" w:eastAsia="宋体" w:cs="宋体"/>
                      <w:color w:val="auto"/>
                      <w:kern w:val="0"/>
                      <w:sz w:val="21"/>
                      <w:szCs w:val="21"/>
                      <w:lang w:val="en-US" w:eastAsia="zh-CN" w:bidi="ar"/>
                    </w:rPr>
                    <w:t>厚高密度聚乙烯，或至少</w:t>
                  </w:r>
                  <w:r>
                    <w:rPr>
                      <w:rFonts w:hint="default" w:ascii="Times New Roman" w:hAnsi="Times New Roman" w:eastAsia="宋体" w:cs="Times New Roman"/>
                      <w:color w:val="auto"/>
                      <w:kern w:val="0"/>
                      <w:sz w:val="21"/>
                      <w:szCs w:val="21"/>
                      <w:lang w:val="en-US" w:eastAsia="zh-CN" w:bidi="ar"/>
                    </w:rPr>
                    <w:t>2mm</w:t>
                  </w:r>
                  <w:r>
                    <w:rPr>
                      <w:rFonts w:hint="eastAsia" w:ascii="宋体" w:hAnsi="宋体" w:eastAsia="宋体" w:cs="宋体"/>
                      <w:color w:val="auto"/>
                      <w:kern w:val="0"/>
                      <w:sz w:val="21"/>
                      <w:szCs w:val="21"/>
                      <w:lang w:val="en-US" w:eastAsia="zh-CN" w:bidi="ar"/>
                    </w:rPr>
                    <w:t>厚的其他人工材料，渗透系数</w:t>
                  </w:r>
                  <w:r>
                    <w:rPr>
                      <w:rFonts w:hint="default" w:ascii="Times New Roman" w:hAnsi="Times New Roman" w:eastAsia="宋体" w:cs="Times New Roman"/>
                      <w:color w:val="auto"/>
                      <w:kern w:val="0"/>
                      <w:sz w:val="21"/>
                      <w:szCs w:val="21"/>
                      <w:lang w:val="en-US" w:eastAsia="zh-CN" w:bidi="ar"/>
                    </w:rPr>
                    <w:t>≤10</w:t>
                  </w:r>
                  <w:r>
                    <w:rPr>
                      <w:rFonts w:hint="default" w:ascii="Times New Roman" w:hAnsi="Times New Roman" w:eastAsia="宋体" w:cs="Times New Roman"/>
                      <w:color w:val="auto"/>
                      <w:kern w:val="0"/>
                      <w:sz w:val="21"/>
                      <w:szCs w:val="21"/>
                      <w:vertAlign w:val="superscript"/>
                      <w:lang w:val="en-US" w:eastAsia="zh-CN" w:bidi="ar"/>
                    </w:rPr>
                    <w:t>-10</w:t>
                  </w:r>
                  <w:r>
                    <w:rPr>
                      <w:rFonts w:hint="default" w:ascii="Times New Roman" w:hAnsi="Times New Roman" w:eastAsia="宋体" w:cs="Times New Roman"/>
                      <w:color w:val="auto"/>
                      <w:kern w:val="0"/>
                      <w:sz w:val="21"/>
                      <w:szCs w:val="21"/>
                      <w:lang w:val="en-US" w:eastAsia="zh-CN" w:bidi="ar"/>
                    </w:rPr>
                    <w:t>cm/s</w:t>
                  </w:r>
                  <w:r>
                    <w:rPr>
                      <w:rFonts w:hint="eastAsia" w:ascii="宋体" w:hAnsi="宋体" w:eastAsia="宋体" w:cs="宋体"/>
                      <w:color w:val="auto"/>
                      <w:kern w:val="0"/>
                      <w:sz w:val="21"/>
                      <w:szCs w:val="21"/>
                      <w:lang w:val="en-US" w:eastAsia="zh-CN" w:bidi="ar"/>
                    </w:rPr>
                    <w:t>。地面与裙脚要用坚固、防渗、防腐蚀的材料建造。</w:t>
                  </w:r>
                </w:p>
              </w:tc>
              <w:tc>
                <w:tcPr>
                  <w:tcW w:w="2359"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Theme="minorEastAsia"/>
                      <w:color w:val="auto"/>
                      <w:sz w:val="21"/>
                      <w:szCs w:val="21"/>
                      <w:vertAlign w:val="baseline"/>
                      <w:lang w:val="en-US" w:eastAsia="zh-CN"/>
                    </w:rPr>
                  </w:pPr>
                  <w:r>
                    <w:rPr>
                      <w:rFonts w:hint="eastAsia"/>
                      <w:color w:val="auto"/>
                      <w:sz w:val="21"/>
                      <w:szCs w:val="21"/>
                      <w:vertAlign w:val="baseline"/>
                      <w:lang w:val="en-US" w:eastAsia="zh-CN"/>
                    </w:rPr>
                    <w:t>防渗系数</w:t>
                  </w:r>
                  <w:r>
                    <w:rPr>
                      <w:rFonts w:hint="eastAsia"/>
                      <w:color w:val="auto"/>
                      <w:sz w:val="21"/>
                      <w:szCs w:val="21"/>
                    </w:rPr>
                    <w:t>K≤1×10</w:t>
                  </w:r>
                  <w:r>
                    <w:rPr>
                      <w:color w:val="auto"/>
                      <w:sz w:val="21"/>
                      <w:szCs w:val="21"/>
                      <w:vertAlign w:val="superscript"/>
                    </w:rPr>
                    <w:t>-</w:t>
                  </w:r>
                  <w:r>
                    <w:rPr>
                      <w:rFonts w:hint="eastAsia"/>
                      <w:color w:val="auto"/>
                      <w:sz w:val="21"/>
                      <w:szCs w:val="21"/>
                      <w:vertAlign w:val="superscript"/>
                    </w:rPr>
                    <w:t>10</w:t>
                  </w:r>
                  <w:r>
                    <w:rPr>
                      <w:rFonts w:hint="eastAsia"/>
                      <w:color w:val="auto"/>
                      <w:sz w:val="21"/>
                      <w:szCs w:val="21"/>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Theme="minorEastAsia"/>
                      <w:color w:val="auto"/>
                      <w:sz w:val="21"/>
                      <w:szCs w:val="21"/>
                      <w:vertAlign w:val="baseline"/>
                      <w:lang w:val="en-US" w:eastAsia="zh-CN"/>
                    </w:rPr>
                  </w:pPr>
                  <w:r>
                    <w:rPr>
                      <w:rFonts w:hint="eastAsia"/>
                      <w:color w:val="auto"/>
                      <w:sz w:val="21"/>
                      <w:szCs w:val="21"/>
                      <w:vertAlign w:val="baseline"/>
                      <w:lang w:val="en-US" w:eastAsia="zh-CN"/>
                    </w:rPr>
                    <w:t>一般防渗区</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Theme="minorEastAsia"/>
                      <w:color w:val="auto"/>
                      <w:sz w:val="21"/>
                      <w:szCs w:val="21"/>
                      <w:vertAlign w:val="baseline"/>
                      <w:lang w:val="en-US" w:eastAsia="zh-CN"/>
                    </w:rPr>
                  </w:pPr>
                  <w:r>
                    <w:rPr>
                      <w:rFonts w:hint="eastAsia"/>
                      <w:color w:val="auto"/>
                      <w:sz w:val="21"/>
                      <w:szCs w:val="21"/>
                      <w:vertAlign w:val="baseline"/>
                      <w:lang w:val="en-US" w:eastAsia="zh-CN"/>
                    </w:rPr>
                    <w:t>污水处理站</w:t>
                  </w:r>
                </w:p>
              </w:tc>
              <w:tc>
                <w:tcPr>
                  <w:tcW w:w="432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olor w:val="auto"/>
                      <w:sz w:val="21"/>
                      <w:szCs w:val="21"/>
                      <w:vertAlign w:val="baseline"/>
                    </w:rPr>
                  </w:pPr>
                  <w:r>
                    <w:rPr>
                      <w:rFonts w:hint="eastAsia" w:ascii="宋体" w:hAnsi="宋体" w:eastAsia="宋体" w:cs="宋体"/>
                      <w:color w:val="auto"/>
                      <w:kern w:val="0"/>
                      <w:sz w:val="21"/>
                      <w:szCs w:val="21"/>
                      <w:lang w:val="en-US" w:eastAsia="zh-CN" w:bidi="ar"/>
                    </w:rPr>
                    <w:t>基础铺设</w:t>
                  </w:r>
                  <w:r>
                    <w:rPr>
                      <w:rFonts w:hint="default" w:ascii="Times New Roman" w:hAnsi="Times New Roman" w:eastAsia="宋体" w:cs="Times New Roman"/>
                      <w:color w:val="auto"/>
                      <w:kern w:val="0"/>
                      <w:sz w:val="21"/>
                      <w:szCs w:val="21"/>
                      <w:lang w:val="en-US" w:eastAsia="zh-CN" w:bidi="ar"/>
                    </w:rPr>
                    <w:t>10cm</w:t>
                  </w:r>
                  <w:r>
                    <w:rPr>
                      <w:rFonts w:hint="eastAsia" w:ascii="宋体" w:hAnsi="宋体" w:eastAsia="宋体" w:cs="宋体"/>
                      <w:color w:val="auto"/>
                      <w:kern w:val="0"/>
                      <w:sz w:val="21"/>
                      <w:szCs w:val="21"/>
                      <w:lang w:val="en-US" w:eastAsia="zh-CN" w:bidi="ar"/>
                    </w:rPr>
                    <w:t>厚三合土夯实，上层为</w:t>
                  </w:r>
                  <w:r>
                    <w:rPr>
                      <w:rFonts w:hint="default" w:ascii="Times New Roman" w:hAnsi="Times New Roman" w:eastAsia="宋体" w:cs="Times New Roman"/>
                      <w:color w:val="auto"/>
                      <w:kern w:val="0"/>
                      <w:sz w:val="21"/>
                      <w:szCs w:val="21"/>
                      <w:lang w:val="en-US" w:eastAsia="zh-CN" w:bidi="ar"/>
                    </w:rPr>
                    <w:t>15cm</w:t>
                  </w:r>
                  <w:r>
                    <w:rPr>
                      <w:rFonts w:hint="eastAsia" w:ascii="宋体" w:hAnsi="宋体" w:eastAsia="宋体" w:cs="宋体"/>
                      <w:color w:val="auto"/>
                      <w:kern w:val="0"/>
                      <w:sz w:val="21"/>
                      <w:szCs w:val="21"/>
                      <w:lang w:val="en-US" w:eastAsia="zh-CN" w:bidi="ar"/>
                    </w:rPr>
                    <w:t>厚水泥硬化，四周用砖砌再用水泥硬化防渗</w:t>
                  </w:r>
                </w:p>
              </w:tc>
              <w:tc>
                <w:tcPr>
                  <w:tcW w:w="235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olor w:val="auto"/>
                      <w:sz w:val="21"/>
                      <w:szCs w:val="21"/>
                      <w:vertAlign w:val="baseline"/>
                    </w:rPr>
                  </w:pPr>
                  <w:r>
                    <w:rPr>
                      <w:rFonts w:hint="eastAsia" w:ascii="宋体" w:hAnsi="宋体" w:eastAsia="宋体" w:cs="宋体"/>
                      <w:color w:val="auto"/>
                      <w:kern w:val="0"/>
                      <w:sz w:val="21"/>
                      <w:szCs w:val="21"/>
                      <w:lang w:val="en-US" w:eastAsia="zh-CN" w:bidi="ar"/>
                    </w:rPr>
                    <w:t>等效黏土防渗层</w:t>
                  </w:r>
                  <w:r>
                    <w:rPr>
                      <w:rFonts w:hint="default" w:ascii="Times New Roman" w:hAnsi="Times New Roman" w:eastAsia="宋体" w:cs="Times New Roman"/>
                      <w:color w:val="auto"/>
                      <w:kern w:val="0"/>
                      <w:sz w:val="21"/>
                      <w:szCs w:val="21"/>
                      <w:lang w:val="en-US" w:eastAsia="zh-CN" w:bidi="ar"/>
                    </w:rPr>
                    <w:t>Mb≥1.5m</w:t>
                  </w:r>
                  <w:r>
                    <w:rPr>
                      <w:rFonts w:hint="eastAsia"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K≤1×10</w:t>
                  </w:r>
                  <w:r>
                    <w:rPr>
                      <w:rFonts w:hint="default" w:ascii="Times New Roman" w:hAnsi="Times New Roman" w:eastAsia="宋体" w:cs="Times New Roman"/>
                      <w:color w:val="auto"/>
                      <w:kern w:val="0"/>
                      <w:sz w:val="21"/>
                      <w:szCs w:val="21"/>
                      <w:vertAlign w:val="superscript"/>
                      <w:lang w:val="en-US" w:eastAsia="zh-CN" w:bidi="ar"/>
                    </w:rPr>
                    <w:t>-7</w:t>
                  </w:r>
                  <w:r>
                    <w:rPr>
                      <w:rFonts w:hint="default" w:ascii="Times New Roman" w:hAnsi="Times New Roman" w:eastAsia="宋体" w:cs="Times New Roman"/>
                      <w:color w:val="auto"/>
                      <w:kern w:val="0"/>
                      <w:sz w:val="21"/>
                      <w:szCs w:val="21"/>
                      <w:lang w:val="en-US" w:eastAsia="zh-CN" w:bidi="ar"/>
                    </w:rPr>
                    <w:t>cm/s</w:t>
                  </w:r>
                  <w:r>
                    <w:rPr>
                      <w:rFonts w:hint="eastAsia" w:ascii="宋体" w:hAnsi="宋体" w:eastAsia="宋体" w:cs="宋体"/>
                      <w:color w:val="auto"/>
                      <w:kern w:val="0"/>
                      <w:sz w:val="21"/>
                      <w:szCs w:val="21"/>
                      <w:lang w:val="en-US" w:eastAsia="zh-CN" w:bidi="ar"/>
                    </w:rPr>
                    <w:t>；或参照</w:t>
                  </w:r>
                  <w:r>
                    <w:rPr>
                      <w:rFonts w:hint="default" w:ascii="Times New Roman" w:hAnsi="Times New Roman" w:eastAsia="宋体" w:cs="Times New Roman"/>
                      <w:color w:val="auto"/>
                      <w:kern w:val="0"/>
                      <w:sz w:val="21"/>
                      <w:szCs w:val="21"/>
                      <w:lang w:val="en-US" w:eastAsia="zh-CN" w:bidi="ar"/>
                    </w:rPr>
                    <w:t xml:space="preserve">GB16889 </w:t>
                  </w:r>
                  <w:r>
                    <w:rPr>
                      <w:rFonts w:hint="eastAsia" w:ascii="宋体" w:hAnsi="宋体" w:eastAsia="宋体" w:cs="宋体"/>
                      <w:color w:val="auto"/>
                      <w:kern w:val="0"/>
                      <w:sz w:val="21"/>
                      <w:szCs w:val="21"/>
                      <w:lang w:val="en-US" w:eastAsia="zh-CN" w:bidi="ar"/>
                    </w:rPr>
                    <w:t>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Theme="minorEastAsia"/>
                      <w:color w:val="auto"/>
                      <w:sz w:val="21"/>
                      <w:szCs w:val="21"/>
                      <w:vertAlign w:val="baseline"/>
                      <w:lang w:val="en-US" w:eastAsia="zh-CN"/>
                    </w:rPr>
                  </w:pPr>
                  <w:r>
                    <w:rPr>
                      <w:rFonts w:hint="eastAsia"/>
                      <w:color w:val="auto"/>
                      <w:sz w:val="21"/>
                      <w:szCs w:val="21"/>
                      <w:vertAlign w:val="baseline"/>
                      <w:lang w:val="en-US" w:eastAsia="zh-CN"/>
                    </w:rPr>
                    <w:t>简单防渗区</w:t>
                  </w:r>
                </w:p>
              </w:tc>
              <w:tc>
                <w:tcPr>
                  <w:tcW w:w="921"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Theme="minorEastAsia"/>
                      <w:color w:val="auto"/>
                      <w:sz w:val="21"/>
                      <w:szCs w:val="21"/>
                      <w:vertAlign w:val="baseline"/>
                      <w:lang w:val="en-US" w:eastAsia="zh-CN"/>
                    </w:rPr>
                  </w:pPr>
                  <w:r>
                    <w:rPr>
                      <w:rFonts w:hint="eastAsia"/>
                      <w:color w:val="auto"/>
                      <w:sz w:val="21"/>
                      <w:szCs w:val="21"/>
                      <w:vertAlign w:val="baseline"/>
                      <w:lang w:val="en-US" w:eastAsia="zh-CN"/>
                    </w:rPr>
                    <w:t>生活办公区</w:t>
                  </w:r>
                </w:p>
              </w:tc>
              <w:tc>
                <w:tcPr>
                  <w:tcW w:w="4326" w:type="dxa"/>
                </w:tcPr>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eastAsia"/>
                      <w:color w:val="auto"/>
                      <w:sz w:val="21"/>
                      <w:szCs w:val="21"/>
                      <w:vertAlign w:val="baseline"/>
                    </w:rPr>
                  </w:pPr>
                  <w:r>
                    <w:rPr>
                      <w:rFonts w:hint="eastAsia" w:ascii="宋体" w:hAnsi="宋体" w:eastAsia="宋体" w:cs="宋体"/>
                      <w:color w:val="auto"/>
                      <w:kern w:val="0"/>
                      <w:sz w:val="21"/>
                      <w:szCs w:val="21"/>
                      <w:lang w:val="en-US" w:eastAsia="zh-CN" w:bidi="ar"/>
                    </w:rPr>
                    <w:t>除绿化区全部进行水泥硬化处理，基础采用</w:t>
                  </w:r>
                  <w:r>
                    <w:rPr>
                      <w:rFonts w:hint="default" w:ascii="宋体" w:hAnsi="宋体" w:eastAsia="宋体" w:cs="宋体"/>
                      <w:color w:val="auto"/>
                      <w:kern w:val="0"/>
                      <w:sz w:val="21"/>
                      <w:szCs w:val="21"/>
                      <w:lang w:val="en-US" w:eastAsia="zh-CN" w:bidi="ar"/>
                    </w:rPr>
                    <w:t>10cm</w:t>
                  </w:r>
                  <w:r>
                    <w:rPr>
                      <w:rFonts w:hint="eastAsia" w:ascii="宋体" w:hAnsi="宋体" w:eastAsia="宋体" w:cs="宋体"/>
                      <w:color w:val="auto"/>
                      <w:kern w:val="0"/>
                      <w:sz w:val="21"/>
                      <w:szCs w:val="21"/>
                      <w:lang w:val="en-US" w:eastAsia="zh-CN" w:bidi="ar"/>
                    </w:rPr>
                    <w:t>厚三合土，上层为</w:t>
                  </w:r>
                  <w:r>
                    <w:rPr>
                      <w:rFonts w:hint="default" w:ascii="宋体" w:hAnsi="宋体" w:eastAsia="宋体" w:cs="宋体"/>
                      <w:color w:val="auto"/>
                      <w:kern w:val="0"/>
                      <w:sz w:val="21"/>
                      <w:szCs w:val="21"/>
                      <w:lang w:val="en-US" w:eastAsia="zh-CN" w:bidi="ar"/>
                    </w:rPr>
                    <w:t>10cm</w:t>
                  </w:r>
                  <w:r>
                    <w:rPr>
                      <w:rFonts w:hint="eastAsia" w:ascii="宋体" w:hAnsi="宋体" w:eastAsia="宋体" w:cs="宋体"/>
                      <w:color w:val="auto"/>
                      <w:kern w:val="0"/>
                      <w:sz w:val="21"/>
                      <w:szCs w:val="21"/>
                      <w:lang w:val="en-US" w:eastAsia="zh-CN" w:bidi="ar"/>
                    </w:rPr>
                    <w:t>厚水泥硬化</w:t>
                  </w:r>
                </w:p>
              </w:tc>
              <w:tc>
                <w:tcPr>
                  <w:tcW w:w="2359"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eastAsiaTheme="minorEastAsia"/>
                      <w:color w:val="auto"/>
                      <w:sz w:val="21"/>
                      <w:szCs w:val="21"/>
                      <w:vertAlign w:val="baseline"/>
                      <w:lang w:val="en-US" w:eastAsia="zh-CN"/>
                    </w:rPr>
                  </w:pPr>
                  <w:r>
                    <w:rPr>
                      <w:rFonts w:hint="eastAsia"/>
                      <w:color w:val="auto"/>
                      <w:sz w:val="21"/>
                      <w:szCs w:val="21"/>
                      <w:vertAlign w:val="baseline"/>
                      <w:lang w:val="en-US" w:eastAsia="zh-CN"/>
                    </w:rPr>
                    <w:t>一般地面硬化</w:t>
                  </w:r>
                </w:p>
              </w:tc>
            </w:tr>
          </w:tbl>
          <w:p>
            <w:pPr>
              <w:ind w:firstLine="480"/>
              <w:rPr>
                <w:rFonts w:hint="eastAsia" w:ascii="Times New Roman" w:hAnsi="Times New Roman"/>
                <w:color w:val="auto"/>
              </w:rPr>
            </w:pPr>
            <w:r>
              <w:rPr>
                <w:rFonts w:hint="eastAsia" w:ascii="Times New Roman" w:hAnsi="Times New Roman"/>
                <w:color w:val="auto"/>
                <w:lang w:val="en-US" w:eastAsia="zh-CN"/>
              </w:rPr>
              <w:t>综上所述，只要做好以上保护措施，做好防渗漏处理，并加强监督和管理，项目营运期不会对周围地下水环境产生影响。</w:t>
            </w:r>
          </w:p>
          <w:p>
            <w:pPr>
              <w:pStyle w:val="34"/>
              <w:ind w:firstLine="482"/>
              <w:rPr>
                <w:color w:val="auto"/>
              </w:rPr>
            </w:pPr>
            <w:r>
              <w:rPr>
                <w:rFonts w:hint="eastAsia"/>
                <w:color w:val="auto"/>
                <w:lang w:val="en-US" w:eastAsia="zh-CN"/>
              </w:rPr>
              <w:t>6</w:t>
            </w:r>
            <w:r>
              <w:rPr>
                <w:rFonts w:hint="eastAsia"/>
                <w:color w:val="auto"/>
              </w:rPr>
              <w:t>、环境风险</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bCs/>
                <w:color w:val="auto"/>
                <w:sz w:val="24"/>
                <w:szCs w:val="24"/>
                <w:lang w:val="en-US" w:eastAsia="zh-CN"/>
              </w:rPr>
            </w:pPr>
            <w:r>
              <w:rPr>
                <w:rFonts w:hint="eastAsia"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建设项目风险源调查</w:t>
            </w:r>
          </w:p>
          <w:p>
            <w:pPr>
              <w:keepNext w:val="0"/>
              <w:keepLines w:val="0"/>
              <w:widowControl/>
              <w:suppressLineNumbers w:val="0"/>
              <w:jc w:val="both"/>
              <w:rPr>
                <w:rFonts w:hint="default" w:ascii="Times New Roman" w:hAnsi="Times New Roman" w:eastAsia="宋体" w:cs="Times New Roman"/>
                <w:color w:val="auto"/>
                <w:sz w:val="24"/>
                <w:szCs w:val="24"/>
                <w:lang w:val="en-US" w:eastAsia="zh-CN"/>
              </w:rPr>
            </w:pPr>
            <w:r>
              <w:rPr>
                <w:rFonts w:hint="eastAsia" w:ascii="宋体" w:hAnsi="宋体" w:eastAsia="宋体" w:cs="宋体"/>
                <w:color w:val="auto"/>
                <w:kern w:val="0"/>
                <w:sz w:val="24"/>
                <w:szCs w:val="24"/>
                <w:lang w:val="en-US" w:eastAsia="zh-CN" w:bidi="ar"/>
              </w:rPr>
              <w:t>本项目涉及的风险源为酒精、柴油和次氯酸钠，其中、柴油、次氯酸钠为危险化学品。</w:t>
            </w:r>
            <w:r>
              <w:rPr>
                <w:rFonts w:hint="default" w:ascii="Times New Roman" w:hAnsi="Times New Roman" w:eastAsia="宋体" w:cs="Times New Roman"/>
                <w:color w:val="auto"/>
                <w:sz w:val="24"/>
                <w:szCs w:val="24"/>
                <w:lang w:val="en-US" w:eastAsia="zh-CN"/>
              </w:rPr>
              <w:t>本项目环境风险源基本情况详见表</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w:t>
            </w:r>
            <w:r>
              <w:rPr>
                <w:rFonts w:hint="eastAsia" w:eastAsia="宋体" w:cs="Times New Roman"/>
                <w:color w:val="auto"/>
                <w:sz w:val="24"/>
                <w:szCs w:val="24"/>
                <w:lang w:val="en-US" w:eastAsia="zh-CN"/>
              </w:rPr>
              <w:t>21</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eastAsia="宋体" w:cs="Times New Roman"/>
                <w:b/>
                <w:bCs/>
                <w:color w:val="auto"/>
                <w:sz w:val="21"/>
                <w:szCs w:val="21"/>
                <w:lang w:val="en-US" w:eastAsia="zh-CN"/>
              </w:rPr>
              <w:t>21</w:t>
            </w:r>
            <w:r>
              <w:rPr>
                <w:rFonts w:hint="default" w:ascii="Times New Roman" w:hAnsi="Times New Roman" w:eastAsia="宋体" w:cs="Times New Roman"/>
                <w:b/>
                <w:bCs/>
                <w:color w:val="auto"/>
                <w:sz w:val="21"/>
                <w:szCs w:val="21"/>
                <w:lang w:val="en-US" w:eastAsia="zh-CN"/>
              </w:rPr>
              <w:t>项目环境风险源基本情况</w:t>
            </w:r>
          </w:p>
          <w:tbl>
            <w:tblPr>
              <w:tblStyle w:val="38"/>
              <w:tblW w:w="8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081"/>
              <w:gridCol w:w="1078"/>
              <w:gridCol w:w="1322"/>
              <w:gridCol w:w="2096"/>
              <w:gridCol w:w="2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firstLine="0" w:firstLineChars="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1081"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firstLine="0" w:firstLineChars="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名称</w:t>
                  </w:r>
                </w:p>
              </w:tc>
              <w:tc>
                <w:tcPr>
                  <w:tcW w:w="107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firstLine="0" w:firstLineChars="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年消耗量（t）</w:t>
                  </w:r>
                </w:p>
              </w:tc>
              <w:tc>
                <w:tcPr>
                  <w:tcW w:w="132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firstLine="0" w:firstLineChars="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最大存储量（t）</w:t>
                  </w:r>
                </w:p>
              </w:tc>
              <w:tc>
                <w:tcPr>
                  <w:tcW w:w="2096"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firstLine="0" w:firstLineChars="0"/>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储存方式</w:t>
                  </w:r>
                </w:p>
              </w:tc>
              <w:tc>
                <w:tcPr>
                  <w:tcW w:w="2257" w:type="dxa"/>
                  <w:tcBorders>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firstLine="0" w:firstLineChars="0"/>
                    <w:jc w:val="center"/>
                    <w:textAlignment w:val="auto"/>
                    <w:outlineLvl w:val="9"/>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081" w:type="dxa"/>
                  <w:noWrap w:val="0"/>
                  <w:vAlign w:val="center"/>
                </w:tcPr>
                <w:p>
                  <w:pPr>
                    <w:keepNext w:val="0"/>
                    <w:keepLines w:val="0"/>
                    <w:pageBreakBefore w:val="0"/>
                    <w:kinsoku/>
                    <w:wordWrap/>
                    <w:overflowPunct/>
                    <w:topLinePunct w:val="0"/>
                    <w:bidi w:val="0"/>
                    <w:spacing w:line="36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酒精</w:t>
                  </w:r>
                </w:p>
              </w:tc>
              <w:tc>
                <w:tcPr>
                  <w:tcW w:w="1078" w:type="dxa"/>
                  <w:noWrap w:val="0"/>
                  <w:vAlign w:val="center"/>
                </w:tcPr>
                <w:p>
                  <w:pPr>
                    <w:pStyle w:val="182"/>
                    <w:keepNext w:val="0"/>
                    <w:keepLines w:val="0"/>
                    <w:pageBreakBefore w:val="0"/>
                    <w:kinsoku/>
                    <w:wordWrap/>
                    <w:overflowPunct/>
                    <w:topLinePunct w:val="0"/>
                    <w:bidi w:val="0"/>
                    <w:adjustRightInd w:val="0"/>
                    <w:snapToGrid w:val="0"/>
                    <w:spacing w:line="36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0.0257</w:t>
                  </w:r>
                </w:p>
              </w:tc>
              <w:tc>
                <w:tcPr>
                  <w:tcW w:w="1322" w:type="dxa"/>
                  <w:noWrap w:val="0"/>
                  <w:vAlign w:val="center"/>
                </w:tcPr>
                <w:p>
                  <w:pPr>
                    <w:pStyle w:val="182"/>
                    <w:keepNext w:val="0"/>
                    <w:keepLines w:val="0"/>
                    <w:pageBreakBefore w:val="0"/>
                    <w:kinsoku/>
                    <w:wordWrap/>
                    <w:overflowPunct/>
                    <w:topLinePunct w:val="0"/>
                    <w:bidi w:val="0"/>
                    <w:adjustRightInd w:val="0"/>
                    <w:snapToGrid w:val="0"/>
                    <w:spacing w:line="36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0.0257</w:t>
                  </w:r>
                </w:p>
              </w:tc>
              <w:tc>
                <w:tcPr>
                  <w:tcW w:w="2096" w:type="dxa"/>
                  <w:noWrap w:val="0"/>
                  <w:vAlign w:val="center"/>
                </w:tcPr>
                <w:p>
                  <w:pPr>
                    <w:pStyle w:val="178"/>
                    <w:keepNext w:val="0"/>
                    <w:keepLines w:val="0"/>
                    <w:pageBreakBefore w:val="0"/>
                    <w:kinsoku/>
                    <w:wordWrap/>
                    <w:overflowPunct/>
                    <w:topLinePunct w:val="0"/>
                    <w:bidi w:val="0"/>
                    <w:snapToGrid w:val="0"/>
                    <w:spacing w:line="36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瓶装（</w:t>
                  </w:r>
                  <w:r>
                    <w:rPr>
                      <w:rFonts w:hint="default" w:ascii="Times New Roman" w:hAnsi="Times New Roman" w:eastAsia="宋体" w:cs="Times New Roman"/>
                      <w:color w:val="auto"/>
                      <w:sz w:val="21"/>
                      <w:szCs w:val="21"/>
                      <w:lang w:val="en-US" w:eastAsia="zh-CN"/>
                    </w:rPr>
                    <w:t>100mL/瓶</w:t>
                  </w:r>
                  <w:r>
                    <w:rPr>
                      <w:rFonts w:hint="default" w:ascii="Times New Roman" w:hAnsi="Times New Roman" w:eastAsia="宋体" w:cs="Times New Roman"/>
                      <w:color w:val="auto"/>
                      <w:sz w:val="21"/>
                      <w:szCs w:val="21"/>
                      <w:lang w:eastAsia="zh-CN"/>
                    </w:rPr>
                    <w:t>）</w:t>
                  </w:r>
                </w:p>
              </w:tc>
              <w:tc>
                <w:tcPr>
                  <w:tcW w:w="2257" w:type="dxa"/>
                  <w:tcBorders>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081" w:type="dxa"/>
                  <w:noWrap w:val="0"/>
                  <w:vAlign w:val="center"/>
                </w:tcPr>
                <w:p>
                  <w:pPr>
                    <w:keepNext w:val="0"/>
                    <w:keepLines w:val="0"/>
                    <w:pageBreakBefore w:val="0"/>
                    <w:kinsoku/>
                    <w:wordWrap/>
                    <w:overflowPunct/>
                    <w:topLinePunct w:val="0"/>
                    <w:bidi w:val="0"/>
                    <w:spacing w:line="36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次氯酸钠</w:t>
                  </w:r>
                </w:p>
              </w:tc>
              <w:tc>
                <w:tcPr>
                  <w:tcW w:w="107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w:t>
                  </w:r>
                </w:p>
              </w:tc>
              <w:tc>
                <w:tcPr>
                  <w:tcW w:w="1322" w:type="dxa"/>
                  <w:noWrap w:val="0"/>
                  <w:vAlign w:val="center"/>
                </w:tcPr>
                <w:p>
                  <w:pPr>
                    <w:pStyle w:val="182"/>
                    <w:keepNext w:val="0"/>
                    <w:keepLines w:val="0"/>
                    <w:pageBreakBefore w:val="0"/>
                    <w:kinsoku/>
                    <w:wordWrap/>
                    <w:overflowPunct/>
                    <w:topLinePunct w:val="0"/>
                    <w:bidi w:val="0"/>
                    <w:adjustRightInd w:val="0"/>
                    <w:snapToGrid w:val="0"/>
                    <w:spacing w:line="36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0.1</w:t>
                  </w:r>
                </w:p>
              </w:tc>
              <w:tc>
                <w:tcPr>
                  <w:tcW w:w="2096" w:type="dxa"/>
                  <w:noWrap w:val="0"/>
                  <w:vAlign w:val="center"/>
                </w:tcPr>
                <w:p>
                  <w:pPr>
                    <w:pStyle w:val="178"/>
                    <w:keepNext w:val="0"/>
                    <w:keepLines w:val="0"/>
                    <w:pageBreakBefore w:val="0"/>
                    <w:kinsoku/>
                    <w:wordWrap/>
                    <w:overflowPunct/>
                    <w:topLinePunct w:val="0"/>
                    <w:bidi w:val="0"/>
                    <w:snapToGrid w:val="0"/>
                    <w:spacing w:line="36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rPr>
                    <w:t>PVC塑料外缠玻璃钢储罐</w:t>
                  </w:r>
                </w:p>
              </w:tc>
              <w:tc>
                <w:tcPr>
                  <w:tcW w:w="2257" w:type="dxa"/>
                  <w:tcBorders>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用于一体化污水处理站消毒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3</w:t>
                  </w:r>
                </w:p>
              </w:tc>
              <w:tc>
                <w:tcPr>
                  <w:tcW w:w="1081" w:type="dxa"/>
                  <w:noWrap w:val="0"/>
                  <w:vAlign w:val="center"/>
                </w:tcPr>
                <w:p>
                  <w:pPr>
                    <w:keepNext w:val="0"/>
                    <w:keepLines w:val="0"/>
                    <w:pageBreakBefore w:val="0"/>
                    <w:kinsoku/>
                    <w:wordWrap/>
                    <w:overflowPunct/>
                    <w:topLinePunct w:val="0"/>
                    <w:bidi w:val="0"/>
                    <w:spacing w:line="360" w:lineRule="auto"/>
                    <w:ind w:firstLine="0" w:firstLineChars="0"/>
                    <w:jc w:val="center"/>
                    <w:rPr>
                      <w:rFonts w:hint="default" w:ascii="Times New Roman" w:hAnsi="Times New Roman" w:eastAsia="宋体" w:cs="Times New Roman"/>
                      <w:color w:val="auto"/>
                      <w:sz w:val="21"/>
                      <w:szCs w:val="21"/>
                      <w:lang w:eastAsia="zh-CN"/>
                    </w:rPr>
                  </w:pPr>
                  <w:r>
                    <w:rPr>
                      <w:rFonts w:hint="eastAsia" w:eastAsia="宋体" w:cs="Times New Roman"/>
                      <w:color w:val="auto"/>
                      <w:sz w:val="21"/>
                      <w:szCs w:val="21"/>
                      <w:lang w:eastAsia="zh-CN"/>
                    </w:rPr>
                    <w:t>柴油</w:t>
                  </w:r>
                </w:p>
              </w:tc>
              <w:tc>
                <w:tcPr>
                  <w:tcW w:w="107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0.1</w:t>
                  </w:r>
                </w:p>
              </w:tc>
              <w:tc>
                <w:tcPr>
                  <w:tcW w:w="1322" w:type="dxa"/>
                  <w:noWrap w:val="0"/>
                  <w:vAlign w:val="center"/>
                </w:tcPr>
                <w:p>
                  <w:pPr>
                    <w:pStyle w:val="182"/>
                    <w:keepNext w:val="0"/>
                    <w:keepLines w:val="0"/>
                    <w:pageBreakBefore w:val="0"/>
                    <w:kinsoku/>
                    <w:wordWrap/>
                    <w:overflowPunct/>
                    <w:topLinePunct w:val="0"/>
                    <w:bidi w:val="0"/>
                    <w:adjustRightInd w:val="0"/>
                    <w:snapToGrid w:val="0"/>
                    <w:spacing w:line="360" w:lineRule="auto"/>
                    <w:ind w:firstLine="0" w:firstLineChars="0"/>
                    <w:rPr>
                      <w:rFonts w:hint="default" w:ascii="Times New Roman" w:hAnsi="Times New Roman" w:eastAsia="宋体" w:cs="Times New Roman"/>
                      <w:b w:val="0"/>
                      <w:bCs w:val="0"/>
                      <w:color w:val="auto"/>
                      <w:sz w:val="21"/>
                      <w:szCs w:val="21"/>
                      <w:lang w:val="en-US" w:eastAsia="zh-CN"/>
                    </w:rPr>
                  </w:pPr>
                  <w:r>
                    <w:rPr>
                      <w:rFonts w:hint="eastAsia" w:hAnsi="Times New Roman" w:eastAsia="宋体" w:cs="Times New Roman"/>
                      <w:b w:val="0"/>
                      <w:bCs w:val="0"/>
                      <w:color w:val="auto"/>
                      <w:sz w:val="21"/>
                      <w:szCs w:val="21"/>
                      <w:lang w:val="en-US" w:eastAsia="zh-CN"/>
                    </w:rPr>
                    <w:t>0.1</w:t>
                  </w:r>
                </w:p>
              </w:tc>
              <w:tc>
                <w:tcPr>
                  <w:tcW w:w="2096" w:type="dxa"/>
                  <w:noWrap w:val="0"/>
                  <w:vAlign w:val="center"/>
                </w:tcPr>
                <w:p>
                  <w:pPr>
                    <w:pStyle w:val="178"/>
                    <w:keepNext w:val="0"/>
                    <w:keepLines w:val="0"/>
                    <w:pageBreakBefore w:val="0"/>
                    <w:kinsoku/>
                    <w:wordWrap/>
                    <w:overflowPunct/>
                    <w:topLinePunct w:val="0"/>
                    <w:bidi w:val="0"/>
                    <w:snapToGrid w:val="0"/>
                    <w:spacing w:line="360" w:lineRule="auto"/>
                    <w:ind w:firstLine="0" w:firstLineChars="0"/>
                    <w:jc w:val="center"/>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eastAsia="zh-CN"/>
                    </w:rPr>
                    <w:t>桶装</w:t>
                  </w:r>
                </w:p>
              </w:tc>
              <w:tc>
                <w:tcPr>
                  <w:tcW w:w="2257" w:type="dxa"/>
                  <w:tcBorders>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auto"/>
                    <w:ind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备用柴油发电机使用</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项目使用</w:t>
            </w:r>
            <w:r>
              <w:rPr>
                <w:rFonts w:hint="eastAsia" w:ascii="Times New Roman" w:hAnsi="Times New Roman" w:eastAsia="宋体" w:cs="Times New Roman"/>
                <w:color w:val="auto"/>
                <w:sz w:val="24"/>
                <w:szCs w:val="24"/>
                <w:lang w:val="en-US" w:eastAsia="zh-CN"/>
              </w:rPr>
              <w:t>的次氯酸钠</w:t>
            </w:r>
            <w:r>
              <w:rPr>
                <w:rFonts w:hint="default" w:ascii="Times New Roman" w:hAnsi="Times New Roman" w:eastAsia="宋体" w:cs="Times New Roman"/>
                <w:color w:val="auto"/>
                <w:sz w:val="24"/>
                <w:szCs w:val="24"/>
                <w:lang w:val="en-US" w:eastAsia="zh-CN"/>
              </w:rPr>
              <w:t>安全技术说明书详见表</w:t>
            </w:r>
            <w:r>
              <w:rPr>
                <w:rFonts w:hint="eastAsia" w:ascii="Times New Roman" w:hAnsi="Times New Roman" w:eastAsia="宋体" w:cs="Times New Roman"/>
                <w:color w:val="auto"/>
                <w:sz w:val="24"/>
                <w:szCs w:val="24"/>
                <w:lang w:val="en-US" w:eastAsia="zh-CN"/>
              </w:rPr>
              <w:t>4-</w:t>
            </w:r>
            <w:r>
              <w:rPr>
                <w:rFonts w:hint="eastAsia" w:eastAsia="宋体" w:cs="Times New Roman"/>
                <w:color w:val="auto"/>
                <w:sz w:val="24"/>
                <w:szCs w:val="24"/>
                <w:lang w:val="en-US" w:eastAsia="zh-CN"/>
              </w:rPr>
              <w:t>22</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 4-</w:t>
            </w:r>
            <w:r>
              <w:rPr>
                <w:rFonts w:hint="eastAsia" w:eastAsia="宋体" w:cs="Times New Roman"/>
                <w:b/>
                <w:bCs/>
                <w:color w:val="auto"/>
                <w:sz w:val="21"/>
                <w:szCs w:val="21"/>
                <w:lang w:val="en-US" w:eastAsia="zh-CN"/>
              </w:rPr>
              <w:t>22</w:t>
            </w:r>
            <w:r>
              <w:rPr>
                <w:rFonts w:hint="eastAsia" w:ascii="Times New Roman" w:hAnsi="Times New Roman" w:eastAsia="宋体" w:cs="Times New Roman"/>
                <w:b/>
                <w:bCs/>
                <w:color w:val="auto"/>
                <w:sz w:val="21"/>
                <w:szCs w:val="21"/>
                <w:lang w:val="en-US" w:eastAsia="zh-CN"/>
              </w:rPr>
              <w:t xml:space="preserve"> 次氯酸钠</w:t>
            </w:r>
            <w:r>
              <w:rPr>
                <w:rFonts w:hint="default" w:ascii="Times New Roman" w:hAnsi="Times New Roman" w:eastAsia="宋体" w:cs="Times New Roman"/>
                <w:b/>
                <w:bCs/>
                <w:color w:val="auto"/>
                <w:sz w:val="21"/>
                <w:szCs w:val="21"/>
                <w:lang w:val="en-US" w:eastAsia="zh-CN"/>
              </w:rPr>
              <w:t>安全技术说明书</w:t>
            </w:r>
          </w:p>
          <w:tbl>
            <w:tblPr>
              <w:tblStyle w:val="38"/>
              <w:tblW w:w="85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668"/>
              <w:gridCol w:w="2324"/>
              <w:gridCol w:w="147"/>
              <w:gridCol w:w="3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988" w:type="dxa"/>
                  <w:vMerge w:val="restart"/>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理化性质</w:t>
                  </w:r>
                </w:p>
              </w:tc>
              <w:tc>
                <w:tcPr>
                  <w:tcW w:w="4139" w:type="dxa"/>
                  <w:gridSpan w:val="3"/>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外观与形状：微黄色液体，有似氯气的气味</w:t>
                  </w:r>
                </w:p>
              </w:tc>
              <w:tc>
                <w:tcPr>
                  <w:tcW w:w="3435" w:type="dxa"/>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引燃温度（℃）：无资料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988" w:type="dxa"/>
                  <w:vMerge w:val="continue"/>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p>
              </w:tc>
              <w:tc>
                <w:tcPr>
                  <w:tcW w:w="4139" w:type="dxa"/>
                  <w:gridSpan w:val="3"/>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熔点（℃）：-6</w:t>
                  </w:r>
                </w:p>
              </w:tc>
              <w:tc>
                <w:tcPr>
                  <w:tcW w:w="3435" w:type="dxa"/>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溶解性：溶于水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88" w:type="dxa"/>
                  <w:vMerge w:val="continue"/>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p>
              </w:tc>
              <w:tc>
                <w:tcPr>
                  <w:tcW w:w="4139" w:type="dxa"/>
                  <w:gridSpan w:val="3"/>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沸点（℃）：102.2</w:t>
                  </w:r>
                </w:p>
              </w:tc>
              <w:tc>
                <w:tcPr>
                  <w:tcW w:w="3435" w:type="dxa"/>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相对密度（水=1）：1.10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88" w:type="dxa"/>
                  <w:vMerge w:val="continue"/>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p>
              </w:tc>
              <w:tc>
                <w:tcPr>
                  <w:tcW w:w="4139" w:type="dxa"/>
                  <w:gridSpan w:val="3"/>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饱和蒸气压（KPa，20℃）：30.66（21℃）</w:t>
                  </w:r>
                </w:p>
              </w:tc>
              <w:tc>
                <w:tcPr>
                  <w:tcW w:w="3435" w:type="dxa"/>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相对蒸汽密度（水=1）：无资料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88" w:type="dxa"/>
                  <w:vMerge w:val="continue"/>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p>
              </w:tc>
              <w:tc>
                <w:tcPr>
                  <w:tcW w:w="4139" w:type="dxa"/>
                  <w:gridSpan w:val="3"/>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临界温度（℃）：无资料</w:t>
                  </w:r>
                </w:p>
              </w:tc>
              <w:tc>
                <w:tcPr>
                  <w:tcW w:w="3435" w:type="dxa"/>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燃烧热（kJ/kg）：无意义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88" w:type="dxa"/>
                  <w:vMerge w:val="continue"/>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p>
              </w:tc>
              <w:tc>
                <w:tcPr>
                  <w:tcW w:w="4139" w:type="dxa"/>
                  <w:gridSpan w:val="3"/>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临界压力（MPa）：无资料</w:t>
                  </w:r>
                </w:p>
              </w:tc>
              <w:tc>
                <w:tcPr>
                  <w:tcW w:w="3435" w:type="dxa"/>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危险性类别：第8.3类，其他腐蚀品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88" w:type="dxa"/>
                  <w:vMerge w:val="continue"/>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p>
              </w:tc>
              <w:tc>
                <w:tcPr>
                  <w:tcW w:w="4139" w:type="dxa"/>
                  <w:gridSpan w:val="3"/>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爆炸上限［%（V/V）］：无意义</w:t>
                  </w:r>
                </w:p>
              </w:tc>
              <w:tc>
                <w:tcPr>
                  <w:tcW w:w="3435" w:type="dxa"/>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爆炸下限［%（V/V）］：无意义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88" w:type="dxa"/>
                  <w:vMerge w:val="restart"/>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稳定性和反应活性</w:t>
                  </w:r>
                </w:p>
              </w:tc>
              <w:tc>
                <w:tcPr>
                  <w:tcW w:w="4139" w:type="dxa"/>
                  <w:gridSpan w:val="3"/>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稳定性：不稳定</w:t>
                  </w:r>
                </w:p>
              </w:tc>
              <w:tc>
                <w:tcPr>
                  <w:tcW w:w="3435" w:type="dxa"/>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 xml:space="preserve">禁配物：碱类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88" w:type="dxa"/>
                  <w:vMerge w:val="continue"/>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p>
              </w:tc>
              <w:tc>
                <w:tcPr>
                  <w:tcW w:w="4139" w:type="dxa"/>
                  <w:gridSpan w:val="3"/>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避免接触的条件：避免与碱类接触</w:t>
                  </w:r>
                </w:p>
              </w:tc>
              <w:tc>
                <w:tcPr>
                  <w:tcW w:w="3435" w:type="dxa"/>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聚合危害：不聚合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88" w:type="dxa"/>
                  <w:vMerge w:val="continue"/>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p>
              </w:tc>
              <w:tc>
                <w:tcPr>
                  <w:tcW w:w="4139" w:type="dxa"/>
                  <w:gridSpan w:val="3"/>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分解产物：氯化氢</w:t>
                  </w:r>
                </w:p>
              </w:tc>
              <w:tc>
                <w:tcPr>
                  <w:tcW w:w="3435" w:type="dxa"/>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988" w:type="dxa"/>
                  <w:vMerge w:val="restart"/>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危险性概述</w:t>
                  </w:r>
                </w:p>
              </w:tc>
              <w:tc>
                <w:tcPr>
                  <w:tcW w:w="1668"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危险性类别</w:t>
                  </w:r>
                </w:p>
              </w:tc>
              <w:tc>
                <w:tcPr>
                  <w:tcW w:w="5906" w:type="dxa"/>
                  <w:gridSpan w:val="3"/>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皮肤腐蚀/刺激，类别1B；严重眼损伤/眼刺激，类别1；危害水生环境—急性危害，类别1；危害水生环境—长期危害，类别1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88" w:type="dxa"/>
                  <w:vMerge w:val="continue"/>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p>
              </w:tc>
              <w:tc>
                <w:tcPr>
                  <w:tcW w:w="1668"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侵入途径</w:t>
                  </w:r>
                </w:p>
              </w:tc>
              <w:tc>
                <w:tcPr>
                  <w:tcW w:w="5906" w:type="dxa"/>
                  <w:gridSpan w:val="3"/>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吸入、食入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988" w:type="dxa"/>
                  <w:vMerge w:val="continue"/>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p>
              </w:tc>
              <w:tc>
                <w:tcPr>
                  <w:tcW w:w="1668"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健康危害</w:t>
                  </w:r>
                </w:p>
              </w:tc>
              <w:tc>
                <w:tcPr>
                  <w:tcW w:w="5906" w:type="dxa"/>
                  <w:gridSpan w:val="3"/>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经常用手接触本品的工人，手掌大量出汗，指甲变薄，毛发脱落。本品有致敏作用。本品放出的游离氯有可能引起中毒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88" w:type="dxa"/>
                  <w:vMerge w:val="continue"/>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p>
              </w:tc>
              <w:tc>
                <w:tcPr>
                  <w:tcW w:w="1668"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环境危害</w:t>
                  </w:r>
                </w:p>
              </w:tc>
              <w:tc>
                <w:tcPr>
                  <w:tcW w:w="5906" w:type="dxa"/>
                  <w:gridSpan w:val="3"/>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对水可造成污染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88" w:type="dxa"/>
                  <w:vMerge w:val="continue"/>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p>
              </w:tc>
              <w:tc>
                <w:tcPr>
                  <w:tcW w:w="1668"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燃爆危害</w:t>
                  </w:r>
                </w:p>
              </w:tc>
              <w:tc>
                <w:tcPr>
                  <w:tcW w:w="5906" w:type="dxa"/>
                  <w:gridSpan w:val="3"/>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本品不燃，具腐蚀性，可致人体灼伤，具致敏性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88" w:type="dxa"/>
                  <w:vMerge w:val="restart"/>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急救措施</w:t>
                  </w:r>
                </w:p>
              </w:tc>
              <w:tc>
                <w:tcPr>
                  <w:tcW w:w="1668"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皮肤接触</w:t>
                  </w:r>
                </w:p>
              </w:tc>
              <w:tc>
                <w:tcPr>
                  <w:tcW w:w="5906" w:type="dxa"/>
                  <w:gridSpan w:val="3"/>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脱去污染的衣着，用大量流动清水冲洗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88" w:type="dxa"/>
                  <w:vMerge w:val="continue"/>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p>
              </w:tc>
              <w:tc>
                <w:tcPr>
                  <w:tcW w:w="1668"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眼睛接触</w:t>
                  </w:r>
                </w:p>
              </w:tc>
              <w:tc>
                <w:tcPr>
                  <w:tcW w:w="5906" w:type="dxa"/>
                  <w:gridSpan w:val="3"/>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提起眼睑，用流动清水或生理盐水冲洗。就医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988" w:type="dxa"/>
                  <w:vMerge w:val="continue"/>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p>
              </w:tc>
              <w:tc>
                <w:tcPr>
                  <w:tcW w:w="1668"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吸入</w:t>
                  </w:r>
                </w:p>
              </w:tc>
              <w:tc>
                <w:tcPr>
                  <w:tcW w:w="5906" w:type="dxa"/>
                  <w:gridSpan w:val="3"/>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迅速脱离现场至空气新鲜处，保持呼吸道畅通，如呼吸困难，给输氧。如呼吸停止，立即进行人工呼吸，就医。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88" w:type="dxa"/>
                  <w:vMerge w:val="continue"/>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p>
              </w:tc>
              <w:tc>
                <w:tcPr>
                  <w:tcW w:w="1668"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食入</w:t>
                  </w:r>
                </w:p>
              </w:tc>
              <w:tc>
                <w:tcPr>
                  <w:tcW w:w="5906" w:type="dxa"/>
                  <w:gridSpan w:val="3"/>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饮足量温水，催吐，就医。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988" w:type="dxa"/>
                  <w:vMerge w:val="restart"/>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消防措施</w:t>
                  </w:r>
                </w:p>
              </w:tc>
              <w:tc>
                <w:tcPr>
                  <w:tcW w:w="1668"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危险特性</w:t>
                  </w:r>
                </w:p>
              </w:tc>
              <w:tc>
                <w:tcPr>
                  <w:tcW w:w="5906" w:type="dxa"/>
                  <w:gridSpan w:val="3"/>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受高热分解产生有毒的腐蚀性烟气，具有腐蚀性。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88" w:type="dxa"/>
                  <w:vMerge w:val="continue"/>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p>
              </w:tc>
              <w:tc>
                <w:tcPr>
                  <w:tcW w:w="1668"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有害燃烧产物</w:t>
                  </w:r>
                </w:p>
              </w:tc>
              <w:tc>
                <w:tcPr>
                  <w:tcW w:w="5906" w:type="dxa"/>
                  <w:gridSpan w:val="3"/>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氯化物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88" w:type="dxa"/>
                  <w:vMerge w:val="continue"/>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p>
              </w:tc>
              <w:tc>
                <w:tcPr>
                  <w:tcW w:w="1668"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灭火方法</w:t>
                  </w:r>
                </w:p>
              </w:tc>
              <w:tc>
                <w:tcPr>
                  <w:tcW w:w="5906" w:type="dxa"/>
                  <w:gridSpan w:val="3"/>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采用雾状水、二氧化碳、砂土灭火。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jc w:val="center"/>
              </w:trPr>
              <w:tc>
                <w:tcPr>
                  <w:tcW w:w="988"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泄漏应急处理</w:t>
                  </w:r>
                </w:p>
              </w:tc>
              <w:tc>
                <w:tcPr>
                  <w:tcW w:w="1668"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应急处理</w:t>
                  </w:r>
                </w:p>
              </w:tc>
              <w:tc>
                <w:tcPr>
                  <w:tcW w:w="5906" w:type="dxa"/>
                  <w:gridSpan w:val="3"/>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迅速撤离泄漏污染区人员至安全区，并进行隔离，严格限制出入；建议应急处理人员戴自给正压式呼吸器，穿防酸碱工作服；不要直接接触泄漏物；尽可能切断泄漏源。小量泄漏：用沙土、蛭石或其他惰性材料吸收。大量泄漏：构筑围堤或挖坑收容，用泡沫覆盖，降低蒸汽灾害，用泵转移至槽车或专用收集器内，回收或运至废物处理场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988" w:type="dxa"/>
                  <w:vMerge w:val="restart"/>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操作处置与储存</w:t>
                  </w:r>
                </w:p>
              </w:tc>
              <w:tc>
                <w:tcPr>
                  <w:tcW w:w="1668"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操作注意事项</w:t>
                  </w:r>
                </w:p>
              </w:tc>
              <w:tc>
                <w:tcPr>
                  <w:tcW w:w="5906" w:type="dxa"/>
                  <w:gridSpan w:val="3"/>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密闭操作，全面通风，操作人员必须经过专门培训，严格遵守操作规程，建议操作人员佩戴直接式防毒面具（半面罩），戴化学安全防护眼镜，穿防腐工作服，戴橡胶手套；防止蒸汽泄漏到工作场所空气中；避免遇碱类接触；搬运时要轻装轻卸，防止包装及容器损坏。配备泄漏应急处理设备，倒空的容器可能残留有害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988" w:type="dxa"/>
                  <w:vMerge w:val="continue"/>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p>
              </w:tc>
              <w:tc>
                <w:tcPr>
                  <w:tcW w:w="1668" w:type="dxa"/>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储存注意事项</w:t>
                  </w:r>
                </w:p>
              </w:tc>
              <w:tc>
                <w:tcPr>
                  <w:tcW w:w="5906" w:type="dxa"/>
                  <w:gridSpan w:val="3"/>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储存于阴凉、通风的库房；远离火种、热源；库温不宜超过30℃，应与碱类分开存放，切忌混储；储区应备有泄漏应急处理设备和合适的收容材料。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988" w:type="dxa"/>
                  <w:vMerge w:val="restart"/>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毒理学资料</w:t>
                  </w:r>
                </w:p>
              </w:tc>
              <w:tc>
                <w:tcPr>
                  <w:tcW w:w="3992" w:type="dxa"/>
                  <w:gridSpan w:val="2"/>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急性毒性：LD50：8500mg/kg（小鼠经口）；LC50：无资料。</w:t>
                  </w:r>
                </w:p>
              </w:tc>
              <w:tc>
                <w:tcPr>
                  <w:tcW w:w="3582" w:type="dxa"/>
                  <w:gridSpan w:val="2"/>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皮肤刺激或腐蚀：皮肤刺激或腐蚀：EC50:5.3 mg/L（50%溶液，兔经皮）。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988" w:type="dxa"/>
                  <w:vMerge w:val="continue"/>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p>
              </w:tc>
              <w:tc>
                <w:tcPr>
                  <w:tcW w:w="3992" w:type="dxa"/>
                  <w:gridSpan w:val="2"/>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眼睛刺激或腐蚀：兔试验：0.05mL滴入眼睛，闭上眼睑30s，72h后有严重的眼睑红肿、结膜充血。</w:t>
                  </w:r>
                </w:p>
              </w:tc>
              <w:tc>
                <w:tcPr>
                  <w:tcW w:w="3582" w:type="dxa"/>
                  <w:gridSpan w:val="2"/>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呼吸或皮肤过敏：无资料。</w:t>
                  </w:r>
                </w:p>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imes New Roman" w:hAnsi="Times New Roman" w:eastAsia="宋体" w:cs="Times New Roman"/>
                      <w:color w:val="auto"/>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88" w:type="dxa"/>
                  <w:vMerge w:val="continue"/>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p>
              </w:tc>
              <w:tc>
                <w:tcPr>
                  <w:tcW w:w="3992" w:type="dxa"/>
                  <w:gridSpan w:val="2"/>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rPr>
                    <w:t>吸入危害：有上呼吸道刺激症状。</w:t>
                  </w:r>
                </w:p>
              </w:tc>
              <w:tc>
                <w:tcPr>
                  <w:tcW w:w="3582" w:type="dxa"/>
                  <w:gridSpan w:val="2"/>
                  <w:tcBorders>
                    <w:right w:val="single" w:color="000000" w:sz="8" w:space="0"/>
                  </w:tcBorders>
                  <w:noWrap w:val="0"/>
                  <w:vAlign w:val="center"/>
                </w:tcPr>
                <w:p>
                  <w:pPr>
                    <w:pStyle w:val="3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shd w:val="clear" w:color="auto" w:fill="FFFFFF"/>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w:t>
            </w:r>
            <w:r>
              <w:rPr>
                <w:rFonts w:hint="eastAsia"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）环境</w:t>
            </w:r>
            <w:r>
              <w:rPr>
                <w:rFonts w:hint="eastAsia" w:ascii="Times New Roman" w:hAnsi="Times New Roman" w:eastAsia="宋体" w:cs="Times New Roman"/>
                <w:b/>
                <w:bCs/>
                <w:color w:val="auto"/>
                <w:sz w:val="24"/>
                <w:szCs w:val="24"/>
                <w:lang w:val="en-US" w:eastAsia="zh-CN"/>
              </w:rPr>
              <w:t>风险</w:t>
            </w:r>
            <w:r>
              <w:rPr>
                <w:rFonts w:hint="default" w:ascii="Times New Roman" w:hAnsi="Times New Roman" w:eastAsia="宋体" w:cs="Times New Roman"/>
                <w:b/>
                <w:bCs/>
                <w:color w:val="auto"/>
                <w:sz w:val="24"/>
                <w:szCs w:val="24"/>
                <w:lang w:val="en-US" w:eastAsia="zh-CN"/>
              </w:rPr>
              <w:t>保护目标概况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本项目位于</w:t>
            </w:r>
            <w:r>
              <w:rPr>
                <w:rFonts w:hint="eastAsia" w:ascii="Times New Roman" w:hAnsi="Times New Roman" w:eastAsia="宋体" w:cs="Times New Roman"/>
                <w:color w:val="auto"/>
                <w:sz w:val="24"/>
                <w:szCs w:val="24"/>
                <w:lang w:val="en-US" w:eastAsia="zh-CN"/>
              </w:rPr>
              <w:t>云南省楚雄州</w:t>
            </w:r>
            <w:r>
              <w:rPr>
                <w:rFonts w:hint="eastAsia" w:eastAsia="宋体" w:cs="Times New Roman"/>
                <w:color w:val="auto"/>
                <w:sz w:val="24"/>
                <w:szCs w:val="24"/>
                <w:lang w:val="en-US" w:eastAsia="zh-CN"/>
              </w:rPr>
              <w:t>姚安县栋川镇下栖霞路与春晖路交汇口西处</w:t>
            </w:r>
            <w:r>
              <w:rPr>
                <w:rFonts w:hint="default" w:ascii="Times New Roman" w:hAnsi="Times New Roman" w:eastAsia="宋体" w:cs="Times New Roman"/>
                <w:color w:val="auto"/>
                <w:sz w:val="24"/>
                <w:szCs w:val="24"/>
                <w:lang w:val="en-US" w:eastAsia="zh-CN"/>
              </w:rPr>
              <w:t>，项目周围无重要文物保护单位、风景名胜区和水源地等环境保护目标。经过调查，</w:t>
            </w:r>
            <w:r>
              <w:rPr>
                <w:rFonts w:hint="eastAsia" w:ascii="Times New Roman" w:hAnsi="Times New Roman" w:eastAsia="宋体" w:cs="Times New Roman"/>
                <w:color w:val="auto"/>
                <w:sz w:val="24"/>
                <w:szCs w:val="24"/>
                <w:lang w:val="en-US" w:eastAsia="zh-CN"/>
              </w:rPr>
              <w:t>项目四周</w:t>
            </w:r>
            <w:r>
              <w:rPr>
                <w:rFonts w:hint="eastAsia" w:eastAsia="宋体" w:cs="Times New Roman"/>
                <w:color w:val="auto"/>
                <w:sz w:val="24"/>
                <w:szCs w:val="24"/>
                <w:lang w:val="en-US" w:eastAsia="zh-CN"/>
              </w:rPr>
              <w:t>环境保护目标</w:t>
            </w:r>
            <w:r>
              <w:rPr>
                <w:rFonts w:hint="eastAsia" w:ascii="Times New Roman" w:hAnsi="Times New Roman" w:eastAsia="宋体" w:cs="Times New Roman"/>
                <w:color w:val="auto"/>
                <w:sz w:val="24"/>
                <w:szCs w:val="24"/>
                <w:lang w:val="en-US" w:eastAsia="zh-CN"/>
              </w:rPr>
              <w:t>具体详见表3-1</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w:t>
            </w:r>
            <w:r>
              <w:rPr>
                <w:rFonts w:hint="eastAsia" w:eastAsia="宋体" w:cs="Times New Roman"/>
                <w:b/>
                <w:bCs/>
                <w:color w:val="auto"/>
                <w:sz w:val="24"/>
                <w:szCs w:val="24"/>
                <w:lang w:val="en-US" w:eastAsia="zh-CN"/>
              </w:rPr>
              <w:t>3</w:t>
            </w:r>
            <w:r>
              <w:rPr>
                <w:rFonts w:hint="eastAsia"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风险识别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4"/>
              </w:rPr>
            </w:pPr>
            <w:r>
              <w:rPr>
                <w:rFonts w:ascii="Times New Roman" w:hAnsi="Times New Roman" w:cs="Times New Roman"/>
                <w:color w:val="auto"/>
                <w:sz w:val="24"/>
                <w:szCs w:val="24"/>
              </w:rPr>
              <w:t>根据《建设项目环境风险评价技术导则》（HJ169-2018）和《环境风险评价实用技术和方法》规定，风险评价首先要确定建设项目所用原辅材料的毒性、易燃易爆性等危险性级别。项目</w:t>
            </w:r>
            <w:r>
              <w:rPr>
                <w:rFonts w:hint="eastAsia" w:ascii="Times New Roman" w:hAnsi="Times New Roman" w:cs="Times New Roman"/>
                <w:color w:val="auto"/>
                <w:sz w:val="24"/>
                <w:szCs w:val="24"/>
                <w:lang w:eastAsia="zh-CN"/>
              </w:rPr>
              <w:t>储存的风险物质有次氯酸钠、医用酒精、</w:t>
            </w:r>
            <w:r>
              <w:rPr>
                <w:rFonts w:hint="eastAsia" w:cs="Times New Roman"/>
                <w:color w:val="auto"/>
                <w:sz w:val="24"/>
                <w:szCs w:val="24"/>
                <w:lang w:eastAsia="zh-CN"/>
              </w:rPr>
              <w:t>柴油</w:t>
            </w:r>
            <w:r>
              <w:rPr>
                <w:rFonts w:hint="eastAsia" w:ascii="Times New Roman" w:hAnsi="Times New Roman" w:cs="Times New Roman"/>
                <w:color w:val="auto"/>
                <w:sz w:val="24"/>
                <w:szCs w:val="24"/>
                <w:lang w:eastAsia="zh-CN"/>
              </w:rPr>
              <w:t>，项目以上</w:t>
            </w:r>
            <w:r>
              <w:rPr>
                <w:rFonts w:ascii="Times New Roman" w:hAnsi="Times New Roman" w:cs="Times New Roman"/>
                <w:color w:val="auto"/>
                <w:sz w:val="24"/>
                <w:szCs w:val="24"/>
              </w:rPr>
              <w:t>泄漏</w:t>
            </w:r>
            <w:r>
              <w:rPr>
                <w:rFonts w:hint="eastAsia" w:ascii="Times New Roman" w:hAnsi="Times New Roman" w:cs="Times New Roman"/>
                <w:color w:val="auto"/>
                <w:sz w:val="24"/>
                <w:szCs w:val="24"/>
                <w:lang w:eastAsia="zh-CN"/>
              </w:rPr>
              <w:t>都</w:t>
            </w:r>
            <w:r>
              <w:rPr>
                <w:rFonts w:ascii="Times New Roman" w:hAnsi="Times New Roman" w:cs="Times New Roman"/>
                <w:color w:val="auto"/>
                <w:sz w:val="24"/>
                <w:szCs w:val="24"/>
              </w:rPr>
              <w:t>将会对周围环境造成</w:t>
            </w:r>
            <w:r>
              <w:rPr>
                <w:rFonts w:hint="eastAsia" w:ascii="Times New Roman" w:hAnsi="Times New Roman" w:cs="Times New Roman"/>
                <w:color w:val="auto"/>
                <w:sz w:val="24"/>
                <w:szCs w:val="24"/>
                <w:lang w:eastAsia="zh-CN"/>
              </w:rPr>
              <w:t>一定</w:t>
            </w:r>
            <w:r>
              <w:rPr>
                <w:rFonts w:ascii="Times New Roman" w:hAnsi="Times New Roman" w:cs="Times New Roman"/>
                <w:color w:val="auto"/>
                <w:sz w:val="24"/>
                <w:szCs w:val="24"/>
              </w:rPr>
              <w:t>影响。主要影响途径为通过大气、地表水和地下水影响环境。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w:t>
            </w:r>
            <w:r>
              <w:rPr>
                <w:rFonts w:hint="eastAsia" w:eastAsia="宋体" w:cs="Times New Roman"/>
                <w:b/>
                <w:bCs/>
                <w:color w:val="auto"/>
                <w:sz w:val="24"/>
                <w:szCs w:val="24"/>
                <w:lang w:val="en-US" w:eastAsia="zh-CN"/>
              </w:rPr>
              <w:t>4</w:t>
            </w:r>
            <w:r>
              <w:rPr>
                <w:rFonts w:hint="eastAsia" w:ascii="Times New Roman" w:hAnsi="Times New Roman" w:eastAsia="宋体" w:cs="Times New Roman"/>
                <w:b/>
                <w:bCs/>
                <w:color w:val="auto"/>
                <w:sz w:val="24"/>
                <w:szCs w:val="24"/>
                <w:lang w:val="en-US" w:eastAsia="zh-CN"/>
              </w:rPr>
              <w:t>）环境风险影响途径危害后果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bCs/>
                <w:color w:val="auto"/>
                <w:sz w:val="24"/>
                <w:szCs w:val="24"/>
                <w:lang w:eastAsia="zh-CN"/>
              </w:rPr>
            </w:pPr>
            <w:r>
              <w:rPr>
                <w:rFonts w:hint="eastAsia" w:ascii="Times New Roman" w:hAnsi="Times New Roman" w:cs="Times New Roman"/>
                <w:b/>
                <w:bCs/>
                <w:color w:val="auto"/>
                <w:sz w:val="24"/>
                <w:szCs w:val="24"/>
                <w:lang w:eastAsia="zh-CN"/>
              </w:rPr>
              <w:t>①</w:t>
            </w:r>
            <w:r>
              <w:rPr>
                <w:rFonts w:ascii="Times New Roman" w:hAnsi="Times New Roman" w:cs="Times New Roman"/>
                <w:b/>
                <w:bCs/>
                <w:color w:val="auto"/>
                <w:sz w:val="24"/>
                <w:szCs w:val="24"/>
              </w:rPr>
              <w:t>对大气环境的影响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2"/>
                <w:sz w:val="24"/>
                <w:szCs w:val="24"/>
                <w:lang w:eastAsia="zh-CN"/>
              </w:rPr>
            </w:pPr>
            <w:r>
              <w:rPr>
                <w:rFonts w:hint="default" w:ascii="Times New Roman" w:hAnsi="Times New Roman" w:eastAsia="宋体" w:cs="Times New Roman"/>
                <w:b w:val="0"/>
                <w:bCs w:val="0"/>
                <w:color w:val="auto"/>
                <w:kern w:val="2"/>
                <w:sz w:val="24"/>
                <w:szCs w:val="24"/>
                <w:lang w:val="en-US" w:eastAsia="zh-CN"/>
              </w:rPr>
              <w:t>A、</w:t>
            </w:r>
            <w:r>
              <w:rPr>
                <w:rFonts w:hint="default" w:ascii="Times New Roman" w:hAnsi="Times New Roman" w:eastAsia="宋体" w:cs="Times New Roman"/>
                <w:b w:val="0"/>
                <w:bCs w:val="0"/>
                <w:color w:val="auto"/>
                <w:kern w:val="2"/>
                <w:sz w:val="24"/>
                <w:szCs w:val="24"/>
              </w:rPr>
              <w:t>次氯酸钠泄漏对周围环境的影响主要表现为次氯酸钠</w:t>
            </w:r>
            <w:r>
              <w:rPr>
                <w:rFonts w:hint="default" w:ascii="Times New Roman" w:hAnsi="Times New Roman" w:eastAsia="宋体" w:cs="Times New Roman"/>
                <w:b w:val="0"/>
                <w:bCs w:val="0"/>
                <w:color w:val="auto"/>
                <w:kern w:val="2"/>
                <w:sz w:val="24"/>
                <w:szCs w:val="24"/>
                <w:lang w:eastAsia="zh-CN"/>
              </w:rPr>
              <w:t>具有一定</w:t>
            </w:r>
            <w:r>
              <w:rPr>
                <w:rFonts w:hint="default" w:ascii="Times New Roman" w:hAnsi="Times New Roman" w:eastAsia="宋体" w:cs="Times New Roman"/>
                <w:b w:val="0"/>
                <w:bCs w:val="0"/>
                <w:color w:val="auto"/>
                <w:kern w:val="2"/>
                <w:sz w:val="24"/>
                <w:szCs w:val="24"/>
              </w:rPr>
              <w:t>挥发</w:t>
            </w:r>
            <w:r>
              <w:rPr>
                <w:rFonts w:hint="default" w:ascii="Times New Roman" w:hAnsi="Times New Roman" w:eastAsia="宋体" w:cs="Times New Roman"/>
                <w:b w:val="0"/>
                <w:bCs w:val="0"/>
                <w:color w:val="auto"/>
                <w:kern w:val="2"/>
                <w:sz w:val="24"/>
                <w:szCs w:val="24"/>
                <w:lang w:eastAsia="zh-CN"/>
              </w:rPr>
              <w:t>性</w:t>
            </w:r>
            <w:r>
              <w:rPr>
                <w:rFonts w:hint="default" w:ascii="Times New Roman" w:hAnsi="Times New Roman" w:eastAsia="宋体" w:cs="Times New Roman"/>
                <w:b w:val="0"/>
                <w:bCs w:val="0"/>
                <w:color w:val="auto"/>
                <w:kern w:val="2"/>
                <w:sz w:val="24"/>
                <w:szCs w:val="24"/>
              </w:rPr>
              <w:t>，挥发与空气中的CO</w:t>
            </w:r>
            <w:r>
              <w:rPr>
                <w:rFonts w:hint="default" w:ascii="Times New Roman" w:hAnsi="Times New Roman" w:eastAsia="宋体" w:cs="Times New Roman"/>
                <w:b w:val="0"/>
                <w:bCs w:val="0"/>
                <w:color w:val="auto"/>
                <w:kern w:val="2"/>
                <w:sz w:val="24"/>
                <w:szCs w:val="24"/>
                <w:vertAlign w:val="subscript"/>
              </w:rPr>
              <w:t>2</w:t>
            </w:r>
            <w:r>
              <w:rPr>
                <w:rFonts w:hint="default" w:ascii="Times New Roman" w:hAnsi="Times New Roman" w:eastAsia="宋体" w:cs="Times New Roman"/>
                <w:b w:val="0"/>
                <w:bCs w:val="0"/>
                <w:color w:val="auto"/>
                <w:kern w:val="2"/>
                <w:sz w:val="24"/>
                <w:szCs w:val="24"/>
              </w:rPr>
              <w:t>反应生成次氯酸，次氯酸不稳定，见光易分解成HCl和O</w:t>
            </w:r>
            <w:r>
              <w:rPr>
                <w:rFonts w:hint="default" w:ascii="Times New Roman" w:hAnsi="Times New Roman" w:eastAsia="宋体" w:cs="Times New Roman"/>
                <w:b w:val="0"/>
                <w:bCs w:val="0"/>
                <w:color w:val="auto"/>
                <w:kern w:val="2"/>
                <w:sz w:val="24"/>
                <w:szCs w:val="24"/>
                <w:vertAlign w:val="subscript"/>
              </w:rPr>
              <w:t>2</w:t>
            </w:r>
            <w:r>
              <w:rPr>
                <w:rFonts w:hint="default" w:ascii="Times New Roman" w:hAnsi="Times New Roman" w:eastAsia="宋体" w:cs="Times New Roman"/>
                <w:b w:val="0"/>
                <w:bCs w:val="0"/>
                <w:color w:val="auto"/>
                <w:kern w:val="2"/>
                <w:sz w:val="24"/>
                <w:szCs w:val="24"/>
              </w:rPr>
              <w:t>，对区域环境空气造成污染</w:t>
            </w:r>
            <w:r>
              <w:rPr>
                <w:rFonts w:hint="default" w:ascii="Times New Roman" w:hAnsi="Times New Roman" w:eastAsia="宋体" w:cs="Times New Roman"/>
                <w:b w:val="0"/>
                <w:bCs w:val="0"/>
                <w:color w:val="auto"/>
                <w:kern w:val="2"/>
                <w:sz w:val="24"/>
                <w:szCs w:val="24"/>
                <w:lang w:eastAsia="zh-CN"/>
              </w:rPr>
              <w:t>，</w:t>
            </w:r>
            <w:r>
              <w:rPr>
                <w:rFonts w:hint="default" w:ascii="Times New Roman" w:hAnsi="Times New Roman" w:eastAsia="宋体" w:cs="Times New Roman"/>
                <w:b w:val="0"/>
                <w:bCs w:val="0"/>
                <w:color w:val="auto"/>
                <w:kern w:val="2"/>
                <w:sz w:val="24"/>
                <w:szCs w:val="24"/>
              </w:rPr>
              <w:t>本项目次氯酸钠储罐采用PVC塑料外缠玻璃钢储罐，符合国家相关规范要求，次氯酸钠泄漏主要为物料装卸车以及使用人员操作不当引起的，因此，项目在运营期工作人员应经培训后方可上岗，运营期加强管理，避免风险事故的发生</w:t>
            </w:r>
            <w:r>
              <w:rPr>
                <w:rFonts w:hint="default" w:ascii="Times New Roman" w:hAnsi="Times New Roman" w:eastAsia="宋体" w:cs="Times New Roman"/>
                <w:b w:val="0"/>
                <w:bCs w:val="0"/>
                <w:color w:val="auto"/>
                <w:kern w:val="2"/>
                <w:sz w:val="24"/>
                <w:szCs w:val="24"/>
                <w:lang w:eastAsia="zh-CN"/>
              </w:rPr>
              <w:t>。</w:t>
            </w:r>
          </w:p>
          <w:p>
            <w:pPr>
              <w:pStyle w:val="2"/>
              <w:keepNext w:val="0"/>
              <w:keepLines w:val="0"/>
              <w:pageBreakBefore w:val="0"/>
              <w:widowControl w:val="0"/>
              <w:kinsoku/>
              <w:wordWrap/>
              <w:overflowPunct/>
              <w:topLinePunct w:val="0"/>
              <w:bidi w:val="0"/>
              <w:snapToGrid/>
              <w:spacing w:line="360" w:lineRule="auto"/>
              <w:jc w:val="both"/>
              <w:textAlignment w:val="auto"/>
              <w:rPr>
                <w:rFonts w:hint="default" w:ascii="Times New Roman" w:hAnsi="Times New Roman" w:cs="Times New Roman"/>
                <w:color w:val="auto"/>
                <w:kern w:val="2"/>
                <w:lang w:val="en-US" w:eastAsia="zh-CN"/>
              </w:rPr>
            </w:pPr>
            <w:r>
              <w:rPr>
                <w:rFonts w:hint="default" w:ascii="Times New Roman" w:hAnsi="Times New Roman" w:eastAsia="宋体" w:cs="Times New Roman"/>
                <w:color w:val="auto"/>
                <w:kern w:val="2"/>
                <w:sz w:val="24"/>
                <w:szCs w:val="24"/>
                <w:lang w:val="en-US" w:eastAsia="zh-CN"/>
              </w:rPr>
              <w:t>B、项目储存酒精、氧气作为医疗救治用品使用，储存量少（酒精规格100mL/瓶），若发生酒精泄漏，影响区域仅储存室（或药剂室），酒精极易挥发，泄漏对大气环境影响较小。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b/>
                <w:bCs/>
                <w:color w:val="auto"/>
                <w:sz w:val="24"/>
                <w:szCs w:val="24"/>
              </w:rPr>
            </w:pPr>
            <w:r>
              <w:rPr>
                <w:rFonts w:hint="eastAsia" w:cs="Times New Roman"/>
                <w:b/>
                <w:bCs/>
                <w:color w:val="auto"/>
                <w:sz w:val="24"/>
                <w:szCs w:val="24"/>
                <w:lang w:val="en-US" w:eastAsia="zh-CN"/>
              </w:rPr>
              <w:t>②</w:t>
            </w:r>
            <w:r>
              <w:rPr>
                <w:rFonts w:ascii="Times New Roman" w:hAnsi="Times New Roman" w:cs="Times New Roman"/>
                <w:b/>
                <w:bCs/>
                <w:color w:val="auto"/>
                <w:sz w:val="24"/>
                <w:szCs w:val="24"/>
              </w:rPr>
              <w:t>对地下水</w:t>
            </w:r>
            <w:r>
              <w:rPr>
                <w:rFonts w:hint="eastAsia" w:cs="Times New Roman"/>
                <w:b/>
                <w:bCs/>
                <w:color w:val="auto"/>
                <w:sz w:val="24"/>
                <w:szCs w:val="24"/>
                <w:lang w:eastAsia="zh-CN"/>
              </w:rPr>
              <w:t>和土壤</w:t>
            </w:r>
            <w:r>
              <w:rPr>
                <w:rFonts w:ascii="Times New Roman" w:hAnsi="Times New Roman" w:cs="Times New Roman"/>
                <w:b/>
                <w:bCs/>
                <w:color w:val="auto"/>
                <w:sz w:val="24"/>
                <w:szCs w:val="24"/>
              </w:rPr>
              <w:t>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eastAsia="zh-CN"/>
              </w:rPr>
              <w:t>项目于次氯酸钠储罐下方设置托盘，</w:t>
            </w:r>
            <w:r>
              <w:rPr>
                <w:rFonts w:ascii="Times New Roman" w:hAnsi="Times New Roman" w:cs="Times New Roman"/>
                <w:color w:val="auto"/>
                <w:sz w:val="24"/>
                <w:szCs w:val="24"/>
              </w:rPr>
              <w:t>采取以上措施后，运营过程</w:t>
            </w:r>
            <w:r>
              <w:rPr>
                <w:rFonts w:hint="eastAsia" w:ascii="Times New Roman" w:hAnsi="Times New Roman" w:cs="Times New Roman"/>
                <w:color w:val="auto"/>
                <w:sz w:val="24"/>
                <w:szCs w:val="24"/>
                <w:lang w:eastAsia="zh-CN"/>
              </w:rPr>
              <w:t>次氯酸钠</w:t>
            </w:r>
            <w:r>
              <w:rPr>
                <w:rFonts w:ascii="Times New Roman" w:hAnsi="Times New Roman" w:cs="Times New Roman"/>
                <w:color w:val="auto"/>
                <w:sz w:val="24"/>
                <w:szCs w:val="24"/>
              </w:rPr>
              <w:t>渗入地下水的可能性很小</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color w:val="auto"/>
                <w:sz w:val="24"/>
                <w:szCs w:val="24"/>
              </w:rPr>
            </w:pPr>
            <w:r>
              <w:rPr>
                <w:rFonts w:hint="eastAsia" w:eastAsia="宋体" w:cs="Times New Roman"/>
                <w:color w:val="auto"/>
                <w:sz w:val="24"/>
                <w:szCs w:val="24"/>
                <w:lang w:val="en-US" w:eastAsia="zh-CN"/>
              </w:rPr>
              <w:t>柴油</w:t>
            </w:r>
            <w:r>
              <w:rPr>
                <w:rFonts w:hint="eastAsia" w:ascii="Times New Roman" w:hAnsi="Times New Roman" w:eastAsia="宋体" w:cs="Times New Roman"/>
                <w:color w:val="auto"/>
                <w:sz w:val="24"/>
                <w:szCs w:val="24"/>
                <w:lang w:val="en-US" w:eastAsia="zh-CN"/>
              </w:rPr>
              <w:t>进入土壤后，会引起土壤理化特性的变化，如堵塞了土壤的孔隙结构，破坏土壤结构，使土壤的透气性、透水性降低；其富含的反应基能够与土壤中的无机氮、磷结合并限制硝化作用和脱磷酸作用，从而使土壤的有效磷、氮含量减少，导致土壤有机质的碳氮比和碳磷比的变化，一方面恶化了土壤微生物的生存环境，另一方面废机油自身对土壤中微生物也具有一定的负面影响，进而导致了反映土壤活性的微生物数量减少，微生物群落和微生物区系发生变化，使得未污染的土壤环境中微生物的五大功能明显降低，土壤的活性降低甚至没有活性，破坏土壤微生态环境。</w:t>
            </w:r>
            <w:r>
              <w:rPr>
                <w:rFonts w:hint="eastAsia" w:eastAsia="宋体" w:cs="Times New Roman"/>
                <w:color w:val="auto"/>
                <w:sz w:val="24"/>
                <w:szCs w:val="24"/>
                <w:lang w:val="en-US" w:eastAsia="zh-CN"/>
              </w:rPr>
              <w:t>柴油存放于柴油发电机房，采用专用铁桶盛装，柴油发电机房会地面将铺设防渗材料，当柴油泄漏时，能有效防止柴油渗漏到土壤中，故运营过程中，柴油泄漏对地下水及土壤的影响较小。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w:t>
            </w:r>
            <w:r>
              <w:rPr>
                <w:rFonts w:hint="eastAsia" w:eastAsia="宋体" w:cs="Times New Roman"/>
                <w:b/>
                <w:bCs/>
                <w:color w:val="auto"/>
                <w:sz w:val="24"/>
                <w:szCs w:val="24"/>
                <w:lang w:val="en-US" w:eastAsia="zh-CN"/>
              </w:rPr>
              <w:t>5</w:t>
            </w:r>
            <w:r>
              <w:rPr>
                <w:rFonts w:hint="eastAsia" w:ascii="Times New Roman" w:hAnsi="Times New Roman" w:eastAsia="宋体" w:cs="Times New Roman"/>
                <w:b/>
                <w:bCs/>
                <w:color w:val="auto"/>
                <w:sz w:val="24"/>
                <w:szCs w:val="24"/>
                <w:lang w:val="en-US" w:eastAsia="zh-CN"/>
              </w:rPr>
              <w:t>）风险防范与应急措施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①针对火灾爆炸事故</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按照相关的规范和消防部门的要求，配备消防器材，在发生火灾时使用CO</w:t>
            </w:r>
            <w:r>
              <w:rPr>
                <w:rFonts w:hint="default" w:ascii="Times New Roman" w:hAnsi="Times New Roman" w:eastAsia="宋体" w:cs="Times New Roman"/>
                <w:color w:val="auto"/>
                <w:sz w:val="24"/>
                <w:szCs w:val="24"/>
                <w:vertAlign w:val="subscript"/>
                <w:lang w:eastAsia="zh-CN"/>
              </w:rPr>
              <w:t>2</w:t>
            </w:r>
            <w:r>
              <w:rPr>
                <w:rFonts w:hint="default" w:ascii="Times New Roman" w:hAnsi="Times New Roman" w:eastAsia="宋体" w:cs="Times New Roman"/>
                <w:color w:val="auto"/>
                <w:sz w:val="24"/>
                <w:szCs w:val="24"/>
                <w:lang w:eastAsia="zh-CN"/>
              </w:rPr>
              <w:t>干粉灭火器；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在危险品使用过程中，应该严格参照《危险化学品安全管理条例》（国务院第344号令）要求，需要做好这些化学品的贮存、使用，防止火灾风险事故的发生。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规范管理，加强职工培训</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各类事故及非正常生产情况的发生大多数与操作管理不当有直接关系，因此，必须建立健全一整套严格的管理制度。管理制度应在以下几个方面予以关注：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加</w:t>
            </w:r>
            <w:r>
              <w:rPr>
                <w:rFonts w:hint="eastAsia" w:ascii="Times New Roman" w:hAnsi="Times New Roman" w:eastAsia="宋体" w:cs="Times New Roman"/>
                <w:color w:val="auto"/>
                <w:sz w:val="24"/>
                <w:szCs w:val="24"/>
                <w:lang w:eastAsia="zh-CN"/>
              </w:rPr>
              <w:t>风险物质储存设施</w:t>
            </w:r>
            <w:r>
              <w:rPr>
                <w:rFonts w:hint="default" w:ascii="Times New Roman" w:hAnsi="Times New Roman" w:eastAsia="宋体" w:cs="Times New Roman"/>
                <w:color w:val="auto"/>
                <w:sz w:val="24"/>
                <w:szCs w:val="24"/>
                <w:lang w:eastAsia="zh-CN"/>
              </w:rPr>
              <w:t>的管理，严格防止跑、冒、滴、漏现象发生。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把每个工作人员在业务上、工作上与消防安全管理上的职责、责任明确起来，层层把关，杜绝事故的发生。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对各类贮存容器、机电装置、安全设施、消防器材等，进行各种日常的、定期的、专业的防火安全检查，并将发现的问题落实到人、限期落实整改。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开展各种形式的安全教育和宣传，增强全员安全意识。加强职工培训， 增强职工的安全意识和相关知识。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②针对溢出、泄漏事故</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采用专用</w:t>
            </w:r>
            <w:r>
              <w:rPr>
                <w:rFonts w:hint="eastAsia" w:ascii="Times New Roman" w:hAnsi="Times New Roman" w:eastAsia="宋体" w:cs="Times New Roman"/>
                <w:color w:val="auto"/>
                <w:sz w:val="24"/>
                <w:szCs w:val="24"/>
                <w:lang w:eastAsia="zh-CN"/>
              </w:rPr>
              <w:t>的容器储存风险物质</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定期对</w:t>
            </w:r>
            <w:r>
              <w:rPr>
                <w:rFonts w:hint="eastAsia" w:ascii="Times New Roman" w:hAnsi="Times New Roman" w:eastAsia="宋体" w:cs="Times New Roman"/>
                <w:color w:val="auto"/>
                <w:sz w:val="24"/>
                <w:szCs w:val="24"/>
                <w:lang w:eastAsia="zh-CN"/>
              </w:rPr>
              <w:t>风险物质储存容器进行检查，</w:t>
            </w:r>
            <w:r>
              <w:rPr>
                <w:rFonts w:hint="default" w:ascii="Times New Roman" w:hAnsi="Times New Roman" w:eastAsia="宋体" w:cs="Times New Roman"/>
                <w:color w:val="auto"/>
                <w:sz w:val="24"/>
                <w:szCs w:val="24"/>
                <w:lang w:eastAsia="zh-CN"/>
              </w:rPr>
              <w:t>避免发生跑、冒、滴、漏现象；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液态风险物质</w:t>
            </w:r>
            <w:r>
              <w:rPr>
                <w:rFonts w:hint="default" w:ascii="Times New Roman" w:hAnsi="Times New Roman" w:eastAsia="宋体" w:cs="Times New Roman"/>
                <w:color w:val="auto"/>
                <w:sz w:val="24"/>
                <w:szCs w:val="24"/>
                <w:lang w:eastAsia="zh-CN"/>
              </w:rPr>
              <w:t>泄露时，按操作规程及时收集泄露的液体，减少挥发量；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制定</w:t>
            </w:r>
            <w:r>
              <w:rPr>
                <w:rFonts w:hint="eastAsia" w:ascii="Times New Roman" w:hAnsi="Times New Roman" w:eastAsia="宋体" w:cs="Times New Roman"/>
                <w:color w:val="auto"/>
                <w:sz w:val="24"/>
                <w:szCs w:val="24"/>
                <w:lang w:eastAsia="zh-CN"/>
              </w:rPr>
              <w:t>有</w:t>
            </w:r>
            <w:r>
              <w:rPr>
                <w:rFonts w:hint="default" w:ascii="Times New Roman" w:hAnsi="Times New Roman" w:eastAsia="宋体" w:cs="Times New Roman"/>
                <w:color w:val="auto"/>
                <w:sz w:val="24"/>
                <w:szCs w:val="24"/>
                <w:lang w:eastAsia="zh-CN"/>
              </w:rPr>
              <w:t>环境污染突发事故应急预案，并组织演练，</w:t>
            </w:r>
            <w:r>
              <w:rPr>
                <w:rFonts w:hint="eastAsia" w:eastAsia="宋体" w:cs="Times New Roman"/>
                <w:color w:val="auto"/>
                <w:sz w:val="24"/>
                <w:szCs w:val="24"/>
                <w:lang w:eastAsia="zh-CN"/>
              </w:rPr>
              <w:t>防患于未然</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w:t>
            </w:r>
            <w:r>
              <w:rPr>
                <w:rFonts w:hint="eastAsia" w:eastAsia="宋体" w:cs="Times New Roman"/>
                <w:b/>
                <w:bCs/>
                <w:color w:val="auto"/>
                <w:sz w:val="24"/>
                <w:szCs w:val="24"/>
                <w:lang w:val="en-US" w:eastAsia="zh-CN"/>
              </w:rPr>
              <w:t>6</w:t>
            </w:r>
            <w:r>
              <w:rPr>
                <w:rFonts w:hint="eastAsia"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风险评价结论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本项目的建设，不可避免会存在一定的环境风险，对此，建设单位必须高度重视，做到风险防范</w:t>
            </w:r>
            <w:r>
              <w:rPr>
                <w:rFonts w:hint="eastAsia" w:eastAsia="宋体" w:cs="Times New Roman"/>
                <w:color w:val="auto"/>
                <w:sz w:val="24"/>
                <w:szCs w:val="24"/>
                <w:lang w:eastAsia="zh-CN"/>
              </w:rPr>
              <w:t>警钟长鸣</w:t>
            </w:r>
            <w:r>
              <w:rPr>
                <w:rFonts w:hint="default" w:ascii="Times New Roman" w:hAnsi="Times New Roman" w:eastAsia="宋体" w:cs="Times New Roman"/>
                <w:color w:val="auto"/>
                <w:sz w:val="24"/>
                <w:szCs w:val="24"/>
                <w:lang w:eastAsia="zh-CN"/>
              </w:rPr>
              <w:t>，环境安全管理常抓不懈；严格落实各项风险防范措施，不断完善风险管理体系。只有这样，才能有效降低风险事故发生概率、杜绝特大事故的发生隐患。因此，只要严格遵守各项安全操作规程和制度，加强安全管理，本项目的环境风险是可以接受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本项目风险分析主要内容及结论见表</w:t>
            </w:r>
            <w:r>
              <w:rPr>
                <w:rFonts w:hint="eastAsia" w:ascii="Times New Roman" w:hAnsi="Times New Roman" w:eastAsia="宋体" w:cs="Times New Roman"/>
                <w:color w:val="auto"/>
                <w:sz w:val="24"/>
                <w:szCs w:val="24"/>
                <w:lang w:val="en-US" w:eastAsia="zh-CN"/>
              </w:rPr>
              <w:t>4-</w:t>
            </w:r>
            <w:r>
              <w:rPr>
                <w:rFonts w:hint="eastAsia" w:eastAsia="宋体" w:cs="Times New Roman"/>
                <w:color w:val="auto"/>
                <w:sz w:val="24"/>
                <w:szCs w:val="24"/>
                <w:lang w:val="en-US" w:eastAsia="zh-CN"/>
              </w:rPr>
              <w:t>23</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vertAlign w:val="baseline"/>
              </w:rPr>
            </w:pPr>
            <w:r>
              <w:rPr>
                <w:rFonts w:hint="eastAsia" w:ascii="Times New Roman" w:hAnsi="Times New Roman" w:eastAsia="宋体" w:cs="Times New Roman"/>
                <w:b/>
                <w:bCs/>
                <w:color w:val="auto"/>
                <w:sz w:val="21"/>
                <w:szCs w:val="21"/>
                <w:vertAlign w:val="baseline"/>
                <w:lang w:val="en-US" w:eastAsia="zh-CN"/>
              </w:rPr>
              <w:t>4-</w:t>
            </w:r>
            <w:r>
              <w:rPr>
                <w:rFonts w:hint="eastAsia" w:eastAsia="宋体" w:cs="Times New Roman"/>
                <w:b/>
                <w:bCs/>
                <w:color w:val="auto"/>
                <w:sz w:val="21"/>
                <w:szCs w:val="21"/>
                <w:vertAlign w:val="baseline"/>
                <w:lang w:val="en-US" w:eastAsia="zh-CN"/>
              </w:rPr>
              <w:t>23</w:t>
            </w:r>
            <w:r>
              <w:rPr>
                <w:rFonts w:hint="default" w:ascii="Times New Roman" w:hAnsi="Times New Roman" w:eastAsia="宋体" w:cs="Times New Roman"/>
                <w:b/>
                <w:bCs/>
                <w:color w:val="auto"/>
                <w:sz w:val="21"/>
                <w:szCs w:val="21"/>
                <w:vertAlign w:val="baseline"/>
              </w:rPr>
              <w:t xml:space="preserve"> 项目环境风险简单分析内容表</w:t>
            </w:r>
          </w:p>
          <w:tbl>
            <w:tblPr>
              <w:tblStyle w:val="38"/>
              <w:tblW w:w="85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1624"/>
              <w:gridCol w:w="2123"/>
              <w:gridCol w:w="1412"/>
              <w:gridCol w:w="1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6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建设项目名称</w:t>
                  </w:r>
                </w:p>
              </w:tc>
              <w:tc>
                <w:tcPr>
                  <w:tcW w:w="6842" w:type="dxa"/>
                  <w:gridSpan w:val="4"/>
                  <w:tcBorders>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eastAsia" w:eastAsia="宋体" w:cs="Times New Roman"/>
                      <w:color w:val="auto"/>
                      <w:sz w:val="21"/>
                      <w:szCs w:val="21"/>
                      <w:lang w:eastAsia="zh-CN"/>
                    </w:rPr>
                    <w:t>姚安县保健院妇婴医院住院综合楼建设项目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6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建设地点</w:t>
                  </w:r>
                </w:p>
              </w:tc>
              <w:tc>
                <w:tcPr>
                  <w:tcW w:w="6842" w:type="dxa"/>
                  <w:gridSpan w:val="4"/>
                  <w:tcBorders>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云南省楚雄州</w:t>
                  </w:r>
                  <w:r>
                    <w:rPr>
                      <w:rFonts w:hint="eastAsia" w:eastAsia="宋体" w:cs="Times New Roman"/>
                      <w:color w:val="auto"/>
                      <w:sz w:val="21"/>
                      <w:szCs w:val="21"/>
                      <w:lang w:eastAsia="zh-CN"/>
                    </w:rPr>
                    <w:t>姚安县栋川镇下栖霞路与春晖路交汇口西处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66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地理位置</w:t>
                  </w:r>
                </w:p>
              </w:tc>
              <w:tc>
                <w:tcPr>
                  <w:tcW w:w="162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经度</w:t>
                  </w:r>
                </w:p>
              </w:tc>
              <w:tc>
                <w:tcPr>
                  <w:tcW w:w="212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101.228695</w:t>
                  </w:r>
                </w:p>
              </w:tc>
              <w:tc>
                <w:tcPr>
                  <w:tcW w:w="14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纬度</w:t>
                  </w:r>
                </w:p>
              </w:tc>
              <w:tc>
                <w:tcPr>
                  <w:tcW w:w="1683" w:type="dxa"/>
                  <w:tcBorders>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25.509452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6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主要危险物质及分布</w:t>
                  </w:r>
                </w:p>
              </w:tc>
              <w:tc>
                <w:tcPr>
                  <w:tcW w:w="6842" w:type="dxa"/>
                  <w:gridSpan w:val="4"/>
                  <w:tcBorders>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项目风险物质为次氯酸钠、医用酒精等。</w:t>
                  </w:r>
                  <w:r>
                    <w:rPr>
                      <w:rFonts w:hint="default" w:ascii="Times New Roman" w:hAnsi="Times New Roman" w:eastAsia="宋体" w:cs="Times New Roman"/>
                      <w:color w:val="auto"/>
                      <w:sz w:val="21"/>
                      <w:szCs w:val="21"/>
                      <w:lang w:eastAsia="zh-CN"/>
                    </w:rPr>
                    <w:t>主要</w:t>
                  </w:r>
                  <w:r>
                    <w:rPr>
                      <w:rFonts w:hint="eastAsia" w:ascii="Times New Roman" w:hAnsi="Times New Roman" w:eastAsia="宋体" w:cs="Times New Roman"/>
                      <w:color w:val="auto"/>
                      <w:sz w:val="21"/>
                      <w:szCs w:val="21"/>
                      <w:lang w:eastAsia="zh-CN"/>
                    </w:rPr>
                    <w:t>风险</w:t>
                  </w:r>
                  <w:r>
                    <w:rPr>
                      <w:rFonts w:hint="default" w:ascii="Times New Roman" w:hAnsi="Times New Roman" w:eastAsia="宋体" w:cs="Times New Roman"/>
                      <w:color w:val="auto"/>
                      <w:sz w:val="21"/>
                      <w:szCs w:val="21"/>
                      <w:lang w:eastAsia="zh-CN"/>
                    </w:rPr>
                    <w:t>单元</w:t>
                  </w:r>
                  <w:r>
                    <w:rPr>
                      <w:rFonts w:hint="eastAsia" w:ascii="Times New Roman" w:hAnsi="Times New Roman" w:eastAsia="宋体" w:cs="Times New Roman"/>
                      <w:color w:val="auto"/>
                      <w:sz w:val="21"/>
                      <w:szCs w:val="21"/>
                      <w:lang w:eastAsia="zh-CN"/>
                    </w:rPr>
                    <w:t>为储存间、药剂室。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6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w:t>
                  </w:r>
                  <w:r>
                    <w:rPr>
                      <w:rFonts w:hint="eastAsia" w:ascii="Times New Roman" w:hAnsi="Times New Roman" w:eastAsia="宋体" w:cs="Times New Roman"/>
                      <w:color w:val="auto"/>
                      <w:sz w:val="21"/>
                      <w:szCs w:val="21"/>
                      <w:lang w:eastAsia="zh-CN"/>
                    </w:rPr>
                    <w:t>风险</w:t>
                  </w:r>
                  <w:r>
                    <w:rPr>
                      <w:rFonts w:hint="default" w:ascii="Times New Roman" w:hAnsi="Times New Roman" w:eastAsia="宋体" w:cs="Times New Roman"/>
                      <w:color w:val="auto"/>
                      <w:sz w:val="21"/>
                      <w:szCs w:val="21"/>
                    </w:rPr>
                    <w:t>影响途径及危害后果</w:t>
                  </w:r>
                </w:p>
              </w:tc>
              <w:tc>
                <w:tcPr>
                  <w:tcW w:w="6842" w:type="dxa"/>
                  <w:gridSpan w:val="4"/>
                  <w:tcBorders>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eastAsia="zh-CN"/>
                    </w:rPr>
                    <w:t>）次氯酸钠、医用酒精</w:t>
                  </w:r>
                  <w:r>
                    <w:rPr>
                      <w:rFonts w:hint="default" w:ascii="Times New Roman" w:hAnsi="Times New Roman" w:eastAsia="宋体" w:cs="Times New Roman"/>
                      <w:color w:val="auto"/>
                      <w:sz w:val="21"/>
                      <w:szCs w:val="21"/>
                    </w:rPr>
                    <w:t>储存和</w:t>
                  </w:r>
                  <w:r>
                    <w:rPr>
                      <w:rFonts w:hint="eastAsia" w:eastAsia="宋体" w:cs="Times New Roman"/>
                      <w:color w:val="auto"/>
                      <w:sz w:val="21"/>
                      <w:szCs w:val="21"/>
                      <w:lang w:eastAsia="zh-CN"/>
                    </w:rPr>
                    <w:t>柴油</w:t>
                  </w:r>
                  <w:r>
                    <w:rPr>
                      <w:rFonts w:hint="default" w:ascii="Times New Roman" w:hAnsi="Times New Roman" w:eastAsia="宋体" w:cs="Times New Roman"/>
                      <w:color w:val="auto"/>
                      <w:sz w:val="21"/>
                      <w:szCs w:val="21"/>
                    </w:rPr>
                    <w:t>使用过程中操作管理不当导致泄漏</w:t>
                  </w:r>
                  <w:r>
                    <w:rPr>
                      <w:rFonts w:hint="default" w:ascii="Times New Roman" w:hAnsi="Times New Roman" w:eastAsia="宋体" w:cs="Times New Roman"/>
                      <w:color w:val="auto"/>
                      <w:sz w:val="21"/>
                      <w:szCs w:val="21"/>
                      <w:lang w:eastAsia="zh-CN"/>
                    </w:rPr>
                    <w:t>、储存容器</w:t>
                  </w:r>
                  <w:r>
                    <w:rPr>
                      <w:rFonts w:hint="default" w:ascii="Times New Roman" w:hAnsi="Times New Roman" w:eastAsia="宋体" w:cs="Times New Roman"/>
                      <w:color w:val="auto"/>
                      <w:sz w:val="21"/>
                      <w:szCs w:val="21"/>
                    </w:rPr>
                    <w:t>破裂发生跑冒滴漏对周围环境造成影响；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项目发生火灾、爆炸产生的烟尘、SO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、NO</w:t>
                  </w:r>
                  <w:r>
                    <w:rPr>
                      <w:rFonts w:hint="eastAsia" w:ascii="Times New Roman" w:hAnsi="Times New Roman" w:eastAsia="宋体" w:cs="Times New Roman"/>
                      <w:color w:val="auto"/>
                      <w:sz w:val="21"/>
                      <w:szCs w:val="21"/>
                      <w:vertAlign w:val="subscript"/>
                      <w:lang w:val="en-US" w:eastAsia="zh-CN"/>
                    </w:rPr>
                    <w:t>x</w:t>
                  </w:r>
                  <w:r>
                    <w:rPr>
                      <w:rFonts w:hint="default" w:ascii="Times New Roman" w:hAnsi="Times New Roman" w:eastAsia="宋体" w:cs="Times New Roman"/>
                      <w:color w:val="auto"/>
                      <w:sz w:val="21"/>
                      <w:szCs w:val="21"/>
                    </w:rPr>
                    <w:t>、CO等对大气环境产生影响。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6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风险防范措施要求</w:t>
                  </w:r>
                </w:p>
              </w:tc>
              <w:tc>
                <w:tcPr>
                  <w:tcW w:w="6842" w:type="dxa"/>
                  <w:gridSpan w:val="4"/>
                  <w:tcBorders>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eastAsia="zh-CN"/>
                    </w:rPr>
                    <w:t>（</w:t>
                  </w:r>
                  <w:r>
                    <w:rPr>
                      <w:rFonts w:hint="eastAsia" w:ascii="Times New Roman" w:hAnsi="Times New Roman" w:eastAsia="宋体" w:cs="Times New Roman"/>
                      <w:b/>
                      <w:bCs/>
                      <w:color w:val="auto"/>
                      <w:sz w:val="21"/>
                      <w:szCs w:val="21"/>
                      <w:lang w:val="en-US" w:eastAsia="zh-CN"/>
                    </w:rPr>
                    <w:t>1</w:t>
                  </w:r>
                  <w:r>
                    <w:rPr>
                      <w:rFonts w:hint="eastAsia"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针对火灾爆炸事故</w:t>
                  </w:r>
                  <w:r>
                    <w:rPr>
                      <w:rFonts w:hint="eastAsia" w:ascii="Times New Roman" w:hAnsi="Times New Roman" w:eastAsia="宋体" w:cs="Times New Roman"/>
                      <w:b/>
                      <w:bCs/>
                      <w:color w:val="auto"/>
                      <w:sz w:val="21"/>
                      <w:szCs w:val="21"/>
                      <w:lang w:eastAsia="zh-CN"/>
                    </w:rPr>
                    <w:t>防的风险范措施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按照相关的规范和消防部门的要求，配备消防器材，在发生火灾时使用CO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干粉灭火器和消防沙进行灭火，灭火结束后产生的沾有油品的沙子属于危险固废，运至项目危废暂存间进行暂存，委托有资质单位清运处置；在危险品使用过程中，应该严格参照《危险化学品安全管理条例》（ 国务院第 344 号令）要求，需要做好这些化学品的贮存、使用，防止火灾风险事故的发生。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规范管理，加强职工培训</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各类事故及非正常生产情况的发生大多数与操作管理不当有直接关系，因此，必须建立健全一整套严格的管理制度。管理制度应在以下几个方面予以关注：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①</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加强</w:t>
                  </w:r>
                  <w:r>
                    <w:rPr>
                      <w:rFonts w:hint="eastAsia" w:ascii="Times New Roman" w:hAnsi="Times New Roman" w:eastAsia="宋体" w:cs="Times New Roman"/>
                      <w:color w:val="auto"/>
                      <w:sz w:val="21"/>
                      <w:szCs w:val="21"/>
                      <w:lang w:eastAsia="zh-CN"/>
                    </w:rPr>
                    <w:t>风险物质</w:t>
                  </w:r>
                  <w:r>
                    <w:rPr>
                      <w:rFonts w:hint="default" w:ascii="Times New Roman" w:hAnsi="Times New Roman" w:eastAsia="宋体" w:cs="Times New Roman"/>
                      <w:color w:val="auto"/>
                      <w:sz w:val="21"/>
                      <w:szCs w:val="21"/>
                    </w:rPr>
                    <w:t>的管理，严格防止跑、冒、滴、漏现象发生。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②</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把每个工作人员在业务上、工作上与消防安全管理上的职责、责任明确起来，层层把关，杜绝事故的发生。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③</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对各类贮存容器、机电装置、安全设施、消防器材等进行各种日常的、定期的、专业的防火安全检查，并将发现的问题落实到人、限期落实整改。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④</w:t>
                  </w:r>
                  <w:r>
                    <w:rPr>
                      <w:rFonts w:hint="default" w:ascii="Times New Roman" w:hAnsi="Times New Roman" w:eastAsia="宋体" w:cs="Times New Roman"/>
                      <w:color w:val="auto"/>
                      <w:sz w:val="21"/>
                      <w:szCs w:val="21"/>
                    </w:rPr>
                    <w:t>开展各种形式的安全教育和宣传，增强全员安全意识。加强职工培训， 增强职工的安全意识和相关知识。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eastAsia="zh-CN"/>
                    </w:rPr>
                    <w:t>（</w:t>
                  </w:r>
                  <w:r>
                    <w:rPr>
                      <w:rFonts w:hint="eastAsia" w:ascii="Times New Roman" w:hAnsi="Times New Roman" w:eastAsia="宋体" w:cs="Times New Roman"/>
                      <w:b/>
                      <w:bCs/>
                      <w:color w:val="auto"/>
                      <w:sz w:val="21"/>
                      <w:szCs w:val="21"/>
                      <w:lang w:val="en-US" w:eastAsia="zh-CN"/>
                    </w:rPr>
                    <w:t>2</w:t>
                  </w:r>
                  <w:r>
                    <w:rPr>
                      <w:rFonts w:hint="eastAsia"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针对溢出、泄漏事故</w:t>
                  </w:r>
                  <w:r>
                    <w:rPr>
                      <w:rFonts w:hint="eastAsia" w:ascii="Times New Roman" w:hAnsi="Times New Roman" w:eastAsia="宋体" w:cs="Times New Roman"/>
                      <w:b/>
                      <w:bCs/>
                      <w:color w:val="auto"/>
                      <w:sz w:val="21"/>
                      <w:szCs w:val="21"/>
                      <w:lang w:eastAsia="zh-CN"/>
                    </w:rPr>
                    <w:t>的风险防范措施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①</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采用</w:t>
                  </w:r>
                  <w:r>
                    <w:rPr>
                      <w:rFonts w:hint="default" w:ascii="Times New Roman" w:hAnsi="Times New Roman" w:eastAsia="宋体" w:cs="Times New Roman"/>
                      <w:color w:val="auto"/>
                      <w:sz w:val="21"/>
                      <w:szCs w:val="21"/>
                      <w:lang w:eastAsia="zh-CN"/>
                    </w:rPr>
                    <w:t>专用</w:t>
                  </w:r>
                  <w:r>
                    <w:rPr>
                      <w:rFonts w:hint="eastAsia" w:ascii="Times New Roman" w:hAnsi="Times New Roman" w:eastAsia="宋体" w:cs="Times New Roman"/>
                      <w:color w:val="auto"/>
                      <w:sz w:val="21"/>
                      <w:szCs w:val="21"/>
                      <w:lang w:eastAsia="zh-CN"/>
                    </w:rPr>
                    <w:t>的容器储存风险物质</w:t>
                  </w:r>
                  <w:r>
                    <w:rPr>
                      <w:rFonts w:hint="default" w:ascii="Times New Roman" w:hAnsi="Times New Roman" w:eastAsia="宋体" w:cs="Times New Roman"/>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②</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定期对</w:t>
                  </w:r>
                  <w:r>
                    <w:rPr>
                      <w:rFonts w:hint="eastAsia" w:ascii="Times New Roman" w:hAnsi="Times New Roman" w:eastAsia="宋体" w:cs="Times New Roman"/>
                      <w:color w:val="auto"/>
                      <w:sz w:val="21"/>
                      <w:szCs w:val="21"/>
                      <w:lang w:eastAsia="zh-CN"/>
                    </w:rPr>
                    <w:t>风险物质储存容器进行检查，</w:t>
                  </w:r>
                  <w:r>
                    <w:rPr>
                      <w:rFonts w:hint="default" w:ascii="Times New Roman" w:hAnsi="Times New Roman" w:eastAsia="宋体" w:cs="Times New Roman"/>
                      <w:color w:val="auto"/>
                      <w:sz w:val="21"/>
                      <w:szCs w:val="21"/>
                      <w:lang w:eastAsia="zh-CN"/>
                    </w:rPr>
                    <w:t>避免发生</w:t>
                  </w:r>
                  <w:r>
                    <w:rPr>
                      <w:rFonts w:hint="default" w:ascii="Times New Roman" w:hAnsi="Times New Roman" w:eastAsia="宋体" w:cs="Times New Roman"/>
                      <w:color w:val="auto"/>
                      <w:sz w:val="21"/>
                      <w:szCs w:val="21"/>
                    </w:rPr>
                    <w:t>跑、冒、滴、漏现象；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③</w:t>
                  </w:r>
                  <w:r>
                    <w:rPr>
                      <w:rFonts w:hint="eastAsia"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lang w:eastAsia="zh-CN"/>
                    </w:rPr>
                    <w:t>液态风险物质</w:t>
                  </w:r>
                  <w:r>
                    <w:rPr>
                      <w:rFonts w:hint="default" w:ascii="Times New Roman" w:hAnsi="Times New Roman" w:eastAsia="宋体" w:cs="Times New Roman"/>
                      <w:color w:val="auto"/>
                      <w:sz w:val="21"/>
                      <w:szCs w:val="21"/>
                    </w:rPr>
                    <w:t>泄露时，按操作规程及时收集泄露的液体，减少挥发量</w:t>
                  </w:r>
                  <w:r>
                    <w:rPr>
                      <w:rFonts w:hint="default" w:ascii="Times New Roman" w:hAnsi="Times New Roman" w:eastAsia="宋体" w:cs="Times New Roman"/>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④</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制定</w:t>
                  </w:r>
                  <w:r>
                    <w:rPr>
                      <w:rFonts w:hint="eastAsia" w:ascii="Times New Roman" w:hAnsi="Times New Roman" w:eastAsia="宋体" w:cs="Times New Roman"/>
                      <w:color w:val="auto"/>
                      <w:sz w:val="21"/>
                      <w:szCs w:val="21"/>
                      <w:lang w:eastAsia="zh-CN"/>
                    </w:rPr>
                    <w:t>有</w:t>
                  </w:r>
                  <w:r>
                    <w:rPr>
                      <w:rFonts w:hint="default" w:ascii="Times New Roman" w:hAnsi="Times New Roman" w:eastAsia="宋体" w:cs="Times New Roman"/>
                      <w:color w:val="auto"/>
                      <w:sz w:val="21"/>
                      <w:szCs w:val="21"/>
                    </w:rPr>
                    <w:t>环境污染突发事故应急预案，并组织演练，</w:t>
                  </w:r>
                  <w:r>
                    <w:rPr>
                      <w:rFonts w:hint="eastAsia" w:eastAsia="宋体" w:cs="Times New Roman"/>
                      <w:color w:val="auto"/>
                      <w:sz w:val="21"/>
                      <w:szCs w:val="21"/>
                      <w:lang w:eastAsia="zh-CN"/>
                    </w:rPr>
                    <w:t>防患于未然</w:t>
                  </w:r>
                  <w:r>
                    <w:rPr>
                      <w:rFonts w:hint="default" w:ascii="Times New Roman" w:hAnsi="Times New Roman" w:eastAsia="宋体" w:cs="Times New Roman"/>
                      <w:color w:val="auto"/>
                      <w:sz w:val="21"/>
                      <w:szCs w:val="21"/>
                    </w:rPr>
                    <w:t>。</w:t>
                  </w:r>
                </w:p>
              </w:tc>
            </w:tr>
          </w:tbl>
          <w:p>
            <w:pPr>
              <w:pStyle w:val="34"/>
              <w:numPr>
                <w:ilvl w:val="0"/>
                <w:numId w:val="0"/>
              </w:numP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三、竣工环境保护验收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bCs/>
                <w:color w:val="auto"/>
                <w:kern w:val="2"/>
                <w:sz w:val="24"/>
                <w:szCs w:val="24"/>
                <w:lang w:val="en-US" w:eastAsia="zh-CN"/>
              </w:rPr>
            </w:pPr>
            <w:r>
              <w:rPr>
                <w:rFonts w:hint="eastAsia" w:eastAsia="宋体" w:cs="Times New Roman"/>
                <w:b/>
                <w:bCs/>
                <w:color w:val="auto"/>
                <w:kern w:val="2"/>
                <w:sz w:val="24"/>
                <w:szCs w:val="24"/>
                <w:lang w:val="en-US" w:eastAsia="zh-CN"/>
              </w:rPr>
              <w:t>1、</w:t>
            </w:r>
            <w:r>
              <w:rPr>
                <w:rFonts w:hint="default" w:ascii="Times New Roman" w:hAnsi="Times New Roman" w:eastAsia="宋体" w:cs="Times New Roman"/>
                <w:b/>
                <w:bCs/>
                <w:color w:val="auto"/>
                <w:kern w:val="2"/>
                <w:sz w:val="24"/>
                <w:szCs w:val="24"/>
                <w:lang w:val="en-US" w:eastAsia="zh-CN"/>
              </w:rPr>
              <w:t>验收监测计划</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bCs/>
                <w:color w:val="auto"/>
                <w:kern w:val="2"/>
                <w:sz w:val="24"/>
                <w:szCs w:val="24"/>
                <w:highlight w:val="none"/>
              </w:rPr>
              <w:t>根据《建设项目竣工环境保护验收技术规范 医疗机构》（HJ794-2016）制定本项目监测计划：</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b/>
                <w:bCs/>
                <w:color w:val="auto"/>
                <w:kern w:val="2"/>
                <w:sz w:val="24"/>
                <w:szCs w:val="24"/>
                <w:highlight w:val="none"/>
                <w:lang w:eastAsia="zh-CN"/>
              </w:rPr>
            </w:pPr>
            <w:r>
              <w:rPr>
                <w:rFonts w:hint="eastAsia" w:eastAsia="宋体" w:cs="Times New Roman"/>
                <w:b/>
                <w:bCs/>
                <w:color w:val="auto"/>
                <w:kern w:val="2"/>
                <w:sz w:val="24"/>
                <w:szCs w:val="24"/>
                <w:highlight w:val="none"/>
                <w:lang w:val="en-US" w:eastAsia="zh-CN"/>
              </w:rPr>
              <w:t>（1）</w:t>
            </w:r>
            <w:r>
              <w:rPr>
                <w:rFonts w:hint="default" w:ascii="Times New Roman" w:hAnsi="Times New Roman" w:eastAsia="宋体" w:cs="Times New Roman"/>
                <w:b/>
                <w:bCs/>
                <w:color w:val="auto"/>
                <w:kern w:val="2"/>
                <w:sz w:val="24"/>
                <w:szCs w:val="24"/>
                <w:highlight w:val="none"/>
              </w:rPr>
              <w:t>无组织废气</w:t>
            </w:r>
            <w:r>
              <w:rPr>
                <w:rFonts w:hint="eastAsia" w:eastAsia="宋体" w:cs="Times New Roman"/>
                <w:b/>
                <w:bCs/>
                <w:color w:val="auto"/>
                <w:kern w:val="2"/>
                <w:sz w:val="24"/>
                <w:szCs w:val="24"/>
                <w:highlight w:val="none"/>
                <w:lang w:eastAsia="zh-CN"/>
              </w:rPr>
              <w:t>监测计划</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①监测点</w:t>
            </w:r>
            <w:r>
              <w:rPr>
                <w:rFonts w:hint="default" w:ascii="Times New Roman" w:hAnsi="Times New Roman" w:eastAsia="宋体" w:cs="Times New Roman"/>
                <w:color w:val="auto"/>
                <w:kern w:val="2"/>
                <w:sz w:val="24"/>
                <w:szCs w:val="24"/>
                <w:highlight w:val="none"/>
                <w:lang w:eastAsia="zh-CN"/>
              </w:rPr>
              <w:t>位</w:t>
            </w:r>
            <w:r>
              <w:rPr>
                <w:rFonts w:hint="default" w:ascii="Times New Roman" w:hAnsi="Times New Roman" w:eastAsia="宋体" w:cs="Times New Roman"/>
                <w:color w:val="auto"/>
                <w:kern w:val="2"/>
                <w:sz w:val="24"/>
                <w:szCs w:val="24"/>
                <w:highlight w:val="none"/>
              </w:rPr>
              <w:t>：</w:t>
            </w:r>
            <w:r>
              <w:rPr>
                <w:rFonts w:hint="default" w:ascii="Times New Roman" w:hAnsi="Times New Roman" w:eastAsia="宋体" w:cs="Times New Roman"/>
                <w:color w:val="auto"/>
                <w:kern w:val="2"/>
                <w:sz w:val="24"/>
                <w:szCs w:val="24"/>
                <w:highlight w:val="none"/>
                <w:lang w:eastAsia="zh-CN"/>
              </w:rPr>
              <w:t>污水处理站周边</w:t>
            </w:r>
            <w:r>
              <w:rPr>
                <w:rFonts w:hint="default" w:ascii="Times New Roman" w:hAnsi="Times New Roman" w:eastAsia="宋体" w:cs="Times New Roman"/>
                <w:color w:val="auto"/>
                <w:kern w:val="2"/>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rPr>
              <w:t>②监测因子：</w:t>
            </w:r>
            <w:r>
              <w:rPr>
                <w:rFonts w:hint="default" w:ascii="Times New Roman" w:hAnsi="Times New Roman" w:eastAsia="宋体" w:cs="Times New Roman"/>
                <w:color w:val="auto"/>
                <w:kern w:val="2"/>
                <w:sz w:val="24"/>
                <w:szCs w:val="24"/>
                <w:highlight w:val="none"/>
                <w:lang w:eastAsia="zh-CN"/>
              </w:rPr>
              <w:t>氨、硫化氢、臭气浓度、氯气、甲烷 （指处理站内最高体积百分数</w:t>
            </w:r>
            <w:r>
              <w:rPr>
                <w:rFonts w:hint="eastAsia" w:ascii="Times New Roman" w:hAnsi="Times New Roman" w:eastAsia="宋体" w:cs="Times New Roman"/>
                <w:color w:val="auto"/>
                <w:kern w:val="2"/>
                <w:sz w:val="24"/>
                <w:szCs w:val="24"/>
                <w:highlight w:val="none"/>
                <w:lang w:val="en-US" w:eastAsia="zh-CN"/>
              </w:rPr>
              <w:t>/%</w:t>
            </w:r>
            <w:r>
              <w:rPr>
                <w:rFonts w:hint="default" w:ascii="Times New Roman" w:hAnsi="Times New Roman" w:eastAsia="宋体" w:cs="Times New Roman"/>
                <w:color w:val="auto"/>
                <w:kern w:val="2"/>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kern w:val="2"/>
                <w:sz w:val="24"/>
                <w:szCs w:val="24"/>
                <w:highlight w:val="none"/>
                <w:lang w:eastAsia="zh-CN"/>
              </w:rPr>
            </w:pPr>
            <w:r>
              <w:rPr>
                <w:rFonts w:hint="default" w:ascii="Times New Roman" w:hAnsi="Times New Roman" w:eastAsia="宋体" w:cs="Times New Roman"/>
                <w:color w:val="auto"/>
                <w:kern w:val="2"/>
                <w:sz w:val="24"/>
                <w:szCs w:val="24"/>
                <w:highlight w:val="none"/>
              </w:rPr>
              <w:t>③监测</w:t>
            </w:r>
            <w:r>
              <w:rPr>
                <w:rFonts w:hint="default" w:ascii="Times New Roman" w:hAnsi="Times New Roman" w:eastAsia="宋体" w:cs="Times New Roman"/>
                <w:color w:val="auto"/>
                <w:kern w:val="2"/>
                <w:sz w:val="24"/>
                <w:szCs w:val="24"/>
                <w:highlight w:val="none"/>
                <w:lang w:eastAsia="zh-CN"/>
              </w:rPr>
              <w:t>频次</w:t>
            </w:r>
            <w:r>
              <w:rPr>
                <w:rFonts w:hint="default" w:ascii="Times New Roman" w:hAnsi="Times New Roman" w:eastAsia="宋体" w:cs="Times New Roman"/>
                <w:color w:val="auto"/>
                <w:kern w:val="2"/>
                <w:sz w:val="24"/>
                <w:szCs w:val="24"/>
                <w:highlight w:val="none"/>
              </w:rPr>
              <w:t>：监测2天，每天监测3次</w:t>
            </w:r>
            <w:r>
              <w:rPr>
                <w:rFonts w:hint="default" w:ascii="Times New Roman" w:hAnsi="Times New Roman" w:eastAsia="宋体" w:cs="Times New Roman"/>
                <w:color w:val="auto"/>
                <w:kern w:val="2"/>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color w:val="auto"/>
                <w:kern w:val="2"/>
                <w:sz w:val="24"/>
                <w:szCs w:val="24"/>
                <w:highlight w:val="none"/>
              </w:rPr>
            </w:pPr>
            <w:r>
              <w:rPr>
                <w:rFonts w:hint="eastAsia" w:eastAsia="宋体" w:cs="Times New Roman"/>
                <w:b/>
                <w:color w:val="auto"/>
                <w:kern w:val="2"/>
                <w:sz w:val="24"/>
                <w:szCs w:val="24"/>
                <w:highlight w:val="none"/>
                <w:lang w:val="en-US" w:eastAsia="zh-CN"/>
              </w:rPr>
              <w:t>（2）</w:t>
            </w:r>
            <w:r>
              <w:rPr>
                <w:rFonts w:hint="default" w:ascii="Times New Roman" w:hAnsi="Times New Roman" w:eastAsia="宋体" w:cs="Times New Roman"/>
                <w:b/>
                <w:color w:val="auto"/>
                <w:kern w:val="2"/>
                <w:sz w:val="24"/>
                <w:szCs w:val="24"/>
                <w:highlight w:val="none"/>
              </w:rPr>
              <w:t>噪声监测计划</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①监测点</w:t>
            </w:r>
            <w:r>
              <w:rPr>
                <w:rFonts w:hint="eastAsia" w:eastAsia="宋体" w:cs="Times New Roman"/>
                <w:color w:val="auto"/>
                <w:kern w:val="2"/>
                <w:sz w:val="24"/>
                <w:szCs w:val="24"/>
                <w:highlight w:val="none"/>
                <w:lang w:eastAsia="zh-CN"/>
              </w:rPr>
              <w:t>位</w:t>
            </w:r>
            <w:r>
              <w:rPr>
                <w:rFonts w:hint="default" w:ascii="Times New Roman" w:hAnsi="Times New Roman" w:eastAsia="宋体" w:cs="Times New Roman"/>
                <w:color w:val="auto"/>
                <w:kern w:val="2"/>
                <w:sz w:val="24"/>
                <w:szCs w:val="24"/>
                <w:highlight w:val="none"/>
              </w:rPr>
              <w:t>：项目四面厂界；</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②监测</w:t>
            </w:r>
            <w:r>
              <w:rPr>
                <w:rFonts w:hint="eastAsia" w:eastAsia="宋体" w:cs="Times New Roman"/>
                <w:color w:val="auto"/>
                <w:kern w:val="2"/>
                <w:sz w:val="24"/>
                <w:szCs w:val="24"/>
                <w:highlight w:val="none"/>
                <w:lang w:eastAsia="zh-CN"/>
              </w:rPr>
              <w:t>因子</w:t>
            </w:r>
            <w:r>
              <w:rPr>
                <w:rFonts w:hint="default" w:ascii="Times New Roman" w:hAnsi="Times New Roman" w:eastAsia="宋体" w:cs="Times New Roman"/>
                <w:color w:val="auto"/>
                <w:kern w:val="2"/>
                <w:sz w:val="24"/>
                <w:szCs w:val="24"/>
                <w:highlight w:val="none"/>
              </w:rPr>
              <w:t>：Leq(A)；</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kern w:val="2"/>
                <w:sz w:val="24"/>
                <w:szCs w:val="24"/>
                <w:highlight w:val="none"/>
                <w:lang w:eastAsia="zh-CN"/>
              </w:rPr>
            </w:pPr>
            <w:r>
              <w:rPr>
                <w:rFonts w:hint="default" w:ascii="Times New Roman" w:hAnsi="Times New Roman" w:eastAsia="宋体" w:cs="Times New Roman"/>
                <w:color w:val="auto"/>
                <w:kern w:val="2"/>
                <w:sz w:val="24"/>
                <w:szCs w:val="24"/>
                <w:highlight w:val="none"/>
              </w:rPr>
              <w:t>③监测频率：监测2天，昼夜各监测1次</w:t>
            </w:r>
            <w:r>
              <w:rPr>
                <w:rFonts w:hint="default" w:ascii="Times New Roman" w:hAnsi="Times New Roman" w:eastAsia="宋体" w:cs="Times New Roman"/>
                <w:color w:val="auto"/>
                <w:kern w:val="2"/>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b/>
                <w:color w:val="auto"/>
                <w:kern w:val="2"/>
                <w:sz w:val="24"/>
                <w:szCs w:val="24"/>
                <w:highlight w:val="none"/>
                <w:lang w:val="en-US" w:eastAsia="zh-CN"/>
              </w:rPr>
            </w:pPr>
            <w:r>
              <w:rPr>
                <w:rFonts w:hint="eastAsia" w:ascii="Times New Roman" w:hAnsi="Times New Roman" w:eastAsia="宋体" w:cs="Times New Roman"/>
                <w:b/>
                <w:color w:val="auto"/>
                <w:kern w:val="2"/>
                <w:sz w:val="24"/>
                <w:szCs w:val="24"/>
                <w:highlight w:val="none"/>
                <w:lang w:val="en-US" w:eastAsia="zh-CN"/>
              </w:rPr>
              <w:t>（3）废水监测计划</w:t>
            </w:r>
          </w:p>
          <w:p>
            <w:pPr>
              <w:pStyle w:val="183"/>
              <w:keepNext w:val="0"/>
              <w:keepLines w:val="0"/>
              <w:pageBreakBefore w:val="0"/>
              <w:numPr>
                <w:ilvl w:val="0"/>
                <w:numId w:val="0"/>
              </w:numPr>
              <w:kinsoku/>
              <w:wordWrap/>
              <w:overflowPunct/>
              <w:topLinePunct w:val="0"/>
              <w:autoSpaceDE/>
              <w:autoSpaceDN/>
              <w:bidi w:val="0"/>
              <w:ind w:leftChars="0" w:firstLine="480" w:firstLineChars="200"/>
              <w:jc w:val="both"/>
              <w:textAlignment w:val="auto"/>
              <w:rPr>
                <w:rFonts w:hint="eastAsia"/>
                <w:color w:val="auto"/>
                <w:lang w:val="en-US" w:eastAsia="zh-CN"/>
              </w:rPr>
            </w:pPr>
            <w:r>
              <w:rPr>
                <w:rFonts w:hint="eastAsia"/>
                <w:color w:val="auto"/>
                <w:lang w:val="en-US" w:eastAsia="zh-CN"/>
              </w:rPr>
              <w:t>①监测点位：污水处理站进、出口；</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s="Times New Roman"/>
                <w:color w:val="auto"/>
                <w:sz w:val="24"/>
                <w:szCs w:val="24"/>
                <w:lang w:eastAsia="zh-CN"/>
              </w:rPr>
            </w:pPr>
            <w:r>
              <w:rPr>
                <w:rFonts w:hint="eastAsia"/>
                <w:color w:val="auto"/>
                <w:lang w:val="en-US" w:eastAsia="zh-CN"/>
              </w:rPr>
              <w:t>②监测因子：</w:t>
            </w:r>
            <w:r>
              <w:rPr>
                <w:rFonts w:ascii="Times New Roman" w:hAnsi="Times New Roman" w:cs="Times New Roman"/>
                <w:color w:val="auto"/>
                <w:sz w:val="24"/>
              </w:rPr>
              <w:t>pH值</w:t>
            </w:r>
            <w:r>
              <w:rPr>
                <w:rFonts w:ascii="Times New Roman" w:hAnsi="Times New Roman" w:cs="Times New Roman"/>
                <w:color w:val="auto"/>
                <w:sz w:val="24"/>
                <w:szCs w:val="22"/>
              </w:rPr>
              <w:t>、</w:t>
            </w:r>
            <w:r>
              <w:rPr>
                <w:rFonts w:ascii="Times New Roman" w:hAnsi="Times New Roman" w:cs="Times New Roman"/>
                <w:color w:val="auto"/>
                <w:sz w:val="24"/>
              </w:rPr>
              <w:t>BOD</w:t>
            </w:r>
            <w:r>
              <w:rPr>
                <w:rFonts w:ascii="Times New Roman" w:hAnsi="Times New Roman" w:cs="Times New Roman"/>
                <w:color w:val="auto"/>
                <w:sz w:val="24"/>
                <w:vertAlign w:val="subscript"/>
              </w:rPr>
              <w:t>5</w:t>
            </w:r>
            <w:r>
              <w:rPr>
                <w:rFonts w:ascii="Times New Roman" w:hAnsi="Times New Roman" w:cs="Times New Roman"/>
                <w:color w:val="auto"/>
                <w:sz w:val="24"/>
              </w:rPr>
              <w:t>、</w:t>
            </w:r>
            <w:r>
              <w:rPr>
                <w:rFonts w:hint="eastAsia" w:ascii="Times New Roman" w:hAnsi="Times New Roman" w:cs="Times New Roman"/>
                <w:color w:val="auto"/>
                <w:sz w:val="24"/>
              </w:rPr>
              <w:t>C</w:t>
            </w:r>
            <w:r>
              <w:rPr>
                <w:rFonts w:ascii="Times New Roman" w:hAnsi="Times New Roman" w:cs="Times New Roman"/>
                <w:color w:val="auto"/>
                <w:sz w:val="24"/>
              </w:rPr>
              <w:t>OD、</w:t>
            </w:r>
            <w:r>
              <w:rPr>
                <w:rFonts w:hint="eastAsia" w:ascii="Times New Roman" w:hAnsi="Times New Roman" w:cs="Times New Roman"/>
                <w:color w:val="auto"/>
                <w:sz w:val="24"/>
              </w:rPr>
              <w:t>悬浮物（SS）</w:t>
            </w:r>
            <w:r>
              <w:rPr>
                <w:rFonts w:ascii="Times New Roman" w:hAnsi="Times New Roman" w:cs="Times New Roman"/>
                <w:color w:val="auto"/>
                <w:sz w:val="24"/>
              </w:rPr>
              <w:t>、</w:t>
            </w:r>
            <w:r>
              <w:rPr>
                <w:rFonts w:hint="eastAsia" w:ascii="Times New Roman" w:hAnsi="Times New Roman" w:cs="Times New Roman"/>
                <w:color w:val="auto"/>
                <w:sz w:val="24"/>
              </w:rPr>
              <w:t>氨氮</w:t>
            </w:r>
            <w:r>
              <w:rPr>
                <w:rFonts w:ascii="Times New Roman" w:hAnsi="Times New Roman" w:cs="Times New Roman"/>
                <w:color w:val="auto"/>
                <w:sz w:val="24"/>
              </w:rPr>
              <w:t>、</w:t>
            </w:r>
            <w:r>
              <w:rPr>
                <w:rFonts w:hint="eastAsia" w:ascii="Times New Roman" w:hAnsi="Times New Roman" w:cs="Times New Roman"/>
                <w:color w:val="auto"/>
                <w:sz w:val="24"/>
              </w:rPr>
              <w:t>动植物油、石油、</w:t>
            </w:r>
            <w:r>
              <w:rPr>
                <w:rFonts w:ascii="Times New Roman" w:hAnsi="Times New Roman" w:cs="Times New Roman"/>
                <w:color w:val="auto"/>
                <w:sz w:val="24"/>
              </w:rPr>
              <w:t>阴离子表面活性剂、</w:t>
            </w:r>
            <w:r>
              <w:rPr>
                <w:rFonts w:hint="eastAsia" w:cs="Times New Roman"/>
                <w:color w:val="auto"/>
                <w:sz w:val="24"/>
                <w:lang w:eastAsia="zh-CN"/>
              </w:rPr>
              <w:t>粪</w:t>
            </w:r>
            <w:r>
              <w:rPr>
                <w:rFonts w:ascii="Times New Roman" w:hAnsi="Times New Roman" w:cs="Times New Roman"/>
                <w:color w:val="auto"/>
                <w:sz w:val="24"/>
              </w:rPr>
              <w:t>大肠菌群</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szCs w:val="24"/>
                <w:lang w:eastAsia="zh-CN"/>
              </w:rPr>
              <w:t>六价铬、总铬、总镉、总砷、总汞、</w:t>
            </w:r>
            <w:r>
              <w:rPr>
                <w:rFonts w:hint="eastAsia" w:cs="Times New Roman"/>
                <w:color w:val="auto"/>
                <w:sz w:val="24"/>
                <w:szCs w:val="24"/>
                <w:lang w:eastAsia="zh-CN"/>
              </w:rPr>
              <w:t>总银、总铅、总氰化物、挥发酚、总余氯。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s="Times New Roman"/>
                <w:color w:val="auto"/>
                <w:sz w:val="24"/>
                <w:szCs w:val="24"/>
                <w:lang w:eastAsia="zh-CN"/>
              </w:rPr>
            </w:pPr>
            <w:r>
              <w:rPr>
                <w:rFonts w:hint="eastAsia" w:cs="Times New Roman"/>
                <w:color w:val="auto"/>
                <w:sz w:val="24"/>
                <w:szCs w:val="24"/>
                <w:lang w:eastAsia="zh-CN"/>
              </w:rPr>
              <w:t>③监测频次：监测2天，每天监测3次。</w:t>
            </w:r>
          </w:p>
          <w:p>
            <w:pPr>
              <w:pStyle w:val="183"/>
              <w:ind w:left="0" w:leftChars="0" w:right="0" w:rightChars="0" w:firstLine="0" w:firstLineChars="0"/>
              <w:jc w:val="center"/>
              <w:rPr>
                <w:rFonts w:hint="eastAsia" w:cs="Times New Roman"/>
                <w:b/>
                <w:bCs/>
                <w:color w:val="auto"/>
                <w:sz w:val="21"/>
                <w:szCs w:val="21"/>
                <w:lang w:val="en-US" w:eastAsia="zh-CN"/>
              </w:rPr>
            </w:pPr>
            <w:r>
              <w:rPr>
                <w:rFonts w:hint="eastAsia" w:cs="Times New Roman"/>
                <w:b/>
                <w:bCs/>
                <w:color w:val="auto"/>
                <w:sz w:val="21"/>
                <w:szCs w:val="21"/>
                <w:lang w:eastAsia="zh-CN"/>
              </w:rPr>
              <w:t>表</w:t>
            </w:r>
            <w:r>
              <w:rPr>
                <w:rFonts w:hint="eastAsia" w:cs="Times New Roman"/>
                <w:b/>
                <w:bCs/>
                <w:color w:val="auto"/>
                <w:sz w:val="21"/>
                <w:szCs w:val="21"/>
                <w:lang w:val="en-US" w:eastAsia="zh-CN"/>
              </w:rPr>
              <w:t>4-24 竣工环保验收监测计划</w:t>
            </w:r>
          </w:p>
          <w:tbl>
            <w:tblPr>
              <w:tblStyle w:val="38"/>
              <w:tblW w:w="85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1718"/>
              <w:gridCol w:w="3865"/>
              <w:gridCol w:w="1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Align w:val="center"/>
                </w:tcPr>
                <w:p>
                  <w:pPr>
                    <w:spacing w:beforeLines="0" w:afterLines="0" w:line="360" w:lineRule="auto"/>
                    <w:ind w:left="0" w:leftChars="0" w:right="0" w:rightChars="0" w:firstLine="0" w:firstLineChars="0"/>
                    <w:jc w:val="center"/>
                    <w:rPr>
                      <w:rFonts w:hint="default" w:ascii="Times New Roman" w:hAnsi="Times New Roman" w:cs="Times New Roman"/>
                      <w:b/>
                      <w:bCs/>
                      <w:color w:val="auto"/>
                      <w:kern w:val="2"/>
                      <w:sz w:val="21"/>
                      <w:szCs w:val="21"/>
                      <w:vertAlign w:val="baseline"/>
                      <w:lang w:val="en-US" w:eastAsia="zh-CN"/>
                    </w:rPr>
                  </w:pPr>
                  <w:r>
                    <w:rPr>
                      <w:rFonts w:hint="default" w:ascii="Times New Roman" w:hAnsi="Times New Roman" w:cs="Times New Roman"/>
                      <w:b/>
                      <w:bCs/>
                      <w:color w:val="auto"/>
                      <w:kern w:val="2"/>
                      <w:sz w:val="21"/>
                      <w:szCs w:val="21"/>
                    </w:rPr>
                    <w:t>监测类别</w:t>
                  </w:r>
                </w:p>
              </w:tc>
              <w:tc>
                <w:tcPr>
                  <w:tcW w:w="1718" w:type="dxa"/>
                  <w:vAlign w:val="center"/>
                </w:tcPr>
                <w:p>
                  <w:pPr>
                    <w:spacing w:beforeLines="0" w:afterLines="0" w:line="360" w:lineRule="auto"/>
                    <w:ind w:left="0" w:leftChars="0" w:right="0" w:rightChars="0" w:firstLine="0" w:firstLineChars="0"/>
                    <w:jc w:val="center"/>
                    <w:rPr>
                      <w:rFonts w:hint="default" w:ascii="Times New Roman" w:hAnsi="Times New Roman" w:cs="Times New Roman"/>
                      <w:b/>
                      <w:bCs/>
                      <w:color w:val="auto"/>
                      <w:kern w:val="2"/>
                      <w:sz w:val="21"/>
                      <w:szCs w:val="21"/>
                      <w:vertAlign w:val="baseline"/>
                      <w:lang w:val="en-US" w:eastAsia="zh-CN"/>
                    </w:rPr>
                  </w:pPr>
                  <w:r>
                    <w:rPr>
                      <w:rFonts w:hint="default" w:ascii="Times New Roman" w:hAnsi="Times New Roman" w:cs="Times New Roman"/>
                      <w:b/>
                      <w:bCs/>
                      <w:color w:val="auto"/>
                      <w:kern w:val="2"/>
                      <w:sz w:val="21"/>
                      <w:szCs w:val="21"/>
                    </w:rPr>
                    <w:t>监测点位</w:t>
                  </w:r>
                </w:p>
              </w:tc>
              <w:tc>
                <w:tcPr>
                  <w:tcW w:w="3865" w:type="dxa"/>
                  <w:vAlign w:val="center"/>
                </w:tcPr>
                <w:p>
                  <w:pPr>
                    <w:spacing w:beforeLines="0" w:afterLines="0" w:line="360" w:lineRule="auto"/>
                    <w:ind w:left="0" w:leftChars="0" w:right="0" w:rightChars="0" w:firstLine="0" w:firstLineChars="0"/>
                    <w:jc w:val="center"/>
                    <w:rPr>
                      <w:rFonts w:hint="default" w:ascii="Times New Roman" w:hAnsi="Times New Roman" w:cs="Times New Roman"/>
                      <w:b/>
                      <w:bCs/>
                      <w:color w:val="auto"/>
                      <w:kern w:val="2"/>
                      <w:sz w:val="21"/>
                      <w:szCs w:val="21"/>
                      <w:vertAlign w:val="baseline"/>
                      <w:lang w:val="en-US" w:eastAsia="zh-CN"/>
                    </w:rPr>
                  </w:pPr>
                  <w:r>
                    <w:rPr>
                      <w:rFonts w:hint="default" w:ascii="Times New Roman" w:hAnsi="Times New Roman" w:cs="Times New Roman"/>
                      <w:b/>
                      <w:bCs/>
                      <w:color w:val="auto"/>
                      <w:kern w:val="2"/>
                      <w:sz w:val="21"/>
                      <w:szCs w:val="21"/>
                    </w:rPr>
                    <w:t>监测因子</w:t>
                  </w:r>
                </w:p>
              </w:tc>
              <w:tc>
                <w:tcPr>
                  <w:tcW w:w="1753" w:type="dxa"/>
                  <w:vAlign w:val="center"/>
                </w:tcPr>
                <w:p>
                  <w:pPr>
                    <w:spacing w:beforeLines="0" w:afterLines="0" w:line="360" w:lineRule="auto"/>
                    <w:ind w:left="0" w:leftChars="0" w:right="0" w:rightChars="0" w:firstLine="0" w:firstLineChars="0"/>
                    <w:jc w:val="center"/>
                    <w:rPr>
                      <w:rFonts w:hint="default" w:ascii="Times New Roman" w:hAnsi="Times New Roman" w:cs="Times New Roman" w:eastAsiaTheme="minorEastAsia"/>
                      <w:b/>
                      <w:bCs/>
                      <w:color w:val="auto"/>
                      <w:kern w:val="2"/>
                      <w:sz w:val="21"/>
                      <w:szCs w:val="21"/>
                      <w:vertAlign w:val="baseline"/>
                      <w:lang w:val="en-US" w:eastAsia="zh-CN"/>
                    </w:rPr>
                  </w:pPr>
                  <w:r>
                    <w:rPr>
                      <w:rFonts w:hint="default" w:ascii="Times New Roman" w:hAnsi="Times New Roman" w:cs="Times New Roman"/>
                      <w:b/>
                      <w:bCs/>
                      <w:color w:val="auto"/>
                      <w:kern w:val="2"/>
                      <w:sz w:val="21"/>
                      <w:szCs w:val="21"/>
                    </w:rPr>
                    <w:t>监测</w:t>
                  </w:r>
                  <w:r>
                    <w:rPr>
                      <w:rFonts w:hint="default" w:ascii="Times New Roman" w:hAnsi="Times New Roman" w:cs="Times New Roman"/>
                      <w:b/>
                      <w:bCs/>
                      <w:color w:val="auto"/>
                      <w:kern w:val="2"/>
                      <w:sz w:val="21"/>
                      <w:szCs w:val="21"/>
                      <w:lang w:eastAsia="zh-CN"/>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71" w:type="dxa"/>
                  <w:vAlign w:val="center"/>
                </w:tcPr>
                <w:p>
                  <w:pPr>
                    <w:pStyle w:val="183"/>
                    <w:widowControl w:val="0"/>
                    <w:spacing w:line="360" w:lineRule="auto"/>
                    <w:ind w:left="0" w:leftChars="0" w:right="0" w:rightChars="0" w:firstLine="0" w:firstLineChars="0"/>
                    <w:jc w:val="center"/>
                    <w:rPr>
                      <w:rFonts w:hint="default" w:ascii="Times New Roman" w:hAnsi="Times New Roman" w:cs="Times New Roman"/>
                      <w:b w:val="0"/>
                      <w:bCs w:val="0"/>
                      <w:color w:val="auto"/>
                      <w:kern w:val="2"/>
                      <w:sz w:val="21"/>
                      <w:szCs w:val="21"/>
                      <w:vertAlign w:val="baseline"/>
                      <w:lang w:val="en-US" w:eastAsia="zh-CN"/>
                    </w:rPr>
                  </w:pPr>
                  <w:r>
                    <w:rPr>
                      <w:rFonts w:hint="default" w:ascii="Times New Roman" w:hAnsi="Times New Roman" w:cs="Times New Roman"/>
                      <w:b w:val="0"/>
                      <w:bCs w:val="0"/>
                      <w:color w:val="auto"/>
                      <w:kern w:val="2"/>
                      <w:sz w:val="21"/>
                      <w:szCs w:val="21"/>
                      <w:vertAlign w:val="baseline"/>
                      <w:lang w:val="en-US" w:eastAsia="zh-CN"/>
                    </w:rPr>
                    <w:t>无组织废气</w:t>
                  </w:r>
                </w:p>
              </w:tc>
              <w:tc>
                <w:tcPr>
                  <w:tcW w:w="1718" w:type="dxa"/>
                  <w:vAlign w:val="center"/>
                </w:tcPr>
                <w:p>
                  <w:pPr>
                    <w:pStyle w:val="183"/>
                    <w:widowControl w:val="0"/>
                    <w:spacing w:line="360" w:lineRule="auto"/>
                    <w:ind w:left="0" w:leftChars="0" w:right="0" w:rightChars="0" w:firstLine="0" w:firstLineChars="0"/>
                    <w:jc w:val="center"/>
                    <w:rPr>
                      <w:rFonts w:hint="default" w:ascii="Times New Roman" w:hAnsi="Times New Roman" w:cs="Times New Roman"/>
                      <w:b w:val="0"/>
                      <w:bCs w:val="0"/>
                      <w:color w:val="auto"/>
                      <w:kern w:val="2"/>
                      <w:sz w:val="21"/>
                      <w:szCs w:val="21"/>
                      <w:vertAlign w:val="baseline"/>
                      <w:lang w:val="en-US" w:eastAsia="zh-CN"/>
                    </w:rPr>
                  </w:pPr>
                  <w:r>
                    <w:rPr>
                      <w:rFonts w:hint="default" w:ascii="Times New Roman" w:hAnsi="Times New Roman" w:cs="Times New Roman"/>
                      <w:b w:val="0"/>
                      <w:bCs w:val="0"/>
                      <w:color w:val="auto"/>
                      <w:kern w:val="2"/>
                      <w:sz w:val="21"/>
                      <w:szCs w:val="21"/>
                      <w:vertAlign w:val="baseline"/>
                      <w:lang w:val="en-US" w:eastAsia="zh-CN"/>
                    </w:rPr>
                    <w:t>污水处理站周边</w:t>
                  </w:r>
                </w:p>
              </w:tc>
              <w:tc>
                <w:tcPr>
                  <w:tcW w:w="3865" w:type="dxa"/>
                  <w:vAlign w:val="center"/>
                </w:tcPr>
                <w:p>
                  <w:pPr>
                    <w:pStyle w:val="183"/>
                    <w:widowControl w:val="0"/>
                    <w:spacing w:line="360" w:lineRule="auto"/>
                    <w:ind w:left="0" w:leftChars="0" w:right="0" w:rightChars="0" w:firstLine="0" w:firstLineChars="0"/>
                    <w:jc w:val="center"/>
                    <w:rPr>
                      <w:rFonts w:hint="default" w:ascii="Times New Roman" w:hAnsi="Times New Roman" w:cs="Times New Roman"/>
                      <w:b w:val="0"/>
                      <w:bCs w:val="0"/>
                      <w:color w:val="auto"/>
                      <w:kern w:val="2"/>
                      <w:sz w:val="21"/>
                      <w:szCs w:val="21"/>
                      <w:vertAlign w:val="baseline"/>
                      <w:lang w:val="en-US" w:eastAsia="zh-CN"/>
                    </w:rPr>
                  </w:pPr>
                  <w:r>
                    <w:rPr>
                      <w:rFonts w:hint="default" w:ascii="Times New Roman" w:hAnsi="Times New Roman" w:cs="Times New Roman"/>
                      <w:b w:val="0"/>
                      <w:bCs w:val="0"/>
                      <w:color w:val="auto"/>
                      <w:kern w:val="2"/>
                      <w:sz w:val="21"/>
                      <w:szCs w:val="21"/>
                      <w:vertAlign w:val="baseline"/>
                      <w:lang w:val="en-US" w:eastAsia="zh-CN"/>
                    </w:rPr>
                    <w:t>氨、硫化氢、臭气浓度、氯气、甲烷 （指处理站内最高体积百分数/%）</w:t>
                  </w:r>
                </w:p>
              </w:tc>
              <w:tc>
                <w:tcPr>
                  <w:tcW w:w="1753" w:type="dxa"/>
                  <w:vAlign w:val="center"/>
                </w:tcPr>
                <w:p>
                  <w:pPr>
                    <w:pStyle w:val="183"/>
                    <w:widowControl w:val="0"/>
                    <w:spacing w:line="360" w:lineRule="auto"/>
                    <w:ind w:left="0" w:leftChars="0" w:right="0" w:rightChars="0" w:firstLine="0" w:firstLineChars="0"/>
                    <w:jc w:val="center"/>
                    <w:rPr>
                      <w:rFonts w:hint="default" w:ascii="Times New Roman" w:hAnsi="Times New Roman" w:cs="Times New Roman"/>
                      <w:b w:val="0"/>
                      <w:bCs w:val="0"/>
                      <w:color w:val="auto"/>
                      <w:kern w:val="2"/>
                      <w:sz w:val="21"/>
                      <w:szCs w:val="21"/>
                      <w:vertAlign w:val="baseline"/>
                      <w:lang w:val="en-US" w:eastAsia="zh-CN"/>
                    </w:rPr>
                  </w:pPr>
                  <w:r>
                    <w:rPr>
                      <w:rFonts w:hint="default" w:ascii="Times New Roman" w:hAnsi="Times New Roman" w:cs="Times New Roman"/>
                      <w:b w:val="0"/>
                      <w:bCs w:val="0"/>
                      <w:color w:val="auto"/>
                      <w:kern w:val="2"/>
                      <w:sz w:val="21"/>
                      <w:szCs w:val="21"/>
                      <w:vertAlign w:val="baseline"/>
                      <w:lang w:val="en-US" w:eastAsia="zh-CN"/>
                    </w:rPr>
                    <w:t>监测2天，每天监测3次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Align w:val="center"/>
                </w:tcPr>
                <w:p>
                  <w:pPr>
                    <w:pStyle w:val="183"/>
                    <w:widowControl w:val="0"/>
                    <w:spacing w:line="360" w:lineRule="auto"/>
                    <w:ind w:left="0" w:leftChars="0" w:right="0" w:rightChars="0" w:firstLine="0" w:firstLineChars="0"/>
                    <w:jc w:val="center"/>
                    <w:rPr>
                      <w:rFonts w:hint="default" w:ascii="Times New Roman" w:hAnsi="Times New Roman" w:cs="Times New Roman"/>
                      <w:b w:val="0"/>
                      <w:bCs w:val="0"/>
                      <w:color w:val="auto"/>
                      <w:kern w:val="2"/>
                      <w:sz w:val="21"/>
                      <w:szCs w:val="21"/>
                      <w:vertAlign w:val="baseline"/>
                      <w:lang w:val="en-US" w:eastAsia="zh-CN"/>
                    </w:rPr>
                  </w:pPr>
                  <w:r>
                    <w:rPr>
                      <w:rFonts w:hint="default" w:ascii="Times New Roman" w:hAnsi="Times New Roman" w:cs="Times New Roman"/>
                      <w:b w:val="0"/>
                      <w:bCs w:val="0"/>
                      <w:color w:val="auto"/>
                      <w:kern w:val="2"/>
                      <w:sz w:val="21"/>
                      <w:szCs w:val="21"/>
                      <w:vertAlign w:val="baseline"/>
                      <w:lang w:val="en-US" w:eastAsia="zh-CN"/>
                    </w:rPr>
                    <w:t>噪声</w:t>
                  </w:r>
                </w:p>
              </w:tc>
              <w:tc>
                <w:tcPr>
                  <w:tcW w:w="1718" w:type="dxa"/>
                  <w:vAlign w:val="center"/>
                </w:tcPr>
                <w:p>
                  <w:pPr>
                    <w:pStyle w:val="183"/>
                    <w:widowControl w:val="0"/>
                    <w:spacing w:line="360" w:lineRule="auto"/>
                    <w:ind w:left="0" w:leftChars="0" w:right="0" w:rightChars="0" w:firstLine="0" w:firstLineChars="0"/>
                    <w:jc w:val="center"/>
                    <w:rPr>
                      <w:rFonts w:hint="default" w:ascii="Times New Roman" w:hAnsi="Times New Roman" w:cs="Times New Roman"/>
                      <w:b w:val="0"/>
                      <w:bCs w:val="0"/>
                      <w:color w:val="auto"/>
                      <w:kern w:val="2"/>
                      <w:sz w:val="21"/>
                      <w:szCs w:val="21"/>
                      <w:vertAlign w:val="baseline"/>
                      <w:lang w:val="en-US" w:eastAsia="zh-CN"/>
                    </w:rPr>
                  </w:pPr>
                  <w:r>
                    <w:rPr>
                      <w:rFonts w:hint="default" w:ascii="Times New Roman" w:hAnsi="Times New Roman" w:cs="Times New Roman"/>
                      <w:b w:val="0"/>
                      <w:bCs w:val="0"/>
                      <w:color w:val="auto"/>
                      <w:kern w:val="2"/>
                      <w:sz w:val="21"/>
                      <w:szCs w:val="21"/>
                      <w:vertAlign w:val="baseline"/>
                      <w:lang w:val="en-US" w:eastAsia="zh-CN"/>
                    </w:rPr>
                    <w:t>项目四面厂界</w:t>
                  </w:r>
                </w:p>
              </w:tc>
              <w:tc>
                <w:tcPr>
                  <w:tcW w:w="3865" w:type="dxa"/>
                  <w:vAlign w:val="center"/>
                </w:tcPr>
                <w:p>
                  <w:pPr>
                    <w:pStyle w:val="183"/>
                    <w:widowControl w:val="0"/>
                    <w:spacing w:line="360" w:lineRule="auto"/>
                    <w:ind w:left="0" w:leftChars="0" w:right="0" w:rightChars="0" w:firstLine="0" w:firstLineChars="0"/>
                    <w:jc w:val="center"/>
                    <w:rPr>
                      <w:rFonts w:hint="default" w:ascii="Times New Roman" w:hAnsi="Times New Roman" w:cs="Times New Roman"/>
                      <w:b w:val="0"/>
                      <w:bCs w:val="0"/>
                      <w:color w:val="auto"/>
                      <w:kern w:val="2"/>
                      <w:sz w:val="21"/>
                      <w:szCs w:val="21"/>
                      <w:vertAlign w:val="baseline"/>
                      <w:lang w:val="en-US" w:eastAsia="zh-CN"/>
                    </w:rPr>
                  </w:pPr>
                  <w:r>
                    <w:rPr>
                      <w:rFonts w:hint="default" w:ascii="Times New Roman" w:hAnsi="Times New Roman" w:cs="Times New Roman"/>
                      <w:b w:val="0"/>
                      <w:bCs w:val="0"/>
                      <w:color w:val="auto"/>
                      <w:kern w:val="2"/>
                      <w:sz w:val="21"/>
                      <w:szCs w:val="21"/>
                      <w:vertAlign w:val="baseline"/>
                      <w:lang w:val="en-US" w:eastAsia="zh-CN"/>
                    </w:rPr>
                    <w:t>Leq(A)</w:t>
                  </w:r>
                </w:p>
              </w:tc>
              <w:tc>
                <w:tcPr>
                  <w:tcW w:w="1753" w:type="dxa"/>
                  <w:vAlign w:val="center"/>
                </w:tcPr>
                <w:p>
                  <w:pPr>
                    <w:pStyle w:val="183"/>
                    <w:widowControl w:val="0"/>
                    <w:spacing w:line="360" w:lineRule="auto"/>
                    <w:ind w:left="0" w:leftChars="0" w:right="0" w:rightChars="0" w:firstLine="0" w:firstLineChars="0"/>
                    <w:jc w:val="center"/>
                    <w:rPr>
                      <w:rFonts w:hint="default" w:ascii="Times New Roman" w:hAnsi="Times New Roman" w:cs="Times New Roman"/>
                      <w:b w:val="0"/>
                      <w:bCs w:val="0"/>
                      <w:color w:val="auto"/>
                      <w:kern w:val="2"/>
                      <w:sz w:val="21"/>
                      <w:szCs w:val="21"/>
                      <w:vertAlign w:val="baseline"/>
                      <w:lang w:val="en-US" w:eastAsia="zh-CN"/>
                    </w:rPr>
                  </w:pPr>
                  <w:r>
                    <w:rPr>
                      <w:rFonts w:hint="default" w:ascii="Times New Roman" w:hAnsi="Times New Roman" w:cs="Times New Roman"/>
                      <w:b w:val="0"/>
                      <w:bCs w:val="0"/>
                      <w:color w:val="auto"/>
                      <w:kern w:val="2"/>
                      <w:sz w:val="21"/>
                      <w:szCs w:val="21"/>
                      <w:vertAlign w:val="baseline"/>
                      <w:lang w:val="en-US" w:eastAsia="zh-CN"/>
                    </w:rPr>
                    <w:t>监测2天，昼夜各监测1次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1" w:type="dxa"/>
                  <w:vAlign w:val="center"/>
                </w:tcPr>
                <w:p>
                  <w:pPr>
                    <w:pStyle w:val="183"/>
                    <w:widowControl w:val="0"/>
                    <w:spacing w:line="360" w:lineRule="auto"/>
                    <w:ind w:left="0" w:leftChars="0" w:right="0" w:rightChars="0" w:firstLine="0" w:firstLineChars="0"/>
                    <w:jc w:val="center"/>
                    <w:rPr>
                      <w:rFonts w:hint="default" w:ascii="Times New Roman" w:hAnsi="Times New Roman" w:cs="Times New Roman"/>
                      <w:b w:val="0"/>
                      <w:bCs w:val="0"/>
                      <w:color w:val="auto"/>
                      <w:kern w:val="2"/>
                      <w:sz w:val="21"/>
                      <w:szCs w:val="21"/>
                      <w:vertAlign w:val="baseline"/>
                      <w:lang w:val="en-US" w:eastAsia="zh-CN"/>
                    </w:rPr>
                  </w:pPr>
                  <w:r>
                    <w:rPr>
                      <w:rFonts w:hint="default" w:ascii="Times New Roman" w:hAnsi="Times New Roman" w:cs="Times New Roman"/>
                      <w:b w:val="0"/>
                      <w:bCs w:val="0"/>
                      <w:color w:val="auto"/>
                      <w:kern w:val="2"/>
                      <w:sz w:val="21"/>
                      <w:szCs w:val="21"/>
                      <w:vertAlign w:val="baseline"/>
                      <w:lang w:val="en-US" w:eastAsia="zh-CN"/>
                    </w:rPr>
                    <w:t>废水</w:t>
                  </w:r>
                </w:p>
              </w:tc>
              <w:tc>
                <w:tcPr>
                  <w:tcW w:w="1718" w:type="dxa"/>
                  <w:vAlign w:val="center"/>
                </w:tcPr>
                <w:p>
                  <w:pPr>
                    <w:pStyle w:val="183"/>
                    <w:widowControl w:val="0"/>
                    <w:spacing w:line="360" w:lineRule="auto"/>
                    <w:ind w:left="0" w:leftChars="0" w:right="0" w:rightChars="0" w:firstLine="0" w:firstLineChars="0"/>
                    <w:jc w:val="center"/>
                    <w:rPr>
                      <w:rFonts w:hint="default" w:ascii="Times New Roman" w:hAnsi="Times New Roman" w:cs="Times New Roman"/>
                      <w:b w:val="0"/>
                      <w:bCs w:val="0"/>
                      <w:color w:val="auto"/>
                      <w:kern w:val="2"/>
                      <w:sz w:val="21"/>
                      <w:szCs w:val="21"/>
                      <w:vertAlign w:val="baseline"/>
                      <w:lang w:val="en-US" w:eastAsia="zh-CN"/>
                    </w:rPr>
                  </w:pPr>
                  <w:r>
                    <w:rPr>
                      <w:rFonts w:hint="default" w:ascii="Times New Roman" w:hAnsi="Times New Roman" w:cs="Times New Roman"/>
                      <w:b w:val="0"/>
                      <w:bCs w:val="0"/>
                      <w:color w:val="auto"/>
                      <w:kern w:val="2"/>
                      <w:sz w:val="21"/>
                      <w:szCs w:val="21"/>
                      <w:vertAlign w:val="baseline"/>
                      <w:lang w:val="en-US" w:eastAsia="zh-CN"/>
                    </w:rPr>
                    <w:t>污水处理站进、出口</w:t>
                  </w:r>
                </w:p>
              </w:tc>
              <w:tc>
                <w:tcPr>
                  <w:tcW w:w="3865" w:type="dxa"/>
                  <w:vAlign w:val="center"/>
                </w:tcPr>
                <w:p>
                  <w:pPr>
                    <w:pStyle w:val="183"/>
                    <w:widowControl w:val="0"/>
                    <w:spacing w:line="360" w:lineRule="auto"/>
                    <w:ind w:left="0" w:leftChars="0" w:right="0" w:rightChars="0" w:firstLine="0" w:firstLineChars="0"/>
                    <w:jc w:val="center"/>
                    <w:rPr>
                      <w:rFonts w:hint="default" w:ascii="Times New Roman" w:hAnsi="Times New Roman" w:cs="Times New Roman"/>
                      <w:b w:val="0"/>
                      <w:bCs w:val="0"/>
                      <w:color w:val="auto"/>
                      <w:kern w:val="2"/>
                      <w:sz w:val="21"/>
                      <w:szCs w:val="21"/>
                      <w:vertAlign w:val="baseline"/>
                      <w:lang w:val="en-US" w:eastAsia="zh-CN"/>
                    </w:rPr>
                  </w:pPr>
                  <w:r>
                    <w:rPr>
                      <w:rFonts w:hint="default" w:ascii="Times New Roman" w:hAnsi="Times New Roman" w:cs="Times New Roman"/>
                      <w:b w:val="0"/>
                      <w:bCs w:val="0"/>
                      <w:color w:val="auto"/>
                      <w:kern w:val="2"/>
                      <w:sz w:val="21"/>
                      <w:szCs w:val="21"/>
                    </w:rPr>
                    <w:t>pH值、BOD</w:t>
                  </w:r>
                  <w:r>
                    <w:rPr>
                      <w:rFonts w:hint="default" w:ascii="Times New Roman" w:hAnsi="Times New Roman" w:cs="Times New Roman"/>
                      <w:b w:val="0"/>
                      <w:bCs w:val="0"/>
                      <w:color w:val="auto"/>
                      <w:kern w:val="2"/>
                      <w:sz w:val="21"/>
                      <w:szCs w:val="21"/>
                      <w:vertAlign w:val="subscript"/>
                    </w:rPr>
                    <w:t>5</w:t>
                  </w:r>
                  <w:r>
                    <w:rPr>
                      <w:rFonts w:hint="default" w:ascii="Times New Roman" w:hAnsi="Times New Roman" w:cs="Times New Roman"/>
                      <w:b w:val="0"/>
                      <w:bCs w:val="0"/>
                      <w:color w:val="auto"/>
                      <w:kern w:val="2"/>
                      <w:sz w:val="21"/>
                      <w:szCs w:val="21"/>
                    </w:rPr>
                    <w:t>、COD、悬浮物（SS）、氨氮、动植物油、石油、阴离子表面活性剂、</w:t>
                  </w:r>
                  <w:r>
                    <w:rPr>
                      <w:rFonts w:hint="default" w:ascii="Times New Roman" w:hAnsi="Times New Roman" w:cs="Times New Roman"/>
                      <w:b w:val="0"/>
                      <w:bCs w:val="0"/>
                      <w:color w:val="auto"/>
                      <w:kern w:val="2"/>
                      <w:sz w:val="21"/>
                      <w:szCs w:val="21"/>
                      <w:lang w:eastAsia="zh-CN"/>
                    </w:rPr>
                    <w:t>粪</w:t>
                  </w:r>
                  <w:r>
                    <w:rPr>
                      <w:rFonts w:hint="default" w:ascii="Times New Roman" w:hAnsi="Times New Roman" w:cs="Times New Roman"/>
                      <w:b w:val="0"/>
                      <w:bCs w:val="0"/>
                      <w:color w:val="auto"/>
                      <w:kern w:val="2"/>
                      <w:sz w:val="21"/>
                      <w:szCs w:val="21"/>
                    </w:rPr>
                    <w:t>大肠菌群</w:t>
                  </w:r>
                  <w:r>
                    <w:rPr>
                      <w:rFonts w:hint="default" w:ascii="Times New Roman" w:hAnsi="Times New Roman" w:cs="Times New Roman"/>
                      <w:b w:val="0"/>
                      <w:bCs w:val="0"/>
                      <w:color w:val="auto"/>
                      <w:kern w:val="2"/>
                      <w:sz w:val="21"/>
                      <w:szCs w:val="21"/>
                      <w:lang w:eastAsia="zh-CN"/>
                    </w:rPr>
                    <w:t>、六价铬、总铬、总镉、总砷、总汞、总银、总铅、总氰化物、挥发酚、总余氯</w:t>
                  </w:r>
                </w:p>
              </w:tc>
              <w:tc>
                <w:tcPr>
                  <w:tcW w:w="1753" w:type="dxa"/>
                  <w:vAlign w:val="center"/>
                </w:tcPr>
                <w:p>
                  <w:pPr>
                    <w:pStyle w:val="183"/>
                    <w:widowControl w:val="0"/>
                    <w:spacing w:line="360" w:lineRule="auto"/>
                    <w:ind w:left="0" w:leftChars="0" w:right="0" w:rightChars="0" w:firstLine="0" w:firstLineChars="0"/>
                    <w:jc w:val="center"/>
                    <w:rPr>
                      <w:rFonts w:hint="default" w:ascii="Times New Roman" w:hAnsi="Times New Roman" w:cs="Times New Roman"/>
                      <w:b w:val="0"/>
                      <w:bCs w:val="0"/>
                      <w:color w:val="auto"/>
                      <w:kern w:val="2"/>
                      <w:sz w:val="21"/>
                      <w:szCs w:val="21"/>
                      <w:vertAlign w:val="baseline"/>
                      <w:lang w:val="en-US" w:eastAsia="zh-CN"/>
                    </w:rPr>
                  </w:pPr>
                  <w:r>
                    <w:rPr>
                      <w:rFonts w:hint="default" w:ascii="Times New Roman" w:hAnsi="Times New Roman" w:cs="Times New Roman"/>
                      <w:b w:val="0"/>
                      <w:bCs w:val="0"/>
                      <w:color w:val="auto"/>
                      <w:kern w:val="2"/>
                      <w:sz w:val="21"/>
                      <w:szCs w:val="21"/>
                      <w:vertAlign w:val="baseline"/>
                      <w:lang w:val="en-US" w:eastAsia="zh-CN"/>
                    </w:rPr>
                    <w:t>监测2天，每天监测3次</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2、环保措施竣工验收</w:t>
            </w:r>
            <w:r>
              <w:rPr>
                <w:rFonts w:hint="eastAsia" w:eastAsia="宋体" w:cs="Times New Roman"/>
                <w:b/>
                <w:bCs/>
                <w:color w:val="auto"/>
                <w:sz w:val="24"/>
                <w:szCs w:val="24"/>
                <w:vertAlign w:val="baseline"/>
                <w:lang w:val="en-US" w:eastAsia="zh-CN"/>
              </w:rPr>
              <w:t>内容</w:t>
            </w:r>
          </w:p>
          <w:p>
            <w:pPr>
              <w:keepNext w:val="0"/>
              <w:keepLines w:val="0"/>
              <w:pageBreakBefore w:val="0"/>
              <w:widowControl/>
              <w:kinsoku/>
              <w:wordWrap/>
              <w:overflowPunct/>
              <w:topLinePunct w:val="0"/>
              <w:autoSpaceDE/>
              <w:autoSpaceDN/>
              <w:bidi w:val="0"/>
              <w:adjustRightInd/>
              <w:snapToGrid/>
              <w:spacing w:line="360" w:lineRule="auto"/>
              <w:ind w:left="0"/>
              <w:jc w:val="both"/>
              <w:textAlignment w:val="auto"/>
              <w:rPr>
                <w:rFonts w:hint="eastAsia" w:eastAsia="宋体" w:cs="Times New Roman"/>
                <w:color w:val="auto"/>
                <w:sz w:val="24"/>
                <w:szCs w:val="21"/>
                <w:lang w:val="en-US" w:eastAsia="zh-CN"/>
              </w:rPr>
            </w:pPr>
            <w:r>
              <w:rPr>
                <w:rFonts w:hint="default" w:ascii="Times New Roman" w:hAnsi="Times New Roman" w:eastAsia="宋体" w:cs="Times New Roman"/>
                <w:color w:val="auto"/>
                <w:sz w:val="24"/>
                <w:szCs w:val="21"/>
              </w:rPr>
              <w:t>建设项目需要配套建设的环境保护设施，必须与主体工程同时设计、同时施工、同时投产使用。建设项目的主体工程完工后，需要进行试运行的，其配套建设的环境保护设施必须与主体工程同时投入试运行。项目建设完成后由企业自行组织验收。项目的环境保护竣工验收一览表见</w:t>
            </w:r>
            <w:r>
              <w:rPr>
                <w:rFonts w:hint="eastAsia" w:eastAsia="宋体" w:cs="Times New Roman"/>
                <w:color w:val="auto"/>
                <w:sz w:val="24"/>
                <w:szCs w:val="21"/>
                <w:lang w:eastAsia="zh-CN"/>
              </w:rPr>
              <w:t>表</w:t>
            </w:r>
            <w:r>
              <w:rPr>
                <w:rFonts w:hint="eastAsia" w:eastAsia="宋体" w:cs="Times New Roman"/>
                <w:color w:val="auto"/>
                <w:sz w:val="24"/>
                <w:szCs w:val="21"/>
                <w:lang w:val="en-US" w:eastAsia="zh-CN"/>
              </w:rPr>
              <w:t>4-26。</w:t>
            </w:r>
          </w:p>
          <w:p>
            <w:pPr>
              <w:widowControl/>
              <w:spacing w:line="360" w:lineRule="auto"/>
              <w:ind w:left="425"/>
              <w:jc w:val="center"/>
              <w:rPr>
                <w:rFonts w:hint="default" w:ascii="Times New Roman" w:hAnsi="Times New Roman" w:eastAsia="宋体" w:cs="Times New Roman"/>
                <w:b/>
                <w:color w:val="auto"/>
                <w:sz w:val="21"/>
                <w:szCs w:val="21"/>
                <w:highlight w:val="none"/>
              </w:rPr>
            </w:pPr>
            <w:r>
              <w:rPr>
                <w:rStyle w:val="184"/>
                <w:rFonts w:hint="default" w:ascii="Times New Roman" w:hAnsi="Times New Roman" w:cs="Times New Roman"/>
                <w:color w:val="auto"/>
                <w:sz w:val="21"/>
                <w:szCs w:val="21"/>
                <w:highlight w:val="none"/>
              </w:rPr>
              <w:br w:type="page"/>
            </w: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4-</w:t>
            </w:r>
            <w:r>
              <w:rPr>
                <w:rFonts w:hint="eastAsia" w:eastAsia="宋体" w:cs="Times New Roman"/>
                <w:b/>
                <w:color w:val="auto"/>
                <w:sz w:val="21"/>
                <w:szCs w:val="21"/>
                <w:highlight w:val="none"/>
                <w:lang w:val="en-US" w:eastAsia="zh-CN"/>
              </w:rPr>
              <w:t>25</w:t>
            </w:r>
            <w:r>
              <w:rPr>
                <w:rFonts w:hint="default" w:ascii="Times New Roman" w:hAnsi="Times New Roman" w:eastAsia="宋体" w:cs="Times New Roman"/>
                <w:b/>
                <w:color w:val="auto"/>
                <w:sz w:val="21"/>
                <w:szCs w:val="21"/>
                <w:highlight w:val="none"/>
              </w:rPr>
              <w:t xml:space="preserve"> 项目环境保护竣工验收一览表</w:t>
            </w:r>
          </w:p>
          <w:tbl>
            <w:tblPr>
              <w:tblStyle w:val="37"/>
              <w:tblW w:w="8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4784"/>
              <w:gridCol w:w="2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jc w:val="center"/>
              </w:trPr>
              <w:tc>
                <w:tcPr>
                  <w:tcW w:w="78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项目</w:t>
                  </w:r>
                </w:p>
              </w:tc>
              <w:tc>
                <w:tcPr>
                  <w:tcW w:w="478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rPr>
                      <w:rFonts w:hint="default" w:ascii="Times New Roman" w:hAnsi="Times New Roman" w:cs="Times New Roman"/>
                      <w:b/>
                      <w:color w:val="auto"/>
                      <w:sz w:val="21"/>
                      <w:szCs w:val="21"/>
                    </w:rPr>
                  </w:pPr>
                  <w:r>
                    <w:rPr>
                      <w:rFonts w:hint="default" w:ascii="Times New Roman" w:hAnsi="Times New Roman" w:eastAsia="宋体" w:cs="Times New Roman"/>
                      <w:b/>
                      <w:color w:val="auto"/>
                      <w:sz w:val="21"/>
                      <w:szCs w:val="21"/>
                    </w:rPr>
                    <w:t>处理设施</w:t>
                  </w:r>
                </w:p>
              </w:tc>
              <w:tc>
                <w:tcPr>
                  <w:tcW w:w="291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84"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废水</w:t>
                  </w:r>
                </w:p>
              </w:tc>
              <w:tc>
                <w:tcPr>
                  <w:tcW w:w="478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雨污分流，屋面及屋外雨水通过院内雨污管网及截排水沟收集后排入市政雨水管网。</w:t>
                  </w:r>
                </w:p>
              </w:tc>
              <w:tc>
                <w:tcPr>
                  <w:tcW w:w="291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78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rPr>
                      <w:rFonts w:hint="default" w:ascii="Times New Roman" w:hAnsi="Times New Roman" w:cs="Times New Roman"/>
                      <w:color w:val="auto"/>
                      <w:sz w:val="21"/>
                      <w:szCs w:val="21"/>
                    </w:rPr>
                  </w:pPr>
                </w:p>
              </w:tc>
              <w:tc>
                <w:tcPr>
                  <w:tcW w:w="478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jc w:val="both"/>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检验室废液收集桶，4只。</w:t>
                  </w:r>
                </w:p>
              </w:tc>
              <w:tc>
                <w:tcPr>
                  <w:tcW w:w="291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78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rPr>
                      <w:rFonts w:hint="default" w:ascii="Times New Roman" w:hAnsi="Times New Roman" w:cs="Times New Roman"/>
                      <w:color w:val="auto"/>
                      <w:sz w:val="21"/>
                      <w:szCs w:val="21"/>
                    </w:rPr>
                  </w:pPr>
                </w:p>
              </w:tc>
              <w:tc>
                <w:tcPr>
                  <w:tcW w:w="478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污水处理池1个，占地面积150平方米；</w:t>
                  </w:r>
                  <w:r>
                    <w:rPr>
                      <w:rFonts w:hint="eastAsia" w:ascii="Times New Roman" w:hAnsi="Times New Roman" w:cs="Times New Roman"/>
                      <w:color w:val="auto"/>
                      <w:sz w:val="21"/>
                      <w:szCs w:val="21"/>
                      <w:lang w:eastAsia="zh-CN"/>
                    </w:rPr>
                    <w:t>化粪池一个，有效容积</w:t>
                  </w:r>
                  <w:r>
                    <w:rPr>
                      <w:rFonts w:hint="eastAsia" w:ascii="Times New Roman" w:hAnsi="Times New Roman" w:cs="Times New Roman"/>
                      <w:color w:val="auto"/>
                      <w:sz w:val="21"/>
                      <w:szCs w:val="21"/>
                      <w:lang w:val="en-US" w:eastAsia="zh-CN"/>
                    </w:rPr>
                    <w:t>50m³；</w:t>
                  </w:r>
                  <w:r>
                    <w:rPr>
                      <w:rFonts w:hint="default" w:ascii="Times New Roman" w:hAnsi="Times New Roman" w:eastAsia="宋体" w:cs="Times New Roman"/>
                      <w:color w:val="auto"/>
                      <w:sz w:val="21"/>
                      <w:szCs w:val="21"/>
                    </w:rPr>
                    <w:t>污水处理站1座，处理规模60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/d</w:t>
                  </w:r>
                  <w:r>
                    <w:rPr>
                      <w:rFonts w:hint="default" w:ascii="Times New Roman" w:hAnsi="Times New Roman" w:eastAsia="宋体" w:cs="Times New Roman"/>
                      <w:color w:val="auto"/>
                      <w:sz w:val="21"/>
                      <w:szCs w:val="21"/>
                    </w:rPr>
                    <w:t>，规范化污水排放口1个。脱氯消毒池1个，有效容积20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291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《医疗机构水污染物排放标准》GB18466-2005表2中预处理标准和《污水排入城镇下水道水质标准》（GB/T31962-2015）表1（</w:t>
                  </w:r>
                  <w:r>
                    <w:rPr>
                      <w:rFonts w:hint="default" w:ascii="Times New Roman" w:hAnsi="Times New Roman" w:cs="Times New Roman"/>
                      <w:color w:val="auto"/>
                      <w:sz w:val="21"/>
                      <w:szCs w:val="21"/>
                      <w:lang w:eastAsia="zh-CN"/>
                    </w:rPr>
                    <w:t>B等级</w:t>
                  </w:r>
                  <w:r>
                    <w:rPr>
                      <w:rFonts w:hint="default" w:ascii="Times New Roman" w:hAnsi="Times New Roman" w:eastAsia="宋体" w:cs="Times New Roman"/>
                      <w:color w:val="auto"/>
                      <w:sz w:val="21"/>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78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废气</w:t>
                  </w:r>
                </w:p>
              </w:tc>
              <w:tc>
                <w:tcPr>
                  <w:tcW w:w="478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污水处理站产生的废气加盖。医疗废物暂存间废气采用消毒喷雾对室内及周围空气进行消毒。</w:t>
                  </w:r>
                </w:p>
              </w:tc>
              <w:tc>
                <w:tcPr>
                  <w:tcW w:w="291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《医疗机构水污染物排放标准》（GB 18466－2005）表3中污水处理站周边大气污染物最高允许浓度标准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78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噪声</w:t>
                  </w:r>
                </w:p>
              </w:tc>
              <w:tc>
                <w:tcPr>
                  <w:tcW w:w="478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jc w:val="both"/>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风机置于密闭的专门风机柜内，风机底座和基础安装减震设施，同时将风机柜设置成地埋式；备用发电机置于备用发电机房内；安装隔声门窗；设置减速带；禁鸣标识牌。</w:t>
                  </w:r>
                  <w:r>
                    <w:rPr>
                      <w:rFonts w:hint="eastAsia" w:ascii="Times New Roman" w:hAnsi="Times New Roman" w:cs="Times New Roman"/>
                      <w:color w:val="auto"/>
                      <w:sz w:val="21"/>
                      <w:szCs w:val="21"/>
                      <w:lang w:eastAsia="zh-CN"/>
                    </w:rPr>
                    <w:t>污水处理站及备用柴油发电机置于地下一层</w:t>
                  </w:r>
                </w:p>
              </w:tc>
              <w:tc>
                <w:tcPr>
                  <w:tcW w:w="291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《工业企业厂界环境噪声排放标准》（GB12348—2008）2类标准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784"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固体废物</w:t>
                  </w:r>
                </w:p>
              </w:tc>
              <w:tc>
                <w:tcPr>
                  <w:tcW w:w="478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生活垃圾：大型移动式加盖生活垃圾收集桶、室内垃圾收集桶若干个。生活垃圾房1间，占地面积25.6</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eastAsia="宋体" w:cs="Times New Roman"/>
                      <w:color w:val="auto"/>
                      <w:sz w:val="21"/>
                      <w:szCs w:val="21"/>
                    </w:rPr>
                    <w:t>。统一收集后由环卫部门处置。</w:t>
                  </w:r>
                </w:p>
              </w:tc>
              <w:tc>
                <w:tcPr>
                  <w:tcW w:w="291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78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rPr>
                      <w:rFonts w:hint="default" w:ascii="Times New Roman" w:hAnsi="Times New Roman" w:cs="Times New Roman"/>
                      <w:color w:val="auto"/>
                      <w:sz w:val="21"/>
                      <w:szCs w:val="21"/>
                    </w:rPr>
                  </w:pPr>
                </w:p>
              </w:tc>
              <w:tc>
                <w:tcPr>
                  <w:tcW w:w="478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5"/>
                    <w:adjustRightInd w:val="0"/>
                    <w:snapToGrid w:val="0"/>
                    <w:ind w:firstLine="0" w:firstLineChars="0"/>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医疗废物暂存间1间，建筑面积75.6</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eastAsia="宋体" w:cs="Times New Roman"/>
                      <w:color w:val="auto"/>
                      <w:sz w:val="21"/>
                      <w:szCs w:val="21"/>
                    </w:rPr>
                    <w:t>，医疗废物日产日清。签订</w:t>
                  </w:r>
                  <w:r>
                    <w:rPr>
                      <w:rFonts w:hint="eastAsia" w:ascii="Times New Roman" w:hAnsi="Times New Roman" w:cs="Times New Roman"/>
                      <w:color w:val="auto"/>
                      <w:sz w:val="21"/>
                      <w:szCs w:val="21"/>
                      <w:lang w:eastAsia="zh-CN"/>
                    </w:rPr>
                    <w:t>医疗废物</w:t>
                  </w:r>
                  <w:r>
                    <w:rPr>
                      <w:rFonts w:hint="default" w:ascii="Times New Roman" w:hAnsi="Times New Roman" w:eastAsia="宋体" w:cs="Times New Roman"/>
                      <w:color w:val="auto"/>
                      <w:sz w:val="21"/>
                      <w:szCs w:val="21"/>
                    </w:rPr>
                    <w:t>处置协议，医疗废物分区暂存</w:t>
                  </w:r>
                  <w:r>
                    <w:rPr>
                      <w:rFonts w:hint="eastAsia" w:ascii="Times New Roman" w:hAnsi="Times New Roman" w:cs="Times New Roman"/>
                      <w:color w:val="auto"/>
                      <w:sz w:val="21"/>
                      <w:szCs w:val="21"/>
                      <w:lang w:eastAsia="zh-CN"/>
                    </w:rPr>
                    <w:t>。</w:t>
                  </w:r>
                </w:p>
              </w:tc>
              <w:tc>
                <w:tcPr>
                  <w:tcW w:w="291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5"/>
                    <w:adjustRightInd w:val="0"/>
                    <w:snapToGrid w:val="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7" w:hRule="atLeast"/>
                <w:jc w:val="center"/>
              </w:trPr>
              <w:tc>
                <w:tcPr>
                  <w:tcW w:w="78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rPr>
                      <w:rFonts w:hint="default" w:ascii="Times New Roman" w:hAnsi="Times New Roman" w:cs="Times New Roman"/>
                      <w:color w:val="auto"/>
                      <w:sz w:val="21"/>
                      <w:szCs w:val="21"/>
                    </w:rPr>
                  </w:pPr>
                </w:p>
              </w:tc>
              <w:tc>
                <w:tcPr>
                  <w:tcW w:w="478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沉淀消毒池、污水处理站污泥消毒后</w:t>
                  </w:r>
                  <w:r>
                    <w:rPr>
                      <w:rFonts w:hint="default" w:ascii="Times New Roman" w:hAnsi="Times New Roman" w:cs="Times New Roman"/>
                      <w:color w:val="auto"/>
                      <w:sz w:val="21"/>
                      <w:szCs w:val="21"/>
                      <w:lang w:eastAsia="zh-CN"/>
                    </w:rPr>
                    <w:t>委托环卫部门清运处置。</w:t>
                  </w:r>
                </w:p>
              </w:tc>
              <w:tc>
                <w:tcPr>
                  <w:tcW w:w="291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78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生态</w:t>
                  </w:r>
                </w:p>
              </w:tc>
              <w:tc>
                <w:tcPr>
                  <w:tcW w:w="478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ind w:left="0" w:leftChars="0" w:right="0" w:rightChars="0"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绿化面积40</w:t>
                  </w:r>
                  <w:r>
                    <w:rPr>
                      <w:rFonts w:hint="default" w:ascii="Times New Roman" w:hAnsi="Times New Roman" w:cs="Times New Roman"/>
                      <w:color w:val="auto"/>
                      <w:sz w:val="21"/>
                      <w:szCs w:val="21"/>
                    </w:rPr>
                    <w:t>00m</w:t>
                  </w:r>
                  <w:r>
                    <w:rPr>
                      <w:rFonts w:hint="default" w:ascii="Times New Roman" w:hAnsi="Times New Roman" w:cs="Times New Roman"/>
                      <w:color w:val="auto"/>
                      <w:sz w:val="21"/>
                      <w:szCs w:val="21"/>
                      <w:vertAlign w:val="superscript"/>
                    </w:rPr>
                    <w:t>2</w:t>
                  </w:r>
                  <w:r>
                    <w:rPr>
                      <w:rFonts w:hint="default" w:ascii="Times New Roman" w:hAnsi="Times New Roman" w:eastAsia="宋体" w:cs="Times New Roman"/>
                      <w:color w:val="auto"/>
                      <w:sz w:val="21"/>
                      <w:szCs w:val="21"/>
                    </w:rPr>
                    <w:t>。</w:t>
                  </w:r>
                </w:p>
              </w:tc>
              <w:tc>
                <w:tcPr>
                  <w:tcW w:w="2917"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78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地下水、土壤</w:t>
                  </w:r>
                </w:p>
              </w:tc>
              <w:tc>
                <w:tcPr>
                  <w:tcW w:w="7701"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pStyle w:val="146"/>
                    <w:spacing w:beforeLines="0" w:afterLines="0" w:line="360" w:lineRule="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医疗废物暂存间采用水泥+2mm厚HDPE+环氧树脂，渗透系数≤10</w:t>
                  </w:r>
                  <w:r>
                    <w:rPr>
                      <w:rFonts w:hint="default" w:ascii="Times New Roman" w:hAnsi="Times New Roman" w:cs="Times New Roman"/>
                      <w:color w:val="auto"/>
                      <w:kern w:val="2"/>
                      <w:sz w:val="21"/>
                      <w:szCs w:val="21"/>
                      <w:vertAlign w:val="superscript"/>
                    </w:rPr>
                    <w:t>-10</w:t>
                  </w:r>
                  <w:r>
                    <w:rPr>
                      <w:rFonts w:hint="default" w:ascii="Times New Roman" w:hAnsi="Times New Roman" w:cs="Times New Roman"/>
                      <w:color w:val="auto"/>
                      <w:kern w:val="2"/>
                      <w:sz w:val="21"/>
                      <w:szCs w:val="21"/>
                    </w:rPr>
                    <w:t>cm/s</w:t>
                  </w:r>
                  <w:r>
                    <w:rPr>
                      <w:rFonts w:hint="default" w:ascii="Times New Roman" w:hAnsi="Times New Roman" w:eastAsia="宋体" w:cs="Times New Roman"/>
                      <w:color w:val="auto"/>
                      <w:kern w:val="2"/>
                      <w:sz w:val="21"/>
                      <w:szCs w:val="21"/>
                    </w:rPr>
                    <w:t>，地面和1.0m高的墙裙必须硬化或贴瓷砖，方便清洁和消毒。医疗废物分类暂存。</w:t>
                  </w:r>
                </w:p>
              </w:tc>
            </w:tr>
          </w:tbl>
          <w:p>
            <w:pPr>
              <w:widowControl/>
              <w:spacing w:line="360" w:lineRule="auto"/>
              <w:ind w:left="425"/>
              <w:jc w:val="center"/>
              <w:rPr>
                <w:rFonts w:hint="default" w:ascii="Times New Roman" w:hAnsi="Times New Roman" w:eastAsia="宋体" w:cs="Times New Roman"/>
                <w:b/>
                <w:color w:val="auto"/>
                <w:sz w:val="21"/>
                <w:szCs w:val="21"/>
                <w:highlight w:val="none"/>
              </w:rPr>
            </w:pPr>
          </w:p>
          <w:p>
            <w:pPr>
              <w:ind w:left="0" w:leftChars="0" w:firstLine="0" w:firstLineChars="0"/>
              <w:rPr>
                <w:color w:val="auto"/>
              </w:rPr>
            </w:pPr>
          </w:p>
          <w:p>
            <w:pPr>
              <w:pStyle w:val="2"/>
              <w:rPr>
                <w:color w:val="auto"/>
              </w:rPr>
            </w:pPr>
          </w:p>
          <w:p>
            <w:pPr>
              <w:rPr>
                <w:color w:val="auto"/>
              </w:rPr>
            </w:pPr>
          </w:p>
          <w:p>
            <w:pPr>
              <w:pStyle w:val="2"/>
              <w:rPr>
                <w:color w:val="auto"/>
              </w:rPr>
            </w:pPr>
          </w:p>
          <w:p>
            <w:pPr>
              <w:rPr>
                <w:color w:val="auto"/>
              </w:rPr>
            </w:pPr>
          </w:p>
          <w:p>
            <w:pPr>
              <w:pStyle w:val="2"/>
              <w:rPr>
                <w:color w:val="auto"/>
              </w:rPr>
            </w:pPr>
          </w:p>
          <w:p>
            <w:pPr>
              <w:ind w:left="0" w:leftChars="0" w:firstLine="0" w:firstLineChars="0"/>
              <w:rPr>
                <w:color w:val="auto"/>
              </w:rPr>
            </w:pPr>
          </w:p>
        </w:tc>
      </w:tr>
    </w:tbl>
    <w:p>
      <w:pPr>
        <w:pStyle w:val="4"/>
        <w:outlineLvl w:val="9"/>
        <w:rPr>
          <w:rFonts w:hint="eastAsia"/>
          <w:color w:val="auto"/>
        </w:rPr>
        <w:sectPr>
          <w:headerReference r:id="rId13" w:type="default"/>
          <w:footerReference r:id="rId14" w:type="default"/>
          <w:footerReference r:id="rId15" w:type="even"/>
          <w:pgSz w:w="11906" w:h="16838"/>
          <w:pgMar w:top="1440" w:right="1247" w:bottom="1440" w:left="1247" w:header="851" w:footer="835" w:gutter="0"/>
          <w:pgBorders>
            <w:top w:val="none" w:sz="0" w:space="0"/>
            <w:left w:val="none" w:sz="0" w:space="0"/>
            <w:bottom w:val="none" w:sz="0" w:space="0"/>
            <w:right w:val="none" w:sz="0" w:space="0"/>
          </w:pgBorders>
          <w:pgNumType w:fmt="decimal" w:start="1"/>
          <w:cols w:space="425" w:num="1"/>
          <w:docGrid w:type="linesAndChars" w:linePitch="326" w:charSpace="0"/>
        </w:sectPr>
      </w:pPr>
      <w:bookmarkStart w:id="108" w:name="_Toc341946649"/>
      <w:bookmarkStart w:id="109" w:name="_Toc458883643"/>
      <w:bookmarkStart w:id="110" w:name="_Toc376855818"/>
      <w:bookmarkStart w:id="111" w:name="_Toc68101069"/>
    </w:p>
    <w:p>
      <w:pPr>
        <w:pStyle w:val="4"/>
        <w:rPr>
          <w:color w:val="auto"/>
        </w:rPr>
      </w:pPr>
      <w:bookmarkStart w:id="112" w:name="_Toc10178"/>
      <w:r>
        <w:rPr>
          <w:rFonts w:hint="eastAsia"/>
          <w:color w:val="auto"/>
        </w:rPr>
        <w:t>五、</w:t>
      </w:r>
      <w:bookmarkEnd w:id="108"/>
      <w:bookmarkEnd w:id="109"/>
      <w:bookmarkEnd w:id="110"/>
      <w:r>
        <w:rPr>
          <w:rFonts w:hint="eastAsia"/>
          <w:color w:val="auto"/>
        </w:rPr>
        <w:t>环境保护措施监督检查清单</w:t>
      </w:r>
      <w:bookmarkEnd w:id="111"/>
      <w:bookmarkEnd w:id="112"/>
    </w:p>
    <w:tbl>
      <w:tblPr>
        <w:tblStyle w:val="37"/>
        <w:tblW w:w="926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75"/>
        <w:gridCol w:w="1903"/>
        <w:gridCol w:w="1948"/>
        <w:gridCol w:w="1957"/>
        <w:gridCol w:w="22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175" w:type="dxa"/>
            <w:tcBorders>
              <w:tl2br w:val="single" w:color="auto" w:sz="12" w:space="0"/>
            </w:tcBorders>
          </w:tcPr>
          <w:p>
            <w:pPr>
              <w:adjustRightInd w:val="0"/>
              <w:snapToGrid w:val="0"/>
              <w:spacing w:line="360" w:lineRule="auto"/>
              <w:ind w:firstLine="0" w:firstLineChars="0"/>
              <w:jc w:val="right"/>
              <w:rPr>
                <w:rFonts w:hint="default" w:ascii="Times New Roman" w:hAnsi="Times New Roman" w:cs="Times New Roman"/>
                <w:b/>
                <w:bCs/>
                <w:color w:val="auto"/>
                <w:spacing w:val="0"/>
                <w:kern w:val="2"/>
                <w:sz w:val="24"/>
                <w:szCs w:val="24"/>
              </w:rPr>
            </w:pPr>
            <w:r>
              <w:rPr>
                <w:rFonts w:hint="default" w:ascii="Times New Roman" w:hAnsi="Times New Roman" w:cs="Times New Roman"/>
                <w:b/>
                <w:bCs/>
                <w:color w:val="auto"/>
                <w:spacing w:val="0"/>
                <w:kern w:val="2"/>
                <w:sz w:val="24"/>
                <w:szCs w:val="24"/>
              </w:rPr>
              <w:t>内容</w:t>
            </w:r>
          </w:p>
          <w:p>
            <w:pPr>
              <w:adjustRightInd w:val="0"/>
              <w:snapToGrid w:val="0"/>
              <w:spacing w:line="360" w:lineRule="auto"/>
              <w:ind w:firstLine="0" w:firstLineChars="0"/>
              <w:rPr>
                <w:rFonts w:hint="default" w:ascii="Times New Roman" w:hAnsi="Times New Roman" w:cs="Times New Roman"/>
                <w:b/>
                <w:bCs/>
                <w:color w:val="auto"/>
                <w:spacing w:val="0"/>
                <w:kern w:val="2"/>
                <w:sz w:val="24"/>
                <w:szCs w:val="24"/>
              </w:rPr>
            </w:pPr>
            <w:r>
              <w:rPr>
                <w:rFonts w:hint="default" w:ascii="Times New Roman" w:hAnsi="Times New Roman" w:cs="Times New Roman"/>
                <w:b/>
                <w:bCs/>
                <w:color w:val="auto"/>
                <w:spacing w:val="0"/>
                <w:kern w:val="2"/>
                <w:sz w:val="24"/>
                <w:szCs w:val="24"/>
              </w:rPr>
              <w:t>要素</w:t>
            </w:r>
          </w:p>
        </w:tc>
        <w:tc>
          <w:tcPr>
            <w:tcW w:w="1903" w:type="dxa"/>
            <w:vAlign w:val="center"/>
          </w:tcPr>
          <w:p>
            <w:pPr>
              <w:adjustRightInd w:val="0"/>
              <w:snapToGrid w:val="0"/>
              <w:spacing w:line="360" w:lineRule="auto"/>
              <w:ind w:firstLine="0" w:firstLineChars="0"/>
              <w:jc w:val="center"/>
              <w:rPr>
                <w:rFonts w:hint="default" w:ascii="Times New Roman" w:hAnsi="Times New Roman" w:cs="Times New Roman"/>
                <w:b/>
                <w:bCs/>
                <w:color w:val="auto"/>
                <w:spacing w:val="0"/>
                <w:kern w:val="2"/>
                <w:sz w:val="24"/>
                <w:szCs w:val="24"/>
              </w:rPr>
            </w:pPr>
            <w:r>
              <w:rPr>
                <w:rFonts w:hint="default" w:ascii="Times New Roman" w:hAnsi="Times New Roman" w:cs="Times New Roman"/>
                <w:b/>
                <w:bCs/>
                <w:color w:val="auto"/>
                <w:spacing w:val="0"/>
                <w:kern w:val="2"/>
                <w:sz w:val="24"/>
                <w:szCs w:val="24"/>
              </w:rPr>
              <w:t>排放口(编号、</w:t>
            </w:r>
          </w:p>
          <w:p>
            <w:pPr>
              <w:adjustRightInd w:val="0"/>
              <w:snapToGrid w:val="0"/>
              <w:spacing w:line="360" w:lineRule="auto"/>
              <w:ind w:firstLine="0" w:firstLineChars="0"/>
              <w:jc w:val="center"/>
              <w:rPr>
                <w:rFonts w:hint="default" w:ascii="Times New Roman" w:hAnsi="Times New Roman" w:cs="Times New Roman"/>
                <w:b/>
                <w:bCs/>
                <w:color w:val="auto"/>
                <w:spacing w:val="0"/>
                <w:kern w:val="2"/>
                <w:sz w:val="24"/>
                <w:szCs w:val="24"/>
              </w:rPr>
            </w:pPr>
            <w:r>
              <w:rPr>
                <w:rFonts w:hint="default" w:ascii="Times New Roman" w:hAnsi="Times New Roman" w:cs="Times New Roman"/>
                <w:b/>
                <w:bCs/>
                <w:color w:val="auto"/>
                <w:spacing w:val="0"/>
                <w:kern w:val="2"/>
                <w:sz w:val="24"/>
                <w:szCs w:val="24"/>
              </w:rPr>
              <w:t>名称)/污染源</w:t>
            </w:r>
          </w:p>
        </w:tc>
        <w:tc>
          <w:tcPr>
            <w:tcW w:w="1948" w:type="dxa"/>
            <w:vAlign w:val="center"/>
          </w:tcPr>
          <w:p>
            <w:pPr>
              <w:adjustRightInd w:val="0"/>
              <w:snapToGrid w:val="0"/>
              <w:spacing w:line="360" w:lineRule="auto"/>
              <w:ind w:firstLine="0" w:firstLineChars="0"/>
              <w:jc w:val="center"/>
              <w:rPr>
                <w:rFonts w:hint="default" w:ascii="Times New Roman" w:hAnsi="Times New Roman" w:cs="Times New Roman"/>
                <w:b/>
                <w:bCs/>
                <w:color w:val="auto"/>
                <w:spacing w:val="0"/>
                <w:kern w:val="2"/>
                <w:sz w:val="24"/>
                <w:szCs w:val="24"/>
              </w:rPr>
            </w:pPr>
            <w:r>
              <w:rPr>
                <w:rFonts w:hint="default" w:ascii="Times New Roman" w:hAnsi="Times New Roman" w:cs="Times New Roman"/>
                <w:b/>
                <w:bCs/>
                <w:color w:val="auto"/>
                <w:spacing w:val="0"/>
                <w:kern w:val="2"/>
                <w:sz w:val="24"/>
                <w:szCs w:val="24"/>
              </w:rPr>
              <w:t>污染物项目</w:t>
            </w:r>
          </w:p>
        </w:tc>
        <w:tc>
          <w:tcPr>
            <w:tcW w:w="1957" w:type="dxa"/>
            <w:vAlign w:val="center"/>
          </w:tcPr>
          <w:p>
            <w:pPr>
              <w:adjustRightInd w:val="0"/>
              <w:snapToGrid w:val="0"/>
              <w:spacing w:line="360" w:lineRule="auto"/>
              <w:ind w:firstLine="0" w:firstLineChars="0"/>
              <w:jc w:val="center"/>
              <w:rPr>
                <w:rFonts w:hint="default" w:ascii="Times New Roman" w:hAnsi="Times New Roman" w:cs="Times New Roman"/>
                <w:b/>
                <w:bCs/>
                <w:color w:val="auto"/>
                <w:spacing w:val="0"/>
                <w:kern w:val="2"/>
                <w:sz w:val="24"/>
                <w:szCs w:val="24"/>
              </w:rPr>
            </w:pPr>
            <w:r>
              <w:rPr>
                <w:rFonts w:hint="default" w:ascii="Times New Roman" w:hAnsi="Times New Roman" w:cs="Times New Roman"/>
                <w:b/>
                <w:bCs/>
                <w:color w:val="auto"/>
                <w:spacing w:val="0"/>
                <w:kern w:val="2"/>
                <w:sz w:val="24"/>
                <w:szCs w:val="24"/>
              </w:rPr>
              <w:t>环境保护措施</w:t>
            </w:r>
          </w:p>
        </w:tc>
        <w:tc>
          <w:tcPr>
            <w:tcW w:w="2283" w:type="dxa"/>
            <w:vAlign w:val="center"/>
          </w:tcPr>
          <w:p>
            <w:pPr>
              <w:adjustRightInd w:val="0"/>
              <w:snapToGrid w:val="0"/>
              <w:spacing w:line="360" w:lineRule="auto"/>
              <w:ind w:firstLine="0" w:firstLineChars="0"/>
              <w:jc w:val="center"/>
              <w:rPr>
                <w:rFonts w:hint="default" w:ascii="Times New Roman" w:hAnsi="Times New Roman" w:cs="Times New Roman"/>
                <w:b/>
                <w:bCs/>
                <w:color w:val="auto"/>
                <w:spacing w:val="0"/>
                <w:kern w:val="2"/>
                <w:sz w:val="24"/>
                <w:szCs w:val="24"/>
              </w:rPr>
            </w:pPr>
            <w:r>
              <w:rPr>
                <w:rFonts w:hint="default" w:ascii="Times New Roman" w:hAnsi="Times New Roman" w:cs="Times New Roman"/>
                <w:b/>
                <w:bCs/>
                <w:color w:val="auto"/>
                <w:spacing w:val="0"/>
                <w:kern w:val="2"/>
                <w:sz w:val="24"/>
                <w:szCs w:val="24"/>
              </w:rPr>
              <w:t>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40" w:hRule="atLeast"/>
          <w:jc w:val="center"/>
        </w:trPr>
        <w:tc>
          <w:tcPr>
            <w:tcW w:w="1175" w:type="dxa"/>
            <w:vMerge w:val="restart"/>
            <w:vAlign w:val="center"/>
          </w:tcPr>
          <w:p>
            <w:pPr>
              <w:adjustRightInd w:val="0"/>
              <w:snapToGrid w:val="0"/>
              <w:spacing w:line="360" w:lineRule="auto"/>
              <w:ind w:firstLine="0" w:firstLineChars="0"/>
              <w:jc w:val="center"/>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t>大气环境</w:t>
            </w:r>
          </w:p>
        </w:tc>
        <w:tc>
          <w:tcPr>
            <w:tcW w:w="1903" w:type="dxa"/>
            <w:tcBorders>
              <w:bottom w:val="single" w:color="auto" w:sz="4" w:space="0"/>
            </w:tcBorders>
            <w:vAlign w:val="center"/>
          </w:tcPr>
          <w:p>
            <w:pPr>
              <w:pStyle w:val="146"/>
              <w:spacing w:line="360" w:lineRule="auto"/>
              <w:rPr>
                <w:rFonts w:hint="default" w:ascii="Times New Roman" w:hAnsi="Times New Roman" w:eastAsia="宋体" w:cs="Times New Roman"/>
                <w:color w:val="auto"/>
                <w:spacing w:val="0"/>
                <w:kern w:val="2"/>
                <w:sz w:val="24"/>
                <w:szCs w:val="24"/>
                <w:lang w:val="en-US" w:eastAsia="zh-CN"/>
              </w:rPr>
            </w:pPr>
            <w:r>
              <w:rPr>
                <w:rFonts w:hint="default" w:ascii="Times New Roman" w:hAnsi="Times New Roman" w:cs="Times New Roman"/>
                <w:color w:val="auto"/>
                <w:spacing w:val="0"/>
                <w:kern w:val="2"/>
                <w:sz w:val="24"/>
                <w:szCs w:val="24"/>
              </w:rPr>
              <w:t>化粪池、医疗废物暂存间</w:t>
            </w:r>
            <w:r>
              <w:rPr>
                <w:rFonts w:hint="default" w:ascii="Times New Roman" w:hAnsi="Times New Roman" w:cs="Times New Roman"/>
                <w:color w:val="auto"/>
                <w:spacing w:val="0"/>
                <w:kern w:val="2"/>
                <w:sz w:val="24"/>
                <w:szCs w:val="24"/>
                <w:lang w:val="en-US" w:eastAsia="zh-CN"/>
              </w:rPr>
              <w:t>1间，75.6㎡</w:t>
            </w:r>
          </w:p>
        </w:tc>
        <w:tc>
          <w:tcPr>
            <w:tcW w:w="1948" w:type="dxa"/>
            <w:tcBorders>
              <w:bottom w:val="single" w:color="auto" w:sz="4" w:space="0"/>
            </w:tcBorders>
            <w:vAlign w:val="center"/>
          </w:tcPr>
          <w:p>
            <w:pPr>
              <w:pStyle w:val="146"/>
              <w:spacing w:line="360" w:lineRule="auto"/>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t>异味</w:t>
            </w:r>
          </w:p>
        </w:tc>
        <w:tc>
          <w:tcPr>
            <w:tcW w:w="1957" w:type="dxa"/>
            <w:vMerge w:val="restart"/>
            <w:vAlign w:val="center"/>
          </w:tcPr>
          <w:p>
            <w:pPr>
              <w:pStyle w:val="146"/>
              <w:spacing w:line="360" w:lineRule="auto"/>
              <w:jc w:val="both"/>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t>污水处理站位于</w:t>
            </w:r>
            <w:r>
              <w:rPr>
                <w:rFonts w:hint="default" w:ascii="Times New Roman" w:hAnsi="Times New Roman" w:cs="Times New Roman"/>
                <w:color w:val="auto"/>
                <w:spacing w:val="0"/>
                <w:kern w:val="2"/>
                <w:sz w:val="24"/>
                <w:szCs w:val="24"/>
                <w:lang w:eastAsia="zh-CN"/>
              </w:rPr>
              <w:t>医院南</w:t>
            </w:r>
            <w:r>
              <w:rPr>
                <w:rFonts w:hint="default" w:ascii="Times New Roman" w:hAnsi="Times New Roman" w:cs="Times New Roman"/>
                <w:color w:val="auto"/>
                <w:spacing w:val="0"/>
                <w:kern w:val="2"/>
                <w:sz w:val="24"/>
                <w:szCs w:val="24"/>
              </w:rPr>
              <w:t>侧</w:t>
            </w:r>
            <w:r>
              <w:rPr>
                <w:rFonts w:hint="default" w:ascii="Times New Roman" w:hAnsi="Times New Roman" w:cs="Times New Roman"/>
                <w:color w:val="auto"/>
                <w:spacing w:val="0"/>
                <w:kern w:val="2"/>
                <w:sz w:val="24"/>
                <w:szCs w:val="24"/>
                <w:lang w:eastAsia="zh-CN"/>
              </w:rPr>
              <w:t>地下一层，污水处理站采用地埋式，并在污水处理池顶部加盖。</w:t>
            </w:r>
          </w:p>
        </w:tc>
        <w:tc>
          <w:tcPr>
            <w:tcW w:w="2283" w:type="dxa"/>
            <w:tcBorders>
              <w:bottom w:val="single" w:color="auto" w:sz="4" w:space="0"/>
            </w:tcBorders>
            <w:vAlign w:val="center"/>
          </w:tcPr>
          <w:p>
            <w:pPr>
              <w:adjustRightInd w:val="0"/>
              <w:snapToGrid w:val="0"/>
              <w:spacing w:line="360" w:lineRule="auto"/>
              <w:ind w:firstLine="0" w:firstLineChars="0"/>
              <w:jc w:val="center"/>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56" w:hRule="atLeast"/>
          <w:jc w:val="center"/>
        </w:trPr>
        <w:tc>
          <w:tcPr>
            <w:tcW w:w="1175" w:type="dxa"/>
            <w:vMerge w:val="continue"/>
            <w:vAlign w:val="center"/>
          </w:tcPr>
          <w:p>
            <w:pPr>
              <w:adjustRightInd w:val="0"/>
              <w:snapToGrid w:val="0"/>
              <w:spacing w:line="360" w:lineRule="auto"/>
              <w:ind w:firstLine="0" w:firstLineChars="0"/>
              <w:jc w:val="center"/>
              <w:rPr>
                <w:rFonts w:hint="default" w:ascii="Times New Roman" w:hAnsi="Times New Roman" w:cs="Times New Roman"/>
                <w:color w:val="auto"/>
                <w:spacing w:val="0"/>
                <w:kern w:val="2"/>
                <w:sz w:val="24"/>
                <w:szCs w:val="24"/>
              </w:rPr>
            </w:pPr>
          </w:p>
        </w:tc>
        <w:tc>
          <w:tcPr>
            <w:tcW w:w="1903" w:type="dxa"/>
            <w:tcBorders>
              <w:top w:val="single" w:color="auto" w:sz="4" w:space="0"/>
            </w:tcBorders>
            <w:vAlign w:val="center"/>
          </w:tcPr>
          <w:p>
            <w:pPr>
              <w:pStyle w:val="146"/>
              <w:spacing w:line="360" w:lineRule="auto"/>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t>污水处理站</w:t>
            </w:r>
          </w:p>
        </w:tc>
        <w:tc>
          <w:tcPr>
            <w:tcW w:w="1948" w:type="dxa"/>
            <w:tcBorders>
              <w:top w:val="single" w:color="auto" w:sz="4" w:space="0"/>
            </w:tcBorders>
            <w:vAlign w:val="center"/>
          </w:tcPr>
          <w:p>
            <w:pPr>
              <w:pStyle w:val="146"/>
              <w:spacing w:line="360" w:lineRule="auto"/>
              <w:rPr>
                <w:rFonts w:hint="default" w:ascii="Times New Roman" w:hAnsi="Times New Roman" w:eastAsia="宋体" w:cs="Times New Roman"/>
                <w:color w:val="auto"/>
                <w:spacing w:val="0"/>
                <w:kern w:val="2"/>
                <w:sz w:val="24"/>
                <w:szCs w:val="24"/>
                <w:lang w:eastAsia="zh-CN"/>
              </w:rPr>
            </w:pPr>
            <w:r>
              <w:rPr>
                <w:rFonts w:hint="default" w:ascii="Times New Roman" w:hAnsi="Times New Roman" w:cs="Times New Roman"/>
                <w:color w:val="auto"/>
                <w:spacing w:val="0"/>
                <w:kern w:val="2"/>
                <w:sz w:val="24"/>
                <w:szCs w:val="24"/>
              </w:rPr>
              <w:t>氨、硫化氢、臭气浓度</w:t>
            </w:r>
            <w:r>
              <w:rPr>
                <w:rFonts w:hint="default" w:ascii="Times New Roman" w:hAnsi="Times New Roman" w:cs="Times New Roman"/>
                <w:color w:val="auto"/>
                <w:spacing w:val="0"/>
                <w:kern w:val="2"/>
                <w:sz w:val="24"/>
                <w:szCs w:val="24"/>
                <w:lang w:eastAsia="zh-CN"/>
              </w:rPr>
              <w:t>、甲烷、氯气浓度</w:t>
            </w:r>
          </w:p>
        </w:tc>
        <w:tc>
          <w:tcPr>
            <w:tcW w:w="1957" w:type="dxa"/>
            <w:vMerge w:val="continue"/>
            <w:vAlign w:val="center"/>
          </w:tcPr>
          <w:p>
            <w:pPr>
              <w:pStyle w:val="146"/>
              <w:spacing w:line="360" w:lineRule="auto"/>
              <w:rPr>
                <w:rFonts w:hint="default" w:ascii="Times New Roman" w:hAnsi="Times New Roman" w:cs="Times New Roman"/>
                <w:color w:val="auto"/>
                <w:spacing w:val="0"/>
                <w:kern w:val="2"/>
                <w:sz w:val="24"/>
                <w:szCs w:val="24"/>
              </w:rPr>
            </w:pPr>
          </w:p>
        </w:tc>
        <w:tc>
          <w:tcPr>
            <w:tcW w:w="2283" w:type="dxa"/>
            <w:tcBorders>
              <w:top w:val="single" w:color="auto" w:sz="4" w:space="0"/>
            </w:tcBorders>
            <w:vAlign w:val="center"/>
          </w:tcPr>
          <w:p>
            <w:pPr>
              <w:pStyle w:val="146"/>
              <w:spacing w:line="360" w:lineRule="auto"/>
              <w:jc w:val="both"/>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t>执行《医疗机构水污染物排放标准》（GB18466－2005）表3中污水处理站周边大气污染物最高允许浓度标准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75" w:hRule="atLeast"/>
          <w:jc w:val="center"/>
        </w:trPr>
        <w:tc>
          <w:tcPr>
            <w:tcW w:w="1175" w:type="dxa"/>
            <w:vAlign w:val="center"/>
          </w:tcPr>
          <w:p>
            <w:pPr>
              <w:adjustRightInd w:val="0"/>
              <w:snapToGrid w:val="0"/>
              <w:spacing w:line="360" w:lineRule="auto"/>
              <w:ind w:firstLine="0" w:firstLineChars="0"/>
              <w:jc w:val="center"/>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t>地表水环境</w:t>
            </w:r>
          </w:p>
        </w:tc>
        <w:tc>
          <w:tcPr>
            <w:tcW w:w="1903" w:type="dxa"/>
            <w:vAlign w:val="center"/>
          </w:tcPr>
          <w:p>
            <w:pPr>
              <w:pStyle w:val="146"/>
              <w:spacing w:line="360" w:lineRule="auto"/>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t>污水排放口（DW001）</w:t>
            </w:r>
          </w:p>
        </w:tc>
        <w:tc>
          <w:tcPr>
            <w:tcW w:w="1948" w:type="dxa"/>
            <w:vAlign w:val="center"/>
          </w:tcPr>
          <w:p>
            <w:pPr>
              <w:pStyle w:val="146"/>
              <w:spacing w:line="360" w:lineRule="auto"/>
              <w:rPr>
                <w:rFonts w:hint="default" w:ascii="Times New Roman" w:hAnsi="Times New Roman" w:cs="Times New Roman"/>
                <w:color w:val="auto"/>
                <w:spacing w:val="0"/>
                <w:kern w:val="2"/>
                <w:sz w:val="24"/>
                <w:szCs w:val="24"/>
              </w:rPr>
            </w:pPr>
            <w:r>
              <w:rPr>
                <w:rFonts w:hint="default" w:ascii="Times New Roman" w:hAnsi="Times New Roman" w:eastAsia="宋体" w:cs="Times New Roman"/>
                <w:color w:val="auto"/>
                <w:spacing w:val="0"/>
                <w:kern w:val="2"/>
                <w:sz w:val="24"/>
                <w:szCs w:val="24"/>
                <w:lang w:val="en-US" w:eastAsia="zh-CN" w:bidi="ar-SA"/>
              </w:rPr>
              <w:t>pH值、BOD</w:t>
            </w:r>
            <w:r>
              <w:rPr>
                <w:rFonts w:hint="default" w:ascii="Times New Roman" w:hAnsi="Times New Roman" w:eastAsia="宋体" w:cs="Times New Roman"/>
                <w:color w:val="auto"/>
                <w:spacing w:val="0"/>
                <w:kern w:val="2"/>
                <w:sz w:val="24"/>
                <w:szCs w:val="24"/>
                <w:vertAlign w:val="subscript"/>
                <w:lang w:val="en-US" w:eastAsia="zh-CN" w:bidi="ar-SA"/>
              </w:rPr>
              <w:t>5</w:t>
            </w:r>
            <w:r>
              <w:rPr>
                <w:rFonts w:hint="default" w:ascii="Times New Roman" w:hAnsi="Times New Roman" w:eastAsia="宋体" w:cs="Times New Roman"/>
                <w:color w:val="auto"/>
                <w:spacing w:val="0"/>
                <w:kern w:val="2"/>
                <w:sz w:val="24"/>
                <w:szCs w:val="24"/>
                <w:lang w:val="en-US" w:eastAsia="zh-CN" w:bidi="ar-SA"/>
              </w:rPr>
              <w:t>、COD、悬浮物（SS）、氨氮、动植物油、石油、阴离子表面活性剂、粪大肠菌群、六价铬、总铬、总镉、总砷、总汞、总银、总铅、总氰化物、挥发酚、总余氯。</w:t>
            </w:r>
          </w:p>
        </w:tc>
        <w:tc>
          <w:tcPr>
            <w:tcW w:w="1957" w:type="dxa"/>
            <w:vAlign w:val="center"/>
          </w:tcPr>
          <w:p>
            <w:pPr>
              <w:pStyle w:val="146"/>
              <w:spacing w:line="360" w:lineRule="auto"/>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lang w:val="en-US" w:eastAsia="zh-CN"/>
              </w:rPr>
              <w:t>“生物接触氧化池+MBR反应池+消毒”工艺，污水处理站处理规模为60m³/d。</w:t>
            </w:r>
          </w:p>
        </w:tc>
        <w:tc>
          <w:tcPr>
            <w:tcW w:w="2283" w:type="dxa"/>
            <w:vAlign w:val="center"/>
          </w:tcPr>
          <w:p>
            <w:pPr>
              <w:pStyle w:val="146"/>
              <w:spacing w:line="360" w:lineRule="auto"/>
              <w:jc w:val="both"/>
              <w:rPr>
                <w:rFonts w:hint="default" w:ascii="Times New Roman" w:hAnsi="Times New Roman" w:eastAsia="宋体" w:cs="Times New Roman"/>
                <w:color w:val="auto"/>
                <w:spacing w:val="0"/>
                <w:kern w:val="2"/>
                <w:sz w:val="24"/>
                <w:szCs w:val="24"/>
                <w:lang w:val="en-US" w:eastAsia="zh-CN"/>
              </w:rPr>
            </w:pPr>
            <w:r>
              <w:rPr>
                <w:rFonts w:hint="default" w:ascii="Times New Roman" w:hAnsi="Times New Roman" w:cs="Times New Roman"/>
                <w:color w:val="auto"/>
                <w:spacing w:val="0"/>
                <w:kern w:val="2"/>
                <w:sz w:val="24"/>
                <w:szCs w:val="24"/>
              </w:rPr>
              <w:t>《医疗机构水污染物排放标准》GB18466-2005表2中预处理标准</w:t>
            </w:r>
            <w:r>
              <w:rPr>
                <w:rFonts w:hint="default" w:ascii="Times New Roman" w:hAnsi="Times New Roman" w:cs="Times New Roman"/>
                <w:color w:val="auto"/>
                <w:spacing w:val="0"/>
                <w:kern w:val="2"/>
                <w:sz w:val="24"/>
                <w:szCs w:val="24"/>
                <w:lang w:val="en-US" w:eastAsia="zh-CN"/>
              </w:rPr>
              <w:t>和《污水排入城镇下水道水质标准》（GB/T31962-2015）表1（</w:t>
            </w:r>
            <w:r>
              <w:rPr>
                <w:rFonts w:hint="eastAsia" w:cs="Times New Roman"/>
                <w:color w:val="auto"/>
                <w:spacing w:val="0"/>
                <w:kern w:val="2"/>
                <w:sz w:val="24"/>
                <w:szCs w:val="24"/>
                <w:lang w:val="en-US" w:eastAsia="zh-CN"/>
              </w:rPr>
              <w:t>B等级</w:t>
            </w:r>
            <w:r>
              <w:rPr>
                <w:rFonts w:hint="default" w:ascii="Times New Roman" w:hAnsi="Times New Roman" w:cs="Times New Roman"/>
                <w:color w:val="auto"/>
                <w:spacing w:val="0"/>
                <w:kern w:val="2"/>
                <w:sz w:val="24"/>
                <w:szCs w:val="24"/>
                <w:lang w:val="en-US" w:eastAsia="zh-CN"/>
              </w:rPr>
              <w:t>）标准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175" w:type="dxa"/>
            <w:vAlign w:val="center"/>
          </w:tcPr>
          <w:p>
            <w:pPr>
              <w:adjustRightInd w:val="0"/>
              <w:snapToGrid w:val="0"/>
              <w:spacing w:line="360" w:lineRule="auto"/>
              <w:ind w:firstLine="0" w:firstLineChars="0"/>
              <w:jc w:val="center"/>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t>声环境</w:t>
            </w:r>
          </w:p>
        </w:tc>
        <w:tc>
          <w:tcPr>
            <w:tcW w:w="1903" w:type="dxa"/>
            <w:vAlign w:val="center"/>
          </w:tcPr>
          <w:p>
            <w:pPr>
              <w:pStyle w:val="146"/>
              <w:spacing w:line="360" w:lineRule="auto"/>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t>污水处理站运行时的水泵、风机</w:t>
            </w:r>
          </w:p>
        </w:tc>
        <w:tc>
          <w:tcPr>
            <w:tcW w:w="1948" w:type="dxa"/>
            <w:vAlign w:val="center"/>
          </w:tcPr>
          <w:p>
            <w:pPr>
              <w:pStyle w:val="146"/>
              <w:spacing w:line="360" w:lineRule="auto"/>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t>连续等效A声级</w:t>
            </w:r>
          </w:p>
        </w:tc>
        <w:tc>
          <w:tcPr>
            <w:tcW w:w="1957" w:type="dxa"/>
            <w:vAlign w:val="center"/>
          </w:tcPr>
          <w:p>
            <w:pPr>
              <w:pStyle w:val="146"/>
              <w:spacing w:line="360" w:lineRule="auto"/>
              <w:rPr>
                <w:rFonts w:hint="default" w:ascii="Times New Roman" w:hAnsi="Times New Roman" w:eastAsia="宋体" w:cs="Times New Roman"/>
                <w:color w:val="auto"/>
                <w:spacing w:val="0"/>
                <w:kern w:val="2"/>
                <w:sz w:val="24"/>
                <w:szCs w:val="24"/>
                <w:lang w:eastAsia="zh-CN"/>
              </w:rPr>
            </w:pPr>
            <w:r>
              <w:rPr>
                <w:rFonts w:hint="default" w:ascii="Times New Roman" w:hAnsi="Times New Roman" w:cs="Times New Roman"/>
                <w:color w:val="auto"/>
                <w:spacing w:val="0"/>
                <w:kern w:val="2"/>
                <w:sz w:val="24"/>
                <w:szCs w:val="24"/>
              </w:rPr>
              <w:t>选用优质低噪声的风机，风机置于密闭的专门风机柜内，风机底座和基础安装减震设施，同时将风机柜设置成半地埋式</w:t>
            </w:r>
            <w:r>
              <w:rPr>
                <w:rFonts w:hint="default" w:ascii="Times New Roman" w:hAnsi="Times New Roman" w:cs="Times New Roman"/>
                <w:color w:val="auto"/>
                <w:spacing w:val="0"/>
                <w:kern w:val="2"/>
                <w:sz w:val="24"/>
                <w:szCs w:val="24"/>
                <w:lang w:eastAsia="zh-CN"/>
              </w:rPr>
              <w:t>；病房采用隔声玻璃。</w:t>
            </w:r>
          </w:p>
        </w:tc>
        <w:tc>
          <w:tcPr>
            <w:tcW w:w="2283" w:type="dxa"/>
            <w:vAlign w:val="center"/>
          </w:tcPr>
          <w:p>
            <w:pPr>
              <w:pStyle w:val="146"/>
              <w:spacing w:line="360" w:lineRule="auto"/>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t>《工业企业厂界环境噪声排放标准》（GB12348—2008）2类标准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175" w:type="dxa"/>
            <w:vAlign w:val="center"/>
          </w:tcPr>
          <w:p>
            <w:pPr>
              <w:adjustRightInd w:val="0"/>
              <w:snapToGrid w:val="0"/>
              <w:spacing w:line="360" w:lineRule="auto"/>
              <w:ind w:firstLine="0" w:firstLineChars="0"/>
              <w:jc w:val="center"/>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t>电磁辐射</w:t>
            </w:r>
          </w:p>
        </w:tc>
        <w:tc>
          <w:tcPr>
            <w:tcW w:w="1903" w:type="dxa"/>
            <w:vAlign w:val="center"/>
          </w:tcPr>
          <w:p>
            <w:pPr>
              <w:adjustRightInd w:val="0"/>
              <w:snapToGrid w:val="0"/>
              <w:spacing w:line="360" w:lineRule="auto"/>
              <w:ind w:firstLine="0" w:firstLineChars="0"/>
              <w:jc w:val="center"/>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t>/</w:t>
            </w:r>
          </w:p>
        </w:tc>
        <w:tc>
          <w:tcPr>
            <w:tcW w:w="1948" w:type="dxa"/>
            <w:vAlign w:val="center"/>
          </w:tcPr>
          <w:p>
            <w:pPr>
              <w:adjustRightInd w:val="0"/>
              <w:snapToGrid w:val="0"/>
              <w:spacing w:line="360" w:lineRule="auto"/>
              <w:ind w:firstLine="0" w:firstLineChars="0"/>
              <w:jc w:val="center"/>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t>/</w:t>
            </w:r>
          </w:p>
        </w:tc>
        <w:tc>
          <w:tcPr>
            <w:tcW w:w="1957" w:type="dxa"/>
            <w:vAlign w:val="center"/>
          </w:tcPr>
          <w:p>
            <w:pPr>
              <w:adjustRightInd w:val="0"/>
              <w:snapToGrid w:val="0"/>
              <w:spacing w:line="360" w:lineRule="auto"/>
              <w:ind w:firstLine="0" w:firstLineChars="0"/>
              <w:jc w:val="center"/>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t>/</w:t>
            </w:r>
          </w:p>
        </w:tc>
        <w:tc>
          <w:tcPr>
            <w:tcW w:w="2283" w:type="dxa"/>
            <w:vAlign w:val="center"/>
          </w:tcPr>
          <w:p>
            <w:pPr>
              <w:adjustRightInd w:val="0"/>
              <w:snapToGrid w:val="0"/>
              <w:spacing w:line="360" w:lineRule="auto"/>
              <w:ind w:firstLine="0" w:firstLineChars="0"/>
              <w:jc w:val="center"/>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jc w:val="center"/>
        </w:trPr>
        <w:tc>
          <w:tcPr>
            <w:tcW w:w="1175" w:type="dxa"/>
            <w:vAlign w:val="center"/>
          </w:tcPr>
          <w:p>
            <w:pPr>
              <w:adjustRightInd w:val="0"/>
              <w:snapToGrid w:val="0"/>
              <w:spacing w:line="360" w:lineRule="auto"/>
              <w:ind w:firstLine="0" w:firstLineChars="0"/>
              <w:jc w:val="center"/>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t>固体废物</w:t>
            </w:r>
          </w:p>
        </w:tc>
        <w:tc>
          <w:tcPr>
            <w:tcW w:w="8091" w:type="dxa"/>
            <w:gridSpan w:val="4"/>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宋体" w:cs="Times New Roman"/>
                <w:color w:val="auto"/>
                <w:spacing w:val="0"/>
                <w:kern w:val="2"/>
                <w:sz w:val="24"/>
                <w:szCs w:val="24"/>
              </w:rPr>
            </w:pPr>
            <w:r>
              <w:rPr>
                <w:rFonts w:hint="default" w:ascii="Times New Roman" w:hAnsi="Times New Roman" w:eastAsia="宋体" w:cs="Times New Roman"/>
                <w:color w:val="auto"/>
                <w:spacing w:val="0"/>
                <w:kern w:val="2"/>
                <w:sz w:val="24"/>
                <w:szCs w:val="24"/>
              </w:rPr>
              <w:fldChar w:fldCharType="begin"/>
            </w:r>
            <w:r>
              <w:rPr>
                <w:rFonts w:hint="default" w:ascii="Times New Roman" w:hAnsi="Times New Roman" w:eastAsia="宋体" w:cs="Times New Roman"/>
                <w:color w:val="auto"/>
                <w:spacing w:val="0"/>
                <w:kern w:val="2"/>
                <w:sz w:val="24"/>
                <w:szCs w:val="24"/>
              </w:rPr>
              <w:instrText xml:space="preserve"> = 1 \* GB3 </w:instrText>
            </w:r>
            <w:r>
              <w:rPr>
                <w:rFonts w:hint="default" w:ascii="Times New Roman" w:hAnsi="Times New Roman" w:eastAsia="宋体" w:cs="Times New Roman"/>
                <w:color w:val="auto"/>
                <w:spacing w:val="0"/>
                <w:kern w:val="2"/>
                <w:sz w:val="24"/>
                <w:szCs w:val="24"/>
              </w:rPr>
              <w:fldChar w:fldCharType="separate"/>
            </w:r>
            <w:r>
              <w:rPr>
                <w:rFonts w:hint="default" w:ascii="Times New Roman" w:hAnsi="Times New Roman" w:eastAsia="宋体" w:cs="Times New Roman"/>
                <w:color w:val="auto"/>
                <w:spacing w:val="0"/>
                <w:kern w:val="2"/>
                <w:sz w:val="24"/>
                <w:szCs w:val="24"/>
              </w:rPr>
              <w:t>①</w:t>
            </w:r>
            <w:r>
              <w:rPr>
                <w:rFonts w:hint="default" w:ascii="Times New Roman" w:hAnsi="Times New Roman" w:eastAsia="宋体" w:cs="Times New Roman"/>
                <w:color w:val="auto"/>
                <w:spacing w:val="0"/>
                <w:kern w:val="2"/>
                <w:sz w:val="24"/>
                <w:szCs w:val="24"/>
              </w:rPr>
              <w:fldChar w:fldCharType="end"/>
            </w:r>
            <w:r>
              <w:rPr>
                <w:rFonts w:hint="default" w:ascii="Times New Roman" w:hAnsi="Times New Roman" w:eastAsia="宋体" w:cs="Times New Roman"/>
                <w:color w:val="auto"/>
                <w:spacing w:val="0"/>
                <w:kern w:val="2"/>
                <w:sz w:val="24"/>
                <w:szCs w:val="24"/>
              </w:rPr>
              <w:t>生活垃圾</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宋体" w:cs="Times New Roman"/>
                <w:color w:val="auto"/>
                <w:spacing w:val="0"/>
                <w:kern w:val="2"/>
                <w:sz w:val="24"/>
                <w:szCs w:val="24"/>
              </w:rPr>
            </w:pPr>
            <w:r>
              <w:rPr>
                <w:rFonts w:hint="default" w:ascii="Times New Roman" w:hAnsi="Times New Roman" w:eastAsia="宋体" w:cs="Times New Roman"/>
                <w:color w:val="auto"/>
                <w:spacing w:val="0"/>
                <w:kern w:val="2"/>
                <w:sz w:val="24"/>
                <w:szCs w:val="24"/>
              </w:rPr>
              <w:t>生活垃圾经分类收集后可回收部分回收利用，不可回收部分收集于垃圾收集桶内，委托当地环卫部门定期清运处置。</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fldChar w:fldCharType="begin"/>
            </w:r>
            <w:r>
              <w:rPr>
                <w:rFonts w:hint="default" w:ascii="Times New Roman" w:hAnsi="Times New Roman" w:cs="Times New Roman"/>
                <w:color w:val="auto"/>
                <w:spacing w:val="0"/>
                <w:kern w:val="2"/>
                <w:sz w:val="24"/>
                <w:szCs w:val="24"/>
              </w:rPr>
              <w:instrText xml:space="preserve"> = 2 \* GB3 </w:instrText>
            </w:r>
            <w:r>
              <w:rPr>
                <w:rFonts w:hint="default" w:ascii="Times New Roman" w:hAnsi="Times New Roman" w:cs="Times New Roman"/>
                <w:color w:val="auto"/>
                <w:spacing w:val="0"/>
                <w:kern w:val="2"/>
                <w:sz w:val="24"/>
                <w:szCs w:val="24"/>
              </w:rPr>
              <w:fldChar w:fldCharType="separate"/>
            </w:r>
            <w:r>
              <w:rPr>
                <w:rFonts w:hint="default" w:ascii="Times New Roman" w:hAnsi="Times New Roman" w:cs="Times New Roman"/>
                <w:color w:val="auto"/>
                <w:spacing w:val="0"/>
                <w:kern w:val="2"/>
                <w:sz w:val="24"/>
                <w:szCs w:val="24"/>
              </w:rPr>
              <w:t>②</w:t>
            </w:r>
            <w:r>
              <w:rPr>
                <w:rFonts w:hint="default" w:ascii="Times New Roman" w:hAnsi="Times New Roman" w:cs="Times New Roman"/>
                <w:color w:val="auto"/>
                <w:spacing w:val="0"/>
                <w:kern w:val="2"/>
                <w:sz w:val="24"/>
                <w:szCs w:val="24"/>
              </w:rPr>
              <w:fldChar w:fldCharType="end"/>
            </w:r>
            <w:r>
              <w:rPr>
                <w:rFonts w:hint="default" w:ascii="Times New Roman" w:hAnsi="Times New Roman" w:cs="Times New Roman"/>
                <w:color w:val="auto"/>
                <w:spacing w:val="0"/>
                <w:kern w:val="2"/>
                <w:sz w:val="24"/>
                <w:szCs w:val="24"/>
              </w:rPr>
              <w:t>医疗废物</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t>严格按照《医疗废物管理条例》要求，对其收集、运送、贮存、处理处置过程统一监督管理，建设一座</w:t>
            </w:r>
            <w:r>
              <w:rPr>
                <w:rFonts w:hint="default" w:ascii="Times New Roman" w:hAnsi="Times New Roman" w:cs="Times New Roman"/>
                <w:color w:val="auto"/>
                <w:spacing w:val="0"/>
                <w:kern w:val="2"/>
                <w:sz w:val="24"/>
                <w:szCs w:val="24"/>
                <w:lang w:val="en-US" w:eastAsia="zh-CN"/>
              </w:rPr>
              <w:t>75.6</w:t>
            </w:r>
            <w:r>
              <w:rPr>
                <w:rFonts w:hint="default" w:ascii="Times New Roman" w:hAnsi="Times New Roman" w:cs="Times New Roman"/>
                <w:color w:val="auto"/>
                <w:spacing w:val="0"/>
                <w:kern w:val="2"/>
                <w:sz w:val="24"/>
                <w:szCs w:val="24"/>
              </w:rPr>
              <w:t>m</w:t>
            </w:r>
            <w:r>
              <w:rPr>
                <w:rFonts w:hint="default" w:ascii="Times New Roman" w:hAnsi="Times New Roman" w:cs="Times New Roman"/>
                <w:color w:val="auto"/>
                <w:spacing w:val="0"/>
                <w:kern w:val="2"/>
                <w:sz w:val="24"/>
                <w:szCs w:val="24"/>
                <w:vertAlign w:val="superscript"/>
              </w:rPr>
              <w:t>2</w:t>
            </w:r>
            <w:r>
              <w:rPr>
                <w:rFonts w:hint="default" w:ascii="Times New Roman" w:hAnsi="Times New Roman" w:cs="Times New Roman"/>
                <w:color w:val="auto"/>
                <w:spacing w:val="0"/>
                <w:kern w:val="2"/>
                <w:sz w:val="24"/>
                <w:szCs w:val="24"/>
              </w:rPr>
              <w:t>的医疗废物暂存间</w:t>
            </w:r>
            <w:r>
              <w:rPr>
                <w:rFonts w:hint="eastAsia" w:cs="Times New Roman"/>
                <w:color w:val="auto"/>
                <w:spacing w:val="0"/>
                <w:kern w:val="2"/>
                <w:sz w:val="24"/>
                <w:szCs w:val="24"/>
                <w:lang w:eastAsia="zh-CN"/>
              </w:rPr>
              <w:t>，医疗废物分类存放，病理性废物设置冰柜暂存</w:t>
            </w:r>
            <w:r>
              <w:rPr>
                <w:rFonts w:hint="default" w:ascii="Times New Roman" w:hAnsi="Times New Roman" w:cs="Times New Roman"/>
                <w:color w:val="auto"/>
                <w:spacing w:val="0"/>
                <w:kern w:val="2"/>
                <w:sz w:val="24"/>
                <w:szCs w:val="24"/>
              </w:rPr>
              <w:t>，委托有资质的单位处置。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jc w:val="center"/>
        </w:trPr>
        <w:tc>
          <w:tcPr>
            <w:tcW w:w="1175" w:type="dxa"/>
            <w:vAlign w:val="center"/>
          </w:tcPr>
          <w:p>
            <w:pPr>
              <w:adjustRightInd w:val="0"/>
              <w:snapToGrid w:val="0"/>
              <w:spacing w:line="360" w:lineRule="auto"/>
              <w:ind w:firstLine="0" w:firstLineChars="0"/>
              <w:jc w:val="center"/>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t>土壤及地下水污染防治措施</w:t>
            </w:r>
          </w:p>
        </w:tc>
        <w:tc>
          <w:tcPr>
            <w:tcW w:w="8091" w:type="dxa"/>
            <w:gridSpan w:val="4"/>
            <w:vAlign w:val="center"/>
          </w:tcPr>
          <w:p>
            <w:pPr>
              <w:adjustRightInd w:val="0"/>
              <w:snapToGrid w:val="0"/>
              <w:spacing w:line="360" w:lineRule="auto"/>
              <w:ind w:left="0" w:leftChars="0" w:right="0" w:rightChars="0" w:firstLine="0" w:firstLineChars="0"/>
              <w:jc w:val="center"/>
              <w:rPr>
                <w:rFonts w:hint="default" w:ascii="Times New Roman" w:hAnsi="Times New Roman" w:cs="Times New Roman" w:eastAsiaTheme="minorEastAsia"/>
                <w:color w:val="auto"/>
                <w:spacing w:val="0"/>
                <w:kern w:val="2"/>
                <w:sz w:val="24"/>
                <w:szCs w:val="24"/>
                <w:lang w:eastAsia="zh-CN"/>
              </w:rPr>
            </w:pPr>
            <w:r>
              <w:rPr>
                <w:rFonts w:hint="default" w:ascii="Times New Roman" w:hAnsi="Times New Roman" w:cs="Times New Roman"/>
                <w:color w:val="auto"/>
                <w:spacing w:val="0"/>
                <w:kern w:val="2"/>
                <w:sz w:val="24"/>
                <w:szCs w:val="24"/>
                <w:lang w:val="en-US" w:eastAsia="zh-CN"/>
              </w:rPr>
              <w:t>分区防渗。制定项目突发环境事件应急预案。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jc w:val="center"/>
        </w:trPr>
        <w:tc>
          <w:tcPr>
            <w:tcW w:w="1175" w:type="dxa"/>
            <w:vAlign w:val="center"/>
          </w:tcPr>
          <w:p>
            <w:pPr>
              <w:adjustRightInd w:val="0"/>
              <w:snapToGrid w:val="0"/>
              <w:spacing w:line="360" w:lineRule="auto"/>
              <w:ind w:firstLine="0" w:firstLineChars="0"/>
              <w:jc w:val="center"/>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t>生态保护措施</w:t>
            </w:r>
          </w:p>
        </w:tc>
        <w:tc>
          <w:tcPr>
            <w:tcW w:w="8091" w:type="dxa"/>
            <w:gridSpan w:val="4"/>
            <w:vAlign w:val="center"/>
          </w:tcPr>
          <w:p>
            <w:pPr>
              <w:adjustRightInd w:val="0"/>
              <w:snapToGrid w:val="0"/>
              <w:spacing w:line="360" w:lineRule="auto"/>
              <w:ind w:firstLine="0" w:firstLineChars="0"/>
              <w:jc w:val="both"/>
              <w:rPr>
                <w:rFonts w:hint="default" w:ascii="Times New Roman" w:hAnsi="Times New Roman" w:cs="Times New Roman" w:eastAsiaTheme="minorEastAsia"/>
                <w:color w:val="auto"/>
                <w:spacing w:val="0"/>
                <w:kern w:val="2"/>
                <w:sz w:val="24"/>
                <w:szCs w:val="24"/>
                <w:lang w:eastAsia="zh-CN"/>
              </w:rPr>
            </w:pPr>
            <w:r>
              <w:rPr>
                <w:rFonts w:hint="default" w:ascii="Times New Roman" w:hAnsi="Times New Roman" w:cs="Times New Roman"/>
                <w:color w:val="auto"/>
                <w:spacing w:val="0"/>
                <w:kern w:val="2"/>
                <w:sz w:val="24"/>
                <w:szCs w:val="24"/>
              </w:rPr>
              <w:t>加强绿化，对项目区尽可能进行绿化</w:t>
            </w:r>
            <w:r>
              <w:rPr>
                <w:rFonts w:hint="default" w:ascii="Times New Roman" w:hAnsi="Times New Roman" w:cs="Times New Roman"/>
                <w:color w:val="auto"/>
                <w:spacing w:val="0"/>
                <w:kern w:val="2"/>
                <w:sz w:val="24"/>
                <w:szCs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jc w:val="center"/>
        </w:trPr>
        <w:tc>
          <w:tcPr>
            <w:tcW w:w="1175" w:type="dxa"/>
            <w:vAlign w:val="center"/>
          </w:tcPr>
          <w:p>
            <w:pPr>
              <w:adjustRightInd w:val="0"/>
              <w:snapToGrid w:val="0"/>
              <w:spacing w:line="360" w:lineRule="auto"/>
              <w:ind w:firstLine="0" w:firstLineChars="0"/>
              <w:jc w:val="center"/>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t>环境风险防范措施</w:t>
            </w:r>
          </w:p>
        </w:tc>
        <w:tc>
          <w:tcPr>
            <w:tcW w:w="8091" w:type="dxa"/>
            <w:gridSpan w:val="4"/>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rPr>
              <w:t>1）乙醇环境风险防范措施：①暂存、领用时，量不能过大。②应存储于阴凉、通风的库房，采用防爆型照明、通风设施，保持容器密封。远离火种、热源，储存温度不宜超过30℃。应与氧化剂、酸类、碱金属、胺类等分开存放，切忌混储。③发生泄漏时，迅速撤离泄漏污染区人员至安全区，并进行隔离，严格限制出入。切断火源。建议应急处理人员戴自给</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"https://baike.baidu.com/item/%E6%AD%A3%E5%8E%8B%E5%BC%8F%E5%91%BC%E5%90%B8%E5%99%A8" \t "_blank" </w:instrText>
            </w:r>
            <w:r>
              <w:rPr>
                <w:rFonts w:hint="default" w:ascii="Times New Roman" w:hAnsi="Times New Roman" w:cs="Times New Roman"/>
                <w:color w:val="auto"/>
              </w:rPr>
              <w:fldChar w:fldCharType="separate"/>
            </w:r>
            <w:r>
              <w:rPr>
                <w:rFonts w:hint="default" w:ascii="Times New Roman" w:hAnsi="Times New Roman" w:cs="Times New Roman"/>
                <w:color w:val="auto"/>
              </w:rPr>
              <w:t>正压式呼吸器</w:t>
            </w:r>
            <w:r>
              <w:rPr>
                <w:rFonts w:hint="default" w:ascii="Times New Roman" w:hAnsi="Times New Roman" w:cs="Times New Roman"/>
                <w:color w:val="auto"/>
              </w:rPr>
              <w:fldChar w:fldCharType="end"/>
            </w:r>
            <w:r>
              <w:rPr>
                <w:rFonts w:hint="default" w:ascii="Times New Roman" w:hAnsi="Times New Roman" w:cs="Times New Roman"/>
                <w:color w:val="auto"/>
              </w:rPr>
              <w:t>，穿</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"https://baike.baidu.com/item/%E6%B6%88%E9%98%B2%E9%98%B2%E6%8A%A4%E6%9C%8D" \t "_blank" </w:instrText>
            </w:r>
            <w:r>
              <w:rPr>
                <w:rFonts w:hint="default" w:ascii="Times New Roman" w:hAnsi="Times New Roman" w:cs="Times New Roman"/>
                <w:color w:val="auto"/>
              </w:rPr>
              <w:fldChar w:fldCharType="separate"/>
            </w:r>
            <w:r>
              <w:rPr>
                <w:rFonts w:hint="default" w:ascii="Times New Roman" w:hAnsi="Times New Roman" w:cs="Times New Roman"/>
                <w:color w:val="auto"/>
              </w:rPr>
              <w:t>消防防护服</w:t>
            </w:r>
            <w:r>
              <w:rPr>
                <w:rFonts w:hint="default" w:ascii="Times New Roman" w:hAnsi="Times New Roman" w:cs="Times New Roman"/>
                <w:color w:val="auto"/>
              </w:rPr>
              <w:fldChar w:fldCharType="end"/>
            </w:r>
            <w:r>
              <w:rPr>
                <w:rFonts w:hint="default" w:ascii="Times New Roman" w:hAnsi="Times New Roman" w:cs="Times New Roman"/>
                <w:color w:val="auto"/>
              </w:rPr>
              <w:t>。尽可能切断泄漏源，防止进入下水道、排洪沟等限制性空间。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2）次氯酸钠环境风险防范措施：①应储存于阴凉、通风的库房，远离火种、热源，储存温度不宜超过30℃，应与碱类分开存放，切忌混储。②操作人员必须经过专门培训，严格遵守操作规程。③若发生泄漏，尽可能切断泄漏源。防止泄漏物进入水体、下水道、地下室或密闭性空间。小量泄漏：用干燥的砂土或其它不燃材料吸收或覆盖，收集于容器中。大量泄漏：构筑围堤或挖坑收容。用耐腐蚀泵转移至槽车或专用收集器内。</w:t>
            </w:r>
          </w:p>
          <w:p>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eastAsia="宋体"/>
                <w:color w:val="auto"/>
                <w:lang w:eastAsia="zh-CN"/>
              </w:rPr>
            </w:pPr>
            <w:r>
              <w:rPr>
                <w:rFonts w:hint="default" w:ascii="Times New Roman" w:hAnsi="Times New Roman" w:cs="Times New Roman"/>
                <w:color w:val="auto"/>
                <w:spacing w:val="0"/>
                <w:kern w:val="2"/>
                <w:sz w:val="24"/>
                <w:szCs w:val="24"/>
                <w:lang w:eastAsia="zh-CN"/>
              </w:rPr>
              <w:t>（</w:t>
            </w:r>
            <w:r>
              <w:rPr>
                <w:rFonts w:hint="default" w:ascii="Times New Roman" w:hAnsi="Times New Roman" w:cs="Times New Roman"/>
                <w:color w:val="auto"/>
                <w:spacing w:val="0"/>
                <w:kern w:val="2"/>
                <w:sz w:val="24"/>
                <w:szCs w:val="24"/>
                <w:lang w:val="en-US" w:eastAsia="zh-CN"/>
              </w:rPr>
              <w:t>3</w:t>
            </w:r>
            <w:r>
              <w:rPr>
                <w:rFonts w:hint="default" w:ascii="Times New Roman" w:hAnsi="Times New Roman" w:cs="Times New Roman"/>
                <w:color w:val="auto"/>
                <w:spacing w:val="0"/>
                <w:kern w:val="2"/>
                <w:sz w:val="24"/>
                <w:szCs w:val="24"/>
                <w:lang w:eastAsia="zh-CN"/>
              </w:rPr>
              <w:t>）柴油环境风险防范措施：</w:t>
            </w:r>
            <w:r>
              <w:rPr>
                <w:rFonts w:hint="eastAsia" w:ascii="Times New Roman" w:hAnsi="Times New Roman" w:cs="Times New Roman"/>
                <w:color w:val="auto"/>
                <w:spacing w:val="0"/>
                <w:kern w:val="2"/>
                <w:sz w:val="24"/>
                <w:szCs w:val="24"/>
                <w:lang w:eastAsia="zh-CN"/>
              </w:rPr>
              <w:t>①采用专用容器盛装柴油，并置于柴油发电机房内，远离火种、热源；②柴油发电机铺设防渗材料；③配备相应的消防器材和消防沙，防止泄漏物进入水体、下水道、地下室或密闭性空间。小量泄漏：用干燥的砂土或其它不燃材料吸收或覆盖，收集于容器中。大量泄漏：构筑围堤或挖坑收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49" w:hRule="atLeast"/>
          <w:jc w:val="center"/>
        </w:trPr>
        <w:tc>
          <w:tcPr>
            <w:tcW w:w="1175" w:type="dxa"/>
            <w:vAlign w:val="center"/>
          </w:tcPr>
          <w:p>
            <w:pPr>
              <w:adjustRightInd w:val="0"/>
              <w:snapToGrid w:val="0"/>
              <w:spacing w:line="360" w:lineRule="auto"/>
              <w:ind w:firstLine="0" w:firstLineChars="0"/>
              <w:jc w:val="center"/>
              <w:rPr>
                <w:rFonts w:hint="default" w:ascii="Times New Roman" w:hAnsi="Times New Roman" w:cs="Times New Roman"/>
                <w:color w:val="auto"/>
                <w:spacing w:val="0"/>
                <w:kern w:val="2"/>
                <w:sz w:val="24"/>
                <w:szCs w:val="24"/>
              </w:rPr>
            </w:pPr>
            <w:r>
              <w:rPr>
                <w:rFonts w:hint="default" w:ascii="Times New Roman" w:hAnsi="Times New Roman" w:cs="Times New Roman"/>
                <w:color w:val="auto"/>
                <w:spacing w:val="0"/>
                <w:kern w:val="2"/>
                <w:sz w:val="24"/>
                <w:szCs w:val="24"/>
              </w:rPr>
              <w:t>其他环境管理要求</w:t>
            </w:r>
          </w:p>
        </w:tc>
        <w:tc>
          <w:tcPr>
            <w:tcW w:w="8091" w:type="dxa"/>
            <w:gridSpan w:val="4"/>
            <w:vAlign w:val="center"/>
          </w:tcPr>
          <w:p>
            <w:pPr>
              <w:keepNext/>
              <w:keepLines/>
              <w:pageBreakBefore w:val="0"/>
              <w:widowControl w:val="0"/>
              <w:kinsoku/>
              <w:wordWrap/>
              <w:overflowPunct/>
              <w:topLinePunct w:val="0"/>
              <w:autoSpaceDE/>
              <w:autoSpaceDN/>
              <w:bidi w:val="0"/>
              <w:adjustRightInd/>
              <w:snapToGrid/>
              <w:spacing w:line="360" w:lineRule="auto"/>
              <w:ind w:firstLine="0" w:firstLineChars="0"/>
              <w:jc w:val="both"/>
              <w:textAlignment w:val="auto"/>
              <w:outlineLvl w:val="2"/>
              <w:rPr>
                <w:rFonts w:hint="default" w:ascii="Times New Roman" w:hAnsi="Times New Roman" w:eastAsia="宋体" w:cs="Times New Roman"/>
                <w:b/>
                <w:bCs/>
                <w:color w:val="auto"/>
                <w:spacing w:val="0"/>
                <w:kern w:val="2"/>
                <w:sz w:val="24"/>
                <w:szCs w:val="24"/>
                <w:lang w:val="en-US" w:eastAsia="zh-CN" w:bidi="ar-SA"/>
              </w:rPr>
            </w:pPr>
            <w:r>
              <w:rPr>
                <w:rFonts w:hint="default" w:ascii="Times New Roman" w:hAnsi="Times New Roman" w:eastAsia="宋体" w:cs="Times New Roman"/>
                <w:b/>
                <w:bCs/>
                <w:color w:val="auto"/>
                <w:spacing w:val="0"/>
                <w:kern w:val="2"/>
                <w:sz w:val="24"/>
                <w:szCs w:val="24"/>
                <w:lang w:val="en-US" w:eastAsia="zh-CN" w:bidi="ar-SA"/>
              </w:rPr>
              <w:t>一、环境管理要求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kern w:val="2"/>
                <w:sz w:val="24"/>
                <w:szCs w:val="24"/>
              </w:rPr>
            </w:pPr>
            <w:r>
              <w:rPr>
                <w:rFonts w:hint="default" w:ascii="Times New Roman" w:hAnsi="Times New Roman" w:eastAsia="宋体" w:cs="Times New Roman"/>
                <w:color w:val="auto"/>
                <w:spacing w:val="0"/>
                <w:kern w:val="2"/>
                <w:sz w:val="24"/>
                <w:szCs w:val="24"/>
              </w:rPr>
              <w:t>随着国民经济的不断发展，建设项目日益增多，对环境的影响也越来越大。为了保护环境不受侵害，必须加强环境管理。环境管理是通过各种法规、制度的实施来实现的，其中环境影响评价制度和</w:t>
            </w:r>
            <w:r>
              <w:rPr>
                <w:rFonts w:hint="default" w:ascii="Times New Roman" w:hAnsi="Times New Roman" w:eastAsia="宋体" w:cs="Times New Roman"/>
                <w:color w:val="auto"/>
                <w:spacing w:val="0"/>
                <w:kern w:val="2"/>
                <w:sz w:val="24"/>
                <w:szCs w:val="24"/>
                <w:lang w:eastAsia="zh-CN"/>
              </w:rPr>
              <w:t>“</w:t>
            </w:r>
            <w:r>
              <w:rPr>
                <w:rFonts w:hint="default" w:ascii="Times New Roman" w:hAnsi="Times New Roman" w:eastAsia="宋体" w:cs="Times New Roman"/>
                <w:color w:val="auto"/>
                <w:spacing w:val="0"/>
                <w:kern w:val="2"/>
                <w:sz w:val="24"/>
                <w:szCs w:val="24"/>
              </w:rPr>
              <w:t>三同时</w:t>
            </w:r>
            <w:r>
              <w:rPr>
                <w:rFonts w:hint="default" w:ascii="Times New Roman" w:hAnsi="Times New Roman" w:eastAsia="宋体" w:cs="Times New Roman"/>
                <w:color w:val="auto"/>
                <w:spacing w:val="0"/>
                <w:kern w:val="2"/>
                <w:sz w:val="24"/>
                <w:szCs w:val="24"/>
                <w:lang w:eastAsia="zh-CN"/>
              </w:rPr>
              <w:t>”</w:t>
            </w:r>
            <w:r>
              <w:rPr>
                <w:rFonts w:hint="default" w:ascii="Times New Roman" w:hAnsi="Times New Roman" w:eastAsia="宋体" w:cs="Times New Roman"/>
                <w:color w:val="auto"/>
                <w:spacing w:val="0"/>
                <w:kern w:val="2"/>
                <w:sz w:val="24"/>
                <w:szCs w:val="24"/>
              </w:rPr>
              <w:t>制度（即环保设施与主体工程同时设计、同时施工、同时投产）是最重要的组成部分。随着经济的不断发展，环境管理也在不断深化，从局部环境扩大到区域环境管理，从分散控制到区域控制，从单一浓度控制发展到浓度与总量相结合的控制，从注重末端控制到提倡清洁工艺的源头控制，从单一的污染型环境管理发展到同时注重非污染型（生态、水土流失、景观等）环境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pacing w:val="0"/>
                <w:kern w:val="2"/>
                <w:sz w:val="24"/>
                <w:szCs w:val="24"/>
              </w:rPr>
            </w:pPr>
            <w:r>
              <w:rPr>
                <w:rFonts w:hint="default" w:ascii="Times New Roman" w:hAnsi="Times New Roman" w:eastAsia="宋体" w:cs="Times New Roman"/>
                <w:b/>
                <w:bCs/>
                <w:color w:val="auto"/>
                <w:spacing w:val="0"/>
                <w:kern w:val="2"/>
                <w:sz w:val="24"/>
                <w:szCs w:val="24"/>
                <w:lang w:val="en-US" w:eastAsia="zh-CN"/>
              </w:rPr>
              <w:t>1、</w:t>
            </w:r>
            <w:r>
              <w:rPr>
                <w:rFonts w:hint="default" w:ascii="Times New Roman" w:hAnsi="Times New Roman" w:eastAsia="宋体" w:cs="Times New Roman"/>
                <w:b/>
                <w:bCs/>
                <w:color w:val="auto"/>
                <w:spacing w:val="0"/>
                <w:kern w:val="2"/>
                <w:sz w:val="24"/>
                <w:szCs w:val="24"/>
              </w:rPr>
              <w:t>环境管理机构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kern w:val="2"/>
                <w:sz w:val="24"/>
                <w:szCs w:val="24"/>
              </w:rPr>
            </w:pPr>
            <w:r>
              <w:rPr>
                <w:rFonts w:hint="default" w:ascii="Times New Roman" w:hAnsi="Times New Roman" w:eastAsia="宋体" w:cs="Times New Roman"/>
                <w:color w:val="auto"/>
                <w:spacing w:val="0"/>
                <w:kern w:val="2"/>
                <w:sz w:val="24"/>
                <w:szCs w:val="24"/>
              </w:rPr>
              <w:t>本项目配备环保人员1人，负责项目区的环境管理工作。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pacing w:val="0"/>
                <w:kern w:val="2"/>
                <w:sz w:val="24"/>
                <w:szCs w:val="24"/>
              </w:rPr>
            </w:pPr>
            <w:r>
              <w:rPr>
                <w:rFonts w:hint="default" w:ascii="Times New Roman" w:hAnsi="Times New Roman" w:eastAsia="宋体" w:cs="Times New Roman"/>
                <w:b/>
                <w:bCs/>
                <w:color w:val="auto"/>
                <w:spacing w:val="0"/>
                <w:kern w:val="2"/>
                <w:sz w:val="24"/>
                <w:szCs w:val="24"/>
                <w:lang w:val="en-US" w:eastAsia="zh-CN"/>
              </w:rPr>
              <w:t>（1）</w:t>
            </w:r>
            <w:r>
              <w:rPr>
                <w:rFonts w:hint="default" w:ascii="Times New Roman" w:hAnsi="Times New Roman" w:eastAsia="宋体" w:cs="Times New Roman"/>
                <w:b/>
                <w:bCs/>
                <w:color w:val="auto"/>
                <w:spacing w:val="0"/>
                <w:kern w:val="2"/>
                <w:sz w:val="24"/>
                <w:szCs w:val="24"/>
              </w:rPr>
              <w:t>工程前期的环境管理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kern w:val="2"/>
                <w:sz w:val="24"/>
                <w:szCs w:val="24"/>
              </w:rPr>
            </w:pPr>
            <w:r>
              <w:rPr>
                <w:rFonts w:hint="default" w:ascii="Times New Roman" w:hAnsi="Times New Roman" w:eastAsia="宋体" w:cs="Times New Roman"/>
                <w:color w:val="auto"/>
                <w:spacing w:val="0"/>
                <w:kern w:val="2"/>
                <w:sz w:val="24"/>
                <w:szCs w:val="24"/>
                <w:lang w:val="en-US" w:eastAsia="zh-CN"/>
              </w:rPr>
              <w:t>1）</w:t>
            </w:r>
            <w:r>
              <w:rPr>
                <w:rFonts w:hint="default" w:ascii="Times New Roman" w:hAnsi="Times New Roman" w:eastAsia="宋体" w:cs="Times New Roman"/>
                <w:color w:val="auto"/>
                <w:spacing w:val="0"/>
                <w:kern w:val="2"/>
                <w:sz w:val="24"/>
                <w:szCs w:val="24"/>
              </w:rPr>
              <w:t>负责办理项目环境影响评价等委托编制和审批。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kern w:val="2"/>
                <w:sz w:val="24"/>
                <w:szCs w:val="24"/>
              </w:rPr>
            </w:pPr>
            <w:r>
              <w:rPr>
                <w:rFonts w:hint="default" w:ascii="Times New Roman" w:hAnsi="Times New Roman" w:eastAsia="宋体" w:cs="Times New Roman"/>
                <w:color w:val="auto"/>
                <w:spacing w:val="0"/>
                <w:kern w:val="2"/>
                <w:sz w:val="24"/>
                <w:szCs w:val="24"/>
                <w:lang w:val="en-US" w:eastAsia="zh-CN"/>
              </w:rPr>
              <w:t>2）</w:t>
            </w:r>
            <w:r>
              <w:rPr>
                <w:rFonts w:hint="default" w:ascii="Times New Roman" w:hAnsi="Times New Roman" w:eastAsia="宋体" w:cs="Times New Roman"/>
                <w:color w:val="auto"/>
                <w:spacing w:val="0"/>
                <w:kern w:val="2"/>
                <w:sz w:val="24"/>
                <w:szCs w:val="24"/>
              </w:rPr>
              <w:t>在设计阶段，本报告表中提出的各项环保措施应列入设计之中，并落实资金。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kern w:val="2"/>
                <w:sz w:val="24"/>
                <w:szCs w:val="24"/>
              </w:rPr>
            </w:pPr>
            <w:r>
              <w:rPr>
                <w:rFonts w:hint="default" w:ascii="Times New Roman" w:hAnsi="Times New Roman" w:eastAsia="宋体" w:cs="Times New Roman"/>
                <w:color w:val="auto"/>
                <w:spacing w:val="0"/>
                <w:kern w:val="2"/>
                <w:sz w:val="24"/>
                <w:szCs w:val="24"/>
                <w:lang w:val="en-US" w:eastAsia="zh-CN"/>
              </w:rPr>
              <w:t>3）</w:t>
            </w:r>
            <w:r>
              <w:rPr>
                <w:rFonts w:hint="default" w:ascii="Times New Roman" w:hAnsi="Times New Roman" w:eastAsia="宋体" w:cs="Times New Roman"/>
                <w:color w:val="auto"/>
                <w:spacing w:val="0"/>
                <w:kern w:val="2"/>
                <w:sz w:val="24"/>
                <w:szCs w:val="24"/>
              </w:rPr>
              <w:t>加强施工期环境工程监理与施工队伍管理，严格执行</w:t>
            </w:r>
            <w:r>
              <w:rPr>
                <w:rFonts w:hint="default" w:ascii="Times New Roman" w:hAnsi="Times New Roman" w:eastAsia="宋体" w:cs="Times New Roman"/>
                <w:color w:val="auto"/>
                <w:spacing w:val="0"/>
                <w:kern w:val="2"/>
                <w:sz w:val="24"/>
                <w:szCs w:val="24"/>
                <w:lang w:eastAsia="zh-CN"/>
              </w:rPr>
              <w:t>“</w:t>
            </w:r>
            <w:r>
              <w:rPr>
                <w:rFonts w:hint="default" w:ascii="Times New Roman" w:hAnsi="Times New Roman" w:eastAsia="宋体" w:cs="Times New Roman"/>
                <w:color w:val="auto"/>
                <w:spacing w:val="0"/>
                <w:kern w:val="2"/>
                <w:sz w:val="24"/>
                <w:szCs w:val="24"/>
              </w:rPr>
              <w:t>三同时</w:t>
            </w:r>
            <w:r>
              <w:rPr>
                <w:rFonts w:hint="default" w:ascii="Times New Roman" w:hAnsi="Times New Roman" w:eastAsia="宋体" w:cs="Times New Roman"/>
                <w:color w:val="auto"/>
                <w:spacing w:val="0"/>
                <w:kern w:val="2"/>
                <w:sz w:val="24"/>
                <w:szCs w:val="24"/>
                <w:lang w:eastAsia="zh-CN"/>
              </w:rPr>
              <w:t>”</w:t>
            </w:r>
            <w:r>
              <w:rPr>
                <w:rFonts w:hint="default" w:ascii="Times New Roman" w:hAnsi="Times New Roman" w:eastAsia="宋体" w:cs="Times New Roman"/>
                <w:color w:val="auto"/>
                <w:spacing w:val="0"/>
                <w:kern w:val="2"/>
                <w:sz w:val="24"/>
                <w:szCs w:val="24"/>
              </w:rPr>
              <w:t>制度，建立环境管理制度，环保实施计划应有专门记录，并设立运行台账，并报环保部门备案。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pacing w:val="0"/>
                <w:kern w:val="2"/>
                <w:sz w:val="24"/>
                <w:szCs w:val="24"/>
              </w:rPr>
            </w:pPr>
            <w:r>
              <w:rPr>
                <w:rFonts w:hint="default" w:ascii="Times New Roman" w:hAnsi="Times New Roman" w:eastAsia="宋体" w:cs="Times New Roman"/>
                <w:b/>
                <w:bCs/>
                <w:color w:val="auto"/>
                <w:spacing w:val="0"/>
                <w:kern w:val="2"/>
                <w:sz w:val="24"/>
                <w:szCs w:val="24"/>
                <w:lang w:val="en-US" w:eastAsia="zh-CN"/>
              </w:rPr>
              <w:t>（2）</w:t>
            </w:r>
            <w:r>
              <w:rPr>
                <w:rFonts w:hint="default" w:ascii="Times New Roman" w:hAnsi="Times New Roman" w:eastAsia="宋体" w:cs="Times New Roman"/>
                <w:b/>
                <w:bCs/>
                <w:color w:val="auto"/>
                <w:spacing w:val="0"/>
                <w:kern w:val="2"/>
                <w:sz w:val="24"/>
                <w:szCs w:val="24"/>
              </w:rPr>
              <w:t>运营期环境管理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kern w:val="2"/>
                <w:sz w:val="24"/>
                <w:szCs w:val="24"/>
              </w:rPr>
            </w:pPr>
            <w:r>
              <w:rPr>
                <w:rFonts w:hint="default" w:ascii="Times New Roman" w:hAnsi="Times New Roman" w:eastAsia="宋体" w:cs="Times New Roman"/>
                <w:color w:val="auto"/>
                <w:spacing w:val="0"/>
                <w:kern w:val="2"/>
                <w:sz w:val="24"/>
                <w:szCs w:val="24"/>
                <w:lang w:val="en-US" w:eastAsia="zh-CN"/>
              </w:rPr>
              <w:t>1）</w:t>
            </w:r>
            <w:r>
              <w:rPr>
                <w:rFonts w:hint="default" w:ascii="Times New Roman" w:hAnsi="Times New Roman" w:eastAsia="宋体" w:cs="Times New Roman"/>
                <w:color w:val="auto"/>
                <w:spacing w:val="0"/>
                <w:kern w:val="2"/>
                <w:sz w:val="24"/>
                <w:szCs w:val="24"/>
              </w:rPr>
              <w:t>环境管理机构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kern w:val="2"/>
                <w:sz w:val="24"/>
                <w:szCs w:val="24"/>
              </w:rPr>
            </w:pPr>
            <w:r>
              <w:rPr>
                <w:rFonts w:hint="default" w:ascii="Times New Roman" w:hAnsi="Times New Roman" w:eastAsia="宋体" w:cs="Times New Roman"/>
                <w:color w:val="auto"/>
                <w:spacing w:val="0"/>
                <w:kern w:val="2"/>
                <w:sz w:val="24"/>
                <w:szCs w:val="24"/>
              </w:rPr>
              <w:t>设置1</w:t>
            </w:r>
            <w:r>
              <w:rPr>
                <w:rFonts w:hint="default" w:ascii="Times New Roman" w:hAnsi="Times New Roman" w:eastAsia="宋体" w:cs="Times New Roman"/>
                <w:color w:val="auto"/>
                <w:spacing w:val="0"/>
                <w:kern w:val="2"/>
                <w:sz w:val="24"/>
                <w:szCs w:val="24"/>
                <w:lang w:val="en-US" w:eastAsia="zh-CN"/>
              </w:rPr>
              <w:t>-2</w:t>
            </w:r>
            <w:r>
              <w:rPr>
                <w:rFonts w:hint="default" w:ascii="Times New Roman" w:hAnsi="Times New Roman" w:eastAsia="宋体" w:cs="Times New Roman"/>
                <w:color w:val="auto"/>
                <w:spacing w:val="0"/>
                <w:kern w:val="2"/>
                <w:sz w:val="24"/>
                <w:szCs w:val="24"/>
              </w:rPr>
              <w:t>名专职环保管理人员，具体落实</w:t>
            </w:r>
            <w:r>
              <w:rPr>
                <w:rFonts w:hint="default" w:ascii="Times New Roman" w:hAnsi="Times New Roman" w:eastAsia="宋体" w:cs="Times New Roman"/>
                <w:color w:val="auto"/>
                <w:spacing w:val="0"/>
                <w:kern w:val="2"/>
                <w:sz w:val="24"/>
                <w:szCs w:val="24"/>
                <w:lang w:eastAsia="zh-CN"/>
              </w:rPr>
              <w:t>医院</w:t>
            </w:r>
            <w:r>
              <w:rPr>
                <w:rFonts w:hint="default" w:ascii="Times New Roman" w:hAnsi="Times New Roman" w:eastAsia="宋体" w:cs="Times New Roman"/>
                <w:color w:val="auto"/>
                <w:spacing w:val="0"/>
                <w:kern w:val="2"/>
                <w:sz w:val="24"/>
                <w:szCs w:val="24"/>
              </w:rPr>
              <w:t>的各项环保工作。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kern w:val="2"/>
                <w:sz w:val="24"/>
                <w:szCs w:val="24"/>
              </w:rPr>
            </w:pPr>
            <w:r>
              <w:rPr>
                <w:rFonts w:hint="default" w:ascii="Times New Roman" w:hAnsi="Times New Roman" w:eastAsia="宋体" w:cs="Times New Roman"/>
                <w:color w:val="auto"/>
                <w:spacing w:val="0"/>
                <w:kern w:val="2"/>
                <w:sz w:val="24"/>
                <w:szCs w:val="24"/>
                <w:lang w:val="en-US" w:eastAsia="zh-CN"/>
              </w:rPr>
              <w:t>2）</w:t>
            </w:r>
            <w:r>
              <w:rPr>
                <w:rFonts w:hint="default" w:ascii="Times New Roman" w:hAnsi="Times New Roman" w:eastAsia="宋体" w:cs="Times New Roman"/>
                <w:color w:val="auto"/>
                <w:spacing w:val="0"/>
                <w:kern w:val="2"/>
                <w:sz w:val="24"/>
                <w:szCs w:val="24"/>
              </w:rPr>
              <w:t>基本职责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kern w:val="2"/>
                <w:sz w:val="24"/>
                <w:szCs w:val="24"/>
              </w:rPr>
            </w:pPr>
            <w:r>
              <w:rPr>
                <w:rFonts w:hint="default" w:ascii="Times New Roman" w:hAnsi="Times New Roman" w:eastAsia="宋体" w:cs="Times New Roman"/>
                <w:color w:val="auto"/>
                <w:spacing w:val="0"/>
                <w:kern w:val="2"/>
                <w:sz w:val="24"/>
                <w:szCs w:val="24"/>
              </w:rPr>
              <w:t>①负责在内部贯彻执行国家及地方政府、环境保护部门的有关法律、法规、环保标准、条例和办法等；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kern w:val="2"/>
                <w:sz w:val="24"/>
                <w:szCs w:val="24"/>
              </w:rPr>
            </w:pPr>
            <w:r>
              <w:rPr>
                <w:rFonts w:hint="default" w:ascii="Times New Roman" w:hAnsi="Times New Roman" w:eastAsia="宋体" w:cs="Times New Roman"/>
                <w:color w:val="auto"/>
                <w:spacing w:val="0"/>
                <w:kern w:val="2"/>
                <w:sz w:val="24"/>
                <w:szCs w:val="24"/>
              </w:rPr>
              <w:t>②进行环保宣传、环保培训及总结交流经验；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kern w:val="2"/>
                <w:sz w:val="24"/>
                <w:szCs w:val="24"/>
              </w:rPr>
            </w:pPr>
            <w:r>
              <w:rPr>
                <w:rFonts w:hint="default" w:ascii="Times New Roman" w:hAnsi="Times New Roman" w:eastAsia="宋体" w:cs="Times New Roman"/>
                <w:color w:val="auto"/>
                <w:spacing w:val="0"/>
                <w:kern w:val="2"/>
                <w:sz w:val="24"/>
                <w:szCs w:val="24"/>
                <w:lang w:eastAsia="zh-CN"/>
              </w:rPr>
              <w:t>③</w:t>
            </w:r>
            <w:r>
              <w:rPr>
                <w:rFonts w:hint="default" w:ascii="Times New Roman" w:hAnsi="Times New Roman" w:eastAsia="宋体" w:cs="Times New Roman"/>
                <w:color w:val="auto"/>
                <w:spacing w:val="0"/>
                <w:kern w:val="2"/>
                <w:sz w:val="24"/>
                <w:szCs w:val="24"/>
              </w:rPr>
              <w:t>环保设施的运行监督管理，</w:t>
            </w:r>
            <w:r>
              <w:rPr>
                <w:rFonts w:hint="default" w:ascii="Times New Roman" w:hAnsi="Times New Roman" w:eastAsia="宋体" w:cs="Times New Roman"/>
                <w:color w:val="auto"/>
                <w:spacing w:val="0"/>
                <w:kern w:val="2"/>
                <w:sz w:val="24"/>
                <w:szCs w:val="24"/>
                <w:lang w:val="en-US" w:eastAsia="zh-CN"/>
              </w:rPr>
              <w:t>建立环保设施运行台账、污染物处置台账，</w:t>
            </w:r>
            <w:r>
              <w:rPr>
                <w:rFonts w:hint="default" w:ascii="Times New Roman" w:hAnsi="Times New Roman" w:eastAsia="宋体" w:cs="Times New Roman"/>
                <w:color w:val="auto"/>
                <w:spacing w:val="0"/>
                <w:kern w:val="2"/>
                <w:sz w:val="24"/>
                <w:szCs w:val="24"/>
              </w:rPr>
              <w:t>定期向当地环保局汇报污染治理设施运行情况和监视性监测结果。建立污染事故报告制度，当污染事故发生时，应立即向当地</w:t>
            </w:r>
            <w:r>
              <w:rPr>
                <w:rFonts w:hint="default" w:ascii="Times New Roman" w:hAnsi="Times New Roman" w:eastAsia="宋体" w:cs="Times New Roman"/>
                <w:color w:val="auto"/>
                <w:spacing w:val="0"/>
                <w:kern w:val="2"/>
                <w:sz w:val="24"/>
                <w:szCs w:val="24"/>
                <w:lang w:eastAsia="zh-CN"/>
              </w:rPr>
              <w:t>生态环境部门</w:t>
            </w:r>
            <w:r>
              <w:rPr>
                <w:rFonts w:hint="default" w:ascii="Times New Roman" w:hAnsi="Times New Roman" w:eastAsia="宋体" w:cs="Times New Roman"/>
                <w:color w:val="auto"/>
                <w:spacing w:val="0"/>
                <w:kern w:val="2"/>
                <w:sz w:val="24"/>
                <w:szCs w:val="24"/>
              </w:rPr>
              <w:t>报告，并采取相应措施。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kern w:val="2"/>
                <w:sz w:val="24"/>
                <w:szCs w:val="24"/>
              </w:rPr>
            </w:pPr>
            <w:r>
              <w:rPr>
                <w:rFonts w:hint="eastAsia" w:eastAsia="宋体" w:cs="Times New Roman"/>
                <w:color w:val="auto"/>
                <w:spacing w:val="0"/>
                <w:kern w:val="2"/>
                <w:sz w:val="24"/>
                <w:szCs w:val="24"/>
                <w:lang w:eastAsia="zh-CN"/>
              </w:rPr>
              <w:t>④</w:t>
            </w:r>
            <w:r>
              <w:rPr>
                <w:rFonts w:hint="default" w:ascii="Times New Roman" w:hAnsi="Times New Roman" w:eastAsia="宋体" w:cs="Times New Roman"/>
                <w:color w:val="auto"/>
                <w:spacing w:val="0"/>
                <w:kern w:val="2"/>
                <w:sz w:val="24"/>
                <w:szCs w:val="24"/>
              </w:rPr>
              <w:t>定期对环保设施进行维护管理，确保环保设施正常运行，各污染物达标排放。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kern w:val="2"/>
                <w:sz w:val="24"/>
                <w:szCs w:val="24"/>
                <w:lang w:val="en-US" w:eastAsia="zh-CN"/>
              </w:rPr>
            </w:pPr>
            <w:r>
              <w:rPr>
                <w:rFonts w:hint="eastAsia" w:eastAsia="宋体" w:cs="Times New Roman"/>
                <w:color w:val="auto"/>
                <w:spacing w:val="0"/>
                <w:kern w:val="2"/>
                <w:sz w:val="24"/>
                <w:szCs w:val="24"/>
                <w:lang w:eastAsia="zh-CN"/>
              </w:rPr>
              <w:t>⑤</w:t>
            </w:r>
            <w:r>
              <w:rPr>
                <w:rFonts w:hint="default" w:ascii="Times New Roman" w:hAnsi="Times New Roman" w:eastAsia="宋体" w:cs="Times New Roman"/>
                <w:color w:val="auto"/>
                <w:spacing w:val="0"/>
                <w:kern w:val="2"/>
                <w:sz w:val="24"/>
                <w:szCs w:val="24"/>
              </w:rPr>
              <w:t>加强医疗废物管理的相关规定。</w:t>
            </w:r>
          </w:p>
          <w:p>
            <w:pPr>
              <w:keepNext/>
              <w:keepLines/>
              <w:pageBreakBefore w:val="0"/>
              <w:widowControl w:val="0"/>
              <w:kinsoku/>
              <w:wordWrap/>
              <w:overflowPunct/>
              <w:topLinePunct w:val="0"/>
              <w:autoSpaceDE/>
              <w:autoSpaceDN/>
              <w:bidi w:val="0"/>
              <w:adjustRightInd/>
              <w:snapToGrid/>
              <w:spacing w:line="360" w:lineRule="auto"/>
              <w:ind w:firstLine="0" w:firstLineChars="0"/>
              <w:jc w:val="both"/>
              <w:textAlignment w:val="auto"/>
              <w:outlineLvl w:val="2"/>
              <w:rPr>
                <w:rFonts w:hint="default" w:ascii="Times New Roman" w:hAnsi="Times New Roman" w:eastAsia="宋体" w:cs="Times New Roman"/>
                <w:b/>
                <w:bCs/>
                <w:color w:val="auto"/>
                <w:spacing w:val="0"/>
                <w:kern w:val="2"/>
                <w:sz w:val="24"/>
                <w:szCs w:val="24"/>
                <w:lang w:val="en-US" w:eastAsia="zh-CN" w:bidi="ar-SA"/>
              </w:rPr>
            </w:pPr>
            <w:r>
              <w:rPr>
                <w:rFonts w:hint="default" w:ascii="Times New Roman" w:hAnsi="Times New Roman" w:eastAsia="宋体" w:cs="Times New Roman"/>
                <w:b/>
                <w:bCs/>
                <w:color w:val="auto"/>
                <w:spacing w:val="0"/>
                <w:kern w:val="2"/>
                <w:sz w:val="24"/>
                <w:szCs w:val="24"/>
                <w:lang w:val="en-US" w:eastAsia="zh-CN" w:bidi="ar-SA"/>
              </w:rPr>
              <w:t>二、落实按证排污责任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kern w:val="2"/>
                <w:sz w:val="24"/>
                <w:szCs w:val="24"/>
                <w:lang w:val="en-US" w:eastAsia="zh-CN"/>
              </w:rPr>
            </w:pPr>
            <w:r>
              <w:rPr>
                <w:rFonts w:hint="default" w:ascii="Times New Roman" w:hAnsi="Times New Roman" w:eastAsia="宋体" w:cs="Times New Roman"/>
                <w:color w:val="auto"/>
                <w:spacing w:val="0"/>
                <w:kern w:val="2"/>
                <w:sz w:val="24"/>
                <w:szCs w:val="24"/>
                <w:lang w:val="en-US" w:eastAsia="zh-CN"/>
              </w:rPr>
              <w:t>建设单位必须按期持证排污、按证排污，不得无证排污，及时申领排污许可证，对申请材料的真实性、准确性和完整性承担法律责任，承诺按照排污许可证的规定排污并严格执行；落实污染物排放控制措施和其他各项环境管理要求，确保污染物排放种类、浓度和排放量等达到许可要求；明确单位负责人和相关人员环境保护责任，不断提高污染治理和环境管理水平，自觉接受监督检查。</w:t>
            </w:r>
          </w:p>
          <w:p>
            <w:pPr>
              <w:keepNext/>
              <w:keepLines/>
              <w:pageBreakBefore w:val="0"/>
              <w:widowControl w:val="0"/>
              <w:kinsoku/>
              <w:wordWrap/>
              <w:overflowPunct/>
              <w:topLinePunct w:val="0"/>
              <w:autoSpaceDE/>
              <w:autoSpaceDN/>
              <w:bidi w:val="0"/>
              <w:adjustRightInd/>
              <w:snapToGrid/>
              <w:spacing w:line="360" w:lineRule="auto"/>
              <w:ind w:firstLine="0" w:firstLineChars="0"/>
              <w:jc w:val="both"/>
              <w:textAlignment w:val="auto"/>
              <w:outlineLvl w:val="2"/>
              <w:rPr>
                <w:rFonts w:hint="default" w:ascii="Times New Roman" w:hAnsi="Times New Roman" w:eastAsia="宋体" w:cs="Times New Roman"/>
                <w:b/>
                <w:bCs/>
                <w:color w:val="auto"/>
                <w:spacing w:val="0"/>
                <w:kern w:val="2"/>
                <w:sz w:val="24"/>
                <w:szCs w:val="24"/>
                <w:lang w:val="en-US" w:eastAsia="zh-CN" w:bidi="ar-SA"/>
              </w:rPr>
            </w:pPr>
            <w:r>
              <w:rPr>
                <w:rFonts w:hint="default" w:ascii="Times New Roman" w:hAnsi="Times New Roman" w:eastAsia="宋体" w:cs="Times New Roman"/>
                <w:b/>
                <w:bCs/>
                <w:color w:val="auto"/>
                <w:spacing w:val="0"/>
                <w:kern w:val="2"/>
                <w:sz w:val="24"/>
                <w:szCs w:val="24"/>
                <w:lang w:val="en-US" w:eastAsia="zh-CN" w:bidi="ar-SA"/>
              </w:rPr>
              <w:t>三、验收管理要求</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kern w:val="2"/>
                <w:sz w:val="24"/>
                <w:szCs w:val="24"/>
                <w:lang w:val="en-US" w:eastAsia="zh-CN"/>
              </w:rPr>
            </w:pPr>
            <w:r>
              <w:rPr>
                <w:rFonts w:hint="default" w:ascii="Times New Roman" w:hAnsi="Times New Roman" w:eastAsia="宋体" w:cs="Times New Roman"/>
                <w:color w:val="auto"/>
                <w:spacing w:val="0"/>
                <w:kern w:val="2"/>
                <w:sz w:val="24"/>
                <w:szCs w:val="24"/>
                <w:lang w:val="en-US" w:eastAsia="zh-CN"/>
              </w:rPr>
              <w:t>根据中华人民共和国国务院令第682号《国务院关于修改&lt;建设项目环境保护管理条例&gt;的决定》于2017年6月21日修订，自2017年10月1日起施行。根据国务院关于修改《建设项目环境保护管理条例》要求，提出项目业主单位自主验收的管理要求如下：</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kern w:val="2"/>
                <w:sz w:val="24"/>
                <w:szCs w:val="24"/>
                <w:lang w:val="en-US" w:eastAsia="zh-CN"/>
              </w:rPr>
            </w:pPr>
            <w:r>
              <w:rPr>
                <w:rFonts w:hint="default" w:ascii="Times New Roman" w:hAnsi="Times New Roman" w:eastAsia="宋体" w:cs="Times New Roman"/>
                <w:color w:val="auto"/>
                <w:spacing w:val="0"/>
                <w:kern w:val="2"/>
                <w:sz w:val="24"/>
                <w:szCs w:val="24"/>
                <w:lang w:eastAsia="zh-CN"/>
              </w:rPr>
              <w:t>①</w:t>
            </w:r>
            <w:r>
              <w:rPr>
                <w:rFonts w:hint="default" w:ascii="Times New Roman" w:hAnsi="Times New Roman" w:eastAsia="宋体" w:cs="Times New Roman"/>
                <w:color w:val="auto"/>
                <w:spacing w:val="0"/>
                <w:kern w:val="2"/>
                <w:sz w:val="24"/>
                <w:szCs w:val="24"/>
                <w:lang w:val="en-US" w:eastAsia="zh-CN"/>
              </w:rPr>
              <w:t>环境保护行政主管部门应当对本项目环境保护设施设计、施工、验收、投入使用情况，以及有关环境影响评价文件确定的其他环境保护措施的落实情况，进行监督检查。</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kern w:val="2"/>
                <w:sz w:val="24"/>
                <w:szCs w:val="24"/>
                <w:lang w:val="en-US" w:eastAsia="zh-CN"/>
              </w:rPr>
            </w:pPr>
            <w:r>
              <w:rPr>
                <w:rFonts w:hint="default" w:ascii="Times New Roman" w:hAnsi="Times New Roman" w:eastAsia="宋体" w:cs="Times New Roman"/>
                <w:color w:val="auto"/>
                <w:spacing w:val="0"/>
                <w:kern w:val="2"/>
                <w:sz w:val="24"/>
                <w:szCs w:val="24"/>
                <w:lang w:eastAsia="zh-CN"/>
              </w:rPr>
              <w:t>②</w:t>
            </w:r>
            <w:r>
              <w:rPr>
                <w:rFonts w:hint="default" w:ascii="Times New Roman" w:hAnsi="Times New Roman" w:eastAsia="宋体" w:cs="Times New Roman"/>
                <w:color w:val="auto"/>
                <w:spacing w:val="0"/>
                <w:kern w:val="2"/>
                <w:sz w:val="24"/>
                <w:szCs w:val="24"/>
                <w:lang w:val="en-US" w:eastAsia="zh-CN"/>
              </w:rPr>
              <w:t>本项目建设竣工后，业主应当按照国务院环境保护行政主管部门规定的标准和程序，对配套建设的环境保护设施进行验收，编制验收报告。</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kern w:val="2"/>
                <w:sz w:val="24"/>
                <w:szCs w:val="24"/>
                <w:lang w:val="en-US" w:eastAsia="zh-CN"/>
              </w:rPr>
            </w:pPr>
            <w:r>
              <w:rPr>
                <w:rFonts w:hint="default" w:ascii="Times New Roman" w:hAnsi="Times New Roman" w:eastAsia="宋体" w:cs="Times New Roman"/>
                <w:color w:val="auto"/>
                <w:spacing w:val="0"/>
                <w:kern w:val="2"/>
                <w:sz w:val="24"/>
                <w:szCs w:val="24"/>
                <w:lang w:eastAsia="zh-CN"/>
              </w:rPr>
              <w:t>③</w:t>
            </w:r>
            <w:r>
              <w:rPr>
                <w:rFonts w:hint="default" w:ascii="Times New Roman" w:hAnsi="Times New Roman" w:eastAsia="宋体" w:cs="Times New Roman"/>
                <w:color w:val="auto"/>
                <w:spacing w:val="0"/>
                <w:kern w:val="2"/>
                <w:sz w:val="24"/>
                <w:szCs w:val="24"/>
                <w:lang w:val="en-US" w:eastAsia="zh-CN"/>
              </w:rPr>
              <w:t>建设单位应该对施工期环保设施、措施进行记录或拍照，在环境保护设施验收过程中，应当如实查验、监测、记载建设项目环境保护设施的建设和调试情况，不得弄虚作假。</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kern w:val="2"/>
                <w:sz w:val="24"/>
                <w:szCs w:val="24"/>
                <w:lang w:val="en-US" w:eastAsia="zh-CN"/>
              </w:rPr>
            </w:pPr>
            <w:r>
              <w:rPr>
                <w:rFonts w:hint="default" w:ascii="Times New Roman" w:hAnsi="Times New Roman" w:eastAsia="宋体" w:cs="Times New Roman"/>
                <w:color w:val="auto"/>
                <w:spacing w:val="0"/>
                <w:kern w:val="2"/>
                <w:sz w:val="24"/>
                <w:szCs w:val="24"/>
                <w:lang w:eastAsia="zh-CN"/>
              </w:rPr>
              <w:t>④</w:t>
            </w:r>
            <w:r>
              <w:rPr>
                <w:rFonts w:hint="default" w:ascii="Times New Roman" w:hAnsi="Times New Roman" w:eastAsia="宋体" w:cs="Times New Roman"/>
                <w:color w:val="auto"/>
                <w:spacing w:val="0"/>
                <w:kern w:val="2"/>
                <w:sz w:val="24"/>
                <w:szCs w:val="24"/>
                <w:lang w:val="en-US" w:eastAsia="zh-CN"/>
              </w:rPr>
              <w:t>若本项目有分期建设或分期投入生产或者使用的建设项目，其相应的环境保护设施应当分期验收。</w:t>
            </w:r>
          </w:p>
          <w:p>
            <w:pPr>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pacing w:val="0"/>
                <w:kern w:val="2"/>
                <w:sz w:val="24"/>
                <w:szCs w:val="24"/>
                <w:lang w:val="en-US" w:eastAsia="zh-CN" w:bidi="ar-SA"/>
              </w:rPr>
            </w:pPr>
            <w:r>
              <w:rPr>
                <w:rFonts w:hint="default" w:ascii="Times New Roman" w:hAnsi="Times New Roman" w:eastAsia="宋体" w:cs="Times New Roman"/>
                <w:color w:val="auto"/>
                <w:spacing w:val="0"/>
                <w:kern w:val="2"/>
                <w:sz w:val="24"/>
                <w:szCs w:val="24"/>
                <w:lang w:val="en-US" w:eastAsia="zh-CN" w:bidi="ar-SA"/>
              </w:rPr>
              <w:t>⑤本项目建设的环境保护设施经验收合格后，方可投入生产或者使用；未经验收或者验收不合格的，不得投入生产或者使用。</w:t>
            </w:r>
          </w:p>
          <w:p>
            <w:pPr>
              <w:keepNext/>
              <w:keepLines/>
              <w:pageBreakBefore w:val="0"/>
              <w:widowControl w:val="0"/>
              <w:kinsoku/>
              <w:wordWrap/>
              <w:overflowPunct/>
              <w:topLinePunct w:val="0"/>
              <w:autoSpaceDE/>
              <w:autoSpaceDN/>
              <w:bidi w:val="0"/>
              <w:adjustRightInd/>
              <w:snapToGrid/>
              <w:spacing w:line="360" w:lineRule="auto"/>
              <w:ind w:firstLine="0" w:firstLineChars="0"/>
              <w:jc w:val="both"/>
              <w:textAlignment w:val="auto"/>
              <w:outlineLvl w:val="2"/>
              <w:rPr>
                <w:rFonts w:hint="default" w:ascii="Times New Roman" w:hAnsi="Times New Roman" w:eastAsia="宋体" w:cs="Times New Roman"/>
                <w:b/>
                <w:bCs/>
                <w:color w:val="auto"/>
                <w:spacing w:val="0"/>
                <w:kern w:val="2"/>
                <w:sz w:val="24"/>
                <w:szCs w:val="24"/>
                <w:lang w:val="en-US" w:eastAsia="zh-CN" w:bidi="ar-SA"/>
              </w:rPr>
            </w:pPr>
            <w:r>
              <w:rPr>
                <w:rFonts w:hint="default" w:ascii="Times New Roman" w:hAnsi="Times New Roman" w:eastAsia="宋体" w:cs="Times New Roman"/>
                <w:b/>
                <w:bCs/>
                <w:color w:val="auto"/>
                <w:spacing w:val="0"/>
                <w:kern w:val="2"/>
                <w:sz w:val="24"/>
                <w:szCs w:val="24"/>
                <w:lang w:val="en-US" w:eastAsia="zh-CN" w:bidi="ar-SA"/>
              </w:rPr>
              <w:t>四、实行自行监测和定期报告制度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kern w:val="2"/>
                <w:sz w:val="24"/>
                <w:szCs w:val="24"/>
                <w:lang w:val="en-US" w:eastAsia="zh-CN" w:bidi="ar-SA"/>
              </w:rPr>
            </w:pPr>
            <w:r>
              <w:rPr>
                <w:rFonts w:hint="default" w:ascii="Times New Roman" w:hAnsi="Times New Roman" w:eastAsia="宋体" w:cs="Times New Roman"/>
                <w:color w:val="auto"/>
                <w:spacing w:val="0"/>
                <w:kern w:val="2"/>
                <w:sz w:val="24"/>
                <w:szCs w:val="24"/>
                <w:lang w:val="en-US" w:eastAsia="zh-CN" w:bidi="ar-SA"/>
              </w:rPr>
              <w:t>依法开展自行监测，安装或使用监测设备应符合国家有关环境监测、计量认证规定和技术规范，保障数据合法有效，保证设备正常运行，妥善保存原始记录，建立准确完整的环境管理台账。如实向环境保护部门报告排污许可证执行情况，依法向社会公开污染物排放数据并对数据真实性负责。排放情况与排污许可证要求不符的，应及时向环境保护部门报告。</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pacing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color w:val="auto"/>
                <w:spacing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kern w:val="2"/>
                <w:sz w:val="24"/>
                <w:szCs w:val="24"/>
                <w:lang w:val="en-US" w:eastAsia="zh-CN" w:bidi="ar-SA"/>
              </w:rPr>
            </w:pPr>
          </w:p>
        </w:tc>
      </w:tr>
    </w:tbl>
    <w:p>
      <w:pPr>
        <w:widowControl/>
        <w:ind w:firstLine="480"/>
        <w:jc w:val="left"/>
        <w:rPr>
          <w:rFonts w:cs="Times New Roman" w:asciiTheme="minorEastAsia" w:hAnsiTheme="minorEastAsia"/>
          <w:color w:val="auto"/>
          <w:szCs w:val="20"/>
        </w:rPr>
      </w:pPr>
      <w:r>
        <w:rPr>
          <w:rFonts w:cs="Times New Roman" w:asciiTheme="minorEastAsia" w:hAnsiTheme="minorEastAsia"/>
          <w:color w:val="auto"/>
          <w:szCs w:val="20"/>
        </w:rPr>
        <w:br w:type="page"/>
      </w:r>
    </w:p>
    <w:p>
      <w:pPr>
        <w:pStyle w:val="4"/>
        <w:rPr>
          <w:color w:val="auto"/>
        </w:rPr>
      </w:pPr>
      <w:bookmarkStart w:id="113" w:name="_Toc341946650"/>
      <w:bookmarkStart w:id="114" w:name="_Toc458883644"/>
      <w:bookmarkStart w:id="115" w:name="_Toc376855819"/>
      <w:bookmarkStart w:id="116" w:name="_Toc10838"/>
      <w:bookmarkStart w:id="117" w:name="_Toc68101070"/>
      <w:r>
        <w:rPr>
          <w:rFonts w:hint="eastAsia"/>
          <w:color w:val="auto"/>
        </w:rPr>
        <w:t>六、</w:t>
      </w:r>
      <w:bookmarkEnd w:id="113"/>
      <w:bookmarkEnd w:id="114"/>
      <w:bookmarkEnd w:id="115"/>
      <w:r>
        <w:rPr>
          <w:rFonts w:hint="eastAsia"/>
          <w:color w:val="auto"/>
        </w:rPr>
        <w:t>结论</w:t>
      </w:r>
      <w:bookmarkEnd w:id="116"/>
      <w:bookmarkEnd w:id="117"/>
    </w:p>
    <w:tbl>
      <w:tblPr>
        <w:tblStyle w:val="37"/>
        <w:tblW w:w="947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7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069" w:hRule="atLeast"/>
          <w:jc w:val="center"/>
        </w:trPr>
        <w:tc>
          <w:tcPr>
            <w:tcW w:w="9470" w:type="dxa"/>
          </w:tcPr>
          <w:p>
            <w:pPr>
              <w:ind w:firstLine="480"/>
              <w:rPr>
                <w:color w:val="auto"/>
              </w:rPr>
            </w:pPr>
            <w:r>
              <w:rPr>
                <w:color w:val="auto"/>
              </w:rPr>
              <w:t>本项目</w:t>
            </w:r>
            <w:r>
              <w:rPr>
                <w:rFonts w:hint="eastAsia"/>
                <w:color w:val="auto"/>
              </w:rPr>
              <w:t>为乡镇</w:t>
            </w:r>
            <w:r>
              <w:rPr>
                <w:rFonts w:hint="eastAsia"/>
                <w:color w:val="auto"/>
                <w:lang w:eastAsia="zh-CN"/>
              </w:rPr>
              <w:t>姚安县保健院妇婴医院住院综合楼建设项目</w:t>
            </w:r>
            <w:r>
              <w:rPr>
                <w:rFonts w:hint="eastAsia"/>
                <w:color w:val="auto"/>
              </w:rPr>
              <w:t>，建设用地性质为医疗卫生用地</w:t>
            </w:r>
            <w:r>
              <w:rPr>
                <w:color w:val="auto"/>
              </w:rPr>
              <w:t>，</w:t>
            </w:r>
            <w:r>
              <w:rPr>
                <w:rFonts w:hint="eastAsia"/>
                <w:color w:val="auto"/>
              </w:rPr>
              <w:t>即项目符合当地规划，</w:t>
            </w:r>
            <w:r>
              <w:rPr>
                <w:color w:val="auto"/>
              </w:rPr>
              <w:t>符合国家产业政策，</w:t>
            </w:r>
            <w:r>
              <w:rPr>
                <w:rFonts w:hint="eastAsia"/>
                <w:color w:val="auto"/>
              </w:rPr>
              <w:t>符合“三线一单”管理及相关环保规划要求</w:t>
            </w:r>
            <w:r>
              <w:rPr>
                <w:color w:val="auto"/>
              </w:rPr>
              <w:t>；</w:t>
            </w:r>
            <w:r>
              <w:rPr>
                <w:rFonts w:hint="eastAsia"/>
                <w:color w:val="auto"/>
              </w:rPr>
              <w:t>项目在落实本报告提出的各项污染治理措施，并加强环境管理和风险防范，保证各项污染物达标排放后，项目对周围环境影响较小</w:t>
            </w:r>
            <w:r>
              <w:rPr>
                <w:color w:val="auto"/>
              </w:rPr>
              <w:t>，不</w:t>
            </w:r>
            <w:r>
              <w:rPr>
                <w:rFonts w:hint="eastAsia"/>
                <w:color w:val="auto"/>
              </w:rPr>
              <w:t>会</w:t>
            </w:r>
            <w:r>
              <w:rPr>
                <w:color w:val="auto"/>
              </w:rPr>
              <w:t>改变所在区域的环境功能，对环境保护目标不会产生显著影响。</w:t>
            </w:r>
          </w:p>
          <w:p>
            <w:pPr>
              <w:ind w:firstLine="480"/>
              <w:rPr>
                <w:color w:val="auto"/>
              </w:rPr>
            </w:pPr>
            <w:r>
              <w:rPr>
                <w:rFonts w:hint="eastAsia"/>
                <w:color w:val="auto"/>
              </w:rPr>
              <w:t>从环境保护角度考虑，本项目的建设是合理、可行的。</w:t>
            </w:r>
          </w:p>
          <w:p>
            <w:pPr>
              <w:autoSpaceDE w:val="0"/>
              <w:autoSpaceDN w:val="0"/>
              <w:adjustRightInd w:val="0"/>
              <w:spacing w:line="240" w:lineRule="auto"/>
              <w:ind w:firstLine="0" w:firstLineChars="0"/>
              <w:jc w:val="left"/>
              <w:rPr>
                <w:color w:val="auto"/>
              </w:rPr>
            </w:pPr>
          </w:p>
          <w:p>
            <w:pPr>
              <w:pStyle w:val="183"/>
              <w:rPr>
                <w:rFonts w:ascii="仿宋" w:eastAsia="仿宋" w:cs="仿宋" w:hAnsiTheme="minorHAnsi"/>
                <w:color w:val="auto"/>
                <w:kern w:val="0"/>
                <w:sz w:val="28"/>
                <w:szCs w:val="28"/>
              </w:rPr>
            </w:pPr>
          </w:p>
          <w:p>
            <w:pPr>
              <w:pStyle w:val="183"/>
              <w:rPr>
                <w:rFonts w:ascii="仿宋" w:eastAsia="仿宋" w:cs="仿宋" w:hAnsiTheme="minorHAnsi"/>
                <w:color w:val="auto"/>
                <w:kern w:val="0"/>
                <w:sz w:val="28"/>
                <w:szCs w:val="28"/>
              </w:rPr>
            </w:pPr>
          </w:p>
          <w:p>
            <w:pPr>
              <w:pStyle w:val="183"/>
              <w:rPr>
                <w:rFonts w:ascii="仿宋" w:eastAsia="仿宋" w:cs="仿宋" w:hAnsiTheme="minorHAnsi"/>
                <w:color w:val="auto"/>
                <w:kern w:val="0"/>
                <w:sz w:val="28"/>
                <w:szCs w:val="28"/>
              </w:rPr>
            </w:pPr>
          </w:p>
          <w:p>
            <w:pPr>
              <w:pStyle w:val="183"/>
              <w:rPr>
                <w:rFonts w:ascii="仿宋" w:eastAsia="仿宋" w:cs="仿宋" w:hAnsiTheme="minorHAnsi"/>
                <w:color w:val="auto"/>
                <w:kern w:val="0"/>
                <w:sz w:val="28"/>
                <w:szCs w:val="28"/>
              </w:rPr>
            </w:pPr>
          </w:p>
          <w:p>
            <w:pPr>
              <w:pStyle w:val="183"/>
              <w:rPr>
                <w:rFonts w:ascii="仿宋" w:eastAsia="仿宋" w:cs="仿宋" w:hAnsiTheme="minorHAnsi"/>
                <w:color w:val="auto"/>
                <w:kern w:val="0"/>
                <w:sz w:val="28"/>
                <w:szCs w:val="28"/>
              </w:rPr>
            </w:pPr>
          </w:p>
          <w:p>
            <w:pPr>
              <w:pStyle w:val="183"/>
              <w:rPr>
                <w:rFonts w:ascii="仿宋" w:eastAsia="仿宋" w:cs="仿宋" w:hAnsiTheme="minorHAnsi"/>
                <w:color w:val="auto"/>
                <w:kern w:val="0"/>
                <w:sz w:val="28"/>
                <w:szCs w:val="28"/>
              </w:rPr>
            </w:pPr>
          </w:p>
          <w:p>
            <w:pPr>
              <w:pStyle w:val="183"/>
              <w:rPr>
                <w:rFonts w:ascii="仿宋" w:eastAsia="仿宋" w:cs="仿宋" w:hAnsiTheme="minorHAnsi"/>
                <w:color w:val="auto"/>
                <w:kern w:val="0"/>
                <w:sz w:val="28"/>
                <w:szCs w:val="28"/>
              </w:rPr>
            </w:pPr>
          </w:p>
          <w:p>
            <w:pPr>
              <w:pStyle w:val="183"/>
              <w:rPr>
                <w:rFonts w:ascii="仿宋" w:eastAsia="仿宋" w:cs="仿宋" w:hAnsiTheme="minorHAnsi"/>
                <w:color w:val="auto"/>
                <w:kern w:val="0"/>
                <w:sz w:val="28"/>
                <w:szCs w:val="28"/>
              </w:rPr>
            </w:pPr>
          </w:p>
          <w:p>
            <w:pPr>
              <w:pStyle w:val="183"/>
              <w:rPr>
                <w:rFonts w:ascii="仿宋" w:eastAsia="仿宋" w:cs="仿宋" w:hAnsiTheme="minorHAnsi"/>
                <w:color w:val="auto"/>
                <w:kern w:val="0"/>
                <w:sz w:val="28"/>
                <w:szCs w:val="28"/>
              </w:rPr>
            </w:pPr>
          </w:p>
          <w:p>
            <w:pPr>
              <w:pStyle w:val="183"/>
              <w:rPr>
                <w:rFonts w:ascii="仿宋" w:eastAsia="仿宋" w:cs="仿宋" w:hAnsiTheme="minorHAnsi"/>
                <w:color w:val="auto"/>
                <w:kern w:val="0"/>
                <w:sz w:val="28"/>
                <w:szCs w:val="28"/>
              </w:rPr>
            </w:pPr>
          </w:p>
          <w:p>
            <w:pPr>
              <w:pStyle w:val="183"/>
              <w:rPr>
                <w:rFonts w:ascii="仿宋" w:eastAsia="仿宋" w:cs="仿宋" w:hAnsiTheme="minorHAnsi"/>
                <w:color w:val="auto"/>
                <w:kern w:val="0"/>
                <w:sz w:val="28"/>
                <w:szCs w:val="28"/>
              </w:rPr>
            </w:pPr>
          </w:p>
          <w:p>
            <w:pPr>
              <w:pStyle w:val="183"/>
              <w:rPr>
                <w:rFonts w:ascii="仿宋" w:eastAsia="仿宋" w:cs="仿宋" w:hAnsiTheme="minorHAnsi"/>
                <w:color w:val="auto"/>
                <w:kern w:val="0"/>
                <w:sz w:val="28"/>
                <w:szCs w:val="28"/>
              </w:rPr>
            </w:pPr>
          </w:p>
          <w:p>
            <w:pPr>
              <w:pStyle w:val="183"/>
              <w:rPr>
                <w:rFonts w:ascii="仿宋" w:eastAsia="仿宋" w:cs="仿宋" w:hAnsiTheme="minorHAnsi"/>
                <w:color w:val="auto"/>
                <w:kern w:val="0"/>
                <w:sz w:val="28"/>
                <w:szCs w:val="28"/>
              </w:rPr>
            </w:pPr>
          </w:p>
          <w:p>
            <w:pPr>
              <w:pStyle w:val="183"/>
              <w:rPr>
                <w:rFonts w:ascii="仿宋" w:eastAsia="仿宋" w:cs="仿宋" w:hAnsiTheme="minorHAnsi"/>
                <w:color w:val="auto"/>
                <w:kern w:val="0"/>
                <w:sz w:val="28"/>
                <w:szCs w:val="28"/>
              </w:rPr>
            </w:pPr>
          </w:p>
          <w:p>
            <w:pPr>
              <w:pStyle w:val="183"/>
              <w:rPr>
                <w:rFonts w:ascii="仿宋" w:eastAsia="仿宋" w:cs="仿宋" w:hAnsiTheme="minorHAnsi"/>
                <w:color w:val="auto"/>
                <w:kern w:val="0"/>
                <w:sz w:val="28"/>
                <w:szCs w:val="28"/>
              </w:rPr>
            </w:pPr>
          </w:p>
          <w:p>
            <w:pPr>
              <w:pStyle w:val="183"/>
              <w:rPr>
                <w:rFonts w:ascii="仿宋" w:eastAsia="仿宋" w:cs="仿宋" w:hAnsiTheme="minorHAnsi"/>
                <w:color w:val="auto"/>
                <w:kern w:val="0"/>
                <w:sz w:val="28"/>
                <w:szCs w:val="28"/>
              </w:rPr>
            </w:pPr>
          </w:p>
          <w:p>
            <w:pPr>
              <w:pStyle w:val="183"/>
              <w:ind w:left="0" w:leftChars="0" w:firstLine="0" w:firstLineChars="0"/>
              <w:rPr>
                <w:rFonts w:ascii="仿宋" w:eastAsia="仿宋" w:cs="仿宋" w:hAnsiTheme="minorHAnsi"/>
                <w:color w:val="auto"/>
                <w:kern w:val="0"/>
                <w:sz w:val="28"/>
                <w:szCs w:val="28"/>
              </w:rPr>
            </w:pPr>
          </w:p>
          <w:p>
            <w:pPr>
              <w:pStyle w:val="183"/>
              <w:rPr>
                <w:rFonts w:ascii="仿宋" w:eastAsia="仿宋" w:cs="仿宋" w:hAnsiTheme="minorHAnsi"/>
                <w:color w:val="auto"/>
                <w:kern w:val="0"/>
                <w:sz w:val="28"/>
                <w:szCs w:val="28"/>
              </w:rPr>
            </w:pPr>
          </w:p>
        </w:tc>
      </w:tr>
    </w:tbl>
    <w:p>
      <w:pPr>
        <w:autoSpaceDE w:val="0"/>
        <w:autoSpaceDN w:val="0"/>
        <w:snapToGrid w:val="0"/>
        <w:spacing w:line="240" w:lineRule="auto"/>
        <w:ind w:firstLine="480"/>
        <w:jc w:val="left"/>
        <w:rPr>
          <w:rFonts w:ascii="黑体" w:hAnsi="黑体" w:eastAsia="黑体"/>
          <w:snapToGrid w:val="0"/>
          <w:color w:val="auto"/>
          <w:sz w:val="32"/>
          <w:szCs w:val="32"/>
        </w:rPr>
        <w:sectPr>
          <w:footerReference r:id="rId16" w:type="default"/>
          <w:pgSz w:w="11906" w:h="16838"/>
          <w:pgMar w:top="1440" w:right="1247" w:bottom="1440" w:left="1247" w:header="851" w:footer="835" w:gutter="0"/>
          <w:pgBorders>
            <w:top w:val="none" w:sz="0" w:space="0"/>
            <w:left w:val="none" w:sz="0" w:space="0"/>
            <w:bottom w:val="none" w:sz="0" w:space="0"/>
            <w:right w:val="none" w:sz="0" w:space="0"/>
          </w:pgBorders>
          <w:pgNumType w:fmt="decimal"/>
          <w:cols w:space="425" w:num="1"/>
          <w:docGrid w:type="linesAndChars" w:linePitch="326" w:charSpace="0"/>
        </w:sectPr>
      </w:pPr>
      <w:r>
        <w:rPr>
          <w:color w:val="auto"/>
          <w:szCs w:val="20"/>
        </w:rPr>
        <w:br w:type="page"/>
      </w:r>
    </w:p>
    <w:p>
      <w:pPr>
        <w:ind w:firstLine="562"/>
        <w:outlineLvl w:val="0"/>
        <w:rPr>
          <w:b/>
          <w:snapToGrid w:val="0"/>
          <w:color w:val="auto"/>
          <w:sz w:val="28"/>
          <w:szCs w:val="28"/>
        </w:rPr>
      </w:pPr>
      <w:bookmarkStart w:id="118" w:name="_Toc12276"/>
      <w:bookmarkStart w:id="119" w:name="_Toc28769"/>
      <w:bookmarkStart w:id="120" w:name="_Toc10739"/>
      <w:r>
        <w:rPr>
          <w:rFonts w:hint="eastAsia"/>
          <w:b/>
          <w:snapToGrid w:val="0"/>
          <w:color w:val="auto"/>
          <w:sz w:val="28"/>
          <w:szCs w:val="28"/>
        </w:rPr>
        <w:t>附表</w:t>
      </w:r>
      <w:bookmarkEnd w:id="118"/>
      <w:bookmarkEnd w:id="119"/>
      <w:bookmarkEnd w:id="120"/>
    </w:p>
    <w:p>
      <w:pPr>
        <w:pStyle w:val="32"/>
        <w:adjustRightInd w:val="0"/>
        <w:snapToGrid w:val="0"/>
        <w:spacing w:before="0" w:beforeAutospacing="0" w:after="0" w:afterAutospacing="0" w:line="552" w:lineRule="auto"/>
        <w:ind w:left="480" w:firstLine="760"/>
        <w:jc w:val="center"/>
        <w:outlineLvl w:val="0"/>
        <w:rPr>
          <w:rFonts w:ascii="方正小标宋_GBK" w:hAnsi="黑体" w:eastAsia="方正小标宋_GBK"/>
          <w:snapToGrid w:val="0"/>
          <w:color w:val="auto"/>
          <w:sz w:val="38"/>
          <w:szCs w:val="38"/>
        </w:rPr>
      </w:pPr>
      <w:bookmarkStart w:id="121" w:name="_Toc10979"/>
      <w:bookmarkStart w:id="122" w:name="_Toc18397"/>
      <w:bookmarkStart w:id="123" w:name="_Toc3638"/>
      <w:r>
        <w:rPr>
          <w:rFonts w:hint="eastAsia" w:ascii="方正小标宋_GBK" w:hAnsi="黑体" w:eastAsia="方正小标宋_GBK"/>
          <w:snapToGrid w:val="0"/>
          <w:color w:val="auto"/>
          <w:sz w:val="38"/>
          <w:szCs w:val="38"/>
        </w:rPr>
        <w:t>建设项目污染物排放量汇总表</w:t>
      </w:r>
      <w:bookmarkEnd w:id="121"/>
      <w:bookmarkEnd w:id="122"/>
      <w:bookmarkEnd w:id="123"/>
    </w:p>
    <w:tbl>
      <w:tblPr>
        <w:tblStyle w:val="37"/>
        <w:tblW w:w="1389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902"/>
        <w:gridCol w:w="9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pPr>
              <w:pStyle w:val="78"/>
              <w:spacing w:line="240" w:lineRule="auto"/>
              <w:ind w:firstLine="0" w:firstLineChars="0"/>
              <w:jc w:val="right"/>
              <w:rPr>
                <w:rFonts w:ascii="黑体" w:hAnsi="黑体" w:eastAsia="黑体" w:cs="宋体"/>
                <w:snapToGrid w:val="0"/>
                <w:color w:val="auto"/>
                <w:spacing w:val="-6"/>
                <w:kern w:val="21"/>
                <w:szCs w:val="24"/>
              </w:rPr>
            </w:pPr>
            <w:r>
              <w:rPr>
                <w:rFonts w:hint="eastAsia" w:ascii="黑体" w:hAnsi="黑体" w:eastAsia="黑体" w:cs="宋体"/>
                <w:snapToGrid w:val="0"/>
                <w:color w:val="auto"/>
                <w:spacing w:val="-6"/>
                <w:kern w:val="21"/>
                <w:szCs w:val="24"/>
              </w:rPr>
              <w:t>项目</w:t>
            </w:r>
          </w:p>
          <w:p>
            <w:pPr>
              <w:pStyle w:val="78"/>
              <w:spacing w:line="240" w:lineRule="auto"/>
              <w:ind w:firstLine="0" w:firstLineChars="0"/>
              <w:jc w:val="left"/>
              <w:rPr>
                <w:rFonts w:ascii="黑体" w:hAnsi="黑体" w:eastAsia="黑体" w:cs="宋体"/>
                <w:snapToGrid w:val="0"/>
                <w:color w:val="auto"/>
                <w:spacing w:val="-6"/>
                <w:kern w:val="21"/>
                <w:szCs w:val="24"/>
              </w:rPr>
            </w:pPr>
            <w:r>
              <w:rPr>
                <w:rFonts w:hint="eastAsia" w:ascii="黑体" w:hAnsi="黑体" w:eastAsia="黑体" w:cs="宋体"/>
                <w:snapToGrid w:val="0"/>
                <w:color w:val="auto"/>
                <w:spacing w:val="-6"/>
                <w:kern w:val="21"/>
                <w:szCs w:val="24"/>
              </w:rPr>
              <w:t>分类</w:t>
            </w:r>
          </w:p>
        </w:tc>
        <w:tc>
          <w:tcPr>
            <w:tcW w:w="1417" w:type="dxa"/>
            <w:tcMar>
              <w:left w:w="28" w:type="dxa"/>
              <w:right w:w="28" w:type="dxa"/>
            </w:tcMar>
            <w:vAlign w:val="center"/>
          </w:tcPr>
          <w:p>
            <w:pPr>
              <w:pStyle w:val="78"/>
              <w:spacing w:line="240" w:lineRule="auto"/>
              <w:ind w:firstLine="0" w:firstLineChars="0"/>
              <w:rPr>
                <w:rFonts w:ascii="黑体" w:hAnsi="黑体" w:eastAsia="黑体" w:cs="宋体"/>
                <w:snapToGrid w:val="0"/>
                <w:color w:val="auto"/>
                <w:spacing w:val="-6"/>
                <w:kern w:val="21"/>
                <w:szCs w:val="24"/>
              </w:rPr>
            </w:pPr>
            <w:r>
              <w:rPr>
                <w:rFonts w:hint="eastAsia" w:ascii="黑体" w:hAnsi="黑体" w:eastAsia="黑体" w:cs="宋体"/>
                <w:snapToGrid w:val="0"/>
                <w:color w:val="auto"/>
                <w:spacing w:val="-6"/>
                <w:kern w:val="21"/>
                <w:szCs w:val="24"/>
              </w:rPr>
              <w:t>污染物名称</w:t>
            </w:r>
          </w:p>
        </w:tc>
        <w:tc>
          <w:tcPr>
            <w:tcW w:w="1701" w:type="dxa"/>
            <w:tcMar>
              <w:left w:w="28" w:type="dxa"/>
              <w:right w:w="28" w:type="dxa"/>
            </w:tcMar>
            <w:vAlign w:val="center"/>
          </w:tcPr>
          <w:p>
            <w:pPr>
              <w:pStyle w:val="78"/>
              <w:spacing w:line="240" w:lineRule="auto"/>
              <w:ind w:firstLine="0" w:firstLineChars="0"/>
              <w:rPr>
                <w:rFonts w:ascii="黑体" w:hAnsi="黑体" w:eastAsia="黑体"/>
                <w:snapToGrid w:val="0"/>
                <w:color w:val="auto"/>
                <w:spacing w:val="-6"/>
                <w:kern w:val="21"/>
                <w:szCs w:val="24"/>
              </w:rPr>
            </w:pPr>
            <w:r>
              <w:rPr>
                <w:rFonts w:ascii="黑体" w:hAnsi="黑体" w:eastAsia="黑体"/>
                <w:snapToGrid w:val="0"/>
                <w:color w:val="auto"/>
                <w:spacing w:val="-6"/>
                <w:kern w:val="21"/>
                <w:szCs w:val="24"/>
              </w:rPr>
              <w:t>现有工程</w:t>
            </w:r>
          </w:p>
          <w:p>
            <w:pPr>
              <w:pStyle w:val="78"/>
              <w:spacing w:line="240" w:lineRule="auto"/>
              <w:ind w:firstLine="0" w:firstLineChars="0"/>
              <w:rPr>
                <w:rFonts w:ascii="黑体" w:hAnsi="黑体" w:eastAsia="黑体"/>
                <w:snapToGrid w:val="0"/>
                <w:color w:val="auto"/>
                <w:spacing w:val="-6"/>
                <w:kern w:val="21"/>
                <w:szCs w:val="24"/>
              </w:rPr>
            </w:pPr>
            <w:r>
              <w:rPr>
                <w:rFonts w:ascii="黑体" w:hAnsi="黑体" w:eastAsia="黑体"/>
                <w:snapToGrid w:val="0"/>
                <w:color w:val="auto"/>
                <w:spacing w:val="-6"/>
                <w:kern w:val="21"/>
                <w:szCs w:val="24"/>
              </w:rPr>
              <w:t>排放量（固</w:t>
            </w:r>
            <w:r>
              <w:rPr>
                <w:rFonts w:hint="eastAsia" w:ascii="黑体" w:hAnsi="黑体" w:eastAsia="黑体"/>
                <w:snapToGrid w:val="0"/>
                <w:color w:val="auto"/>
                <w:spacing w:val="-6"/>
                <w:kern w:val="21"/>
                <w:szCs w:val="24"/>
              </w:rPr>
              <w:t>体</w:t>
            </w:r>
            <w:r>
              <w:rPr>
                <w:rFonts w:ascii="黑体" w:hAnsi="黑体" w:eastAsia="黑体"/>
                <w:snapToGrid w:val="0"/>
                <w:color w:val="auto"/>
                <w:spacing w:val="-6"/>
                <w:kern w:val="21"/>
                <w:szCs w:val="24"/>
              </w:rPr>
              <w:t>废</w:t>
            </w:r>
            <w:r>
              <w:rPr>
                <w:rFonts w:hint="eastAsia" w:ascii="黑体" w:hAnsi="黑体" w:eastAsia="黑体"/>
                <w:snapToGrid w:val="0"/>
                <w:color w:val="auto"/>
                <w:spacing w:val="-6"/>
                <w:kern w:val="21"/>
                <w:szCs w:val="24"/>
              </w:rPr>
              <w:t>物</w:t>
            </w:r>
            <w:r>
              <w:rPr>
                <w:rFonts w:ascii="黑体" w:hAnsi="黑体" w:eastAsia="黑体"/>
                <w:snapToGrid w:val="0"/>
                <w:color w:val="auto"/>
                <w:spacing w:val="-6"/>
                <w:kern w:val="21"/>
                <w:szCs w:val="24"/>
              </w:rPr>
              <w:t>产生量）</w:t>
            </w:r>
            <w:r>
              <w:rPr>
                <w:rFonts w:ascii="黑体" w:hAnsi="黑体" w:eastAsia="黑体"/>
                <w:snapToGrid w:val="0"/>
                <w:color w:val="auto"/>
                <w:spacing w:val="-6"/>
                <w:kern w:val="21"/>
                <w:szCs w:val="24"/>
              </w:rPr>
              <w:fldChar w:fldCharType="begin"/>
            </w:r>
            <w:r>
              <w:rPr>
                <w:rFonts w:ascii="黑体" w:hAnsi="黑体" w:eastAsia="黑体"/>
                <w:snapToGrid w:val="0"/>
                <w:color w:val="auto"/>
                <w:spacing w:val="-6"/>
                <w:kern w:val="21"/>
                <w:szCs w:val="24"/>
              </w:rPr>
              <w:instrText xml:space="preserve"> = 1 \* GB3 \* MERGEFORMAT </w:instrText>
            </w:r>
            <w:r>
              <w:rPr>
                <w:rFonts w:ascii="黑体" w:hAnsi="黑体" w:eastAsia="黑体"/>
                <w:snapToGrid w:val="0"/>
                <w:color w:val="auto"/>
                <w:spacing w:val="-6"/>
                <w:kern w:val="21"/>
                <w:szCs w:val="24"/>
              </w:rPr>
              <w:fldChar w:fldCharType="separate"/>
            </w:r>
            <w:r>
              <w:rPr>
                <w:rFonts w:hint="eastAsia" w:ascii="黑体" w:hAnsi="黑体" w:eastAsia="黑体" w:cs="宋体"/>
                <w:color w:val="auto"/>
                <w:szCs w:val="24"/>
              </w:rPr>
              <w:t>①</w:t>
            </w:r>
            <w:r>
              <w:rPr>
                <w:rFonts w:ascii="黑体" w:hAnsi="黑体" w:eastAsia="黑体"/>
                <w:snapToGrid w:val="0"/>
                <w:color w:val="auto"/>
                <w:spacing w:val="-6"/>
                <w:kern w:val="21"/>
                <w:szCs w:val="24"/>
              </w:rPr>
              <w:fldChar w:fldCharType="end"/>
            </w:r>
          </w:p>
        </w:tc>
        <w:tc>
          <w:tcPr>
            <w:tcW w:w="1276" w:type="dxa"/>
            <w:tcMar>
              <w:left w:w="28" w:type="dxa"/>
              <w:right w:w="28" w:type="dxa"/>
            </w:tcMar>
            <w:vAlign w:val="center"/>
          </w:tcPr>
          <w:p>
            <w:pPr>
              <w:pStyle w:val="78"/>
              <w:spacing w:line="240" w:lineRule="auto"/>
              <w:ind w:firstLine="0" w:firstLineChars="0"/>
              <w:rPr>
                <w:rFonts w:ascii="黑体" w:hAnsi="黑体" w:eastAsia="黑体"/>
                <w:snapToGrid w:val="0"/>
                <w:color w:val="auto"/>
                <w:spacing w:val="-6"/>
                <w:kern w:val="21"/>
                <w:szCs w:val="24"/>
              </w:rPr>
            </w:pPr>
            <w:r>
              <w:rPr>
                <w:rFonts w:ascii="黑体" w:hAnsi="黑体" w:eastAsia="黑体"/>
                <w:snapToGrid w:val="0"/>
                <w:color w:val="auto"/>
                <w:spacing w:val="-6"/>
                <w:kern w:val="21"/>
                <w:szCs w:val="24"/>
              </w:rPr>
              <w:t>现有工程</w:t>
            </w:r>
          </w:p>
          <w:p>
            <w:pPr>
              <w:pStyle w:val="78"/>
              <w:spacing w:line="240" w:lineRule="auto"/>
              <w:ind w:firstLine="0" w:firstLineChars="0"/>
              <w:rPr>
                <w:rFonts w:ascii="黑体" w:hAnsi="黑体" w:eastAsia="黑体"/>
                <w:snapToGrid w:val="0"/>
                <w:color w:val="auto"/>
                <w:spacing w:val="-6"/>
                <w:kern w:val="21"/>
                <w:szCs w:val="24"/>
              </w:rPr>
            </w:pPr>
            <w:r>
              <w:rPr>
                <w:rFonts w:ascii="黑体" w:hAnsi="黑体" w:eastAsia="黑体"/>
                <w:snapToGrid w:val="0"/>
                <w:color w:val="auto"/>
                <w:spacing w:val="-6"/>
                <w:kern w:val="21"/>
                <w:szCs w:val="24"/>
              </w:rPr>
              <w:t>许可排放量</w:t>
            </w:r>
          </w:p>
          <w:p>
            <w:pPr>
              <w:pStyle w:val="78"/>
              <w:ind w:firstLine="0" w:firstLineChars="0"/>
              <w:rPr>
                <w:rFonts w:ascii="黑体" w:hAnsi="黑体" w:eastAsia="黑体"/>
                <w:snapToGrid w:val="0"/>
                <w:color w:val="auto"/>
                <w:spacing w:val="-6"/>
                <w:kern w:val="21"/>
                <w:szCs w:val="24"/>
              </w:rPr>
            </w:pPr>
            <w:r>
              <w:rPr>
                <w:rFonts w:ascii="黑体" w:hAnsi="黑体" w:eastAsia="黑体"/>
                <w:snapToGrid w:val="0"/>
                <w:color w:val="auto"/>
                <w:spacing w:val="-6"/>
                <w:kern w:val="21"/>
                <w:szCs w:val="24"/>
              </w:rPr>
              <w:fldChar w:fldCharType="begin"/>
            </w:r>
            <w:r>
              <w:rPr>
                <w:rFonts w:ascii="黑体" w:hAnsi="黑体" w:eastAsia="黑体"/>
                <w:snapToGrid w:val="0"/>
                <w:color w:val="auto"/>
                <w:spacing w:val="-6"/>
                <w:kern w:val="21"/>
                <w:szCs w:val="24"/>
              </w:rPr>
              <w:instrText xml:space="preserve"> = 2 \* GB3 \* MERGEFORMAT </w:instrText>
            </w:r>
            <w:r>
              <w:rPr>
                <w:rFonts w:ascii="黑体" w:hAnsi="黑体" w:eastAsia="黑体"/>
                <w:snapToGrid w:val="0"/>
                <w:color w:val="auto"/>
                <w:spacing w:val="-6"/>
                <w:kern w:val="21"/>
                <w:szCs w:val="24"/>
              </w:rPr>
              <w:fldChar w:fldCharType="separate"/>
            </w:r>
            <w:r>
              <w:rPr>
                <w:rFonts w:hint="eastAsia" w:ascii="黑体" w:hAnsi="黑体" w:eastAsia="黑体" w:cs="宋体"/>
                <w:snapToGrid w:val="0"/>
                <w:color w:val="auto"/>
                <w:spacing w:val="-6"/>
                <w:kern w:val="21"/>
                <w:szCs w:val="24"/>
              </w:rPr>
              <w:t>②</w:t>
            </w:r>
            <w:r>
              <w:rPr>
                <w:rFonts w:ascii="黑体" w:hAnsi="黑体" w:eastAsia="黑体"/>
                <w:snapToGrid w:val="0"/>
                <w:color w:val="auto"/>
                <w:spacing w:val="-6"/>
                <w:kern w:val="21"/>
                <w:szCs w:val="24"/>
              </w:rPr>
              <w:fldChar w:fldCharType="end"/>
            </w:r>
          </w:p>
        </w:tc>
        <w:tc>
          <w:tcPr>
            <w:tcW w:w="1701" w:type="dxa"/>
            <w:tcMar>
              <w:left w:w="28" w:type="dxa"/>
              <w:right w:w="28" w:type="dxa"/>
            </w:tcMar>
            <w:vAlign w:val="center"/>
          </w:tcPr>
          <w:p>
            <w:pPr>
              <w:pStyle w:val="78"/>
              <w:spacing w:line="240" w:lineRule="auto"/>
              <w:ind w:firstLine="0" w:firstLineChars="0"/>
              <w:rPr>
                <w:rFonts w:ascii="黑体" w:hAnsi="黑体" w:eastAsia="黑体"/>
                <w:snapToGrid w:val="0"/>
                <w:color w:val="auto"/>
                <w:spacing w:val="-6"/>
                <w:kern w:val="21"/>
                <w:szCs w:val="24"/>
              </w:rPr>
            </w:pPr>
            <w:r>
              <w:rPr>
                <w:rFonts w:ascii="黑体" w:hAnsi="黑体" w:eastAsia="黑体"/>
                <w:snapToGrid w:val="0"/>
                <w:color w:val="auto"/>
                <w:spacing w:val="-6"/>
                <w:kern w:val="21"/>
                <w:szCs w:val="24"/>
              </w:rPr>
              <w:t>在建工程</w:t>
            </w:r>
          </w:p>
          <w:p>
            <w:pPr>
              <w:pStyle w:val="78"/>
              <w:spacing w:line="240" w:lineRule="auto"/>
              <w:ind w:firstLine="0" w:firstLineChars="0"/>
              <w:rPr>
                <w:rFonts w:ascii="黑体" w:hAnsi="黑体" w:eastAsia="黑体"/>
                <w:snapToGrid w:val="0"/>
                <w:color w:val="auto"/>
                <w:spacing w:val="-6"/>
                <w:kern w:val="21"/>
                <w:szCs w:val="24"/>
              </w:rPr>
            </w:pPr>
            <w:r>
              <w:rPr>
                <w:rFonts w:ascii="黑体" w:hAnsi="黑体" w:eastAsia="黑体"/>
                <w:snapToGrid w:val="0"/>
                <w:color w:val="auto"/>
                <w:spacing w:val="-6"/>
                <w:kern w:val="21"/>
                <w:szCs w:val="24"/>
              </w:rPr>
              <w:t>排放量（固</w:t>
            </w:r>
            <w:r>
              <w:rPr>
                <w:rFonts w:hint="eastAsia" w:ascii="黑体" w:hAnsi="黑体" w:eastAsia="黑体"/>
                <w:snapToGrid w:val="0"/>
                <w:color w:val="auto"/>
                <w:spacing w:val="-6"/>
                <w:kern w:val="21"/>
                <w:szCs w:val="24"/>
              </w:rPr>
              <w:t>体</w:t>
            </w:r>
            <w:r>
              <w:rPr>
                <w:rFonts w:ascii="黑体" w:hAnsi="黑体" w:eastAsia="黑体"/>
                <w:snapToGrid w:val="0"/>
                <w:color w:val="auto"/>
                <w:spacing w:val="-6"/>
                <w:kern w:val="21"/>
                <w:szCs w:val="24"/>
              </w:rPr>
              <w:t>废</w:t>
            </w:r>
            <w:r>
              <w:rPr>
                <w:rFonts w:hint="eastAsia" w:ascii="黑体" w:hAnsi="黑体" w:eastAsia="黑体"/>
                <w:snapToGrid w:val="0"/>
                <w:color w:val="auto"/>
                <w:spacing w:val="-6"/>
                <w:kern w:val="21"/>
                <w:szCs w:val="24"/>
              </w:rPr>
              <w:t>物</w:t>
            </w:r>
            <w:r>
              <w:rPr>
                <w:rFonts w:ascii="黑体" w:hAnsi="黑体" w:eastAsia="黑体"/>
                <w:snapToGrid w:val="0"/>
                <w:color w:val="auto"/>
                <w:spacing w:val="-6"/>
                <w:kern w:val="21"/>
                <w:szCs w:val="24"/>
              </w:rPr>
              <w:t>产生量）</w:t>
            </w:r>
            <w:r>
              <w:rPr>
                <w:rFonts w:ascii="黑体" w:hAnsi="黑体" w:eastAsia="黑体"/>
                <w:snapToGrid w:val="0"/>
                <w:color w:val="auto"/>
                <w:spacing w:val="-6"/>
                <w:kern w:val="21"/>
                <w:szCs w:val="24"/>
              </w:rPr>
              <w:fldChar w:fldCharType="begin"/>
            </w:r>
            <w:r>
              <w:rPr>
                <w:rFonts w:ascii="黑体" w:hAnsi="黑体" w:eastAsia="黑体"/>
                <w:snapToGrid w:val="0"/>
                <w:color w:val="auto"/>
                <w:spacing w:val="-6"/>
                <w:kern w:val="21"/>
                <w:szCs w:val="24"/>
              </w:rPr>
              <w:instrText xml:space="preserve"> = 3 \* GB3 \* MERGEFORMAT </w:instrText>
            </w:r>
            <w:r>
              <w:rPr>
                <w:rFonts w:ascii="黑体" w:hAnsi="黑体" w:eastAsia="黑体"/>
                <w:snapToGrid w:val="0"/>
                <w:color w:val="auto"/>
                <w:spacing w:val="-6"/>
                <w:kern w:val="21"/>
                <w:szCs w:val="24"/>
              </w:rPr>
              <w:fldChar w:fldCharType="separate"/>
            </w:r>
            <w:r>
              <w:rPr>
                <w:rFonts w:hint="eastAsia" w:ascii="黑体" w:hAnsi="黑体" w:eastAsia="黑体" w:cs="宋体"/>
                <w:color w:val="auto"/>
                <w:szCs w:val="24"/>
              </w:rPr>
              <w:t>③</w:t>
            </w:r>
            <w:r>
              <w:rPr>
                <w:rFonts w:ascii="黑体" w:hAnsi="黑体" w:eastAsia="黑体"/>
                <w:snapToGrid w:val="0"/>
                <w:color w:val="auto"/>
                <w:spacing w:val="-6"/>
                <w:kern w:val="21"/>
                <w:szCs w:val="24"/>
              </w:rPr>
              <w:fldChar w:fldCharType="end"/>
            </w:r>
          </w:p>
        </w:tc>
        <w:tc>
          <w:tcPr>
            <w:tcW w:w="1559" w:type="dxa"/>
            <w:tcMar>
              <w:left w:w="28" w:type="dxa"/>
              <w:right w:w="28" w:type="dxa"/>
            </w:tcMar>
            <w:vAlign w:val="center"/>
          </w:tcPr>
          <w:p>
            <w:pPr>
              <w:pStyle w:val="78"/>
              <w:spacing w:line="240" w:lineRule="auto"/>
              <w:ind w:firstLine="0" w:firstLineChars="0"/>
              <w:rPr>
                <w:rFonts w:ascii="黑体" w:hAnsi="黑体" w:eastAsia="黑体"/>
                <w:snapToGrid w:val="0"/>
                <w:color w:val="auto"/>
                <w:spacing w:val="-6"/>
                <w:kern w:val="21"/>
                <w:szCs w:val="24"/>
              </w:rPr>
            </w:pPr>
            <w:r>
              <w:rPr>
                <w:rFonts w:ascii="黑体" w:hAnsi="黑体" w:eastAsia="黑体"/>
                <w:snapToGrid w:val="0"/>
                <w:color w:val="auto"/>
                <w:spacing w:val="-6"/>
                <w:kern w:val="21"/>
                <w:szCs w:val="24"/>
              </w:rPr>
              <w:t>本项目</w:t>
            </w:r>
          </w:p>
          <w:p>
            <w:pPr>
              <w:pStyle w:val="78"/>
              <w:spacing w:line="240" w:lineRule="auto"/>
              <w:ind w:firstLine="0" w:firstLineChars="0"/>
              <w:rPr>
                <w:rFonts w:ascii="黑体" w:hAnsi="黑体" w:eastAsia="黑体"/>
                <w:snapToGrid w:val="0"/>
                <w:color w:val="auto"/>
                <w:spacing w:val="-6"/>
                <w:kern w:val="21"/>
                <w:szCs w:val="24"/>
              </w:rPr>
            </w:pPr>
            <w:r>
              <w:rPr>
                <w:rFonts w:ascii="黑体" w:hAnsi="黑体" w:eastAsia="黑体"/>
                <w:snapToGrid w:val="0"/>
                <w:color w:val="auto"/>
                <w:spacing w:val="-6"/>
                <w:kern w:val="21"/>
                <w:szCs w:val="24"/>
              </w:rPr>
              <w:t>排放量（固</w:t>
            </w:r>
            <w:r>
              <w:rPr>
                <w:rFonts w:hint="eastAsia" w:ascii="黑体" w:hAnsi="黑体" w:eastAsia="黑体"/>
                <w:snapToGrid w:val="0"/>
                <w:color w:val="auto"/>
                <w:spacing w:val="-6"/>
                <w:kern w:val="21"/>
                <w:szCs w:val="24"/>
              </w:rPr>
              <w:t>体</w:t>
            </w:r>
            <w:r>
              <w:rPr>
                <w:rFonts w:ascii="黑体" w:hAnsi="黑体" w:eastAsia="黑体"/>
                <w:snapToGrid w:val="0"/>
                <w:color w:val="auto"/>
                <w:spacing w:val="-6"/>
                <w:kern w:val="21"/>
                <w:szCs w:val="24"/>
              </w:rPr>
              <w:t>废</w:t>
            </w:r>
            <w:r>
              <w:rPr>
                <w:rFonts w:hint="eastAsia" w:ascii="黑体" w:hAnsi="黑体" w:eastAsia="黑体"/>
                <w:snapToGrid w:val="0"/>
                <w:color w:val="auto"/>
                <w:spacing w:val="-6"/>
                <w:kern w:val="21"/>
                <w:szCs w:val="24"/>
              </w:rPr>
              <w:t>物</w:t>
            </w:r>
            <w:r>
              <w:rPr>
                <w:rFonts w:ascii="黑体" w:hAnsi="黑体" w:eastAsia="黑体"/>
                <w:snapToGrid w:val="0"/>
                <w:color w:val="auto"/>
                <w:spacing w:val="-6"/>
                <w:kern w:val="21"/>
                <w:szCs w:val="24"/>
              </w:rPr>
              <w:t>产生量）</w:t>
            </w:r>
            <w:r>
              <w:rPr>
                <w:rFonts w:ascii="黑体" w:hAnsi="黑体" w:eastAsia="黑体"/>
                <w:snapToGrid w:val="0"/>
                <w:color w:val="auto"/>
                <w:spacing w:val="-6"/>
                <w:kern w:val="21"/>
                <w:szCs w:val="24"/>
              </w:rPr>
              <w:fldChar w:fldCharType="begin"/>
            </w:r>
            <w:r>
              <w:rPr>
                <w:rFonts w:ascii="黑体" w:hAnsi="黑体" w:eastAsia="黑体"/>
                <w:snapToGrid w:val="0"/>
                <w:color w:val="auto"/>
                <w:spacing w:val="-6"/>
                <w:kern w:val="21"/>
                <w:szCs w:val="24"/>
              </w:rPr>
              <w:instrText xml:space="preserve"> = 4 \* GB3 \* MERGEFORMAT </w:instrText>
            </w:r>
            <w:r>
              <w:rPr>
                <w:rFonts w:ascii="黑体" w:hAnsi="黑体" w:eastAsia="黑体"/>
                <w:snapToGrid w:val="0"/>
                <w:color w:val="auto"/>
                <w:spacing w:val="-6"/>
                <w:kern w:val="21"/>
                <w:szCs w:val="24"/>
              </w:rPr>
              <w:fldChar w:fldCharType="separate"/>
            </w:r>
            <w:r>
              <w:rPr>
                <w:rFonts w:hint="eastAsia" w:ascii="黑体" w:hAnsi="黑体" w:eastAsia="黑体" w:cs="宋体"/>
                <w:color w:val="auto"/>
                <w:szCs w:val="24"/>
              </w:rPr>
              <w:t>④</w:t>
            </w:r>
            <w:r>
              <w:rPr>
                <w:rFonts w:ascii="黑体" w:hAnsi="黑体" w:eastAsia="黑体"/>
                <w:snapToGrid w:val="0"/>
                <w:color w:val="auto"/>
                <w:spacing w:val="-6"/>
                <w:kern w:val="21"/>
                <w:szCs w:val="24"/>
              </w:rPr>
              <w:fldChar w:fldCharType="end"/>
            </w:r>
          </w:p>
        </w:tc>
        <w:tc>
          <w:tcPr>
            <w:tcW w:w="1761" w:type="dxa"/>
            <w:tcMar>
              <w:left w:w="28" w:type="dxa"/>
              <w:right w:w="28" w:type="dxa"/>
            </w:tcMar>
            <w:vAlign w:val="center"/>
          </w:tcPr>
          <w:p>
            <w:pPr>
              <w:pStyle w:val="78"/>
              <w:spacing w:line="240" w:lineRule="auto"/>
              <w:ind w:firstLine="0" w:firstLineChars="0"/>
              <w:rPr>
                <w:rFonts w:ascii="黑体" w:hAnsi="黑体" w:eastAsia="黑体"/>
                <w:snapToGrid w:val="0"/>
                <w:color w:val="auto"/>
                <w:spacing w:val="-16"/>
                <w:kern w:val="21"/>
                <w:szCs w:val="24"/>
              </w:rPr>
            </w:pPr>
            <w:r>
              <w:rPr>
                <w:rFonts w:ascii="黑体" w:hAnsi="黑体" w:eastAsia="黑体"/>
                <w:snapToGrid w:val="0"/>
                <w:color w:val="auto"/>
                <w:spacing w:val="-16"/>
                <w:kern w:val="21"/>
                <w:szCs w:val="24"/>
              </w:rPr>
              <w:t>以新带老削减量</w:t>
            </w:r>
          </w:p>
          <w:p>
            <w:pPr>
              <w:pStyle w:val="78"/>
              <w:spacing w:line="240" w:lineRule="auto"/>
              <w:ind w:firstLine="0" w:firstLineChars="0"/>
              <w:rPr>
                <w:rFonts w:ascii="黑体" w:hAnsi="黑体" w:eastAsia="黑体"/>
                <w:snapToGrid w:val="0"/>
                <w:color w:val="auto"/>
                <w:spacing w:val="-16"/>
                <w:kern w:val="21"/>
                <w:szCs w:val="24"/>
              </w:rPr>
            </w:pPr>
            <w:r>
              <w:rPr>
                <w:rFonts w:ascii="黑体" w:hAnsi="黑体" w:eastAsia="黑体"/>
                <w:snapToGrid w:val="0"/>
                <w:color w:val="auto"/>
                <w:spacing w:val="-16"/>
                <w:kern w:val="21"/>
                <w:szCs w:val="24"/>
              </w:rPr>
              <w:t>（新建项目不填）</w:t>
            </w:r>
            <w:r>
              <w:rPr>
                <w:rFonts w:ascii="黑体" w:hAnsi="黑体" w:eastAsia="黑体"/>
                <w:snapToGrid w:val="0"/>
                <w:color w:val="auto"/>
                <w:spacing w:val="-16"/>
                <w:kern w:val="21"/>
                <w:szCs w:val="24"/>
              </w:rPr>
              <w:fldChar w:fldCharType="begin"/>
            </w:r>
            <w:r>
              <w:rPr>
                <w:rFonts w:ascii="黑体" w:hAnsi="黑体" w:eastAsia="黑体"/>
                <w:snapToGrid w:val="0"/>
                <w:color w:val="auto"/>
                <w:spacing w:val="-16"/>
                <w:kern w:val="21"/>
                <w:szCs w:val="24"/>
              </w:rPr>
              <w:instrText xml:space="preserve"> = 5 \* GB3 \* MERGEFORMAT </w:instrText>
            </w:r>
            <w:r>
              <w:rPr>
                <w:rFonts w:ascii="黑体" w:hAnsi="黑体" w:eastAsia="黑体"/>
                <w:snapToGrid w:val="0"/>
                <w:color w:val="auto"/>
                <w:spacing w:val="-16"/>
                <w:kern w:val="21"/>
                <w:szCs w:val="24"/>
              </w:rPr>
              <w:fldChar w:fldCharType="separate"/>
            </w:r>
            <w:r>
              <w:rPr>
                <w:rFonts w:hint="eastAsia" w:ascii="黑体" w:hAnsi="黑体" w:eastAsia="黑体" w:cs="宋体"/>
                <w:color w:val="auto"/>
                <w:szCs w:val="24"/>
              </w:rPr>
              <w:t>⑤</w:t>
            </w:r>
            <w:r>
              <w:rPr>
                <w:rFonts w:ascii="黑体" w:hAnsi="黑体" w:eastAsia="黑体"/>
                <w:snapToGrid w:val="0"/>
                <w:color w:val="auto"/>
                <w:spacing w:val="-16"/>
                <w:kern w:val="21"/>
                <w:szCs w:val="24"/>
              </w:rPr>
              <w:fldChar w:fldCharType="end"/>
            </w:r>
          </w:p>
        </w:tc>
        <w:tc>
          <w:tcPr>
            <w:tcW w:w="1902" w:type="dxa"/>
            <w:tcMar>
              <w:left w:w="28" w:type="dxa"/>
              <w:right w:w="28" w:type="dxa"/>
            </w:tcMar>
            <w:vAlign w:val="center"/>
          </w:tcPr>
          <w:p>
            <w:pPr>
              <w:pStyle w:val="78"/>
              <w:spacing w:line="240" w:lineRule="auto"/>
              <w:ind w:firstLine="0" w:firstLineChars="0"/>
              <w:rPr>
                <w:rFonts w:ascii="黑体" w:hAnsi="黑体" w:eastAsia="黑体"/>
                <w:snapToGrid w:val="0"/>
                <w:color w:val="auto"/>
                <w:spacing w:val="-16"/>
                <w:kern w:val="21"/>
                <w:szCs w:val="24"/>
              </w:rPr>
            </w:pPr>
            <w:r>
              <w:rPr>
                <w:rFonts w:ascii="黑体" w:hAnsi="黑体" w:eastAsia="黑体"/>
                <w:snapToGrid w:val="0"/>
                <w:color w:val="auto"/>
                <w:spacing w:val="-16"/>
                <w:kern w:val="21"/>
                <w:szCs w:val="24"/>
              </w:rPr>
              <w:t>本项目建成后</w:t>
            </w:r>
          </w:p>
          <w:p>
            <w:pPr>
              <w:pStyle w:val="78"/>
              <w:spacing w:line="240" w:lineRule="auto"/>
              <w:ind w:firstLine="0" w:firstLineChars="0"/>
              <w:rPr>
                <w:rFonts w:ascii="黑体" w:hAnsi="黑体" w:eastAsia="黑体"/>
                <w:snapToGrid w:val="0"/>
                <w:color w:val="auto"/>
                <w:spacing w:val="-16"/>
                <w:kern w:val="21"/>
                <w:szCs w:val="24"/>
              </w:rPr>
            </w:pPr>
            <w:r>
              <w:rPr>
                <w:rFonts w:hint="eastAsia" w:ascii="黑体" w:hAnsi="黑体" w:eastAsia="黑体"/>
                <w:snapToGrid w:val="0"/>
                <w:color w:val="auto"/>
                <w:spacing w:val="-16"/>
                <w:kern w:val="21"/>
                <w:szCs w:val="24"/>
              </w:rPr>
              <w:t>全厂</w:t>
            </w:r>
            <w:r>
              <w:rPr>
                <w:rFonts w:ascii="黑体" w:hAnsi="黑体" w:eastAsia="黑体"/>
                <w:snapToGrid w:val="0"/>
                <w:color w:val="auto"/>
                <w:spacing w:val="-16"/>
                <w:kern w:val="21"/>
                <w:szCs w:val="24"/>
              </w:rPr>
              <w:t>排放量（固</w:t>
            </w:r>
            <w:r>
              <w:rPr>
                <w:rFonts w:hint="eastAsia" w:ascii="黑体" w:hAnsi="黑体" w:eastAsia="黑体"/>
                <w:snapToGrid w:val="0"/>
                <w:color w:val="auto"/>
                <w:spacing w:val="-16"/>
                <w:kern w:val="21"/>
                <w:szCs w:val="24"/>
              </w:rPr>
              <w:t>体</w:t>
            </w:r>
            <w:r>
              <w:rPr>
                <w:rFonts w:ascii="黑体" w:hAnsi="黑体" w:eastAsia="黑体"/>
                <w:snapToGrid w:val="0"/>
                <w:color w:val="auto"/>
                <w:spacing w:val="-16"/>
                <w:kern w:val="21"/>
                <w:szCs w:val="24"/>
              </w:rPr>
              <w:t>废</w:t>
            </w:r>
            <w:r>
              <w:rPr>
                <w:rFonts w:hint="eastAsia" w:ascii="黑体" w:hAnsi="黑体" w:eastAsia="黑体"/>
                <w:snapToGrid w:val="0"/>
                <w:color w:val="auto"/>
                <w:spacing w:val="-16"/>
                <w:kern w:val="21"/>
                <w:szCs w:val="24"/>
              </w:rPr>
              <w:t>物</w:t>
            </w:r>
            <w:r>
              <w:rPr>
                <w:rFonts w:ascii="黑体" w:hAnsi="黑体" w:eastAsia="黑体"/>
                <w:snapToGrid w:val="0"/>
                <w:color w:val="auto"/>
                <w:spacing w:val="-16"/>
                <w:kern w:val="21"/>
                <w:szCs w:val="24"/>
              </w:rPr>
              <w:t>产生量）</w:t>
            </w:r>
            <w:r>
              <w:rPr>
                <w:rFonts w:ascii="黑体" w:hAnsi="黑体" w:eastAsia="黑体"/>
                <w:snapToGrid w:val="0"/>
                <w:color w:val="auto"/>
                <w:spacing w:val="-16"/>
                <w:kern w:val="21"/>
                <w:szCs w:val="24"/>
              </w:rPr>
              <w:fldChar w:fldCharType="begin"/>
            </w:r>
            <w:r>
              <w:rPr>
                <w:rFonts w:ascii="黑体" w:hAnsi="黑体" w:eastAsia="黑体"/>
                <w:snapToGrid w:val="0"/>
                <w:color w:val="auto"/>
                <w:spacing w:val="-16"/>
                <w:kern w:val="21"/>
                <w:szCs w:val="24"/>
              </w:rPr>
              <w:instrText xml:space="preserve"> = 6 \* GB3 \* MERGEFORMAT </w:instrText>
            </w:r>
            <w:r>
              <w:rPr>
                <w:rFonts w:ascii="黑体" w:hAnsi="黑体" w:eastAsia="黑体"/>
                <w:snapToGrid w:val="0"/>
                <w:color w:val="auto"/>
                <w:spacing w:val="-16"/>
                <w:kern w:val="21"/>
                <w:szCs w:val="24"/>
              </w:rPr>
              <w:fldChar w:fldCharType="separate"/>
            </w:r>
            <w:r>
              <w:rPr>
                <w:rFonts w:hint="eastAsia" w:ascii="黑体" w:hAnsi="黑体" w:eastAsia="黑体" w:cs="宋体"/>
                <w:color w:val="auto"/>
                <w:szCs w:val="24"/>
              </w:rPr>
              <w:t>⑥</w:t>
            </w:r>
            <w:r>
              <w:rPr>
                <w:rFonts w:ascii="黑体" w:hAnsi="黑体" w:eastAsia="黑体"/>
                <w:snapToGrid w:val="0"/>
                <w:color w:val="auto"/>
                <w:spacing w:val="-16"/>
                <w:kern w:val="21"/>
                <w:szCs w:val="24"/>
              </w:rPr>
              <w:fldChar w:fldCharType="end"/>
            </w:r>
          </w:p>
        </w:tc>
        <w:tc>
          <w:tcPr>
            <w:tcW w:w="986" w:type="dxa"/>
            <w:tcMar>
              <w:left w:w="28" w:type="dxa"/>
              <w:right w:w="28" w:type="dxa"/>
            </w:tcMar>
            <w:vAlign w:val="center"/>
          </w:tcPr>
          <w:p>
            <w:pPr>
              <w:pStyle w:val="78"/>
              <w:spacing w:line="240" w:lineRule="auto"/>
              <w:ind w:firstLine="0" w:firstLineChars="0"/>
              <w:rPr>
                <w:rFonts w:ascii="黑体" w:hAnsi="黑体" w:eastAsia="黑体"/>
                <w:snapToGrid w:val="0"/>
                <w:color w:val="auto"/>
                <w:spacing w:val="-6"/>
                <w:kern w:val="21"/>
                <w:szCs w:val="24"/>
              </w:rPr>
            </w:pPr>
            <w:r>
              <w:rPr>
                <w:rFonts w:ascii="黑体" w:hAnsi="黑体" w:eastAsia="黑体"/>
                <w:snapToGrid w:val="0"/>
                <w:color w:val="auto"/>
                <w:spacing w:val="-6"/>
                <w:kern w:val="21"/>
                <w:szCs w:val="24"/>
              </w:rPr>
              <w:t>变化量</w:t>
            </w:r>
          </w:p>
          <w:p>
            <w:pPr>
              <w:pStyle w:val="78"/>
              <w:spacing w:line="240" w:lineRule="auto"/>
              <w:ind w:firstLine="0" w:firstLineChars="0"/>
              <w:rPr>
                <w:rFonts w:ascii="黑体" w:hAnsi="黑体" w:eastAsia="黑体"/>
                <w:snapToGrid w:val="0"/>
                <w:color w:val="auto"/>
                <w:spacing w:val="-6"/>
                <w:kern w:val="21"/>
                <w:szCs w:val="24"/>
              </w:rPr>
            </w:pPr>
            <w:r>
              <w:rPr>
                <w:rFonts w:ascii="黑体" w:hAnsi="黑体" w:eastAsia="黑体"/>
                <w:snapToGrid w:val="0"/>
                <w:color w:val="auto"/>
                <w:spacing w:val="-6"/>
                <w:kern w:val="21"/>
                <w:szCs w:val="24"/>
              </w:rPr>
              <w:fldChar w:fldCharType="begin"/>
            </w:r>
            <w:r>
              <w:rPr>
                <w:rFonts w:ascii="黑体" w:hAnsi="黑体" w:eastAsia="黑体"/>
                <w:snapToGrid w:val="0"/>
                <w:color w:val="auto"/>
                <w:spacing w:val="-6"/>
                <w:kern w:val="21"/>
                <w:szCs w:val="24"/>
              </w:rPr>
              <w:instrText xml:space="preserve"> = 7 \* GB3 \* MERGEFORMAT </w:instrText>
            </w:r>
            <w:r>
              <w:rPr>
                <w:rFonts w:ascii="黑体" w:hAnsi="黑体" w:eastAsia="黑体"/>
                <w:snapToGrid w:val="0"/>
                <w:color w:val="auto"/>
                <w:spacing w:val="-6"/>
                <w:kern w:val="21"/>
                <w:szCs w:val="24"/>
              </w:rPr>
              <w:fldChar w:fldCharType="separate"/>
            </w:r>
            <w:r>
              <w:rPr>
                <w:rFonts w:hint="eastAsia" w:ascii="黑体" w:hAnsi="黑体" w:eastAsia="黑体" w:cs="宋体"/>
                <w:color w:val="auto"/>
                <w:szCs w:val="24"/>
              </w:rPr>
              <w:t>⑦</w:t>
            </w:r>
            <w:r>
              <w:rPr>
                <w:rFonts w:ascii="黑体" w:hAnsi="黑体" w:eastAsia="黑体"/>
                <w:snapToGrid w:val="0"/>
                <w:color w:val="auto"/>
                <w:spacing w:val="-6"/>
                <w:kern w:val="21"/>
                <w:szCs w:val="24"/>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废气</w:t>
            </w:r>
          </w:p>
        </w:tc>
        <w:tc>
          <w:tcPr>
            <w:tcW w:w="1417"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异味</w:t>
            </w:r>
          </w:p>
        </w:tc>
        <w:tc>
          <w:tcPr>
            <w:tcW w:w="170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276"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70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559"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76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902"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986" w:type="dxa"/>
            <w:vAlign w:val="center"/>
          </w:tcPr>
          <w:p>
            <w:pPr>
              <w:pStyle w:val="78"/>
              <w:spacing w:line="240" w:lineRule="auto"/>
              <w:ind w:firstLine="0" w:firstLineChars="0"/>
              <w:rPr>
                <w:rFonts w:hAnsi="宋体" w:cs="宋体"/>
                <w:snapToGrid w:val="0"/>
                <w:color w:val="auto"/>
                <w:kern w:val="21"/>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78"/>
              <w:spacing w:line="240" w:lineRule="auto"/>
              <w:ind w:firstLine="0" w:firstLineChars="0"/>
              <w:rPr>
                <w:rFonts w:hAnsi="宋体" w:cs="宋体"/>
                <w:snapToGrid w:val="0"/>
                <w:color w:val="auto"/>
                <w:kern w:val="21"/>
                <w:szCs w:val="24"/>
              </w:rPr>
            </w:pPr>
          </w:p>
        </w:tc>
        <w:tc>
          <w:tcPr>
            <w:tcW w:w="1417"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70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276"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70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559"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76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902"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986"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588" w:type="dxa"/>
            <w:vMerge w:val="restart"/>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废水</w:t>
            </w:r>
          </w:p>
        </w:tc>
        <w:tc>
          <w:tcPr>
            <w:tcW w:w="1417" w:type="dxa"/>
            <w:vAlign w:val="center"/>
          </w:tcPr>
          <w:p>
            <w:pPr>
              <w:adjustRightInd w:val="0"/>
              <w:snapToGrid w:val="0"/>
              <w:spacing w:line="240" w:lineRule="auto"/>
              <w:ind w:firstLine="0" w:firstLineChars="0"/>
              <w:jc w:val="center"/>
              <w:textAlignment w:val="baseline"/>
              <w:rPr>
                <w:rFonts w:hAnsi="宋体" w:cs="宋体"/>
                <w:snapToGrid w:val="0"/>
                <w:color w:val="auto"/>
                <w:kern w:val="21"/>
                <w:szCs w:val="24"/>
              </w:rPr>
            </w:pPr>
            <w:r>
              <w:rPr>
                <w:rFonts w:eastAsia="宋体" w:cs="Times New Roman"/>
                <w:color w:val="auto"/>
                <w:szCs w:val="24"/>
              </w:rPr>
              <w:t>COD</w:t>
            </w:r>
            <w:r>
              <w:rPr>
                <w:rFonts w:eastAsia="宋体" w:cs="Times New Roman"/>
                <w:color w:val="auto"/>
                <w:szCs w:val="24"/>
                <w:vertAlign w:val="subscript"/>
              </w:rPr>
              <w:t>cr</w:t>
            </w:r>
          </w:p>
        </w:tc>
        <w:tc>
          <w:tcPr>
            <w:tcW w:w="170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276"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70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559" w:type="dxa"/>
            <w:vAlign w:val="center"/>
          </w:tcPr>
          <w:p>
            <w:pPr>
              <w:widowControl/>
              <w:ind w:firstLine="0" w:firstLineChars="0"/>
              <w:jc w:val="center"/>
              <w:textAlignment w:val="center"/>
              <w:rPr>
                <w:rFonts w:hint="default" w:hAnsi="宋体" w:cs="宋体" w:eastAsiaTheme="minorEastAsia"/>
                <w:snapToGrid w:val="0"/>
                <w:color w:val="auto"/>
                <w:kern w:val="21"/>
                <w:szCs w:val="24"/>
                <w:lang w:val="en-US" w:eastAsia="zh-CN"/>
              </w:rPr>
            </w:pPr>
            <w:r>
              <w:rPr>
                <w:rFonts w:hint="default" w:hAnsi="宋体" w:cs="宋体" w:eastAsiaTheme="minorEastAsia"/>
                <w:snapToGrid w:val="0"/>
                <w:color w:val="auto"/>
                <w:kern w:val="21"/>
                <w:szCs w:val="24"/>
                <w:lang w:val="en-US" w:eastAsia="zh-CN"/>
              </w:rPr>
              <w:t>1.06</w:t>
            </w:r>
          </w:p>
        </w:tc>
        <w:tc>
          <w:tcPr>
            <w:tcW w:w="176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902" w:type="dxa"/>
            <w:vAlign w:val="center"/>
          </w:tcPr>
          <w:p>
            <w:pPr>
              <w:widowControl/>
              <w:spacing w:beforeLines="0" w:afterLines="0"/>
              <w:ind w:firstLine="0" w:firstLineChars="0"/>
              <w:jc w:val="center"/>
              <w:textAlignment w:val="center"/>
              <w:rPr>
                <w:rFonts w:hint="default" w:hAnsi="宋体" w:cs="宋体" w:eastAsiaTheme="minorEastAsia"/>
                <w:snapToGrid w:val="0"/>
                <w:color w:val="auto"/>
                <w:kern w:val="21"/>
                <w:szCs w:val="24"/>
                <w:lang w:val="en-US" w:eastAsia="zh-CN"/>
              </w:rPr>
            </w:pPr>
            <w:r>
              <w:rPr>
                <w:rFonts w:hint="default" w:hAnsi="宋体"/>
                <w:snapToGrid w:val="0"/>
                <w:color w:val="auto"/>
                <w:kern w:val="21"/>
                <w:sz w:val="24"/>
              </w:rPr>
              <w:t>1.06</w:t>
            </w:r>
          </w:p>
        </w:tc>
        <w:tc>
          <w:tcPr>
            <w:tcW w:w="986" w:type="dxa"/>
            <w:vAlign w:val="center"/>
          </w:tcPr>
          <w:p>
            <w:pPr>
              <w:widowControl/>
              <w:spacing w:beforeLines="0" w:afterLines="0"/>
              <w:ind w:firstLine="0" w:firstLineChars="0"/>
              <w:jc w:val="center"/>
              <w:textAlignment w:val="center"/>
              <w:rPr>
                <w:rFonts w:hAnsi="宋体" w:cs="宋体"/>
                <w:snapToGrid w:val="0"/>
                <w:color w:val="auto"/>
                <w:kern w:val="21"/>
                <w:szCs w:val="24"/>
              </w:rPr>
            </w:pPr>
            <w:r>
              <w:rPr>
                <w:rFonts w:hint="eastAsia" w:hAnsi="宋体"/>
                <w:snapToGrid w:val="0"/>
                <w:color w:val="auto"/>
                <w:kern w:val="21"/>
                <w:sz w:val="24"/>
                <w:lang w:val="en-US" w:eastAsia="zh-CN"/>
              </w:rPr>
              <w:t>+</w:t>
            </w:r>
            <w:r>
              <w:rPr>
                <w:rFonts w:hint="default" w:hAnsi="宋体"/>
                <w:snapToGrid w:val="0"/>
                <w:color w:val="auto"/>
                <w:kern w:val="21"/>
                <w:sz w:val="24"/>
              </w:rPr>
              <w:t>1.06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1588" w:type="dxa"/>
            <w:vMerge w:val="continue"/>
            <w:vAlign w:val="center"/>
          </w:tcPr>
          <w:p>
            <w:pPr>
              <w:pStyle w:val="78"/>
              <w:spacing w:line="240" w:lineRule="auto"/>
              <w:ind w:firstLine="0" w:firstLineChars="0"/>
              <w:rPr>
                <w:rFonts w:hAnsi="宋体" w:cs="宋体"/>
                <w:snapToGrid w:val="0"/>
                <w:color w:val="auto"/>
                <w:kern w:val="21"/>
                <w:szCs w:val="24"/>
              </w:rPr>
            </w:pPr>
          </w:p>
        </w:tc>
        <w:tc>
          <w:tcPr>
            <w:tcW w:w="1417" w:type="dxa"/>
            <w:vAlign w:val="center"/>
          </w:tcPr>
          <w:p>
            <w:pPr>
              <w:adjustRightInd w:val="0"/>
              <w:snapToGrid w:val="0"/>
              <w:spacing w:line="240" w:lineRule="auto"/>
              <w:ind w:firstLine="0" w:firstLineChars="0"/>
              <w:jc w:val="center"/>
              <w:textAlignment w:val="baseline"/>
              <w:rPr>
                <w:rFonts w:hAnsi="宋体" w:cs="宋体"/>
                <w:snapToGrid w:val="0"/>
                <w:color w:val="auto"/>
                <w:kern w:val="21"/>
                <w:szCs w:val="24"/>
              </w:rPr>
            </w:pPr>
            <w:r>
              <w:rPr>
                <w:rFonts w:eastAsia="宋体" w:cs="Times New Roman"/>
                <w:color w:val="auto"/>
                <w:szCs w:val="24"/>
              </w:rPr>
              <w:t>BOD</w:t>
            </w:r>
            <w:r>
              <w:rPr>
                <w:rFonts w:eastAsia="宋体" w:cs="Times New Roman"/>
                <w:color w:val="auto"/>
                <w:szCs w:val="24"/>
                <w:vertAlign w:val="subscript"/>
              </w:rPr>
              <w:t>5</w:t>
            </w:r>
          </w:p>
        </w:tc>
        <w:tc>
          <w:tcPr>
            <w:tcW w:w="170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276"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70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559" w:type="dxa"/>
            <w:vAlign w:val="center"/>
          </w:tcPr>
          <w:p>
            <w:pPr>
              <w:widowControl/>
              <w:ind w:firstLine="0" w:firstLineChars="0"/>
              <w:jc w:val="center"/>
              <w:textAlignment w:val="center"/>
              <w:rPr>
                <w:rFonts w:hint="eastAsia" w:hAnsi="宋体" w:cs="宋体" w:eastAsiaTheme="minorEastAsia"/>
                <w:snapToGrid w:val="0"/>
                <w:color w:val="auto"/>
                <w:kern w:val="21"/>
                <w:szCs w:val="24"/>
                <w:lang w:eastAsia="zh-CN"/>
              </w:rPr>
            </w:pPr>
            <w:r>
              <w:rPr>
                <w:rFonts w:hint="eastAsia" w:cs="Times New Roman"/>
                <w:color w:val="auto"/>
                <w:kern w:val="0"/>
                <w:szCs w:val="24"/>
                <w:lang w:val="en-US" w:eastAsia="zh-CN"/>
              </w:rPr>
              <w:t xml:space="preserve">0.35 </w:t>
            </w:r>
          </w:p>
        </w:tc>
        <w:tc>
          <w:tcPr>
            <w:tcW w:w="176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902" w:type="dxa"/>
            <w:vAlign w:val="center"/>
          </w:tcPr>
          <w:p>
            <w:pPr>
              <w:widowControl/>
              <w:spacing w:beforeLines="0" w:afterLines="0"/>
              <w:ind w:firstLine="0" w:firstLineChars="0"/>
              <w:jc w:val="center"/>
              <w:textAlignment w:val="center"/>
              <w:rPr>
                <w:rFonts w:hint="eastAsia" w:hAnsi="宋体" w:cs="宋体" w:eastAsiaTheme="minorEastAsia"/>
                <w:snapToGrid w:val="0"/>
                <w:color w:val="auto"/>
                <w:kern w:val="21"/>
                <w:szCs w:val="24"/>
                <w:lang w:eastAsia="zh-CN"/>
              </w:rPr>
            </w:pPr>
            <w:r>
              <w:rPr>
                <w:rFonts w:hint="eastAsia"/>
                <w:color w:val="auto"/>
                <w:kern w:val="0"/>
                <w:sz w:val="24"/>
              </w:rPr>
              <w:t xml:space="preserve">0.35 </w:t>
            </w:r>
          </w:p>
        </w:tc>
        <w:tc>
          <w:tcPr>
            <w:tcW w:w="986" w:type="dxa"/>
            <w:vAlign w:val="center"/>
          </w:tcPr>
          <w:p>
            <w:pPr>
              <w:widowControl/>
              <w:spacing w:beforeLines="0" w:afterLines="0"/>
              <w:ind w:firstLine="0" w:firstLineChars="0"/>
              <w:jc w:val="center"/>
              <w:textAlignment w:val="center"/>
              <w:rPr>
                <w:rFonts w:hAnsi="宋体" w:cs="宋体"/>
                <w:snapToGrid w:val="0"/>
                <w:color w:val="auto"/>
                <w:kern w:val="21"/>
                <w:szCs w:val="24"/>
              </w:rPr>
            </w:pPr>
            <w:r>
              <w:rPr>
                <w:rFonts w:hint="eastAsia"/>
                <w:color w:val="auto"/>
                <w:kern w:val="0"/>
                <w:sz w:val="24"/>
                <w:lang w:val="en-US" w:eastAsia="zh-CN"/>
              </w:rPr>
              <w:t>+</w:t>
            </w:r>
            <w:r>
              <w:rPr>
                <w:rFonts w:hint="eastAsia"/>
                <w:color w:val="auto"/>
                <w:kern w:val="0"/>
                <w:sz w:val="24"/>
              </w:rPr>
              <w:t xml:space="preserve">0.35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1588" w:type="dxa"/>
            <w:vMerge w:val="continue"/>
            <w:vAlign w:val="center"/>
          </w:tcPr>
          <w:p>
            <w:pPr>
              <w:pStyle w:val="78"/>
              <w:spacing w:line="240" w:lineRule="auto"/>
              <w:ind w:firstLine="0" w:firstLineChars="0"/>
              <w:rPr>
                <w:rFonts w:hAnsi="宋体" w:cs="宋体"/>
                <w:snapToGrid w:val="0"/>
                <w:color w:val="auto"/>
                <w:kern w:val="21"/>
                <w:szCs w:val="24"/>
              </w:rPr>
            </w:pPr>
          </w:p>
        </w:tc>
        <w:tc>
          <w:tcPr>
            <w:tcW w:w="1417" w:type="dxa"/>
            <w:vAlign w:val="center"/>
          </w:tcPr>
          <w:p>
            <w:pPr>
              <w:adjustRightInd w:val="0"/>
              <w:snapToGrid w:val="0"/>
              <w:spacing w:line="240" w:lineRule="auto"/>
              <w:ind w:firstLine="0" w:firstLineChars="0"/>
              <w:jc w:val="center"/>
              <w:textAlignment w:val="baseline"/>
              <w:rPr>
                <w:rFonts w:hAnsi="宋体" w:cs="宋体"/>
                <w:snapToGrid w:val="0"/>
                <w:color w:val="auto"/>
                <w:kern w:val="21"/>
                <w:szCs w:val="24"/>
              </w:rPr>
            </w:pPr>
            <w:r>
              <w:rPr>
                <w:rFonts w:eastAsia="宋体" w:cs="Times New Roman"/>
                <w:color w:val="auto"/>
                <w:szCs w:val="24"/>
              </w:rPr>
              <w:t>SS</w:t>
            </w:r>
          </w:p>
        </w:tc>
        <w:tc>
          <w:tcPr>
            <w:tcW w:w="170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276"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70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559" w:type="dxa"/>
            <w:vAlign w:val="center"/>
          </w:tcPr>
          <w:p>
            <w:pPr>
              <w:widowControl/>
              <w:ind w:firstLine="0" w:firstLineChars="0"/>
              <w:jc w:val="center"/>
              <w:textAlignment w:val="center"/>
              <w:rPr>
                <w:rFonts w:hint="default" w:hAnsi="宋体" w:cs="宋体" w:eastAsiaTheme="minorEastAsia"/>
                <w:snapToGrid w:val="0"/>
                <w:color w:val="auto"/>
                <w:kern w:val="21"/>
                <w:szCs w:val="24"/>
                <w:lang w:val="en-US" w:eastAsia="zh-CN"/>
              </w:rPr>
            </w:pPr>
            <w:r>
              <w:rPr>
                <w:rFonts w:hint="eastAsia" w:cs="Times New Roman"/>
                <w:color w:val="auto"/>
                <w:kern w:val="0"/>
                <w:szCs w:val="24"/>
                <w:lang w:val="en-US" w:eastAsia="zh-CN"/>
              </w:rPr>
              <w:t>0.35</w:t>
            </w:r>
          </w:p>
        </w:tc>
        <w:tc>
          <w:tcPr>
            <w:tcW w:w="176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902" w:type="dxa"/>
            <w:vAlign w:val="center"/>
          </w:tcPr>
          <w:p>
            <w:pPr>
              <w:widowControl/>
              <w:spacing w:beforeLines="0" w:afterLines="0"/>
              <w:ind w:firstLine="0" w:firstLineChars="0"/>
              <w:jc w:val="center"/>
              <w:textAlignment w:val="center"/>
              <w:rPr>
                <w:rFonts w:hint="eastAsia" w:hAnsi="宋体" w:cs="宋体" w:eastAsiaTheme="minorEastAsia"/>
                <w:snapToGrid w:val="0"/>
                <w:color w:val="auto"/>
                <w:kern w:val="21"/>
                <w:szCs w:val="24"/>
                <w:lang w:eastAsia="zh-CN"/>
              </w:rPr>
            </w:pPr>
            <w:r>
              <w:rPr>
                <w:rFonts w:hint="eastAsia"/>
                <w:color w:val="auto"/>
                <w:kern w:val="0"/>
                <w:sz w:val="24"/>
              </w:rPr>
              <w:t>0.35</w:t>
            </w:r>
          </w:p>
        </w:tc>
        <w:tc>
          <w:tcPr>
            <w:tcW w:w="986" w:type="dxa"/>
            <w:vAlign w:val="center"/>
          </w:tcPr>
          <w:p>
            <w:pPr>
              <w:widowControl/>
              <w:spacing w:beforeLines="0" w:afterLines="0"/>
              <w:ind w:firstLine="0" w:firstLineChars="0"/>
              <w:jc w:val="center"/>
              <w:textAlignment w:val="center"/>
              <w:rPr>
                <w:rFonts w:hAnsi="宋体" w:cs="宋体"/>
                <w:snapToGrid w:val="0"/>
                <w:color w:val="auto"/>
                <w:kern w:val="21"/>
                <w:szCs w:val="24"/>
              </w:rPr>
            </w:pPr>
            <w:r>
              <w:rPr>
                <w:rFonts w:hint="eastAsia"/>
                <w:color w:val="auto"/>
                <w:kern w:val="0"/>
                <w:sz w:val="24"/>
                <w:lang w:val="en-US" w:eastAsia="zh-CN"/>
              </w:rPr>
              <w:t>+</w:t>
            </w:r>
            <w:r>
              <w:rPr>
                <w:rFonts w:hint="eastAsia"/>
                <w:color w:val="auto"/>
                <w:kern w:val="0"/>
                <w:sz w:val="24"/>
              </w:rPr>
              <w:t>0.35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588" w:type="dxa"/>
            <w:vMerge w:val="continue"/>
            <w:vAlign w:val="center"/>
          </w:tcPr>
          <w:p>
            <w:pPr>
              <w:pStyle w:val="78"/>
              <w:spacing w:line="240" w:lineRule="auto"/>
              <w:ind w:firstLine="0" w:firstLineChars="0"/>
              <w:rPr>
                <w:rFonts w:hAnsi="宋体" w:cs="宋体"/>
                <w:snapToGrid w:val="0"/>
                <w:color w:val="auto"/>
                <w:kern w:val="21"/>
                <w:szCs w:val="24"/>
              </w:rPr>
            </w:pPr>
          </w:p>
        </w:tc>
        <w:tc>
          <w:tcPr>
            <w:tcW w:w="1417" w:type="dxa"/>
            <w:vAlign w:val="center"/>
          </w:tcPr>
          <w:p>
            <w:pPr>
              <w:adjustRightInd w:val="0"/>
              <w:snapToGrid w:val="0"/>
              <w:spacing w:line="240" w:lineRule="auto"/>
              <w:ind w:firstLine="0" w:firstLineChars="0"/>
              <w:jc w:val="center"/>
              <w:textAlignment w:val="baseline"/>
              <w:rPr>
                <w:rFonts w:hAnsi="宋体" w:cs="宋体"/>
                <w:snapToGrid w:val="0"/>
                <w:color w:val="auto"/>
                <w:kern w:val="21"/>
                <w:szCs w:val="24"/>
              </w:rPr>
            </w:pPr>
            <w:r>
              <w:rPr>
                <w:rFonts w:eastAsia="宋体" w:cs="Times New Roman"/>
                <w:color w:val="auto"/>
                <w:szCs w:val="24"/>
              </w:rPr>
              <w:t>氨氮</w:t>
            </w:r>
          </w:p>
        </w:tc>
        <w:tc>
          <w:tcPr>
            <w:tcW w:w="170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276"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70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559" w:type="dxa"/>
            <w:vAlign w:val="center"/>
          </w:tcPr>
          <w:p>
            <w:pPr>
              <w:widowControl/>
              <w:ind w:firstLine="0" w:firstLineChars="0"/>
              <w:jc w:val="center"/>
              <w:textAlignment w:val="center"/>
              <w:rPr>
                <w:rFonts w:hint="default" w:hAnsi="宋体" w:cs="宋体" w:eastAsiaTheme="minorEastAsia"/>
                <w:snapToGrid w:val="0"/>
                <w:color w:val="auto"/>
                <w:kern w:val="21"/>
                <w:szCs w:val="24"/>
                <w:lang w:val="en-US" w:eastAsia="zh-CN"/>
              </w:rPr>
            </w:pPr>
            <w:r>
              <w:rPr>
                <w:rFonts w:hint="eastAsia" w:cs="Times New Roman"/>
                <w:color w:val="auto"/>
                <w:kern w:val="0"/>
                <w:szCs w:val="24"/>
                <w:lang w:val="en-US" w:eastAsia="zh-CN"/>
              </w:rPr>
              <w:t>0.26</w:t>
            </w:r>
          </w:p>
        </w:tc>
        <w:tc>
          <w:tcPr>
            <w:tcW w:w="176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902" w:type="dxa"/>
            <w:vAlign w:val="center"/>
          </w:tcPr>
          <w:p>
            <w:pPr>
              <w:widowControl/>
              <w:spacing w:beforeLines="0" w:afterLines="0"/>
              <w:ind w:firstLine="0" w:firstLineChars="0"/>
              <w:jc w:val="center"/>
              <w:textAlignment w:val="center"/>
              <w:rPr>
                <w:rFonts w:hint="eastAsia" w:hAnsi="宋体" w:cs="宋体" w:eastAsiaTheme="minorEastAsia"/>
                <w:snapToGrid w:val="0"/>
                <w:color w:val="auto"/>
                <w:kern w:val="21"/>
                <w:szCs w:val="24"/>
                <w:lang w:eastAsia="zh-CN"/>
              </w:rPr>
            </w:pPr>
            <w:r>
              <w:rPr>
                <w:rFonts w:hint="eastAsia"/>
                <w:color w:val="auto"/>
                <w:kern w:val="0"/>
                <w:sz w:val="24"/>
              </w:rPr>
              <w:t>0.26</w:t>
            </w:r>
          </w:p>
        </w:tc>
        <w:tc>
          <w:tcPr>
            <w:tcW w:w="986" w:type="dxa"/>
            <w:vAlign w:val="center"/>
          </w:tcPr>
          <w:p>
            <w:pPr>
              <w:widowControl/>
              <w:spacing w:beforeLines="0" w:afterLines="0"/>
              <w:ind w:firstLine="0" w:firstLineChars="0"/>
              <w:jc w:val="center"/>
              <w:textAlignment w:val="center"/>
              <w:rPr>
                <w:rFonts w:hAnsi="宋体" w:cs="宋体"/>
                <w:snapToGrid w:val="0"/>
                <w:color w:val="auto"/>
                <w:kern w:val="21"/>
                <w:szCs w:val="24"/>
              </w:rPr>
            </w:pPr>
            <w:r>
              <w:rPr>
                <w:rFonts w:hint="eastAsia"/>
                <w:color w:val="auto"/>
                <w:kern w:val="0"/>
                <w:sz w:val="24"/>
                <w:lang w:val="en-US" w:eastAsia="zh-CN"/>
              </w:rPr>
              <w:t>+</w:t>
            </w:r>
            <w:r>
              <w:rPr>
                <w:rFonts w:hint="eastAsia"/>
                <w:color w:val="auto"/>
                <w:kern w:val="0"/>
                <w:sz w:val="24"/>
              </w:rPr>
              <w:t>0.26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一般工业</w:t>
            </w:r>
          </w:p>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固体废物</w:t>
            </w:r>
          </w:p>
        </w:tc>
        <w:tc>
          <w:tcPr>
            <w:tcW w:w="1417" w:type="dxa"/>
            <w:vAlign w:val="center"/>
          </w:tcPr>
          <w:p>
            <w:pPr>
              <w:pStyle w:val="78"/>
              <w:spacing w:line="240" w:lineRule="auto"/>
              <w:ind w:firstLine="0" w:firstLineChars="0"/>
              <w:rPr>
                <w:rFonts w:hint="eastAsia" w:hAnsi="宋体" w:cs="宋体" w:eastAsiaTheme="minorEastAsia"/>
                <w:snapToGrid w:val="0"/>
                <w:color w:val="auto"/>
                <w:kern w:val="21"/>
                <w:szCs w:val="24"/>
                <w:lang w:eastAsia="zh-CN"/>
              </w:rPr>
            </w:pPr>
            <w:r>
              <w:rPr>
                <w:rFonts w:hint="eastAsia" w:hAnsi="宋体" w:cs="宋体"/>
                <w:snapToGrid w:val="0"/>
                <w:color w:val="auto"/>
                <w:kern w:val="21"/>
                <w:szCs w:val="24"/>
                <w:lang w:eastAsia="zh-CN"/>
              </w:rPr>
              <w:t>污泥</w:t>
            </w:r>
          </w:p>
        </w:tc>
        <w:tc>
          <w:tcPr>
            <w:tcW w:w="170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276"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70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559"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35.5</w:t>
            </w:r>
          </w:p>
        </w:tc>
        <w:tc>
          <w:tcPr>
            <w:tcW w:w="176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902" w:type="dxa"/>
            <w:vAlign w:val="center"/>
          </w:tcPr>
          <w:p>
            <w:pPr>
              <w:pStyle w:val="78"/>
              <w:spacing w:line="240" w:lineRule="auto"/>
              <w:ind w:firstLine="0" w:firstLineChars="0"/>
              <w:rPr>
                <w:rFonts w:hAnsi="宋体" w:cs="宋体"/>
                <w:b/>
                <w:bCs w:val="0"/>
                <w:snapToGrid w:val="0"/>
                <w:color w:val="auto"/>
                <w:kern w:val="21"/>
                <w:szCs w:val="24"/>
              </w:rPr>
            </w:pPr>
            <w:r>
              <w:rPr>
                <w:rFonts w:hint="eastAsia" w:hAnsi="宋体" w:cs="宋体"/>
                <w:snapToGrid w:val="0"/>
                <w:color w:val="auto"/>
                <w:kern w:val="21"/>
                <w:szCs w:val="24"/>
              </w:rPr>
              <w:t>35.5</w:t>
            </w:r>
          </w:p>
        </w:tc>
        <w:tc>
          <w:tcPr>
            <w:tcW w:w="986"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lang w:val="en-US" w:eastAsia="zh-CN"/>
              </w:rPr>
              <w:t>+</w:t>
            </w:r>
            <w:r>
              <w:rPr>
                <w:rFonts w:hint="eastAsia" w:hAnsi="宋体" w:cs="宋体"/>
                <w:snapToGrid w:val="0"/>
                <w:color w:val="auto"/>
                <w:kern w:val="21"/>
                <w:szCs w:val="24"/>
              </w:rPr>
              <w:t>35.5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78"/>
              <w:spacing w:line="240" w:lineRule="auto"/>
              <w:ind w:firstLine="0" w:firstLineChars="0"/>
              <w:rPr>
                <w:rFonts w:hAnsi="宋体" w:cs="宋体"/>
                <w:snapToGrid w:val="0"/>
                <w:color w:val="auto"/>
                <w:kern w:val="21"/>
                <w:szCs w:val="24"/>
              </w:rPr>
            </w:pPr>
          </w:p>
        </w:tc>
        <w:tc>
          <w:tcPr>
            <w:tcW w:w="1417"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70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276"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70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559"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76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902"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986"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危险废物</w:t>
            </w:r>
          </w:p>
        </w:tc>
        <w:tc>
          <w:tcPr>
            <w:tcW w:w="1417" w:type="dxa"/>
            <w:vAlign w:val="center"/>
          </w:tcPr>
          <w:p>
            <w:pPr>
              <w:pStyle w:val="78"/>
              <w:spacing w:line="240" w:lineRule="auto"/>
              <w:ind w:firstLine="0" w:firstLineChars="0"/>
              <w:rPr>
                <w:rFonts w:hAnsi="宋体" w:eastAsia="宋体" w:cs="宋体"/>
                <w:snapToGrid w:val="0"/>
                <w:color w:val="auto"/>
                <w:kern w:val="21"/>
                <w:szCs w:val="24"/>
              </w:rPr>
            </w:pPr>
            <w:r>
              <w:rPr>
                <w:rFonts w:hint="eastAsia" w:hAnsi="宋体" w:cs="宋体"/>
                <w:snapToGrid w:val="0"/>
                <w:color w:val="auto"/>
                <w:kern w:val="21"/>
                <w:szCs w:val="24"/>
              </w:rPr>
              <w:t>医疗废物</w:t>
            </w:r>
          </w:p>
        </w:tc>
        <w:tc>
          <w:tcPr>
            <w:tcW w:w="170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276"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70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559" w:type="dxa"/>
            <w:vAlign w:val="center"/>
          </w:tcPr>
          <w:p>
            <w:pPr>
              <w:pStyle w:val="78"/>
              <w:spacing w:line="240" w:lineRule="auto"/>
              <w:ind w:firstLine="0" w:firstLineChars="0"/>
              <w:rPr>
                <w:rFonts w:hint="eastAsia" w:hAnsi="宋体" w:cs="宋体" w:eastAsiaTheme="minorEastAsia"/>
                <w:snapToGrid w:val="0"/>
                <w:color w:val="auto"/>
                <w:kern w:val="21"/>
                <w:szCs w:val="24"/>
                <w:lang w:eastAsia="zh-CN"/>
              </w:rPr>
            </w:pPr>
            <w:r>
              <w:rPr>
                <w:rFonts w:hint="eastAsia" w:hAnsi="宋体" w:cs="宋体"/>
                <w:snapToGrid w:val="0"/>
                <w:color w:val="auto"/>
                <w:kern w:val="21"/>
                <w:szCs w:val="24"/>
                <w:lang w:eastAsia="zh-CN"/>
              </w:rPr>
              <w:t>50.34</w:t>
            </w:r>
          </w:p>
        </w:tc>
        <w:tc>
          <w:tcPr>
            <w:tcW w:w="176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902" w:type="dxa"/>
            <w:vAlign w:val="center"/>
          </w:tcPr>
          <w:p>
            <w:pPr>
              <w:pStyle w:val="78"/>
              <w:spacing w:line="240" w:lineRule="auto"/>
              <w:ind w:firstLine="0" w:firstLineChars="0"/>
              <w:rPr>
                <w:rFonts w:hint="eastAsia" w:hAnsi="宋体" w:cs="宋体" w:eastAsiaTheme="minorEastAsia"/>
                <w:snapToGrid w:val="0"/>
                <w:color w:val="auto"/>
                <w:kern w:val="21"/>
                <w:szCs w:val="24"/>
                <w:lang w:eastAsia="zh-CN"/>
              </w:rPr>
            </w:pPr>
            <w:r>
              <w:rPr>
                <w:rFonts w:hint="eastAsia" w:hAnsi="宋体" w:cs="宋体"/>
                <w:snapToGrid w:val="0"/>
                <w:color w:val="auto"/>
                <w:kern w:val="21"/>
                <w:szCs w:val="24"/>
                <w:lang w:eastAsia="zh-CN"/>
              </w:rPr>
              <w:t>50.34</w:t>
            </w:r>
          </w:p>
        </w:tc>
        <w:tc>
          <w:tcPr>
            <w:tcW w:w="986"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lang w:val="en-US" w:eastAsia="zh-CN"/>
              </w:rPr>
              <w:t>+</w:t>
            </w:r>
            <w:r>
              <w:rPr>
                <w:rFonts w:hint="eastAsia" w:hAnsi="宋体" w:cs="宋体"/>
                <w:snapToGrid w:val="0"/>
                <w:color w:val="auto"/>
                <w:kern w:val="21"/>
                <w:szCs w:val="24"/>
              </w:rPr>
              <w:t>50.34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78"/>
              <w:spacing w:line="240" w:lineRule="auto"/>
              <w:ind w:firstLine="0" w:firstLineChars="0"/>
              <w:rPr>
                <w:rFonts w:hint="eastAsia" w:hAnsi="宋体" w:cs="宋体"/>
                <w:snapToGrid w:val="0"/>
                <w:color w:val="auto"/>
                <w:kern w:val="21"/>
                <w:szCs w:val="24"/>
              </w:rPr>
            </w:pPr>
          </w:p>
        </w:tc>
        <w:tc>
          <w:tcPr>
            <w:tcW w:w="1417" w:type="dxa"/>
            <w:vAlign w:val="center"/>
          </w:tcPr>
          <w:p>
            <w:pPr>
              <w:pStyle w:val="78"/>
              <w:spacing w:line="240" w:lineRule="auto"/>
              <w:ind w:firstLine="0" w:firstLineChars="0"/>
              <w:rPr>
                <w:rFonts w:hint="default" w:hAnsi="宋体" w:cs="宋体" w:eastAsiaTheme="minorEastAsia"/>
                <w:snapToGrid w:val="0"/>
                <w:color w:val="auto"/>
                <w:kern w:val="21"/>
                <w:szCs w:val="24"/>
                <w:lang w:val="en-US" w:eastAsia="zh-CN"/>
              </w:rPr>
            </w:pPr>
            <w:r>
              <w:rPr>
                <w:rFonts w:hint="eastAsia" w:hAnsi="宋体" w:cs="宋体"/>
                <w:snapToGrid w:val="0"/>
                <w:color w:val="auto"/>
                <w:kern w:val="21"/>
                <w:szCs w:val="24"/>
                <w:lang w:val="en-US" w:eastAsia="zh-CN"/>
              </w:rPr>
              <w:t>/</w:t>
            </w:r>
          </w:p>
        </w:tc>
        <w:tc>
          <w:tcPr>
            <w:tcW w:w="1701" w:type="dxa"/>
            <w:vAlign w:val="center"/>
          </w:tcPr>
          <w:p>
            <w:pPr>
              <w:pStyle w:val="78"/>
              <w:spacing w:line="240" w:lineRule="auto"/>
              <w:ind w:firstLine="0" w:firstLineChars="0"/>
              <w:rPr>
                <w:rFonts w:hint="eastAsia" w:ascii="Times New Roman" w:hAnsi="宋体" w:cs="宋体" w:eastAsiaTheme="minorEastAsia"/>
                <w:bCs/>
                <w:snapToGrid w:val="0"/>
                <w:color w:val="auto"/>
                <w:kern w:val="21"/>
                <w:sz w:val="24"/>
                <w:szCs w:val="24"/>
                <w:lang w:val="en-US" w:eastAsia="zh-CN" w:bidi="ar-SA"/>
              </w:rPr>
            </w:pPr>
            <w:r>
              <w:rPr>
                <w:rFonts w:hint="eastAsia" w:hAnsi="宋体" w:cs="宋体"/>
                <w:snapToGrid w:val="0"/>
                <w:color w:val="auto"/>
                <w:kern w:val="21"/>
                <w:szCs w:val="24"/>
              </w:rPr>
              <w:t>/</w:t>
            </w:r>
          </w:p>
        </w:tc>
        <w:tc>
          <w:tcPr>
            <w:tcW w:w="1276" w:type="dxa"/>
            <w:vAlign w:val="center"/>
          </w:tcPr>
          <w:p>
            <w:pPr>
              <w:pStyle w:val="78"/>
              <w:spacing w:line="240" w:lineRule="auto"/>
              <w:ind w:firstLine="0" w:firstLineChars="0"/>
              <w:rPr>
                <w:rFonts w:hint="eastAsia" w:ascii="Times New Roman" w:hAnsi="宋体" w:cs="宋体" w:eastAsiaTheme="minorEastAsia"/>
                <w:bCs/>
                <w:snapToGrid w:val="0"/>
                <w:color w:val="auto"/>
                <w:kern w:val="21"/>
                <w:sz w:val="24"/>
                <w:szCs w:val="24"/>
                <w:lang w:val="en-US" w:eastAsia="zh-CN" w:bidi="ar-SA"/>
              </w:rPr>
            </w:pPr>
            <w:r>
              <w:rPr>
                <w:rFonts w:hint="eastAsia" w:hAnsi="宋体" w:cs="宋体"/>
                <w:snapToGrid w:val="0"/>
                <w:color w:val="auto"/>
                <w:kern w:val="21"/>
                <w:szCs w:val="24"/>
              </w:rPr>
              <w:t>/</w:t>
            </w:r>
          </w:p>
        </w:tc>
        <w:tc>
          <w:tcPr>
            <w:tcW w:w="1701" w:type="dxa"/>
            <w:vAlign w:val="center"/>
          </w:tcPr>
          <w:p>
            <w:pPr>
              <w:pStyle w:val="78"/>
              <w:spacing w:line="240" w:lineRule="auto"/>
              <w:ind w:firstLine="0" w:firstLineChars="0"/>
              <w:rPr>
                <w:rFonts w:hint="eastAsia" w:ascii="Times New Roman" w:hAnsi="宋体" w:cs="宋体" w:eastAsiaTheme="minorEastAsia"/>
                <w:bCs/>
                <w:snapToGrid w:val="0"/>
                <w:color w:val="auto"/>
                <w:kern w:val="21"/>
                <w:sz w:val="24"/>
                <w:szCs w:val="24"/>
                <w:lang w:val="en-US" w:eastAsia="zh-CN" w:bidi="ar-SA"/>
              </w:rPr>
            </w:pPr>
            <w:r>
              <w:rPr>
                <w:rFonts w:hint="eastAsia" w:hAnsi="宋体" w:cs="宋体"/>
                <w:snapToGrid w:val="0"/>
                <w:color w:val="auto"/>
                <w:kern w:val="21"/>
                <w:szCs w:val="24"/>
              </w:rPr>
              <w:t>/</w:t>
            </w:r>
          </w:p>
        </w:tc>
        <w:tc>
          <w:tcPr>
            <w:tcW w:w="1559" w:type="dxa"/>
            <w:vAlign w:val="center"/>
          </w:tcPr>
          <w:p>
            <w:pPr>
              <w:pStyle w:val="78"/>
              <w:spacing w:line="240" w:lineRule="auto"/>
              <w:ind w:firstLine="0" w:firstLineChars="0"/>
              <w:rPr>
                <w:rFonts w:hint="default"/>
                <w:color w:val="auto"/>
                <w:lang w:val="en-US" w:eastAsia="zh-CN"/>
              </w:rPr>
            </w:pPr>
            <w:r>
              <w:rPr>
                <w:rFonts w:hint="eastAsia"/>
                <w:color w:val="auto"/>
                <w:lang w:val="en-US" w:eastAsia="zh-CN"/>
              </w:rPr>
              <w:t>/</w:t>
            </w:r>
          </w:p>
        </w:tc>
        <w:tc>
          <w:tcPr>
            <w:tcW w:w="1761" w:type="dxa"/>
            <w:vAlign w:val="center"/>
          </w:tcPr>
          <w:p>
            <w:pPr>
              <w:pStyle w:val="78"/>
              <w:spacing w:line="240" w:lineRule="auto"/>
              <w:ind w:firstLine="0" w:firstLineChars="0"/>
              <w:rPr>
                <w:rFonts w:hint="eastAsia" w:ascii="Times New Roman" w:hAnsi="宋体" w:cs="宋体" w:eastAsiaTheme="minorEastAsia"/>
                <w:bCs/>
                <w:snapToGrid w:val="0"/>
                <w:color w:val="auto"/>
                <w:kern w:val="21"/>
                <w:sz w:val="24"/>
                <w:szCs w:val="24"/>
                <w:lang w:val="en-US" w:eastAsia="zh-CN" w:bidi="ar-SA"/>
              </w:rPr>
            </w:pPr>
            <w:r>
              <w:rPr>
                <w:rFonts w:hint="eastAsia" w:hAnsi="宋体" w:cs="宋体"/>
                <w:snapToGrid w:val="0"/>
                <w:color w:val="auto"/>
                <w:kern w:val="21"/>
                <w:szCs w:val="24"/>
              </w:rPr>
              <w:t>/</w:t>
            </w:r>
          </w:p>
        </w:tc>
        <w:tc>
          <w:tcPr>
            <w:tcW w:w="1902" w:type="dxa"/>
            <w:vAlign w:val="center"/>
          </w:tcPr>
          <w:p>
            <w:pPr>
              <w:pStyle w:val="78"/>
              <w:spacing w:line="240" w:lineRule="auto"/>
              <w:ind w:firstLine="0" w:firstLineChars="0"/>
              <w:rPr>
                <w:rFonts w:hint="eastAsia" w:ascii="Times New Roman" w:hAnsi="宋体" w:cs="宋体" w:eastAsiaTheme="minorEastAsia"/>
                <w:bCs/>
                <w:snapToGrid w:val="0"/>
                <w:color w:val="auto"/>
                <w:kern w:val="21"/>
                <w:sz w:val="24"/>
                <w:szCs w:val="24"/>
                <w:lang w:val="en-US" w:eastAsia="zh-CN" w:bidi="ar-SA"/>
              </w:rPr>
            </w:pPr>
            <w:r>
              <w:rPr>
                <w:rFonts w:hint="eastAsia"/>
                <w:color w:val="auto"/>
                <w:lang w:val="en-US" w:eastAsia="zh-CN"/>
              </w:rPr>
              <w:t>/</w:t>
            </w:r>
          </w:p>
        </w:tc>
        <w:tc>
          <w:tcPr>
            <w:tcW w:w="986" w:type="dxa"/>
            <w:vAlign w:val="center"/>
          </w:tcPr>
          <w:p>
            <w:pPr>
              <w:pStyle w:val="78"/>
              <w:spacing w:line="240" w:lineRule="auto"/>
              <w:ind w:firstLine="0" w:firstLineChars="0"/>
              <w:rPr>
                <w:rFonts w:hint="eastAsia" w:ascii="Times New Roman" w:hAnsi="宋体" w:cs="宋体" w:eastAsiaTheme="minorEastAsia"/>
                <w:bCs/>
                <w:snapToGrid w:val="0"/>
                <w:color w:val="auto"/>
                <w:kern w:val="21"/>
                <w:sz w:val="24"/>
                <w:szCs w:val="24"/>
                <w:lang w:val="en-US" w:eastAsia="zh-CN" w:bidi="ar-SA"/>
              </w:rPr>
            </w:pPr>
            <w:r>
              <w:rPr>
                <w:rFonts w:hint="eastAsia" w:hAnsi="宋体" w:cs="宋体"/>
                <w:snapToGrid w:val="0"/>
                <w:color w:val="auto"/>
                <w:kern w:val="21"/>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78"/>
              <w:spacing w:line="240" w:lineRule="auto"/>
              <w:ind w:firstLine="0" w:firstLineChars="0"/>
              <w:rPr>
                <w:rFonts w:hAnsi="宋体" w:cs="宋体"/>
                <w:snapToGrid w:val="0"/>
                <w:color w:val="auto"/>
                <w:kern w:val="21"/>
                <w:szCs w:val="24"/>
              </w:rPr>
            </w:pPr>
          </w:p>
        </w:tc>
        <w:tc>
          <w:tcPr>
            <w:tcW w:w="1417"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70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276"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70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559"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761"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1902"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c>
          <w:tcPr>
            <w:tcW w:w="986" w:type="dxa"/>
            <w:vAlign w:val="center"/>
          </w:tcPr>
          <w:p>
            <w:pPr>
              <w:pStyle w:val="78"/>
              <w:spacing w:line="240" w:lineRule="auto"/>
              <w:ind w:firstLine="0" w:firstLineChars="0"/>
              <w:rPr>
                <w:rFonts w:hAnsi="宋体" w:cs="宋体"/>
                <w:snapToGrid w:val="0"/>
                <w:color w:val="auto"/>
                <w:kern w:val="21"/>
                <w:szCs w:val="24"/>
              </w:rPr>
            </w:pPr>
            <w:r>
              <w:rPr>
                <w:rFonts w:hint="eastAsia" w:hAnsi="宋体" w:cs="宋体"/>
                <w:snapToGrid w:val="0"/>
                <w:color w:val="auto"/>
                <w:kern w:val="21"/>
                <w:szCs w:val="24"/>
              </w:rPr>
              <w:t>/</w:t>
            </w:r>
          </w:p>
        </w:tc>
      </w:tr>
    </w:tbl>
    <w:p>
      <w:pPr>
        <w:ind w:firstLine="360"/>
        <w:outlineLvl w:val="0"/>
        <w:rPr>
          <w:snapToGrid w:val="0"/>
          <w:color w:val="auto"/>
          <w:sz w:val="18"/>
          <w:szCs w:val="18"/>
        </w:rPr>
      </w:pPr>
      <w:bookmarkStart w:id="124" w:name="_Toc6997"/>
      <w:bookmarkStart w:id="125" w:name="_Toc6424"/>
      <w:bookmarkStart w:id="126" w:name="_Toc8333"/>
      <w:r>
        <w:rPr>
          <w:snapToGrid w:val="0"/>
          <w:color w:val="auto"/>
          <w:sz w:val="18"/>
          <w:szCs w:val="18"/>
        </w:rPr>
        <w:t>注：</w:t>
      </w:r>
      <w:r>
        <w:rPr>
          <w:snapToGrid w:val="0"/>
          <w:color w:val="auto"/>
          <w:spacing w:val="-16"/>
          <w:sz w:val="18"/>
          <w:szCs w:val="18"/>
        </w:rPr>
        <w:fldChar w:fldCharType="begin"/>
      </w:r>
      <w:r>
        <w:rPr>
          <w:snapToGrid w:val="0"/>
          <w:color w:val="auto"/>
          <w:spacing w:val="-16"/>
          <w:sz w:val="18"/>
          <w:szCs w:val="18"/>
        </w:rPr>
        <w:instrText xml:space="preserve"> = 6 \* GB3 \* MERGEFORMAT </w:instrText>
      </w:r>
      <w:r>
        <w:rPr>
          <w:snapToGrid w:val="0"/>
          <w:color w:val="auto"/>
          <w:spacing w:val="-16"/>
          <w:sz w:val="18"/>
          <w:szCs w:val="18"/>
        </w:rPr>
        <w:fldChar w:fldCharType="separate"/>
      </w:r>
      <w:r>
        <w:rPr>
          <w:rFonts w:hint="eastAsia"/>
          <w:color w:val="auto"/>
          <w:sz w:val="18"/>
          <w:szCs w:val="18"/>
        </w:rPr>
        <w:t>⑥</w:t>
      </w:r>
      <w:r>
        <w:rPr>
          <w:snapToGrid w:val="0"/>
          <w:color w:val="auto"/>
          <w:spacing w:val="-16"/>
          <w:sz w:val="18"/>
          <w:szCs w:val="18"/>
        </w:rPr>
        <w:fldChar w:fldCharType="end"/>
      </w:r>
      <w:r>
        <w:rPr>
          <w:snapToGrid w:val="0"/>
          <w:color w:val="auto"/>
          <w:spacing w:val="-16"/>
          <w:sz w:val="18"/>
          <w:szCs w:val="18"/>
        </w:rPr>
        <w:t>=</w:t>
      </w:r>
      <w:r>
        <w:rPr>
          <w:snapToGrid w:val="0"/>
          <w:color w:val="auto"/>
          <w:sz w:val="18"/>
          <w:szCs w:val="18"/>
        </w:rPr>
        <w:fldChar w:fldCharType="begin"/>
      </w:r>
      <w:r>
        <w:rPr>
          <w:snapToGrid w:val="0"/>
          <w:color w:val="auto"/>
          <w:sz w:val="18"/>
          <w:szCs w:val="18"/>
        </w:rPr>
        <w:instrText xml:space="preserve"> = 1 \* GB3 \* MERGEFORMAT </w:instrText>
      </w:r>
      <w:r>
        <w:rPr>
          <w:snapToGrid w:val="0"/>
          <w:color w:val="auto"/>
          <w:sz w:val="18"/>
          <w:szCs w:val="18"/>
        </w:rPr>
        <w:fldChar w:fldCharType="separate"/>
      </w:r>
      <w:r>
        <w:rPr>
          <w:rFonts w:hint="eastAsia"/>
          <w:color w:val="auto"/>
          <w:sz w:val="18"/>
          <w:szCs w:val="18"/>
        </w:rPr>
        <w:t>①</w:t>
      </w:r>
      <w:r>
        <w:rPr>
          <w:snapToGrid w:val="0"/>
          <w:color w:val="auto"/>
          <w:sz w:val="18"/>
          <w:szCs w:val="18"/>
        </w:rPr>
        <w:fldChar w:fldCharType="end"/>
      </w:r>
      <w:r>
        <w:rPr>
          <w:snapToGrid w:val="0"/>
          <w:color w:val="auto"/>
          <w:sz w:val="18"/>
          <w:szCs w:val="18"/>
        </w:rPr>
        <w:t>+</w:t>
      </w:r>
      <w:r>
        <w:rPr>
          <w:snapToGrid w:val="0"/>
          <w:color w:val="auto"/>
          <w:sz w:val="18"/>
          <w:szCs w:val="18"/>
        </w:rPr>
        <w:fldChar w:fldCharType="begin"/>
      </w:r>
      <w:r>
        <w:rPr>
          <w:snapToGrid w:val="0"/>
          <w:color w:val="auto"/>
          <w:sz w:val="18"/>
          <w:szCs w:val="18"/>
        </w:rPr>
        <w:instrText xml:space="preserve"> = 3 \* GB3 \* MERGEFORMAT </w:instrText>
      </w:r>
      <w:r>
        <w:rPr>
          <w:snapToGrid w:val="0"/>
          <w:color w:val="auto"/>
          <w:sz w:val="18"/>
          <w:szCs w:val="18"/>
        </w:rPr>
        <w:fldChar w:fldCharType="separate"/>
      </w:r>
      <w:r>
        <w:rPr>
          <w:rFonts w:hint="eastAsia"/>
          <w:color w:val="auto"/>
          <w:sz w:val="18"/>
          <w:szCs w:val="18"/>
        </w:rPr>
        <w:t>③</w:t>
      </w:r>
      <w:r>
        <w:rPr>
          <w:snapToGrid w:val="0"/>
          <w:color w:val="auto"/>
          <w:sz w:val="18"/>
          <w:szCs w:val="18"/>
        </w:rPr>
        <w:fldChar w:fldCharType="end"/>
      </w:r>
      <w:r>
        <w:rPr>
          <w:snapToGrid w:val="0"/>
          <w:color w:val="auto"/>
          <w:sz w:val="18"/>
          <w:szCs w:val="18"/>
        </w:rPr>
        <w:t>+</w:t>
      </w:r>
      <w:r>
        <w:rPr>
          <w:snapToGrid w:val="0"/>
          <w:color w:val="auto"/>
          <w:sz w:val="18"/>
          <w:szCs w:val="18"/>
        </w:rPr>
        <w:fldChar w:fldCharType="begin"/>
      </w:r>
      <w:r>
        <w:rPr>
          <w:snapToGrid w:val="0"/>
          <w:color w:val="auto"/>
          <w:sz w:val="18"/>
          <w:szCs w:val="18"/>
        </w:rPr>
        <w:instrText xml:space="preserve"> = 4 \* GB3 \* MERGEFORMAT </w:instrText>
      </w:r>
      <w:r>
        <w:rPr>
          <w:snapToGrid w:val="0"/>
          <w:color w:val="auto"/>
          <w:sz w:val="18"/>
          <w:szCs w:val="18"/>
        </w:rPr>
        <w:fldChar w:fldCharType="separate"/>
      </w:r>
      <w:r>
        <w:rPr>
          <w:rFonts w:hint="eastAsia"/>
          <w:color w:val="auto"/>
          <w:sz w:val="18"/>
          <w:szCs w:val="18"/>
        </w:rPr>
        <w:t>④</w:t>
      </w:r>
      <w:r>
        <w:rPr>
          <w:snapToGrid w:val="0"/>
          <w:color w:val="auto"/>
          <w:sz w:val="18"/>
          <w:szCs w:val="18"/>
        </w:rPr>
        <w:fldChar w:fldCharType="end"/>
      </w:r>
      <w:r>
        <w:rPr>
          <w:snapToGrid w:val="0"/>
          <w:color w:val="auto"/>
          <w:sz w:val="18"/>
          <w:szCs w:val="18"/>
        </w:rPr>
        <w:t>-</w:t>
      </w:r>
      <w:r>
        <w:rPr>
          <w:snapToGrid w:val="0"/>
          <w:color w:val="auto"/>
          <w:spacing w:val="-16"/>
          <w:sz w:val="18"/>
          <w:szCs w:val="18"/>
        </w:rPr>
        <w:fldChar w:fldCharType="begin"/>
      </w:r>
      <w:r>
        <w:rPr>
          <w:snapToGrid w:val="0"/>
          <w:color w:val="auto"/>
          <w:spacing w:val="-16"/>
          <w:sz w:val="18"/>
          <w:szCs w:val="18"/>
        </w:rPr>
        <w:instrText xml:space="preserve"> = 5 \* GB3 \* MERGEFORMAT </w:instrText>
      </w:r>
      <w:r>
        <w:rPr>
          <w:snapToGrid w:val="0"/>
          <w:color w:val="auto"/>
          <w:spacing w:val="-16"/>
          <w:sz w:val="18"/>
          <w:szCs w:val="18"/>
        </w:rPr>
        <w:fldChar w:fldCharType="separate"/>
      </w:r>
      <w:r>
        <w:rPr>
          <w:rFonts w:hint="eastAsia"/>
          <w:color w:val="auto"/>
          <w:sz w:val="18"/>
          <w:szCs w:val="18"/>
        </w:rPr>
        <w:t>⑤</w:t>
      </w:r>
      <w:r>
        <w:rPr>
          <w:snapToGrid w:val="0"/>
          <w:color w:val="auto"/>
          <w:spacing w:val="-16"/>
          <w:sz w:val="18"/>
          <w:szCs w:val="18"/>
        </w:rPr>
        <w:fldChar w:fldCharType="end"/>
      </w:r>
      <w:r>
        <w:rPr>
          <w:snapToGrid w:val="0"/>
          <w:color w:val="auto"/>
          <w:spacing w:val="-16"/>
          <w:sz w:val="18"/>
          <w:szCs w:val="18"/>
        </w:rPr>
        <w:t>；</w:t>
      </w:r>
      <w:r>
        <w:rPr>
          <w:snapToGrid w:val="0"/>
          <w:color w:val="auto"/>
          <w:sz w:val="18"/>
          <w:szCs w:val="18"/>
        </w:rPr>
        <w:fldChar w:fldCharType="begin"/>
      </w:r>
      <w:r>
        <w:rPr>
          <w:snapToGrid w:val="0"/>
          <w:color w:val="auto"/>
          <w:sz w:val="18"/>
          <w:szCs w:val="18"/>
        </w:rPr>
        <w:instrText xml:space="preserve"> = 7 \* GB3 \* MERGEFORMAT </w:instrText>
      </w:r>
      <w:r>
        <w:rPr>
          <w:snapToGrid w:val="0"/>
          <w:color w:val="auto"/>
          <w:sz w:val="18"/>
          <w:szCs w:val="18"/>
        </w:rPr>
        <w:fldChar w:fldCharType="separate"/>
      </w:r>
      <w:r>
        <w:rPr>
          <w:rFonts w:hint="eastAsia"/>
          <w:color w:val="auto"/>
          <w:sz w:val="18"/>
          <w:szCs w:val="18"/>
        </w:rPr>
        <w:t>⑦</w:t>
      </w:r>
      <w:r>
        <w:rPr>
          <w:snapToGrid w:val="0"/>
          <w:color w:val="auto"/>
          <w:sz w:val="18"/>
          <w:szCs w:val="18"/>
        </w:rPr>
        <w:fldChar w:fldCharType="end"/>
      </w:r>
      <w:r>
        <w:rPr>
          <w:snapToGrid w:val="0"/>
          <w:color w:val="auto"/>
          <w:sz w:val="18"/>
          <w:szCs w:val="18"/>
        </w:rPr>
        <w:t>=</w:t>
      </w:r>
      <w:r>
        <w:rPr>
          <w:snapToGrid w:val="0"/>
          <w:color w:val="auto"/>
          <w:spacing w:val="-16"/>
          <w:sz w:val="18"/>
          <w:szCs w:val="18"/>
        </w:rPr>
        <w:fldChar w:fldCharType="begin"/>
      </w:r>
      <w:r>
        <w:rPr>
          <w:snapToGrid w:val="0"/>
          <w:color w:val="auto"/>
          <w:spacing w:val="-16"/>
          <w:sz w:val="18"/>
          <w:szCs w:val="18"/>
        </w:rPr>
        <w:instrText xml:space="preserve"> = 6 \* GB3 \* MERGEFORMAT </w:instrText>
      </w:r>
      <w:r>
        <w:rPr>
          <w:snapToGrid w:val="0"/>
          <w:color w:val="auto"/>
          <w:spacing w:val="-16"/>
          <w:sz w:val="18"/>
          <w:szCs w:val="18"/>
        </w:rPr>
        <w:fldChar w:fldCharType="separate"/>
      </w:r>
      <w:r>
        <w:rPr>
          <w:rFonts w:hint="eastAsia"/>
          <w:color w:val="auto"/>
          <w:sz w:val="18"/>
          <w:szCs w:val="18"/>
        </w:rPr>
        <w:t>⑥</w:t>
      </w:r>
      <w:r>
        <w:rPr>
          <w:snapToGrid w:val="0"/>
          <w:color w:val="auto"/>
          <w:spacing w:val="-16"/>
          <w:sz w:val="18"/>
          <w:szCs w:val="18"/>
        </w:rPr>
        <w:fldChar w:fldCharType="end"/>
      </w:r>
      <w:r>
        <w:rPr>
          <w:snapToGrid w:val="0"/>
          <w:color w:val="auto"/>
          <w:spacing w:val="-16"/>
          <w:sz w:val="18"/>
          <w:szCs w:val="18"/>
        </w:rPr>
        <w:t>-</w:t>
      </w:r>
      <w:r>
        <w:rPr>
          <w:snapToGrid w:val="0"/>
          <w:color w:val="auto"/>
          <w:sz w:val="18"/>
          <w:szCs w:val="18"/>
        </w:rPr>
        <w:fldChar w:fldCharType="begin"/>
      </w:r>
      <w:r>
        <w:rPr>
          <w:snapToGrid w:val="0"/>
          <w:color w:val="auto"/>
          <w:sz w:val="18"/>
          <w:szCs w:val="18"/>
        </w:rPr>
        <w:instrText xml:space="preserve"> = 1 \* GB3 \* MERGEFORMAT </w:instrText>
      </w:r>
      <w:r>
        <w:rPr>
          <w:snapToGrid w:val="0"/>
          <w:color w:val="auto"/>
          <w:sz w:val="18"/>
          <w:szCs w:val="18"/>
        </w:rPr>
        <w:fldChar w:fldCharType="separate"/>
      </w:r>
      <w:r>
        <w:rPr>
          <w:rFonts w:hint="eastAsia"/>
          <w:color w:val="auto"/>
          <w:sz w:val="18"/>
          <w:szCs w:val="18"/>
        </w:rPr>
        <w:t>①</w:t>
      </w:r>
      <w:r>
        <w:rPr>
          <w:snapToGrid w:val="0"/>
          <w:color w:val="auto"/>
          <w:sz w:val="18"/>
          <w:szCs w:val="18"/>
        </w:rPr>
        <w:fldChar w:fldCharType="end"/>
      </w:r>
      <w:bookmarkEnd w:id="124"/>
      <w:bookmarkEnd w:id="125"/>
      <w:bookmarkEnd w:id="126"/>
    </w:p>
    <w:sectPr>
      <w:pgSz w:w="16838" w:h="11906" w:orient="landscape"/>
      <w:pgMar w:top="1247" w:right="1440" w:bottom="1247" w:left="1440" w:header="851" w:footer="516" w:gutter="0"/>
      <w:pgBorders>
        <w:top w:val="none" w:sz="0" w:space="0"/>
        <w:left w:val="none" w:sz="0" w:space="0"/>
        <w:bottom w:val="none" w:sz="0" w:space="0"/>
        <w:right w:val="none" w:sz="0" w:space="0"/>
      </w:pgBorders>
      <w:pgNumType w:fmt="decimal" w:start="1"/>
      <w:cols w:space="425" w:num="1"/>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Impact">
    <w:panose1 w:val="020B0806030902050204"/>
    <w:charset w:val="00"/>
    <w:family w:val="swiss"/>
    <w:pitch w:val="default"/>
    <w:sig w:usb0="00000287" w:usb1="00000000" w:usb2="00000000" w:usb3="00000000" w:csb0="2000009F" w:csb1="DFD70000"/>
  </w:font>
  <w:font w:name="仿宋_GB2312">
    <w:panose1 w:val="02010609030101010101"/>
    <w:charset w:val="86"/>
    <w:family w:val="modern"/>
    <w:pitch w:val="default"/>
    <w:sig w:usb0="00000001" w:usb1="080E0000" w:usb2="00000000" w:usb3="00000000" w:csb0="00040000" w:csb1="00000000"/>
  </w:font>
  <w:font w:name="方正仿宋_GBK">
    <w:altName w:val="微软雅黑"/>
    <w:panose1 w:val="00000000000000000000"/>
    <w:charset w:val="86"/>
    <w:family w:val="auto"/>
    <w:pitch w:val="default"/>
    <w:sig w:usb0="00000000" w:usb1="00000000" w:usb2="00000000" w:usb3="00000000" w:csb0="00040000" w:csb1="00000000"/>
  </w:font>
  <w:font w:name="方正小标宋_GBK">
    <w:altName w:val="微软雅黑"/>
    <w:panose1 w:val="00000000000000000000"/>
    <w:charset w:val="86"/>
    <w:family w:val="auto"/>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Dutch">
    <w:altName w:val="Times New Roman"/>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1"/>
      <w:jc w:val="center"/>
      <w:rPr>
        <w:b/>
      </w:rPr>
    </w:pPr>
  </w:p>
  <w:p>
    <w:pPr>
      <w:pStyle w:val="2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480"/>
      <w:rPr>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1"/>
      <w:jc w:val="center"/>
      <w:rPr>
        <w:b/>
      </w:rPr>
    </w:pPr>
  </w:p>
  <w:p>
    <w:pPr>
      <w:pStyle w:val="24"/>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480"/>
      <w:jc w:val="center"/>
      <w:rPr>
        <w:sz w:val="24"/>
        <w:szCs w:val="24"/>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4"/>
                            <w:ind w:firstLine="480"/>
                            <w:jc w:val="center"/>
                          </w:pPr>
                          <w:r>
                            <w:rPr>
                              <w:rFonts w:hint="eastAsia"/>
                              <w:sz w:val="24"/>
                              <w:szCs w:val="24"/>
                            </w:rPr>
                            <w:t>-</w:t>
                          </w:r>
                          <w:sdt>
                            <w:sdtPr>
                              <w:rPr>
                                <w:sz w:val="24"/>
                                <w:szCs w:val="24"/>
                              </w:rPr>
                              <w:id w:val="-660848552"/>
                              <w:docPartObj>
                                <w:docPartGallery w:val="autotext"/>
                              </w:docPartObj>
                            </w:sdtPr>
                            <w:sdtEndPr>
                              <w:rPr>
                                <w:sz w:val="24"/>
                                <w:szCs w:val="24"/>
                              </w:rPr>
                            </w:sdtEndPr>
                            <w:sdtContent>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31</w:t>
                              </w:r>
                              <w:r>
                                <w:rPr>
                                  <w:sz w:val="24"/>
                                  <w:szCs w:val="24"/>
                                </w:rPr>
                                <w:fldChar w:fldCharType="end"/>
                              </w:r>
                              <w:r>
                                <w:rPr>
                                  <w:rFonts w:hint="eastAsia"/>
                                  <w:sz w:val="24"/>
                                  <w:szCs w:val="24"/>
                                </w:rPr>
                                <w:t>-</w:t>
                              </w:r>
                            </w:sdtContent>
                          </w:sdt>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vR6kMkBAACaAwAADgAAAGRycy9lMm9Eb2MueG1srVPNjtMwEL4j8Q6W&#10;79RpJ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OslJY5bnPjl+7fLj1+Xn1/J&#10;M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y9HqQyQEAAJoDAAAOAAAAAAAAAAEAIAAAAB4BAABkcnMvZTJvRG9j&#10;LnhtbFBLBQYAAAAABgAGAFkBAABZBQAAAAA=&#10;">
              <v:fill on="f" focussize="0,0"/>
              <v:stroke on="f"/>
              <v:imagedata o:title=""/>
              <o:lock v:ext="edit" aspectratio="f"/>
              <v:textbox inset="0mm,0mm,0mm,0mm" style="mso-fit-shape-to-text:t;">
                <w:txbxContent>
                  <w:p>
                    <w:pPr>
                      <w:pStyle w:val="24"/>
                      <w:ind w:firstLine="480"/>
                      <w:jc w:val="center"/>
                    </w:pPr>
                    <w:r>
                      <w:rPr>
                        <w:rFonts w:hint="eastAsia"/>
                        <w:sz w:val="24"/>
                        <w:szCs w:val="24"/>
                      </w:rPr>
                      <w:t>-</w:t>
                    </w:r>
                    <w:sdt>
                      <w:sdtPr>
                        <w:rPr>
                          <w:sz w:val="24"/>
                          <w:szCs w:val="24"/>
                        </w:rPr>
                        <w:id w:val="-660848552"/>
                        <w:docPartObj>
                          <w:docPartGallery w:val="autotext"/>
                        </w:docPartObj>
                      </w:sdtPr>
                      <w:sdtEndPr>
                        <w:rPr>
                          <w:sz w:val="24"/>
                          <w:szCs w:val="24"/>
                        </w:rPr>
                      </w:sdtEndPr>
                      <w:sdtContent>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31</w:t>
                        </w:r>
                        <w:r>
                          <w:rPr>
                            <w:sz w:val="24"/>
                            <w:szCs w:val="24"/>
                          </w:rPr>
                          <w:fldChar w:fldCharType="end"/>
                        </w:r>
                        <w:r>
                          <w:rPr>
                            <w:rFonts w:hint="eastAsia"/>
                            <w:sz w:val="24"/>
                            <w:szCs w:val="24"/>
                          </w:rPr>
                          <w:t>-</w:t>
                        </w:r>
                      </w:sdtContent>
                    </w:sdt>
                  </w:p>
                </w:txbxContent>
              </v:textbox>
            </v:shape>
          </w:pict>
        </mc:Fallback>
      </mc:AlternateContent>
    </w:r>
  </w:p>
  <w:p>
    <w:pPr>
      <w:pStyle w:val="24"/>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480"/>
      <w:jc w:val="center"/>
      <w:rPr>
        <w:sz w:val="24"/>
        <w:szCs w:val="24"/>
      </w:rP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4"/>
                            <w:ind w:firstLine="480"/>
                            <w:jc w:val="center"/>
                          </w:pPr>
                          <w:r>
                            <w:rPr>
                              <w:rFonts w:hint="eastAsia"/>
                              <w:sz w:val="24"/>
                              <w:szCs w:val="24"/>
                            </w:rPr>
                            <w:t>-</w:t>
                          </w: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30</w:t>
                          </w:r>
                          <w:r>
                            <w:rPr>
                              <w:sz w:val="24"/>
                              <w:szCs w:val="24"/>
                            </w:rPr>
                            <w:fldChar w:fldCharType="end"/>
                          </w:r>
                          <w:r>
                            <w:rPr>
                              <w:rFonts w:hint="eastAsia"/>
                              <w:sz w:val="24"/>
                              <w:szCs w:val="24"/>
                            </w:rPr>
                            <w:t>-</w:t>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KJfo8jIAQAAmgMAAA4AAAAAAAAAAQAgAAAAHgEAAGRycy9lMm9Eb2Mu&#10;eG1sUEsFBgAAAAAGAAYAWQEAAFgFAAAAAA==&#10;">
              <v:fill on="f" focussize="0,0"/>
              <v:stroke on="f"/>
              <v:imagedata o:title=""/>
              <o:lock v:ext="edit" aspectratio="f"/>
              <v:textbox inset="0mm,0mm,0mm,0mm" style="mso-fit-shape-to-text:t;">
                <w:txbxContent>
                  <w:p>
                    <w:pPr>
                      <w:pStyle w:val="24"/>
                      <w:ind w:firstLine="480"/>
                      <w:jc w:val="center"/>
                    </w:pPr>
                    <w:r>
                      <w:rPr>
                        <w:rFonts w:hint="eastAsia"/>
                        <w:sz w:val="24"/>
                        <w:szCs w:val="24"/>
                      </w:rPr>
                      <w:t>-</w:t>
                    </w: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30</w:t>
                    </w:r>
                    <w:r>
                      <w:rPr>
                        <w:sz w:val="24"/>
                        <w:szCs w:val="24"/>
                      </w:rPr>
                      <w:fldChar w:fldCharType="end"/>
                    </w:r>
                    <w:r>
                      <w:rPr>
                        <w:rFonts w:hint="eastAsia"/>
                        <w:sz w:val="24"/>
                        <w:szCs w:val="24"/>
                      </w:rPr>
                      <w:t>-</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480"/>
      <w:jc w:val="center"/>
      <w:rPr>
        <w:sz w:val="24"/>
        <w:szCs w:val="24"/>
      </w:rP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4"/>
                            <w:ind w:firstLine="480"/>
                            <w:jc w:val="center"/>
                          </w:pPr>
                          <w:r>
                            <w:rPr>
                              <w:rFonts w:hint="eastAsia"/>
                              <w:sz w:val="24"/>
                              <w:szCs w:val="24"/>
                            </w:rPr>
                            <w:t>-</w:t>
                          </w:r>
                          <w:sdt>
                            <w:sdtPr>
                              <w:rPr>
                                <w:sz w:val="24"/>
                                <w:szCs w:val="24"/>
                              </w:rPr>
                              <w:id w:val="-660848552"/>
                              <w:docPartObj>
                                <w:docPartGallery w:val="autotext"/>
                              </w:docPartObj>
                            </w:sdtPr>
                            <w:sdtEndPr>
                              <w:rPr>
                                <w:sz w:val="24"/>
                                <w:szCs w:val="24"/>
                              </w:rPr>
                            </w:sdtEndPr>
                            <w:sdtContent>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31</w:t>
                              </w:r>
                              <w:r>
                                <w:rPr>
                                  <w:sz w:val="24"/>
                                  <w:szCs w:val="24"/>
                                </w:rPr>
                                <w:fldChar w:fldCharType="end"/>
                              </w:r>
                              <w:r>
                                <w:rPr>
                                  <w:rFonts w:hint="eastAsia"/>
                                  <w:sz w:val="24"/>
                                  <w:szCs w:val="24"/>
                                </w:rPr>
                                <w:t>-</w:t>
                              </w:r>
                            </w:sdtContent>
                          </w:sdt>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UjkU/8oBAACaAwAADgAAAAAAAAABACAAAAAeAQAAZHJzL2Uyb0Rv&#10;Yy54bWxQSwUGAAAAAAYABgBZAQAAWgUAAAAA&#10;">
              <v:fill on="f" focussize="0,0"/>
              <v:stroke on="f"/>
              <v:imagedata o:title=""/>
              <o:lock v:ext="edit" aspectratio="f"/>
              <v:textbox inset="0mm,0mm,0mm,0mm" style="mso-fit-shape-to-text:t;">
                <w:txbxContent>
                  <w:p>
                    <w:pPr>
                      <w:pStyle w:val="24"/>
                      <w:ind w:firstLine="480"/>
                      <w:jc w:val="center"/>
                    </w:pPr>
                    <w:r>
                      <w:rPr>
                        <w:rFonts w:hint="eastAsia"/>
                        <w:sz w:val="24"/>
                        <w:szCs w:val="24"/>
                      </w:rPr>
                      <w:t>-</w:t>
                    </w:r>
                    <w:sdt>
                      <w:sdtPr>
                        <w:rPr>
                          <w:sz w:val="24"/>
                          <w:szCs w:val="24"/>
                        </w:rPr>
                        <w:id w:val="-660848552"/>
                        <w:docPartObj>
                          <w:docPartGallery w:val="autotext"/>
                        </w:docPartObj>
                      </w:sdtPr>
                      <w:sdtEndPr>
                        <w:rPr>
                          <w:sz w:val="24"/>
                          <w:szCs w:val="24"/>
                        </w:rPr>
                      </w:sdtEndPr>
                      <w:sdtContent>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31</w:t>
                        </w:r>
                        <w:r>
                          <w:rPr>
                            <w:sz w:val="24"/>
                            <w:szCs w:val="24"/>
                          </w:rPr>
                          <w:fldChar w:fldCharType="end"/>
                        </w:r>
                        <w:r>
                          <w:rPr>
                            <w:rFonts w:hint="eastAsia"/>
                            <w:sz w:val="24"/>
                            <w:szCs w:val="24"/>
                          </w:rPr>
                          <w:t>-</w:t>
                        </w:r>
                      </w:sdtContent>
                    </w:sdt>
                  </w:p>
                </w:txbxContent>
              </v:textbox>
            </v:shape>
          </w:pict>
        </mc:Fallback>
      </mc:AlternateContent>
    </w:r>
  </w:p>
  <w:p>
    <w:pPr>
      <w:pStyle w:val="2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adjustRightInd w:val="0"/>
      <w:spacing w:line="240" w:lineRule="auto"/>
      <w:ind w:left="0" w:leftChars="0" w:right="0" w:rightChars="0" w:firstLine="0" w:firstLineChars="0"/>
      <w:jc w:val="center"/>
      <w:rPr>
        <w:rFonts w:ascii="楷体" w:hAnsi="楷体" w:eastAsia="楷体"/>
        <w:b/>
        <w:sz w:val="21"/>
        <w:szCs w:val="21"/>
      </w:rPr>
    </w:pPr>
    <w:r>
      <w:rPr>
        <w:rFonts w:hint="eastAsia" w:ascii="楷体" w:hAnsi="楷体" w:eastAsia="楷体"/>
        <w:b/>
        <w:sz w:val="21"/>
        <w:szCs w:val="21"/>
        <w:lang w:eastAsia="zh-CN"/>
      </w:rPr>
      <w:t>姚安县保健院妇婴医院住院综合楼建设项目</w:t>
    </w:r>
    <w:r>
      <w:rPr>
        <w:rFonts w:hint="eastAsia" w:ascii="楷体" w:hAnsi="楷体" w:eastAsia="楷体"/>
        <w:b/>
        <w:sz w:val="21"/>
        <w:szCs w:val="21"/>
      </w:rPr>
      <w:t>环境影响报告表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adjustRightInd w:val="0"/>
      <w:spacing w:line="240" w:lineRule="auto"/>
      <w:ind w:left="0" w:leftChars="0" w:right="0" w:rightChars="0" w:firstLine="0" w:firstLineChars="0"/>
      <w:jc w:val="center"/>
      <w:rPr>
        <w:rFonts w:ascii="楷体" w:hAnsi="楷体" w:eastAsia="楷体"/>
        <w:b/>
        <w:sz w:val="21"/>
        <w:szCs w:val="21"/>
      </w:rPr>
    </w:pPr>
    <w:r>
      <w:rPr>
        <w:rFonts w:hint="eastAsia" w:ascii="楷体" w:hAnsi="楷体" w:eastAsia="楷体"/>
        <w:b/>
        <w:sz w:val="21"/>
        <w:szCs w:val="21"/>
        <w:lang w:eastAsia="zh-CN"/>
      </w:rPr>
      <w:t>姚安县保健院妇婴医院住院综合楼建设项目</w:t>
    </w:r>
    <w:r>
      <w:rPr>
        <w:rFonts w:hint="eastAsia" w:ascii="楷体" w:hAnsi="楷体" w:eastAsia="楷体"/>
        <w:b/>
        <w:sz w:val="21"/>
        <w:szCs w:val="21"/>
      </w:rPr>
      <w:t>环境影响报告表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D1BD7B"/>
    <w:multiLevelType w:val="singleLevel"/>
    <w:tmpl w:val="A8D1BD7B"/>
    <w:lvl w:ilvl="0" w:tentative="0">
      <w:start w:val="1"/>
      <w:numFmt w:val="decimal"/>
      <w:suff w:val="nothing"/>
      <w:lvlText w:val="（%1）"/>
      <w:lvlJc w:val="left"/>
    </w:lvl>
  </w:abstractNum>
  <w:abstractNum w:abstractNumId="1">
    <w:nsid w:val="C065D05F"/>
    <w:multiLevelType w:val="singleLevel"/>
    <w:tmpl w:val="C065D05F"/>
    <w:lvl w:ilvl="0" w:tentative="0">
      <w:start w:val="2"/>
      <w:numFmt w:val="decimal"/>
      <w:suff w:val="nothing"/>
      <w:lvlText w:val="（%1）"/>
      <w:lvlJc w:val="left"/>
    </w:lvl>
  </w:abstractNum>
  <w:abstractNum w:abstractNumId="2">
    <w:nsid w:val="C4A7EC77"/>
    <w:multiLevelType w:val="singleLevel"/>
    <w:tmpl w:val="C4A7EC77"/>
    <w:lvl w:ilvl="0" w:tentative="0">
      <w:start w:val="1"/>
      <w:numFmt w:val="decimal"/>
      <w:suff w:val="nothing"/>
      <w:lvlText w:val="（%1）"/>
      <w:lvlJc w:val="left"/>
    </w:lvl>
  </w:abstractNum>
  <w:abstractNum w:abstractNumId="3">
    <w:nsid w:val="2DB046B9"/>
    <w:multiLevelType w:val="singleLevel"/>
    <w:tmpl w:val="2DB046B9"/>
    <w:lvl w:ilvl="0" w:tentative="0">
      <w:start w:val="4"/>
      <w:numFmt w:val="decimal"/>
      <w:suff w:val="nothing"/>
      <w:lvlText w:val="%1、"/>
      <w:lvlJc w:val="left"/>
    </w:lvl>
  </w:abstractNum>
  <w:abstractNum w:abstractNumId="4">
    <w:nsid w:val="31084443"/>
    <w:multiLevelType w:val="singleLevel"/>
    <w:tmpl w:val="31084443"/>
    <w:lvl w:ilvl="0" w:tentative="0">
      <w:start w:val="2"/>
      <w:numFmt w:val="decimal"/>
      <w:suff w:val="nothing"/>
      <w:lvlText w:val="%1、"/>
      <w:lvlJc w:val="left"/>
    </w:lvl>
  </w:abstractNum>
  <w:abstractNum w:abstractNumId="5">
    <w:nsid w:val="48C41C62"/>
    <w:multiLevelType w:val="singleLevel"/>
    <w:tmpl w:val="48C41C62"/>
    <w:lvl w:ilvl="0" w:tentative="0">
      <w:start w:val="1"/>
      <w:numFmt w:val="decimal"/>
      <w:suff w:val="nothing"/>
      <w:lvlText w:val="%1、"/>
      <w:lvlJc w:val="left"/>
    </w:lvl>
  </w:abstractNum>
  <w:abstractNum w:abstractNumId="6">
    <w:nsid w:val="6C830F3C"/>
    <w:multiLevelType w:val="singleLevel"/>
    <w:tmpl w:val="6C830F3C"/>
    <w:lvl w:ilvl="0" w:tentative="0">
      <w:start w:val="2"/>
      <w:numFmt w:val="chineseCounting"/>
      <w:suff w:val="nothing"/>
      <w:lvlText w:val="%1、"/>
      <w:lvlJc w:val="left"/>
      <w:rPr>
        <w:rFonts w:hint="eastAsia"/>
      </w:rPr>
    </w:lvl>
  </w:abstractNum>
  <w:num w:numId="1">
    <w:abstractNumId w:val="4"/>
  </w:num>
  <w:num w:numId="2">
    <w:abstractNumId w:val="5"/>
  </w:num>
  <w:num w:numId="3">
    <w:abstractNumId w:val="6"/>
  </w:num>
  <w:num w:numId="4">
    <w:abstractNumId w:val="0"/>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hideSpellingErrors/>
  <w:documentProtection w:enforcement="0"/>
  <w:defaultTabStop w:val="420"/>
  <w:evenAndOddHeaders w:val="1"/>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ZjYzY3MjdiMmE2Yzg2YmZhYjUxZDcyYWY5NzAzMjQifQ=="/>
    <w:docVar w:name="KSO_WPS_MARK_KEY" w:val="a3cfb763-ce85-402c-84f6-678a100beeef"/>
  </w:docVars>
  <w:rsids>
    <w:rsidRoot w:val="00172A27"/>
    <w:rsid w:val="00000703"/>
    <w:rsid w:val="0000118C"/>
    <w:rsid w:val="00002DC8"/>
    <w:rsid w:val="0000432C"/>
    <w:rsid w:val="00004829"/>
    <w:rsid w:val="00005032"/>
    <w:rsid w:val="000051B2"/>
    <w:rsid w:val="00005979"/>
    <w:rsid w:val="00005C4C"/>
    <w:rsid w:val="00005DEA"/>
    <w:rsid w:val="0000630D"/>
    <w:rsid w:val="00006606"/>
    <w:rsid w:val="00006A23"/>
    <w:rsid w:val="00006D7B"/>
    <w:rsid w:val="00006F8E"/>
    <w:rsid w:val="0000729B"/>
    <w:rsid w:val="00007F33"/>
    <w:rsid w:val="00010036"/>
    <w:rsid w:val="000106F8"/>
    <w:rsid w:val="0001098D"/>
    <w:rsid w:val="00010C4F"/>
    <w:rsid w:val="000114DB"/>
    <w:rsid w:val="000115AD"/>
    <w:rsid w:val="00011664"/>
    <w:rsid w:val="00011F88"/>
    <w:rsid w:val="00011FF1"/>
    <w:rsid w:val="00012623"/>
    <w:rsid w:val="00012712"/>
    <w:rsid w:val="00012851"/>
    <w:rsid w:val="00012F20"/>
    <w:rsid w:val="00013387"/>
    <w:rsid w:val="000138EC"/>
    <w:rsid w:val="000138F5"/>
    <w:rsid w:val="00013A30"/>
    <w:rsid w:val="00015CF6"/>
    <w:rsid w:val="00015E84"/>
    <w:rsid w:val="000162F2"/>
    <w:rsid w:val="00016AAF"/>
    <w:rsid w:val="0001746C"/>
    <w:rsid w:val="00017D48"/>
    <w:rsid w:val="00020757"/>
    <w:rsid w:val="0002075D"/>
    <w:rsid w:val="000213A7"/>
    <w:rsid w:val="000213F9"/>
    <w:rsid w:val="00021784"/>
    <w:rsid w:val="00021B8A"/>
    <w:rsid w:val="0002254F"/>
    <w:rsid w:val="00022653"/>
    <w:rsid w:val="00022674"/>
    <w:rsid w:val="00022BF9"/>
    <w:rsid w:val="0002301A"/>
    <w:rsid w:val="00023F06"/>
    <w:rsid w:val="000240FE"/>
    <w:rsid w:val="000246A3"/>
    <w:rsid w:val="00025409"/>
    <w:rsid w:val="00025577"/>
    <w:rsid w:val="00025D93"/>
    <w:rsid w:val="00025DAC"/>
    <w:rsid w:val="00025F9A"/>
    <w:rsid w:val="000263EF"/>
    <w:rsid w:val="00026520"/>
    <w:rsid w:val="00026674"/>
    <w:rsid w:val="00026D3F"/>
    <w:rsid w:val="00027277"/>
    <w:rsid w:val="00027F94"/>
    <w:rsid w:val="000302C8"/>
    <w:rsid w:val="0003058A"/>
    <w:rsid w:val="00030605"/>
    <w:rsid w:val="00031443"/>
    <w:rsid w:val="0003177A"/>
    <w:rsid w:val="00031C1B"/>
    <w:rsid w:val="00031EB5"/>
    <w:rsid w:val="00032D87"/>
    <w:rsid w:val="00033036"/>
    <w:rsid w:val="00033061"/>
    <w:rsid w:val="0003342B"/>
    <w:rsid w:val="0003389A"/>
    <w:rsid w:val="00033B06"/>
    <w:rsid w:val="00033D1E"/>
    <w:rsid w:val="00033ECC"/>
    <w:rsid w:val="00034BCB"/>
    <w:rsid w:val="000352B2"/>
    <w:rsid w:val="00035CFD"/>
    <w:rsid w:val="00035DF7"/>
    <w:rsid w:val="00036CD9"/>
    <w:rsid w:val="00040CDD"/>
    <w:rsid w:val="00041432"/>
    <w:rsid w:val="0004159F"/>
    <w:rsid w:val="000415F1"/>
    <w:rsid w:val="00041822"/>
    <w:rsid w:val="00041BB5"/>
    <w:rsid w:val="000423F1"/>
    <w:rsid w:val="000426B6"/>
    <w:rsid w:val="000429C0"/>
    <w:rsid w:val="00042BEB"/>
    <w:rsid w:val="00044215"/>
    <w:rsid w:val="00044537"/>
    <w:rsid w:val="00044B9C"/>
    <w:rsid w:val="00044BB0"/>
    <w:rsid w:val="00045191"/>
    <w:rsid w:val="00045631"/>
    <w:rsid w:val="0004599A"/>
    <w:rsid w:val="00045E04"/>
    <w:rsid w:val="000475D7"/>
    <w:rsid w:val="00047900"/>
    <w:rsid w:val="00047D18"/>
    <w:rsid w:val="000504B7"/>
    <w:rsid w:val="00050554"/>
    <w:rsid w:val="00050A30"/>
    <w:rsid w:val="00050E47"/>
    <w:rsid w:val="00050F03"/>
    <w:rsid w:val="00051638"/>
    <w:rsid w:val="00051CD1"/>
    <w:rsid w:val="0005287D"/>
    <w:rsid w:val="00052DF0"/>
    <w:rsid w:val="000530DA"/>
    <w:rsid w:val="00053494"/>
    <w:rsid w:val="00053A74"/>
    <w:rsid w:val="0005402D"/>
    <w:rsid w:val="000545AC"/>
    <w:rsid w:val="00054793"/>
    <w:rsid w:val="00054937"/>
    <w:rsid w:val="00054968"/>
    <w:rsid w:val="00054BC2"/>
    <w:rsid w:val="00054D93"/>
    <w:rsid w:val="0005504B"/>
    <w:rsid w:val="000554DC"/>
    <w:rsid w:val="0005559E"/>
    <w:rsid w:val="000556BF"/>
    <w:rsid w:val="00055F95"/>
    <w:rsid w:val="00056C32"/>
    <w:rsid w:val="000572C5"/>
    <w:rsid w:val="00057AC9"/>
    <w:rsid w:val="000604D7"/>
    <w:rsid w:val="000609B9"/>
    <w:rsid w:val="00060F65"/>
    <w:rsid w:val="00061158"/>
    <w:rsid w:val="00061230"/>
    <w:rsid w:val="00061C7D"/>
    <w:rsid w:val="00061EAF"/>
    <w:rsid w:val="0006241F"/>
    <w:rsid w:val="000635B4"/>
    <w:rsid w:val="000641E6"/>
    <w:rsid w:val="00064476"/>
    <w:rsid w:val="00064751"/>
    <w:rsid w:val="00065BED"/>
    <w:rsid w:val="00065D4D"/>
    <w:rsid w:val="00065EAE"/>
    <w:rsid w:val="00066115"/>
    <w:rsid w:val="00066762"/>
    <w:rsid w:val="0006699E"/>
    <w:rsid w:val="00066C7B"/>
    <w:rsid w:val="000711F9"/>
    <w:rsid w:val="0007185B"/>
    <w:rsid w:val="00071B11"/>
    <w:rsid w:val="000725DC"/>
    <w:rsid w:val="00072881"/>
    <w:rsid w:val="00073375"/>
    <w:rsid w:val="000735BE"/>
    <w:rsid w:val="00073672"/>
    <w:rsid w:val="0007463A"/>
    <w:rsid w:val="0007469B"/>
    <w:rsid w:val="000747D8"/>
    <w:rsid w:val="00074827"/>
    <w:rsid w:val="00074A8D"/>
    <w:rsid w:val="00074B92"/>
    <w:rsid w:val="00074BA1"/>
    <w:rsid w:val="00074C92"/>
    <w:rsid w:val="000750DF"/>
    <w:rsid w:val="0007551C"/>
    <w:rsid w:val="00075785"/>
    <w:rsid w:val="000759D1"/>
    <w:rsid w:val="000765AD"/>
    <w:rsid w:val="00076835"/>
    <w:rsid w:val="00076BA5"/>
    <w:rsid w:val="0007701B"/>
    <w:rsid w:val="0007703E"/>
    <w:rsid w:val="0007793A"/>
    <w:rsid w:val="00077DCC"/>
    <w:rsid w:val="00077F3F"/>
    <w:rsid w:val="00077FE1"/>
    <w:rsid w:val="00080641"/>
    <w:rsid w:val="000806AB"/>
    <w:rsid w:val="000816B4"/>
    <w:rsid w:val="00081C8F"/>
    <w:rsid w:val="00082672"/>
    <w:rsid w:val="00083242"/>
    <w:rsid w:val="00083576"/>
    <w:rsid w:val="00083E92"/>
    <w:rsid w:val="000840DC"/>
    <w:rsid w:val="000868DF"/>
    <w:rsid w:val="00086A98"/>
    <w:rsid w:val="00087E40"/>
    <w:rsid w:val="00090511"/>
    <w:rsid w:val="00090877"/>
    <w:rsid w:val="0009128B"/>
    <w:rsid w:val="00091390"/>
    <w:rsid w:val="000915AD"/>
    <w:rsid w:val="00091BF7"/>
    <w:rsid w:val="000923B2"/>
    <w:rsid w:val="00092D5D"/>
    <w:rsid w:val="0009305E"/>
    <w:rsid w:val="000932E1"/>
    <w:rsid w:val="000933F3"/>
    <w:rsid w:val="00093586"/>
    <w:rsid w:val="00093C44"/>
    <w:rsid w:val="000944EF"/>
    <w:rsid w:val="00094A05"/>
    <w:rsid w:val="00095940"/>
    <w:rsid w:val="000959CE"/>
    <w:rsid w:val="00095A39"/>
    <w:rsid w:val="00095ABC"/>
    <w:rsid w:val="00095DA0"/>
    <w:rsid w:val="000966F6"/>
    <w:rsid w:val="00096730"/>
    <w:rsid w:val="00096B4E"/>
    <w:rsid w:val="00097886"/>
    <w:rsid w:val="00097B78"/>
    <w:rsid w:val="00097BFD"/>
    <w:rsid w:val="00097F3E"/>
    <w:rsid w:val="000A0000"/>
    <w:rsid w:val="000A09EE"/>
    <w:rsid w:val="000A0F2F"/>
    <w:rsid w:val="000A1279"/>
    <w:rsid w:val="000A1317"/>
    <w:rsid w:val="000A1EEF"/>
    <w:rsid w:val="000A2344"/>
    <w:rsid w:val="000A2AAE"/>
    <w:rsid w:val="000A2E78"/>
    <w:rsid w:val="000A376A"/>
    <w:rsid w:val="000A39D4"/>
    <w:rsid w:val="000A3AF4"/>
    <w:rsid w:val="000A519D"/>
    <w:rsid w:val="000A598D"/>
    <w:rsid w:val="000A63BF"/>
    <w:rsid w:val="000A6423"/>
    <w:rsid w:val="000A66CA"/>
    <w:rsid w:val="000A69AA"/>
    <w:rsid w:val="000A6BFC"/>
    <w:rsid w:val="000A737D"/>
    <w:rsid w:val="000A742B"/>
    <w:rsid w:val="000A74AB"/>
    <w:rsid w:val="000A76A7"/>
    <w:rsid w:val="000A7D93"/>
    <w:rsid w:val="000A7D9D"/>
    <w:rsid w:val="000A7FF0"/>
    <w:rsid w:val="000B01DC"/>
    <w:rsid w:val="000B0640"/>
    <w:rsid w:val="000B07C3"/>
    <w:rsid w:val="000B0D2D"/>
    <w:rsid w:val="000B0D58"/>
    <w:rsid w:val="000B0FE5"/>
    <w:rsid w:val="000B12A5"/>
    <w:rsid w:val="000B230D"/>
    <w:rsid w:val="000B2B29"/>
    <w:rsid w:val="000B3603"/>
    <w:rsid w:val="000B3725"/>
    <w:rsid w:val="000B40BA"/>
    <w:rsid w:val="000B42DD"/>
    <w:rsid w:val="000B4344"/>
    <w:rsid w:val="000B4830"/>
    <w:rsid w:val="000B4F99"/>
    <w:rsid w:val="000B5050"/>
    <w:rsid w:val="000B542D"/>
    <w:rsid w:val="000B545C"/>
    <w:rsid w:val="000B5C64"/>
    <w:rsid w:val="000B7D56"/>
    <w:rsid w:val="000C07EB"/>
    <w:rsid w:val="000C186F"/>
    <w:rsid w:val="000C1AD6"/>
    <w:rsid w:val="000C22A0"/>
    <w:rsid w:val="000C22AF"/>
    <w:rsid w:val="000C236B"/>
    <w:rsid w:val="000C27FE"/>
    <w:rsid w:val="000C280A"/>
    <w:rsid w:val="000C2DAA"/>
    <w:rsid w:val="000C2F38"/>
    <w:rsid w:val="000C3682"/>
    <w:rsid w:val="000C3F48"/>
    <w:rsid w:val="000C4410"/>
    <w:rsid w:val="000C4B24"/>
    <w:rsid w:val="000C61C7"/>
    <w:rsid w:val="000C695A"/>
    <w:rsid w:val="000C6B0F"/>
    <w:rsid w:val="000C6E66"/>
    <w:rsid w:val="000C707C"/>
    <w:rsid w:val="000C7CE6"/>
    <w:rsid w:val="000C7D0E"/>
    <w:rsid w:val="000D00BC"/>
    <w:rsid w:val="000D0688"/>
    <w:rsid w:val="000D0995"/>
    <w:rsid w:val="000D0BEE"/>
    <w:rsid w:val="000D13A9"/>
    <w:rsid w:val="000D149D"/>
    <w:rsid w:val="000D17ED"/>
    <w:rsid w:val="000D190B"/>
    <w:rsid w:val="000D200F"/>
    <w:rsid w:val="000D2238"/>
    <w:rsid w:val="000D26B5"/>
    <w:rsid w:val="000D2743"/>
    <w:rsid w:val="000D2871"/>
    <w:rsid w:val="000D2B9B"/>
    <w:rsid w:val="000D2FE8"/>
    <w:rsid w:val="000D3520"/>
    <w:rsid w:val="000D3DF3"/>
    <w:rsid w:val="000D4551"/>
    <w:rsid w:val="000D45B8"/>
    <w:rsid w:val="000D496F"/>
    <w:rsid w:val="000D4F35"/>
    <w:rsid w:val="000D4F70"/>
    <w:rsid w:val="000D5018"/>
    <w:rsid w:val="000D5326"/>
    <w:rsid w:val="000D540B"/>
    <w:rsid w:val="000D578C"/>
    <w:rsid w:val="000D612C"/>
    <w:rsid w:val="000D6593"/>
    <w:rsid w:val="000D7832"/>
    <w:rsid w:val="000D7ED1"/>
    <w:rsid w:val="000E04C7"/>
    <w:rsid w:val="000E07A1"/>
    <w:rsid w:val="000E1CEC"/>
    <w:rsid w:val="000E1EA0"/>
    <w:rsid w:val="000E20DC"/>
    <w:rsid w:val="000E2148"/>
    <w:rsid w:val="000E23D6"/>
    <w:rsid w:val="000E2D2F"/>
    <w:rsid w:val="000E2EDE"/>
    <w:rsid w:val="000E334F"/>
    <w:rsid w:val="000E3665"/>
    <w:rsid w:val="000E415C"/>
    <w:rsid w:val="000E4267"/>
    <w:rsid w:val="000E6188"/>
    <w:rsid w:val="000E6255"/>
    <w:rsid w:val="000E677D"/>
    <w:rsid w:val="000E6850"/>
    <w:rsid w:val="000E6969"/>
    <w:rsid w:val="000E74AE"/>
    <w:rsid w:val="000E7600"/>
    <w:rsid w:val="000E7617"/>
    <w:rsid w:val="000E7AE2"/>
    <w:rsid w:val="000F166F"/>
    <w:rsid w:val="000F1AF6"/>
    <w:rsid w:val="000F1D8B"/>
    <w:rsid w:val="000F2073"/>
    <w:rsid w:val="000F23EB"/>
    <w:rsid w:val="000F29D9"/>
    <w:rsid w:val="000F3128"/>
    <w:rsid w:val="000F3A4A"/>
    <w:rsid w:val="000F3C2F"/>
    <w:rsid w:val="000F4B90"/>
    <w:rsid w:val="000F5528"/>
    <w:rsid w:val="000F5A87"/>
    <w:rsid w:val="000F6037"/>
    <w:rsid w:val="000F6902"/>
    <w:rsid w:val="000F7A1D"/>
    <w:rsid w:val="000F7B3D"/>
    <w:rsid w:val="000F7CEC"/>
    <w:rsid w:val="000F7F8F"/>
    <w:rsid w:val="00100250"/>
    <w:rsid w:val="001012D4"/>
    <w:rsid w:val="00101DEC"/>
    <w:rsid w:val="00101EDB"/>
    <w:rsid w:val="001021E3"/>
    <w:rsid w:val="0010260F"/>
    <w:rsid w:val="0010402E"/>
    <w:rsid w:val="00104121"/>
    <w:rsid w:val="001041B0"/>
    <w:rsid w:val="001041F3"/>
    <w:rsid w:val="001042A4"/>
    <w:rsid w:val="0010493D"/>
    <w:rsid w:val="00104DB4"/>
    <w:rsid w:val="00104DB8"/>
    <w:rsid w:val="00105210"/>
    <w:rsid w:val="00105870"/>
    <w:rsid w:val="00105A0B"/>
    <w:rsid w:val="00105BA7"/>
    <w:rsid w:val="001071E5"/>
    <w:rsid w:val="00107428"/>
    <w:rsid w:val="00107515"/>
    <w:rsid w:val="00107740"/>
    <w:rsid w:val="00107DC5"/>
    <w:rsid w:val="001104FA"/>
    <w:rsid w:val="00110B43"/>
    <w:rsid w:val="00110DC7"/>
    <w:rsid w:val="00111207"/>
    <w:rsid w:val="001118B3"/>
    <w:rsid w:val="0011252D"/>
    <w:rsid w:val="00112A15"/>
    <w:rsid w:val="00113635"/>
    <w:rsid w:val="00113AA6"/>
    <w:rsid w:val="00114757"/>
    <w:rsid w:val="00114C50"/>
    <w:rsid w:val="00114FA2"/>
    <w:rsid w:val="00115298"/>
    <w:rsid w:val="001154E6"/>
    <w:rsid w:val="00115801"/>
    <w:rsid w:val="00115CDE"/>
    <w:rsid w:val="00115FF8"/>
    <w:rsid w:val="001166B4"/>
    <w:rsid w:val="00116D49"/>
    <w:rsid w:val="00116ED1"/>
    <w:rsid w:val="00117542"/>
    <w:rsid w:val="00117D5E"/>
    <w:rsid w:val="0012036E"/>
    <w:rsid w:val="0012057C"/>
    <w:rsid w:val="00120673"/>
    <w:rsid w:val="0012084E"/>
    <w:rsid w:val="00121500"/>
    <w:rsid w:val="001215C8"/>
    <w:rsid w:val="00121AEB"/>
    <w:rsid w:val="0012209E"/>
    <w:rsid w:val="00122485"/>
    <w:rsid w:val="0012274E"/>
    <w:rsid w:val="00122D79"/>
    <w:rsid w:val="00122D9F"/>
    <w:rsid w:val="00123074"/>
    <w:rsid w:val="0012307E"/>
    <w:rsid w:val="0012357B"/>
    <w:rsid w:val="001238A9"/>
    <w:rsid w:val="00123C87"/>
    <w:rsid w:val="00123E24"/>
    <w:rsid w:val="0012478F"/>
    <w:rsid w:val="0012491F"/>
    <w:rsid w:val="00124BC3"/>
    <w:rsid w:val="00124CC9"/>
    <w:rsid w:val="0012507E"/>
    <w:rsid w:val="00125691"/>
    <w:rsid w:val="0012589E"/>
    <w:rsid w:val="00126183"/>
    <w:rsid w:val="001267EF"/>
    <w:rsid w:val="00126AE3"/>
    <w:rsid w:val="00126D68"/>
    <w:rsid w:val="001273DF"/>
    <w:rsid w:val="00127EE0"/>
    <w:rsid w:val="00130228"/>
    <w:rsid w:val="001302CC"/>
    <w:rsid w:val="00130B41"/>
    <w:rsid w:val="00130E92"/>
    <w:rsid w:val="00131010"/>
    <w:rsid w:val="001311DD"/>
    <w:rsid w:val="00131AA4"/>
    <w:rsid w:val="00131E49"/>
    <w:rsid w:val="00132238"/>
    <w:rsid w:val="001326F2"/>
    <w:rsid w:val="001331D5"/>
    <w:rsid w:val="00133267"/>
    <w:rsid w:val="00133402"/>
    <w:rsid w:val="00133477"/>
    <w:rsid w:val="00133646"/>
    <w:rsid w:val="0013367E"/>
    <w:rsid w:val="00133F13"/>
    <w:rsid w:val="00134952"/>
    <w:rsid w:val="00134A90"/>
    <w:rsid w:val="00134E95"/>
    <w:rsid w:val="0013538D"/>
    <w:rsid w:val="0013641D"/>
    <w:rsid w:val="001368E5"/>
    <w:rsid w:val="001376E7"/>
    <w:rsid w:val="001377DE"/>
    <w:rsid w:val="00137AD1"/>
    <w:rsid w:val="001417BA"/>
    <w:rsid w:val="00141A05"/>
    <w:rsid w:val="00141A23"/>
    <w:rsid w:val="001424BD"/>
    <w:rsid w:val="00142684"/>
    <w:rsid w:val="00142A27"/>
    <w:rsid w:val="0014304E"/>
    <w:rsid w:val="00143160"/>
    <w:rsid w:val="00143B4A"/>
    <w:rsid w:val="00143F5F"/>
    <w:rsid w:val="00143FCD"/>
    <w:rsid w:val="0014408C"/>
    <w:rsid w:val="001440C3"/>
    <w:rsid w:val="0014419B"/>
    <w:rsid w:val="00144638"/>
    <w:rsid w:val="00144B5D"/>
    <w:rsid w:val="001452E6"/>
    <w:rsid w:val="00145806"/>
    <w:rsid w:val="00145A32"/>
    <w:rsid w:val="00145F0A"/>
    <w:rsid w:val="00146229"/>
    <w:rsid w:val="00146977"/>
    <w:rsid w:val="00146B00"/>
    <w:rsid w:val="00146D8A"/>
    <w:rsid w:val="00147783"/>
    <w:rsid w:val="00147E6B"/>
    <w:rsid w:val="001502FB"/>
    <w:rsid w:val="001514F7"/>
    <w:rsid w:val="001519FF"/>
    <w:rsid w:val="001520D1"/>
    <w:rsid w:val="00152322"/>
    <w:rsid w:val="00153AC0"/>
    <w:rsid w:val="00153B3D"/>
    <w:rsid w:val="00154184"/>
    <w:rsid w:val="0015432F"/>
    <w:rsid w:val="001544A0"/>
    <w:rsid w:val="0015484D"/>
    <w:rsid w:val="00154E05"/>
    <w:rsid w:val="00154FA5"/>
    <w:rsid w:val="001550E6"/>
    <w:rsid w:val="00155580"/>
    <w:rsid w:val="00155B7F"/>
    <w:rsid w:val="00156CDF"/>
    <w:rsid w:val="00157164"/>
    <w:rsid w:val="001573F5"/>
    <w:rsid w:val="0015784F"/>
    <w:rsid w:val="00157A0F"/>
    <w:rsid w:val="00160441"/>
    <w:rsid w:val="00161ACF"/>
    <w:rsid w:val="00161CAF"/>
    <w:rsid w:val="00161DC5"/>
    <w:rsid w:val="001623E1"/>
    <w:rsid w:val="00162A40"/>
    <w:rsid w:val="00162A59"/>
    <w:rsid w:val="0016301E"/>
    <w:rsid w:val="0016309E"/>
    <w:rsid w:val="00163F05"/>
    <w:rsid w:val="00164B59"/>
    <w:rsid w:val="00164B64"/>
    <w:rsid w:val="00165E31"/>
    <w:rsid w:val="001663A2"/>
    <w:rsid w:val="00166A33"/>
    <w:rsid w:val="00166A3D"/>
    <w:rsid w:val="001676F2"/>
    <w:rsid w:val="00167708"/>
    <w:rsid w:val="001701CE"/>
    <w:rsid w:val="00170519"/>
    <w:rsid w:val="00172718"/>
    <w:rsid w:val="00172D52"/>
    <w:rsid w:val="00173969"/>
    <w:rsid w:val="00173ACA"/>
    <w:rsid w:val="00173ECF"/>
    <w:rsid w:val="0017416C"/>
    <w:rsid w:val="001743DA"/>
    <w:rsid w:val="00174916"/>
    <w:rsid w:val="00174BD4"/>
    <w:rsid w:val="001754CA"/>
    <w:rsid w:val="001757E8"/>
    <w:rsid w:val="00175C48"/>
    <w:rsid w:val="00175D99"/>
    <w:rsid w:val="00175EB4"/>
    <w:rsid w:val="00175F7C"/>
    <w:rsid w:val="001763A7"/>
    <w:rsid w:val="00176447"/>
    <w:rsid w:val="00176D9C"/>
    <w:rsid w:val="00176DD8"/>
    <w:rsid w:val="0017735E"/>
    <w:rsid w:val="001773D6"/>
    <w:rsid w:val="0017776B"/>
    <w:rsid w:val="00177B9B"/>
    <w:rsid w:val="00177FD9"/>
    <w:rsid w:val="00180FD7"/>
    <w:rsid w:val="00181B6B"/>
    <w:rsid w:val="00181EE8"/>
    <w:rsid w:val="001828AC"/>
    <w:rsid w:val="00183A05"/>
    <w:rsid w:val="00183F10"/>
    <w:rsid w:val="0018401F"/>
    <w:rsid w:val="0018434D"/>
    <w:rsid w:val="00184E24"/>
    <w:rsid w:val="00185072"/>
    <w:rsid w:val="00185E6F"/>
    <w:rsid w:val="00186167"/>
    <w:rsid w:val="0018661E"/>
    <w:rsid w:val="00186674"/>
    <w:rsid w:val="001868C2"/>
    <w:rsid w:val="00186A67"/>
    <w:rsid w:val="00186ACB"/>
    <w:rsid w:val="00186B7F"/>
    <w:rsid w:val="00186E09"/>
    <w:rsid w:val="0018771B"/>
    <w:rsid w:val="0018793A"/>
    <w:rsid w:val="00187CCB"/>
    <w:rsid w:val="00187CF3"/>
    <w:rsid w:val="00187FC9"/>
    <w:rsid w:val="0019041C"/>
    <w:rsid w:val="00190B1C"/>
    <w:rsid w:val="00191123"/>
    <w:rsid w:val="001914E0"/>
    <w:rsid w:val="00191BCA"/>
    <w:rsid w:val="00192D22"/>
    <w:rsid w:val="00193154"/>
    <w:rsid w:val="00193177"/>
    <w:rsid w:val="00193193"/>
    <w:rsid w:val="001943EA"/>
    <w:rsid w:val="001945D8"/>
    <w:rsid w:val="00196864"/>
    <w:rsid w:val="00196EC9"/>
    <w:rsid w:val="00196F64"/>
    <w:rsid w:val="00197165"/>
    <w:rsid w:val="00197DA9"/>
    <w:rsid w:val="00197DAA"/>
    <w:rsid w:val="00197E9E"/>
    <w:rsid w:val="001A01EC"/>
    <w:rsid w:val="001A02AF"/>
    <w:rsid w:val="001A0666"/>
    <w:rsid w:val="001A14BB"/>
    <w:rsid w:val="001A19E2"/>
    <w:rsid w:val="001A1B96"/>
    <w:rsid w:val="001A35DE"/>
    <w:rsid w:val="001A37D6"/>
    <w:rsid w:val="001A38A8"/>
    <w:rsid w:val="001A3A40"/>
    <w:rsid w:val="001A42FC"/>
    <w:rsid w:val="001A452F"/>
    <w:rsid w:val="001A59A1"/>
    <w:rsid w:val="001A63F7"/>
    <w:rsid w:val="001A646F"/>
    <w:rsid w:val="001A68D1"/>
    <w:rsid w:val="001A69BB"/>
    <w:rsid w:val="001A6E4B"/>
    <w:rsid w:val="001A76D8"/>
    <w:rsid w:val="001A777B"/>
    <w:rsid w:val="001A7AAF"/>
    <w:rsid w:val="001A7B85"/>
    <w:rsid w:val="001B0370"/>
    <w:rsid w:val="001B066D"/>
    <w:rsid w:val="001B098A"/>
    <w:rsid w:val="001B0CDF"/>
    <w:rsid w:val="001B0D5E"/>
    <w:rsid w:val="001B0D9B"/>
    <w:rsid w:val="001B0DBC"/>
    <w:rsid w:val="001B154D"/>
    <w:rsid w:val="001B180C"/>
    <w:rsid w:val="001B1AD6"/>
    <w:rsid w:val="001B1E43"/>
    <w:rsid w:val="001B310B"/>
    <w:rsid w:val="001B3310"/>
    <w:rsid w:val="001B3347"/>
    <w:rsid w:val="001B335B"/>
    <w:rsid w:val="001B3E46"/>
    <w:rsid w:val="001B4C58"/>
    <w:rsid w:val="001B4F11"/>
    <w:rsid w:val="001B5320"/>
    <w:rsid w:val="001B543E"/>
    <w:rsid w:val="001B5C95"/>
    <w:rsid w:val="001B5E22"/>
    <w:rsid w:val="001B6AFC"/>
    <w:rsid w:val="001C0832"/>
    <w:rsid w:val="001C0DA6"/>
    <w:rsid w:val="001C0FDB"/>
    <w:rsid w:val="001C1262"/>
    <w:rsid w:val="001C190A"/>
    <w:rsid w:val="001C1E5A"/>
    <w:rsid w:val="001C214A"/>
    <w:rsid w:val="001C2794"/>
    <w:rsid w:val="001C2FCE"/>
    <w:rsid w:val="001C3690"/>
    <w:rsid w:val="001C3D7A"/>
    <w:rsid w:val="001C3D8E"/>
    <w:rsid w:val="001C421C"/>
    <w:rsid w:val="001C446C"/>
    <w:rsid w:val="001C44A0"/>
    <w:rsid w:val="001C4557"/>
    <w:rsid w:val="001C4A7E"/>
    <w:rsid w:val="001C4EC0"/>
    <w:rsid w:val="001C4FF5"/>
    <w:rsid w:val="001C56BE"/>
    <w:rsid w:val="001C596A"/>
    <w:rsid w:val="001C5BD9"/>
    <w:rsid w:val="001C5D53"/>
    <w:rsid w:val="001C5EBB"/>
    <w:rsid w:val="001C6C5A"/>
    <w:rsid w:val="001C6C78"/>
    <w:rsid w:val="001C6E80"/>
    <w:rsid w:val="001C7A2B"/>
    <w:rsid w:val="001C7A7F"/>
    <w:rsid w:val="001C7DD9"/>
    <w:rsid w:val="001C7F1D"/>
    <w:rsid w:val="001D0159"/>
    <w:rsid w:val="001D091D"/>
    <w:rsid w:val="001D0B58"/>
    <w:rsid w:val="001D0D34"/>
    <w:rsid w:val="001D0DE3"/>
    <w:rsid w:val="001D1344"/>
    <w:rsid w:val="001D1737"/>
    <w:rsid w:val="001D1908"/>
    <w:rsid w:val="001D1EB1"/>
    <w:rsid w:val="001D2709"/>
    <w:rsid w:val="001D30B8"/>
    <w:rsid w:val="001D3AFF"/>
    <w:rsid w:val="001D3FBC"/>
    <w:rsid w:val="001D4651"/>
    <w:rsid w:val="001D4B56"/>
    <w:rsid w:val="001D5068"/>
    <w:rsid w:val="001D5837"/>
    <w:rsid w:val="001D5B89"/>
    <w:rsid w:val="001D5CD7"/>
    <w:rsid w:val="001D5D6A"/>
    <w:rsid w:val="001D6E72"/>
    <w:rsid w:val="001D7CFF"/>
    <w:rsid w:val="001E0AE1"/>
    <w:rsid w:val="001E157C"/>
    <w:rsid w:val="001E215D"/>
    <w:rsid w:val="001E23E2"/>
    <w:rsid w:val="001E2B0A"/>
    <w:rsid w:val="001E2B14"/>
    <w:rsid w:val="001E2BD6"/>
    <w:rsid w:val="001E300E"/>
    <w:rsid w:val="001E33DA"/>
    <w:rsid w:val="001E340E"/>
    <w:rsid w:val="001E3FE6"/>
    <w:rsid w:val="001E4C31"/>
    <w:rsid w:val="001E5693"/>
    <w:rsid w:val="001E5939"/>
    <w:rsid w:val="001E5FA2"/>
    <w:rsid w:val="001E62AC"/>
    <w:rsid w:val="001E66D2"/>
    <w:rsid w:val="001E69D9"/>
    <w:rsid w:val="001E6C06"/>
    <w:rsid w:val="001E7774"/>
    <w:rsid w:val="001E79CB"/>
    <w:rsid w:val="001E7B4B"/>
    <w:rsid w:val="001E7E42"/>
    <w:rsid w:val="001F0905"/>
    <w:rsid w:val="001F1093"/>
    <w:rsid w:val="001F21F9"/>
    <w:rsid w:val="001F295A"/>
    <w:rsid w:val="001F2B32"/>
    <w:rsid w:val="001F2D1F"/>
    <w:rsid w:val="001F317C"/>
    <w:rsid w:val="001F3565"/>
    <w:rsid w:val="001F3702"/>
    <w:rsid w:val="001F3B3B"/>
    <w:rsid w:val="001F3E1A"/>
    <w:rsid w:val="001F3E32"/>
    <w:rsid w:val="001F4DAA"/>
    <w:rsid w:val="001F528F"/>
    <w:rsid w:val="001F54B5"/>
    <w:rsid w:val="001F5FAD"/>
    <w:rsid w:val="001F620D"/>
    <w:rsid w:val="001F6D70"/>
    <w:rsid w:val="001F71E8"/>
    <w:rsid w:val="001F71F0"/>
    <w:rsid w:val="001F7388"/>
    <w:rsid w:val="001F7D90"/>
    <w:rsid w:val="001F7E06"/>
    <w:rsid w:val="002009B8"/>
    <w:rsid w:val="002010CB"/>
    <w:rsid w:val="00201194"/>
    <w:rsid w:val="0020147C"/>
    <w:rsid w:val="00201894"/>
    <w:rsid w:val="002018DE"/>
    <w:rsid w:val="002019CF"/>
    <w:rsid w:val="00201A51"/>
    <w:rsid w:val="00201DD7"/>
    <w:rsid w:val="0020275C"/>
    <w:rsid w:val="002033CA"/>
    <w:rsid w:val="00203B7E"/>
    <w:rsid w:val="00203C35"/>
    <w:rsid w:val="00203FE2"/>
    <w:rsid w:val="002042E4"/>
    <w:rsid w:val="0020431B"/>
    <w:rsid w:val="00204564"/>
    <w:rsid w:val="002048C1"/>
    <w:rsid w:val="00204CDE"/>
    <w:rsid w:val="00205185"/>
    <w:rsid w:val="00205A63"/>
    <w:rsid w:val="00205C79"/>
    <w:rsid w:val="0020687D"/>
    <w:rsid w:val="00207168"/>
    <w:rsid w:val="00207856"/>
    <w:rsid w:val="002100C8"/>
    <w:rsid w:val="00210A51"/>
    <w:rsid w:val="00210B2B"/>
    <w:rsid w:val="00211487"/>
    <w:rsid w:val="002117F2"/>
    <w:rsid w:val="002119BB"/>
    <w:rsid w:val="00212536"/>
    <w:rsid w:val="00212868"/>
    <w:rsid w:val="00212BE6"/>
    <w:rsid w:val="002133B8"/>
    <w:rsid w:val="002138FB"/>
    <w:rsid w:val="0021395E"/>
    <w:rsid w:val="00213E57"/>
    <w:rsid w:val="00214D55"/>
    <w:rsid w:val="00215190"/>
    <w:rsid w:val="00215A5E"/>
    <w:rsid w:val="00215CEE"/>
    <w:rsid w:val="00215EB8"/>
    <w:rsid w:val="00216186"/>
    <w:rsid w:val="002171F4"/>
    <w:rsid w:val="0021725D"/>
    <w:rsid w:val="00217270"/>
    <w:rsid w:val="002173DC"/>
    <w:rsid w:val="00217B3F"/>
    <w:rsid w:val="00217BE7"/>
    <w:rsid w:val="00217E76"/>
    <w:rsid w:val="00220DE5"/>
    <w:rsid w:val="00220FB0"/>
    <w:rsid w:val="00221E37"/>
    <w:rsid w:val="00222024"/>
    <w:rsid w:val="00222117"/>
    <w:rsid w:val="00222B8C"/>
    <w:rsid w:val="00223849"/>
    <w:rsid w:val="002238CD"/>
    <w:rsid w:val="00223B68"/>
    <w:rsid w:val="00225554"/>
    <w:rsid w:val="002257BC"/>
    <w:rsid w:val="00225A3F"/>
    <w:rsid w:val="00225FA4"/>
    <w:rsid w:val="00226335"/>
    <w:rsid w:val="0022687C"/>
    <w:rsid w:val="00226B4C"/>
    <w:rsid w:val="00227E1D"/>
    <w:rsid w:val="00230792"/>
    <w:rsid w:val="00230997"/>
    <w:rsid w:val="00230AB3"/>
    <w:rsid w:val="00230B4F"/>
    <w:rsid w:val="0023173C"/>
    <w:rsid w:val="00231D2E"/>
    <w:rsid w:val="002322CF"/>
    <w:rsid w:val="00232414"/>
    <w:rsid w:val="00233E8B"/>
    <w:rsid w:val="002340C8"/>
    <w:rsid w:val="0023485A"/>
    <w:rsid w:val="00234F1E"/>
    <w:rsid w:val="00235323"/>
    <w:rsid w:val="0023551D"/>
    <w:rsid w:val="00235A05"/>
    <w:rsid w:val="00236566"/>
    <w:rsid w:val="00236579"/>
    <w:rsid w:val="002365C0"/>
    <w:rsid w:val="002366C4"/>
    <w:rsid w:val="00236CA8"/>
    <w:rsid w:val="00236D17"/>
    <w:rsid w:val="0023756F"/>
    <w:rsid w:val="00240478"/>
    <w:rsid w:val="00240592"/>
    <w:rsid w:val="00240F2C"/>
    <w:rsid w:val="002413FE"/>
    <w:rsid w:val="0024152D"/>
    <w:rsid w:val="00241D1F"/>
    <w:rsid w:val="002420B6"/>
    <w:rsid w:val="002423FB"/>
    <w:rsid w:val="00242515"/>
    <w:rsid w:val="00242809"/>
    <w:rsid w:val="00242ABE"/>
    <w:rsid w:val="00242B76"/>
    <w:rsid w:val="00242EC8"/>
    <w:rsid w:val="002433B8"/>
    <w:rsid w:val="00243A9B"/>
    <w:rsid w:val="0024481B"/>
    <w:rsid w:val="00244D99"/>
    <w:rsid w:val="00245047"/>
    <w:rsid w:val="00245220"/>
    <w:rsid w:val="0024558B"/>
    <w:rsid w:val="00245720"/>
    <w:rsid w:val="00245749"/>
    <w:rsid w:val="002459E0"/>
    <w:rsid w:val="00246560"/>
    <w:rsid w:val="002472E8"/>
    <w:rsid w:val="0024770A"/>
    <w:rsid w:val="002479EA"/>
    <w:rsid w:val="00247ED9"/>
    <w:rsid w:val="00250BA6"/>
    <w:rsid w:val="0025167A"/>
    <w:rsid w:val="00251CAA"/>
    <w:rsid w:val="002521E7"/>
    <w:rsid w:val="00252474"/>
    <w:rsid w:val="002526D0"/>
    <w:rsid w:val="00252AD6"/>
    <w:rsid w:val="00253157"/>
    <w:rsid w:val="002537FB"/>
    <w:rsid w:val="002539E2"/>
    <w:rsid w:val="00254078"/>
    <w:rsid w:val="002540D1"/>
    <w:rsid w:val="0025433A"/>
    <w:rsid w:val="00254AD6"/>
    <w:rsid w:val="00255D03"/>
    <w:rsid w:val="00255D37"/>
    <w:rsid w:val="002565C5"/>
    <w:rsid w:val="002575E3"/>
    <w:rsid w:val="002576A5"/>
    <w:rsid w:val="002578FD"/>
    <w:rsid w:val="0026031D"/>
    <w:rsid w:val="002609F9"/>
    <w:rsid w:val="00261AC1"/>
    <w:rsid w:val="00261F0F"/>
    <w:rsid w:val="00261FC0"/>
    <w:rsid w:val="002622EF"/>
    <w:rsid w:val="00262993"/>
    <w:rsid w:val="00262C8F"/>
    <w:rsid w:val="0026313B"/>
    <w:rsid w:val="00263279"/>
    <w:rsid w:val="002633F6"/>
    <w:rsid w:val="0026348D"/>
    <w:rsid w:val="00263500"/>
    <w:rsid w:val="00263741"/>
    <w:rsid w:val="002638AD"/>
    <w:rsid w:val="00263BE8"/>
    <w:rsid w:val="00263ED7"/>
    <w:rsid w:val="00264279"/>
    <w:rsid w:val="0026460A"/>
    <w:rsid w:val="00264BBE"/>
    <w:rsid w:val="00264DF9"/>
    <w:rsid w:val="002654DA"/>
    <w:rsid w:val="0026564C"/>
    <w:rsid w:val="00265816"/>
    <w:rsid w:val="002659D6"/>
    <w:rsid w:val="00265D02"/>
    <w:rsid w:val="00265E99"/>
    <w:rsid w:val="002662FB"/>
    <w:rsid w:val="00266514"/>
    <w:rsid w:val="0026656F"/>
    <w:rsid w:val="002669A4"/>
    <w:rsid w:val="00266A5E"/>
    <w:rsid w:val="002671BE"/>
    <w:rsid w:val="002674AB"/>
    <w:rsid w:val="00267519"/>
    <w:rsid w:val="00270161"/>
    <w:rsid w:val="00270430"/>
    <w:rsid w:val="002711D3"/>
    <w:rsid w:val="002716FE"/>
    <w:rsid w:val="0027194E"/>
    <w:rsid w:val="002726D8"/>
    <w:rsid w:val="00272ED3"/>
    <w:rsid w:val="002730FB"/>
    <w:rsid w:val="0027329D"/>
    <w:rsid w:val="002734AA"/>
    <w:rsid w:val="002734F8"/>
    <w:rsid w:val="00275399"/>
    <w:rsid w:val="002762FB"/>
    <w:rsid w:val="00276312"/>
    <w:rsid w:val="00276EAF"/>
    <w:rsid w:val="002775EF"/>
    <w:rsid w:val="002777DF"/>
    <w:rsid w:val="00280563"/>
    <w:rsid w:val="002805F8"/>
    <w:rsid w:val="002805FB"/>
    <w:rsid w:val="0028087B"/>
    <w:rsid w:val="002813D6"/>
    <w:rsid w:val="00281569"/>
    <w:rsid w:val="00282D89"/>
    <w:rsid w:val="00282E26"/>
    <w:rsid w:val="00283661"/>
    <w:rsid w:val="00283726"/>
    <w:rsid w:val="0028399D"/>
    <w:rsid w:val="00283B4C"/>
    <w:rsid w:val="00283DFB"/>
    <w:rsid w:val="00283F8D"/>
    <w:rsid w:val="00284510"/>
    <w:rsid w:val="00284B51"/>
    <w:rsid w:val="00284E7A"/>
    <w:rsid w:val="00284F42"/>
    <w:rsid w:val="00284FD8"/>
    <w:rsid w:val="00285456"/>
    <w:rsid w:val="002856CF"/>
    <w:rsid w:val="002860F1"/>
    <w:rsid w:val="00286AAA"/>
    <w:rsid w:val="002877B3"/>
    <w:rsid w:val="00287D9B"/>
    <w:rsid w:val="00290732"/>
    <w:rsid w:val="0029126A"/>
    <w:rsid w:val="00291306"/>
    <w:rsid w:val="00291502"/>
    <w:rsid w:val="0029169C"/>
    <w:rsid w:val="00291A0F"/>
    <w:rsid w:val="00291E22"/>
    <w:rsid w:val="0029249A"/>
    <w:rsid w:val="0029253A"/>
    <w:rsid w:val="00292D5A"/>
    <w:rsid w:val="0029407E"/>
    <w:rsid w:val="0029471E"/>
    <w:rsid w:val="0029483C"/>
    <w:rsid w:val="00294DE9"/>
    <w:rsid w:val="00294F0D"/>
    <w:rsid w:val="002952DB"/>
    <w:rsid w:val="00295613"/>
    <w:rsid w:val="002957E4"/>
    <w:rsid w:val="00297058"/>
    <w:rsid w:val="0029743C"/>
    <w:rsid w:val="00297472"/>
    <w:rsid w:val="002979BF"/>
    <w:rsid w:val="00297C37"/>
    <w:rsid w:val="002A051A"/>
    <w:rsid w:val="002A0D29"/>
    <w:rsid w:val="002A1308"/>
    <w:rsid w:val="002A174F"/>
    <w:rsid w:val="002A189D"/>
    <w:rsid w:val="002A1FF9"/>
    <w:rsid w:val="002A2314"/>
    <w:rsid w:val="002A23BA"/>
    <w:rsid w:val="002A3CCD"/>
    <w:rsid w:val="002A461C"/>
    <w:rsid w:val="002A4710"/>
    <w:rsid w:val="002A471A"/>
    <w:rsid w:val="002A47BC"/>
    <w:rsid w:val="002A47F5"/>
    <w:rsid w:val="002A4840"/>
    <w:rsid w:val="002A4B74"/>
    <w:rsid w:val="002A5A34"/>
    <w:rsid w:val="002A5E4B"/>
    <w:rsid w:val="002A6860"/>
    <w:rsid w:val="002A68E4"/>
    <w:rsid w:val="002A6BB1"/>
    <w:rsid w:val="002A70FE"/>
    <w:rsid w:val="002A7D3D"/>
    <w:rsid w:val="002B0270"/>
    <w:rsid w:val="002B06E0"/>
    <w:rsid w:val="002B0B88"/>
    <w:rsid w:val="002B1106"/>
    <w:rsid w:val="002B187B"/>
    <w:rsid w:val="002B1C8C"/>
    <w:rsid w:val="002B2A9C"/>
    <w:rsid w:val="002B2BB5"/>
    <w:rsid w:val="002B2C87"/>
    <w:rsid w:val="002B2EC0"/>
    <w:rsid w:val="002B3573"/>
    <w:rsid w:val="002B3593"/>
    <w:rsid w:val="002B373C"/>
    <w:rsid w:val="002B445F"/>
    <w:rsid w:val="002B4B74"/>
    <w:rsid w:val="002B5DE7"/>
    <w:rsid w:val="002B62C8"/>
    <w:rsid w:val="002B62D7"/>
    <w:rsid w:val="002B6DDE"/>
    <w:rsid w:val="002B76E0"/>
    <w:rsid w:val="002B7869"/>
    <w:rsid w:val="002B7C47"/>
    <w:rsid w:val="002C002B"/>
    <w:rsid w:val="002C00DB"/>
    <w:rsid w:val="002C0491"/>
    <w:rsid w:val="002C1374"/>
    <w:rsid w:val="002C160B"/>
    <w:rsid w:val="002C2B1B"/>
    <w:rsid w:val="002C2EE4"/>
    <w:rsid w:val="002C37C8"/>
    <w:rsid w:val="002C39DC"/>
    <w:rsid w:val="002C4655"/>
    <w:rsid w:val="002C46E0"/>
    <w:rsid w:val="002C534D"/>
    <w:rsid w:val="002C5CDE"/>
    <w:rsid w:val="002C5E9C"/>
    <w:rsid w:val="002C654E"/>
    <w:rsid w:val="002C65B0"/>
    <w:rsid w:val="002C677C"/>
    <w:rsid w:val="002C69C4"/>
    <w:rsid w:val="002C6ABA"/>
    <w:rsid w:val="002C6D7F"/>
    <w:rsid w:val="002C7554"/>
    <w:rsid w:val="002D03A8"/>
    <w:rsid w:val="002D1105"/>
    <w:rsid w:val="002D12C7"/>
    <w:rsid w:val="002D1BAC"/>
    <w:rsid w:val="002D1BB5"/>
    <w:rsid w:val="002D2431"/>
    <w:rsid w:val="002D25EB"/>
    <w:rsid w:val="002D2F66"/>
    <w:rsid w:val="002D31E9"/>
    <w:rsid w:val="002D3C6F"/>
    <w:rsid w:val="002D3DDC"/>
    <w:rsid w:val="002D4293"/>
    <w:rsid w:val="002D43BE"/>
    <w:rsid w:val="002D45BD"/>
    <w:rsid w:val="002D4E52"/>
    <w:rsid w:val="002D50D3"/>
    <w:rsid w:val="002D5C08"/>
    <w:rsid w:val="002D5CBD"/>
    <w:rsid w:val="002D5EC6"/>
    <w:rsid w:val="002D6400"/>
    <w:rsid w:val="002D6626"/>
    <w:rsid w:val="002D73C7"/>
    <w:rsid w:val="002D7DB5"/>
    <w:rsid w:val="002E0171"/>
    <w:rsid w:val="002E0432"/>
    <w:rsid w:val="002E0530"/>
    <w:rsid w:val="002E1411"/>
    <w:rsid w:val="002E29AF"/>
    <w:rsid w:val="002E320F"/>
    <w:rsid w:val="002E34BE"/>
    <w:rsid w:val="002E3E65"/>
    <w:rsid w:val="002E3F82"/>
    <w:rsid w:val="002E43B7"/>
    <w:rsid w:val="002E4C5E"/>
    <w:rsid w:val="002E5F28"/>
    <w:rsid w:val="002E6204"/>
    <w:rsid w:val="002E7064"/>
    <w:rsid w:val="002E710A"/>
    <w:rsid w:val="002E7884"/>
    <w:rsid w:val="002F0BEE"/>
    <w:rsid w:val="002F1565"/>
    <w:rsid w:val="002F1CC4"/>
    <w:rsid w:val="002F1E6C"/>
    <w:rsid w:val="002F1EE1"/>
    <w:rsid w:val="002F23B0"/>
    <w:rsid w:val="002F24DF"/>
    <w:rsid w:val="002F3776"/>
    <w:rsid w:val="002F3E9A"/>
    <w:rsid w:val="002F42E0"/>
    <w:rsid w:val="002F483E"/>
    <w:rsid w:val="002F4A18"/>
    <w:rsid w:val="002F4AAB"/>
    <w:rsid w:val="002F5D8D"/>
    <w:rsid w:val="002F6544"/>
    <w:rsid w:val="002F662A"/>
    <w:rsid w:val="002F67BE"/>
    <w:rsid w:val="002F68EF"/>
    <w:rsid w:val="002F6BD5"/>
    <w:rsid w:val="002F7413"/>
    <w:rsid w:val="0030050F"/>
    <w:rsid w:val="00301A3A"/>
    <w:rsid w:val="00301EBA"/>
    <w:rsid w:val="00302B13"/>
    <w:rsid w:val="00303C7B"/>
    <w:rsid w:val="00303D66"/>
    <w:rsid w:val="00303F44"/>
    <w:rsid w:val="00304969"/>
    <w:rsid w:val="00304C7D"/>
    <w:rsid w:val="00305250"/>
    <w:rsid w:val="0030551C"/>
    <w:rsid w:val="00305C71"/>
    <w:rsid w:val="00306385"/>
    <w:rsid w:val="00306430"/>
    <w:rsid w:val="0030649A"/>
    <w:rsid w:val="00306F30"/>
    <w:rsid w:val="003103D6"/>
    <w:rsid w:val="00310811"/>
    <w:rsid w:val="003110F0"/>
    <w:rsid w:val="00311525"/>
    <w:rsid w:val="003117A5"/>
    <w:rsid w:val="0031193E"/>
    <w:rsid w:val="00311B7E"/>
    <w:rsid w:val="00311DF7"/>
    <w:rsid w:val="003126E2"/>
    <w:rsid w:val="00312839"/>
    <w:rsid w:val="00312978"/>
    <w:rsid w:val="003133CD"/>
    <w:rsid w:val="00313588"/>
    <w:rsid w:val="003135AB"/>
    <w:rsid w:val="00313C4F"/>
    <w:rsid w:val="00313D3B"/>
    <w:rsid w:val="003143A1"/>
    <w:rsid w:val="003144A6"/>
    <w:rsid w:val="003147DB"/>
    <w:rsid w:val="00314C3C"/>
    <w:rsid w:val="00314C96"/>
    <w:rsid w:val="00314DC3"/>
    <w:rsid w:val="00314FFF"/>
    <w:rsid w:val="00315051"/>
    <w:rsid w:val="0031542B"/>
    <w:rsid w:val="00315862"/>
    <w:rsid w:val="0031718A"/>
    <w:rsid w:val="00317632"/>
    <w:rsid w:val="0031774A"/>
    <w:rsid w:val="003178C7"/>
    <w:rsid w:val="00317A4D"/>
    <w:rsid w:val="00320808"/>
    <w:rsid w:val="00320993"/>
    <w:rsid w:val="00320D89"/>
    <w:rsid w:val="0032144B"/>
    <w:rsid w:val="003215A3"/>
    <w:rsid w:val="003215AA"/>
    <w:rsid w:val="00321E56"/>
    <w:rsid w:val="00322700"/>
    <w:rsid w:val="003228F8"/>
    <w:rsid w:val="00322BB4"/>
    <w:rsid w:val="00322D44"/>
    <w:rsid w:val="00322D45"/>
    <w:rsid w:val="00322F3E"/>
    <w:rsid w:val="00323AC1"/>
    <w:rsid w:val="00324537"/>
    <w:rsid w:val="00324609"/>
    <w:rsid w:val="00324F52"/>
    <w:rsid w:val="00325544"/>
    <w:rsid w:val="00325729"/>
    <w:rsid w:val="00325931"/>
    <w:rsid w:val="00325C01"/>
    <w:rsid w:val="00326080"/>
    <w:rsid w:val="00326088"/>
    <w:rsid w:val="0032700A"/>
    <w:rsid w:val="00327BAD"/>
    <w:rsid w:val="00327E64"/>
    <w:rsid w:val="003302A6"/>
    <w:rsid w:val="00330417"/>
    <w:rsid w:val="003308E3"/>
    <w:rsid w:val="00330DA7"/>
    <w:rsid w:val="0033103B"/>
    <w:rsid w:val="0033247B"/>
    <w:rsid w:val="003328F7"/>
    <w:rsid w:val="003332A4"/>
    <w:rsid w:val="00333912"/>
    <w:rsid w:val="00333D77"/>
    <w:rsid w:val="00334036"/>
    <w:rsid w:val="00334B41"/>
    <w:rsid w:val="00334B6F"/>
    <w:rsid w:val="00334C41"/>
    <w:rsid w:val="003350E6"/>
    <w:rsid w:val="003358B9"/>
    <w:rsid w:val="00335C9E"/>
    <w:rsid w:val="003361B5"/>
    <w:rsid w:val="00336335"/>
    <w:rsid w:val="00336787"/>
    <w:rsid w:val="00336C95"/>
    <w:rsid w:val="003375AD"/>
    <w:rsid w:val="0033787E"/>
    <w:rsid w:val="003378C6"/>
    <w:rsid w:val="00337A38"/>
    <w:rsid w:val="00337DDA"/>
    <w:rsid w:val="003407B2"/>
    <w:rsid w:val="00340C21"/>
    <w:rsid w:val="00341F6C"/>
    <w:rsid w:val="0034233F"/>
    <w:rsid w:val="003428CC"/>
    <w:rsid w:val="0034324D"/>
    <w:rsid w:val="0034410F"/>
    <w:rsid w:val="003447F4"/>
    <w:rsid w:val="00344CB1"/>
    <w:rsid w:val="00344E7A"/>
    <w:rsid w:val="003452C1"/>
    <w:rsid w:val="0034545F"/>
    <w:rsid w:val="0034552F"/>
    <w:rsid w:val="00345785"/>
    <w:rsid w:val="00346176"/>
    <w:rsid w:val="0034632F"/>
    <w:rsid w:val="003468DB"/>
    <w:rsid w:val="00346A6D"/>
    <w:rsid w:val="00347344"/>
    <w:rsid w:val="00347B3B"/>
    <w:rsid w:val="00347BC2"/>
    <w:rsid w:val="00347F83"/>
    <w:rsid w:val="00350234"/>
    <w:rsid w:val="003502A3"/>
    <w:rsid w:val="0035072C"/>
    <w:rsid w:val="00350DB1"/>
    <w:rsid w:val="0035176B"/>
    <w:rsid w:val="00351C2E"/>
    <w:rsid w:val="0035214E"/>
    <w:rsid w:val="0035274D"/>
    <w:rsid w:val="00352C19"/>
    <w:rsid w:val="00352CBB"/>
    <w:rsid w:val="00352F38"/>
    <w:rsid w:val="003533AE"/>
    <w:rsid w:val="00353401"/>
    <w:rsid w:val="003540DD"/>
    <w:rsid w:val="003541B9"/>
    <w:rsid w:val="003548A6"/>
    <w:rsid w:val="00355910"/>
    <w:rsid w:val="00355C84"/>
    <w:rsid w:val="003565DE"/>
    <w:rsid w:val="00356808"/>
    <w:rsid w:val="00356A6B"/>
    <w:rsid w:val="00356DC6"/>
    <w:rsid w:val="0035706F"/>
    <w:rsid w:val="0035750F"/>
    <w:rsid w:val="003601C0"/>
    <w:rsid w:val="00360D89"/>
    <w:rsid w:val="00360DE9"/>
    <w:rsid w:val="00361237"/>
    <w:rsid w:val="00361456"/>
    <w:rsid w:val="00361956"/>
    <w:rsid w:val="00361D76"/>
    <w:rsid w:val="0036262A"/>
    <w:rsid w:val="00362972"/>
    <w:rsid w:val="0036298D"/>
    <w:rsid w:val="00362B6B"/>
    <w:rsid w:val="0036344F"/>
    <w:rsid w:val="003635B5"/>
    <w:rsid w:val="00363FCA"/>
    <w:rsid w:val="00364653"/>
    <w:rsid w:val="00364821"/>
    <w:rsid w:val="003649B4"/>
    <w:rsid w:val="00365313"/>
    <w:rsid w:val="003658C5"/>
    <w:rsid w:val="0036590F"/>
    <w:rsid w:val="0036689C"/>
    <w:rsid w:val="00366F93"/>
    <w:rsid w:val="00367CFA"/>
    <w:rsid w:val="00367E5C"/>
    <w:rsid w:val="00370278"/>
    <w:rsid w:val="00370620"/>
    <w:rsid w:val="0037132B"/>
    <w:rsid w:val="00372EF4"/>
    <w:rsid w:val="00373A3E"/>
    <w:rsid w:val="00373F0F"/>
    <w:rsid w:val="0037438E"/>
    <w:rsid w:val="0037461E"/>
    <w:rsid w:val="00374733"/>
    <w:rsid w:val="003747E0"/>
    <w:rsid w:val="003755E8"/>
    <w:rsid w:val="0037573E"/>
    <w:rsid w:val="00375955"/>
    <w:rsid w:val="00375A81"/>
    <w:rsid w:val="003760C8"/>
    <w:rsid w:val="00376660"/>
    <w:rsid w:val="003766E6"/>
    <w:rsid w:val="00376C28"/>
    <w:rsid w:val="00377B41"/>
    <w:rsid w:val="00377B64"/>
    <w:rsid w:val="00380296"/>
    <w:rsid w:val="00380962"/>
    <w:rsid w:val="00380C0E"/>
    <w:rsid w:val="003813A7"/>
    <w:rsid w:val="0038141C"/>
    <w:rsid w:val="0038141F"/>
    <w:rsid w:val="003814E1"/>
    <w:rsid w:val="00381536"/>
    <w:rsid w:val="0038165D"/>
    <w:rsid w:val="00381A3B"/>
    <w:rsid w:val="00382360"/>
    <w:rsid w:val="003824E0"/>
    <w:rsid w:val="00382A7A"/>
    <w:rsid w:val="003832C8"/>
    <w:rsid w:val="003834B3"/>
    <w:rsid w:val="00384200"/>
    <w:rsid w:val="00384324"/>
    <w:rsid w:val="0038452B"/>
    <w:rsid w:val="00385754"/>
    <w:rsid w:val="003857D2"/>
    <w:rsid w:val="003859C1"/>
    <w:rsid w:val="00385AC8"/>
    <w:rsid w:val="00386203"/>
    <w:rsid w:val="00387059"/>
    <w:rsid w:val="00387BB4"/>
    <w:rsid w:val="00387E08"/>
    <w:rsid w:val="003900AA"/>
    <w:rsid w:val="00390471"/>
    <w:rsid w:val="00390617"/>
    <w:rsid w:val="0039107A"/>
    <w:rsid w:val="00391DF5"/>
    <w:rsid w:val="00391F60"/>
    <w:rsid w:val="00392916"/>
    <w:rsid w:val="00392BC7"/>
    <w:rsid w:val="00392BDF"/>
    <w:rsid w:val="00392D45"/>
    <w:rsid w:val="00392E7E"/>
    <w:rsid w:val="00392FDB"/>
    <w:rsid w:val="0039384C"/>
    <w:rsid w:val="00393A51"/>
    <w:rsid w:val="00393DD1"/>
    <w:rsid w:val="00393FBF"/>
    <w:rsid w:val="003942E6"/>
    <w:rsid w:val="003948B2"/>
    <w:rsid w:val="00395083"/>
    <w:rsid w:val="003950C8"/>
    <w:rsid w:val="00395608"/>
    <w:rsid w:val="00395989"/>
    <w:rsid w:val="00396388"/>
    <w:rsid w:val="003968CE"/>
    <w:rsid w:val="00397ABD"/>
    <w:rsid w:val="003A09A0"/>
    <w:rsid w:val="003A0CB4"/>
    <w:rsid w:val="003A0D03"/>
    <w:rsid w:val="003A15F5"/>
    <w:rsid w:val="003A1D2C"/>
    <w:rsid w:val="003A2896"/>
    <w:rsid w:val="003A39EB"/>
    <w:rsid w:val="003A417B"/>
    <w:rsid w:val="003A43AF"/>
    <w:rsid w:val="003A4573"/>
    <w:rsid w:val="003A45C8"/>
    <w:rsid w:val="003A4949"/>
    <w:rsid w:val="003A4C0F"/>
    <w:rsid w:val="003A5224"/>
    <w:rsid w:val="003A5261"/>
    <w:rsid w:val="003A530A"/>
    <w:rsid w:val="003A532F"/>
    <w:rsid w:val="003A551A"/>
    <w:rsid w:val="003A5F92"/>
    <w:rsid w:val="003A6527"/>
    <w:rsid w:val="003A692E"/>
    <w:rsid w:val="003A6A68"/>
    <w:rsid w:val="003A7383"/>
    <w:rsid w:val="003A775E"/>
    <w:rsid w:val="003B04E5"/>
    <w:rsid w:val="003B0D38"/>
    <w:rsid w:val="003B1118"/>
    <w:rsid w:val="003B1347"/>
    <w:rsid w:val="003B13FA"/>
    <w:rsid w:val="003B19A8"/>
    <w:rsid w:val="003B1C7E"/>
    <w:rsid w:val="003B21D8"/>
    <w:rsid w:val="003B253C"/>
    <w:rsid w:val="003B30EB"/>
    <w:rsid w:val="003B31CE"/>
    <w:rsid w:val="003B3893"/>
    <w:rsid w:val="003B3C95"/>
    <w:rsid w:val="003B4355"/>
    <w:rsid w:val="003B48DB"/>
    <w:rsid w:val="003B5030"/>
    <w:rsid w:val="003B574F"/>
    <w:rsid w:val="003B5D2D"/>
    <w:rsid w:val="003B5E4F"/>
    <w:rsid w:val="003B6387"/>
    <w:rsid w:val="003B6632"/>
    <w:rsid w:val="003B6ADD"/>
    <w:rsid w:val="003B6EEA"/>
    <w:rsid w:val="003B7024"/>
    <w:rsid w:val="003B79BA"/>
    <w:rsid w:val="003B7B31"/>
    <w:rsid w:val="003B7F3F"/>
    <w:rsid w:val="003C0320"/>
    <w:rsid w:val="003C04B3"/>
    <w:rsid w:val="003C0570"/>
    <w:rsid w:val="003C05E4"/>
    <w:rsid w:val="003C0889"/>
    <w:rsid w:val="003C08D3"/>
    <w:rsid w:val="003C1615"/>
    <w:rsid w:val="003C197B"/>
    <w:rsid w:val="003C28BD"/>
    <w:rsid w:val="003C2995"/>
    <w:rsid w:val="003C3860"/>
    <w:rsid w:val="003C397E"/>
    <w:rsid w:val="003C3C52"/>
    <w:rsid w:val="003C531B"/>
    <w:rsid w:val="003C5A68"/>
    <w:rsid w:val="003C5C84"/>
    <w:rsid w:val="003C6364"/>
    <w:rsid w:val="003C6433"/>
    <w:rsid w:val="003C682C"/>
    <w:rsid w:val="003C68AC"/>
    <w:rsid w:val="003C6F77"/>
    <w:rsid w:val="003C709F"/>
    <w:rsid w:val="003C771E"/>
    <w:rsid w:val="003C7A76"/>
    <w:rsid w:val="003C7C79"/>
    <w:rsid w:val="003D037F"/>
    <w:rsid w:val="003D0ABD"/>
    <w:rsid w:val="003D0C92"/>
    <w:rsid w:val="003D0FB2"/>
    <w:rsid w:val="003D185E"/>
    <w:rsid w:val="003D1F94"/>
    <w:rsid w:val="003D274C"/>
    <w:rsid w:val="003D2A9D"/>
    <w:rsid w:val="003D312E"/>
    <w:rsid w:val="003D3A52"/>
    <w:rsid w:val="003D3CEB"/>
    <w:rsid w:val="003D3E16"/>
    <w:rsid w:val="003D41F1"/>
    <w:rsid w:val="003D4AB1"/>
    <w:rsid w:val="003D5DBF"/>
    <w:rsid w:val="003D629E"/>
    <w:rsid w:val="003D67CA"/>
    <w:rsid w:val="003D6CE5"/>
    <w:rsid w:val="003D6D0D"/>
    <w:rsid w:val="003D73D3"/>
    <w:rsid w:val="003D765F"/>
    <w:rsid w:val="003D7AEA"/>
    <w:rsid w:val="003D7CB2"/>
    <w:rsid w:val="003E050C"/>
    <w:rsid w:val="003E081B"/>
    <w:rsid w:val="003E10FD"/>
    <w:rsid w:val="003E11BE"/>
    <w:rsid w:val="003E2FC8"/>
    <w:rsid w:val="003E316B"/>
    <w:rsid w:val="003E387B"/>
    <w:rsid w:val="003E4454"/>
    <w:rsid w:val="003E4578"/>
    <w:rsid w:val="003E57BD"/>
    <w:rsid w:val="003E643C"/>
    <w:rsid w:val="003E645A"/>
    <w:rsid w:val="003E693C"/>
    <w:rsid w:val="003E6A44"/>
    <w:rsid w:val="003E6B7F"/>
    <w:rsid w:val="003E6CB9"/>
    <w:rsid w:val="003E6F64"/>
    <w:rsid w:val="003E70F6"/>
    <w:rsid w:val="003F048C"/>
    <w:rsid w:val="003F0717"/>
    <w:rsid w:val="003F0767"/>
    <w:rsid w:val="003F0780"/>
    <w:rsid w:val="003F08B9"/>
    <w:rsid w:val="003F1008"/>
    <w:rsid w:val="003F196C"/>
    <w:rsid w:val="003F19EE"/>
    <w:rsid w:val="003F20C9"/>
    <w:rsid w:val="003F2512"/>
    <w:rsid w:val="003F25AA"/>
    <w:rsid w:val="003F2D9A"/>
    <w:rsid w:val="003F2FAE"/>
    <w:rsid w:val="003F315E"/>
    <w:rsid w:val="003F332F"/>
    <w:rsid w:val="003F359E"/>
    <w:rsid w:val="003F436F"/>
    <w:rsid w:val="003F56B7"/>
    <w:rsid w:val="003F5A03"/>
    <w:rsid w:val="003F6268"/>
    <w:rsid w:val="003F6E94"/>
    <w:rsid w:val="003F708B"/>
    <w:rsid w:val="003F76D4"/>
    <w:rsid w:val="00400304"/>
    <w:rsid w:val="004013C5"/>
    <w:rsid w:val="00401E3E"/>
    <w:rsid w:val="00401F37"/>
    <w:rsid w:val="00402200"/>
    <w:rsid w:val="00402607"/>
    <w:rsid w:val="00402753"/>
    <w:rsid w:val="004029DA"/>
    <w:rsid w:val="00402A06"/>
    <w:rsid w:val="00402E9C"/>
    <w:rsid w:val="00403369"/>
    <w:rsid w:val="004033D7"/>
    <w:rsid w:val="0040361B"/>
    <w:rsid w:val="00403B46"/>
    <w:rsid w:val="00403B87"/>
    <w:rsid w:val="004042E5"/>
    <w:rsid w:val="00404B20"/>
    <w:rsid w:val="00404B5C"/>
    <w:rsid w:val="00404BE8"/>
    <w:rsid w:val="00405294"/>
    <w:rsid w:val="004053F5"/>
    <w:rsid w:val="0040585B"/>
    <w:rsid w:val="00405C3F"/>
    <w:rsid w:val="0040617F"/>
    <w:rsid w:val="004065FF"/>
    <w:rsid w:val="0040676B"/>
    <w:rsid w:val="0040676D"/>
    <w:rsid w:val="00406AB4"/>
    <w:rsid w:val="00406CAC"/>
    <w:rsid w:val="00407836"/>
    <w:rsid w:val="00410CAF"/>
    <w:rsid w:val="004119C4"/>
    <w:rsid w:val="00411AF5"/>
    <w:rsid w:val="00411C47"/>
    <w:rsid w:val="00411F39"/>
    <w:rsid w:val="00412442"/>
    <w:rsid w:val="00412973"/>
    <w:rsid w:val="00412D27"/>
    <w:rsid w:val="00412DB3"/>
    <w:rsid w:val="004135ED"/>
    <w:rsid w:val="00413EBB"/>
    <w:rsid w:val="00414A3B"/>
    <w:rsid w:val="00414F14"/>
    <w:rsid w:val="0041502F"/>
    <w:rsid w:val="0041582E"/>
    <w:rsid w:val="00416010"/>
    <w:rsid w:val="004162A8"/>
    <w:rsid w:val="0041684D"/>
    <w:rsid w:val="00416C74"/>
    <w:rsid w:val="00416E2D"/>
    <w:rsid w:val="00417180"/>
    <w:rsid w:val="00417440"/>
    <w:rsid w:val="00417562"/>
    <w:rsid w:val="004177E2"/>
    <w:rsid w:val="004201BA"/>
    <w:rsid w:val="00420B95"/>
    <w:rsid w:val="00421406"/>
    <w:rsid w:val="00421A8F"/>
    <w:rsid w:val="00422055"/>
    <w:rsid w:val="00422695"/>
    <w:rsid w:val="00422B12"/>
    <w:rsid w:val="00422F4B"/>
    <w:rsid w:val="004230DA"/>
    <w:rsid w:val="0042333E"/>
    <w:rsid w:val="004237B5"/>
    <w:rsid w:val="00424477"/>
    <w:rsid w:val="00424AB3"/>
    <w:rsid w:val="00424BEC"/>
    <w:rsid w:val="00424CEF"/>
    <w:rsid w:val="00425013"/>
    <w:rsid w:val="004250D8"/>
    <w:rsid w:val="004259BC"/>
    <w:rsid w:val="00425ED1"/>
    <w:rsid w:val="00425F77"/>
    <w:rsid w:val="00426359"/>
    <w:rsid w:val="00426B47"/>
    <w:rsid w:val="00427878"/>
    <w:rsid w:val="00427CD1"/>
    <w:rsid w:val="00430092"/>
    <w:rsid w:val="00430170"/>
    <w:rsid w:val="00430171"/>
    <w:rsid w:val="004302AD"/>
    <w:rsid w:val="004308B4"/>
    <w:rsid w:val="004308BA"/>
    <w:rsid w:val="00430B83"/>
    <w:rsid w:val="004316C8"/>
    <w:rsid w:val="004318EF"/>
    <w:rsid w:val="0043197D"/>
    <w:rsid w:val="00431A2B"/>
    <w:rsid w:val="00432285"/>
    <w:rsid w:val="00432A7A"/>
    <w:rsid w:val="00432D98"/>
    <w:rsid w:val="00433045"/>
    <w:rsid w:val="0043452E"/>
    <w:rsid w:val="0043479D"/>
    <w:rsid w:val="0043481C"/>
    <w:rsid w:val="00434E02"/>
    <w:rsid w:val="00436869"/>
    <w:rsid w:val="00436D07"/>
    <w:rsid w:val="0043778F"/>
    <w:rsid w:val="00437CE5"/>
    <w:rsid w:val="004400EC"/>
    <w:rsid w:val="004405CE"/>
    <w:rsid w:val="004406C5"/>
    <w:rsid w:val="004408E2"/>
    <w:rsid w:val="00440D9F"/>
    <w:rsid w:val="00442314"/>
    <w:rsid w:val="00442438"/>
    <w:rsid w:val="00442A38"/>
    <w:rsid w:val="00442B15"/>
    <w:rsid w:val="00442FA2"/>
    <w:rsid w:val="004434E5"/>
    <w:rsid w:val="00443592"/>
    <w:rsid w:val="0044447E"/>
    <w:rsid w:val="00444A84"/>
    <w:rsid w:val="00444E28"/>
    <w:rsid w:val="004451B3"/>
    <w:rsid w:val="00445A08"/>
    <w:rsid w:val="00445A50"/>
    <w:rsid w:val="00445CEC"/>
    <w:rsid w:val="00445DA4"/>
    <w:rsid w:val="00445DBF"/>
    <w:rsid w:val="00446219"/>
    <w:rsid w:val="0044661D"/>
    <w:rsid w:val="00446B68"/>
    <w:rsid w:val="00446B90"/>
    <w:rsid w:val="00447020"/>
    <w:rsid w:val="00447077"/>
    <w:rsid w:val="004474AA"/>
    <w:rsid w:val="004479CF"/>
    <w:rsid w:val="00447B98"/>
    <w:rsid w:val="00447BE7"/>
    <w:rsid w:val="00447F9E"/>
    <w:rsid w:val="0045030A"/>
    <w:rsid w:val="00451193"/>
    <w:rsid w:val="00451F36"/>
    <w:rsid w:val="00452253"/>
    <w:rsid w:val="00452D5B"/>
    <w:rsid w:val="00452FD5"/>
    <w:rsid w:val="00453414"/>
    <w:rsid w:val="0045347E"/>
    <w:rsid w:val="00453F4C"/>
    <w:rsid w:val="00453F4F"/>
    <w:rsid w:val="00454805"/>
    <w:rsid w:val="00454B5B"/>
    <w:rsid w:val="00454D7B"/>
    <w:rsid w:val="00454EC8"/>
    <w:rsid w:val="0045512E"/>
    <w:rsid w:val="0045577D"/>
    <w:rsid w:val="00455878"/>
    <w:rsid w:val="00455C52"/>
    <w:rsid w:val="00455E09"/>
    <w:rsid w:val="0045603B"/>
    <w:rsid w:val="00456A53"/>
    <w:rsid w:val="00456C7F"/>
    <w:rsid w:val="00456E4C"/>
    <w:rsid w:val="0045752B"/>
    <w:rsid w:val="00457661"/>
    <w:rsid w:val="00457AFB"/>
    <w:rsid w:val="00457B6A"/>
    <w:rsid w:val="00461792"/>
    <w:rsid w:val="00461E6F"/>
    <w:rsid w:val="00461E82"/>
    <w:rsid w:val="00463600"/>
    <w:rsid w:val="00463685"/>
    <w:rsid w:val="004636AC"/>
    <w:rsid w:val="00463C13"/>
    <w:rsid w:val="0046405F"/>
    <w:rsid w:val="004648AA"/>
    <w:rsid w:val="00464A82"/>
    <w:rsid w:val="00465866"/>
    <w:rsid w:val="00465991"/>
    <w:rsid w:val="00465A6B"/>
    <w:rsid w:val="00465C20"/>
    <w:rsid w:val="00465D4E"/>
    <w:rsid w:val="00466294"/>
    <w:rsid w:val="00466433"/>
    <w:rsid w:val="00467112"/>
    <w:rsid w:val="0046739F"/>
    <w:rsid w:val="004674D0"/>
    <w:rsid w:val="00467650"/>
    <w:rsid w:val="004704C9"/>
    <w:rsid w:val="004708C0"/>
    <w:rsid w:val="00471D81"/>
    <w:rsid w:val="00472056"/>
    <w:rsid w:val="004720E2"/>
    <w:rsid w:val="004723C2"/>
    <w:rsid w:val="00472DCE"/>
    <w:rsid w:val="00473147"/>
    <w:rsid w:val="004736B7"/>
    <w:rsid w:val="004741F6"/>
    <w:rsid w:val="00474220"/>
    <w:rsid w:val="00474319"/>
    <w:rsid w:val="00474479"/>
    <w:rsid w:val="00474B25"/>
    <w:rsid w:val="0047517E"/>
    <w:rsid w:val="00475340"/>
    <w:rsid w:val="004753B1"/>
    <w:rsid w:val="00475AD3"/>
    <w:rsid w:val="00475B35"/>
    <w:rsid w:val="00475D4A"/>
    <w:rsid w:val="00476045"/>
    <w:rsid w:val="004760A2"/>
    <w:rsid w:val="00476967"/>
    <w:rsid w:val="004805A9"/>
    <w:rsid w:val="0048090A"/>
    <w:rsid w:val="004809CA"/>
    <w:rsid w:val="00480DEB"/>
    <w:rsid w:val="0048153F"/>
    <w:rsid w:val="004815B3"/>
    <w:rsid w:val="00481A84"/>
    <w:rsid w:val="00481D12"/>
    <w:rsid w:val="00482CDF"/>
    <w:rsid w:val="00482EE6"/>
    <w:rsid w:val="00484B14"/>
    <w:rsid w:val="00484EF4"/>
    <w:rsid w:val="004852D0"/>
    <w:rsid w:val="00485340"/>
    <w:rsid w:val="00485D36"/>
    <w:rsid w:val="00485FAC"/>
    <w:rsid w:val="00486522"/>
    <w:rsid w:val="0048692B"/>
    <w:rsid w:val="00486DCB"/>
    <w:rsid w:val="00486E17"/>
    <w:rsid w:val="00487758"/>
    <w:rsid w:val="004877D7"/>
    <w:rsid w:val="00487B56"/>
    <w:rsid w:val="00487C9A"/>
    <w:rsid w:val="00487D50"/>
    <w:rsid w:val="00490A8F"/>
    <w:rsid w:val="00490F65"/>
    <w:rsid w:val="00491633"/>
    <w:rsid w:val="00491A56"/>
    <w:rsid w:val="004926A8"/>
    <w:rsid w:val="004928E8"/>
    <w:rsid w:val="0049322F"/>
    <w:rsid w:val="00493351"/>
    <w:rsid w:val="00493825"/>
    <w:rsid w:val="00493F36"/>
    <w:rsid w:val="004950C6"/>
    <w:rsid w:val="004953CF"/>
    <w:rsid w:val="00495D95"/>
    <w:rsid w:val="0049630D"/>
    <w:rsid w:val="00496D3E"/>
    <w:rsid w:val="00496F6D"/>
    <w:rsid w:val="00497237"/>
    <w:rsid w:val="00497420"/>
    <w:rsid w:val="00497865"/>
    <w:rsid w:val="00497FCE"/>
    <w:rsid w:val="004A0680"/>
    <w:rsid w:val="004A0B9E"/>
    <w:rsid w:val="004A10BF"/>
    <w:rsid w:val="004A10E6"/>
    <w:rsid w:val="004A14A9"/>
    <w:rsid w:val="004A21F6"/>
    <w:rsid w:val="004A22A0"/>
    <w:rsid w:val="004A28B8"/>
    <w:rsid w:val="004A2ECA"/>
    <w:rsid w:val="004A357F"/>
    <w:rsid w:val="004A374C"/>
    <w:rsid w:val="004A3BF3"/>
    <w:rsid w:val="004A3D65"/>
    <w:rsid w:val="004A435E"/>
    <w:rsid w:val="004A5692"/>
    <w:rsid w:val="004A5D6C"/>
    <w:rsid w:val="004A5DD0"/>
    <w:rsid w:val="004A63A6"/>
    <w:rsid w:val="004A6557"/>
    <w:rsid w:val="004A6659"/>
    <w:rsid w:val="004A6D5C"/>
    <w:rsid w:val="004A740E"/>
    <w:rsid w:val="004A7F1A"/>
    <w:rsid w:val="004B0278"/>
    <w:rsid w:val="004B0356"/>
    <w:rsid w:val="004B099B"/>
    <w:rsid w:val="004B1FA4"/>
    <w:rsid w:val="004B2249"/>
    <w:rsid w:val="004B2496"/>
    <w:rsid w:val="004B2735"/>
    <w:rsid w:val="004B3282"/>
    <w:rsid w:val="004B33D8"/>
    <w:rsid w:val="004B3563"/>
    <w:rsid w:val="004B3727"/>
    <w:rsid w:val="004B38DF"/>
    <w:rsid w:val="004B3E1E"/>
    <w:rsid w:val="004B3E49"/>
    <w:rsid w:val="004B3E6B"/>
    <w:rsid w:val="004B4132"/>
    <w:rsid w:val="004B4828"/>
    <w:rsid w:val="004B495E"/>
    <w:rsid w:val="004B4C80"/>
    <w:rsid w:val="004B5591"/>
    <w:rsid w:val="004B65FC"/>
    <w:rsid w:val="004B668B"/>
    <w:rsid w:val="004B7758"/>
    <w:rsid w:val="004C01D9"/>
    <w:rsid w:val="004C0412"/>
    <w:rsid w:val="004C0557"/>
    <w:rsid w:val="004C0578"/>
    <w:rsid w:val="004C0675"/>
    <w:rsid w:val="004C0A9B"/>
    <w:rsid w:val="004C1003"/>
    <w:rsid w:val="004C1599"/>
    <w:rsid w:val="004C185F"/>
    <w:rsid w:val="004C27AD"/>
    <w:rsid w:val="004C2942"/>
    <w:rsid w:val="004C2AC7"/>
    <w:rsid w:val="004C2D08"/>
    <w:rsid w:val="004C2EFC"/>
    <w:rsid w:val="004C33AC"/>
    <w:rsid w:val="004C33BF"/>
    <w:rsid w:val="004C3DEA"/>
    <w:rsid w:val="004C3ECD"/>
    <w:rsid w:val="004C3F15"/>
    <w:rsid w:val="004C3F51"/>
    <w:rsid w:val="004C4B53"/>
    <w:rsid w:val="004C4D2A"/>
    <w:rsid w:val="004C54B2"/>
    <w:rsid w:val="004C54FA"/>
    <w:rsid w:val="004C5955"/>
    <w:rsid w:val="004C60FC"/>
    <w:rsid w:val="004C61CF"/>
    <w:rsid w:val="004C6E0E"/>
    <w:rsid w:val="004C6E72"/>
    <w:rsid w:val="004C6EA4"/>
    <w:rsid w:val="004C7701"/>
    <w:rsid w:val="004C7724"/>
    <w:rsid w:val="004C7912"/>
    <w:rsid w:val="004C7F02"/>
    <w:rsid w:val="004D03E1"/>
    <w:rsid w:val="004D0881"/>
    <w:rsid w:val="004D0EBD"/>
    <w:rsid w:val="004D11E6"/>
    <w:rsid w:val="004D1310"/>
    <w:rsid w:val="004D1635"/>
    <w:rsid w:val="004D1919"/>
    <w:rsid w:val="004D211D"/>
    <w:rsid w:val="004D2211"/>
    <w:rsid w:val="004D26A0"/>
    <w:rsid w:val="004D2756"/>
    <w:rsid w:val="004D28A1"/>
    <w:rsid w:val="004D2B8F"/>
    <w:rsid w:val="004D30F2"/>
    <w:rsid w:val="004D33C3"/>
    <w:rsid w:val="004D3CBB"/>
    <w:rsid w:val="004D48D9"/>
    <w:rsid w:val="004D5246"/>
    <w:rsid w:val="004D57D3"/>
    <w:rsid w:val="004D5B2C"/>
    <w:rsid w:val="004D5D5D"/>
    <w:rsid w:val="004D61E5"/>
    <w:rsid w:val="004D62B1"/>
    <w:rsid w:val="004D64D7"/>
    <w:rsid w:val="004D69AB"/>
    <w:rsid w:val="004D6B79"/>
    <w:rsid w:val="004D6D9C"/>
    <w:rsid w:val="004D75BB"/>
    <w:rsid w:val="004D7A54"/>
    <w:rsid w:val="004D7EE0"/>
    <w:rsid w:val="004E0076"/>
    <w:rsid w:val="004E100B"/>
    <w:rsid w:val="004E12F1"/>
    <w:rsid w:val="004E19B9"/>
    <w:rsid w:val="004E31F8"/>
    <w:rsid w:val="004E3269"/>
    <w:rsid w:val="004E32BE"/>
    <w:rsid w:val="004E398E"/>
    <w:rsid w:val="004E39B1"/>
    <w:rsid w:val="004E3B35"/>
    <w:rsid w:val="004E3C29"/>
    <w:rsid w:val="004E5208"/>
    <w:rsid w:val="004E5BF7"/>
    <w:rsid w:val="004E6A5E"/>
    <w:rsid w:val="004E716F"/>
    <w:rsid w:val="004E7B4F"/>
    <w:rsid w:val="004E7F70"/>
    <w:rsid w:val="004F011A"/>
    <w:rsid w:val="004F0325"/>
    <w:rsid w:val="004F0756"/>
    <w:rsid w:val="004F07CA"/>
    <w:rsid w:val="004F10F7"/>
    <w:rsid w:val="004F1C21"/>
    <w:rsid w:val="004F267C"/>
    <w:rsid w:val="004F3260"/>
    <w:rsid w:val="004F3791"/>
    <w:rsid w:val="004F3A07"/>
    <w:rsid w:val="004F4215"/>
    <w:rsid w:val="004F45E8"/>
    <w:rsid w:val="004F477B"/>
    <w:rsid w:val="004F4D27"/>
    <w:rsid w:val="004F5306"/>
    <w:rsid w:val="004F5479"/>
    <w:rsid w:val="004F5582"/>
    <w:rsid w:val="004F57A3"/>
    <w:rsid w:val="004F57D1"/>
    <w:rsid w:val="004F57F0"/>
    <w:rsid w:val="004F5883"/>
    <w:rsid w:val="004F58E0"/>
    <w:rsid w:val="004F5FE9"/>
    <w:rsid w:val="004F6098"/>
    <w:rsid w:val="004F6897"/>
    <w:rsid w:val="004F6E91"/>
    <w:rsid w:val="004F6F3D"/>
    <w:rsid w:val="004F75F2"/>
    <w:rsid w:val="004F7ADE"/>
    <w:rsid w:val="005004CF"/>
    <w:rsid w:val="00500785"/>
    <w:rsid w:val="00500A2A"/>
    <w:rsid w:val="00500CA2"/>
    <w:rsid w:val="005018B2"/>
    <w:rsid w:val="005025D7"/>
    <w:rsid w:val="00503432"/>
    <w:rsid w:val="005035F1"/>
    <w:rsid w:val="00503D78"/>
    <w:rsid w:val="0050493E"/>
    <w:rsid w:val="0050533C"/>
    <w:rsid w:val="0050570C"/>
    <w:rsid w:val="005059A5"/>
    <w:rsid w:val="00505F2E"/>
    <w:rsid w:val="00505FD2"/>
    <w:rsid w:val="00506A39"/>
    <w:rsid w:val="00510825"/>
    <w:rsid w:val="00511A5B"/>
    <w:rsid w:val="00511CFF"/>
    <w:rsid w:val="00512E26"/>
    <w:rsid w:val="00513210"/>
    <w:rsid w:val="005138CE"/>
    <w:rsid w:val="005139B3"/>
    <w:rsid w:val="005139C5"/>
    <w:rsid w:val="00513A93"/>
    <w:rsid w:val="00513CA7"/>
    <w:rsid w:val="00513CD5"/>
    <w:rsid w:val="005142B7"/>
    <w:rsid w:val="005142F6"/>
    <w:rsid w:val="0051443A"/>
    <w:rsid w:val="00514892"/>
    <w:rsid w:val="00514AA4"/>
    <w:rsid w:val="00514E17"/>
    <w:rsid w:val="00514FE6"/>
    <w:rsid w:val="00515700"/>
    <w:rsid w:val="00515837"/>
    <w:rsid w:val="00515B2A"/>
    <w:rsid w:val="00515BDF"/>
    <w:rsid w:val="00515BE4"/>
    <w:rsid w:val="00516660"/>
    <w:rsid w:val="00516C30"/>
    <w:rsid w:val="0051713E"/>
    <w:rsid w:val="005172C1"/>
    <w:rsid w:val="0051739D"/>
    <w:rsid w:val="005177E3"/>
    <w:rsid w:val="00520754"/>
    <w:rsid w:val="0052092B"/>
    <w:rsid w:val="00520937"/>
    <w:rsid w:val="00521D9A"/>
    <w:rsid w:val="00522878"/>
    <w:rsid w:val="00522E50"/>
    <w:rsid w:val="00522F1D"/>
    <w:rsid w:val="005231F4"/>
    <w:rsid w:val="005233FA"/>
    <w:rsid w:val="005239B9"/>
    <w:rsid w:val="00523B49"/>
    <w:rsid w:val="00523DBB"/>
    <w:rsid w:val="00524077"/>
    <w:rsid w:val="0052429D"/>
    <w:rsid w:val="0052447C"/>
    <w:rsid w:val="00524534"/>
    <w:rsid w:val="005247A1"/>
    <w:rsid w:val="0052487D"/>
    <w:rsid w:val="005250A2"/>
    <w:rsid w:val="00525701"/>
    <w:rsid w:val="00525B71"/>
    <w:rsid w:val="00525E61"/>
    <w:rsid w:val="00526B1D"/>
    <w:rsid w:val="00526FDF"/>
    <w:rsid w:val="0052704F"/>
    <w:rsid w:val="00527D11"/>
    <w:rsid w:val="00527DB6"/>
    <w:rsid w:val="00527E20"/>
    <w:rsid w:val="00527F95"/>
    <w:rsid w:val="00530707"/>
    <w:rsid w:val="00530BB0"/>
    <w:rsid w:val="00530D74"/>
    <w:rsid w:val="00531D70"/>
    <w:rsid w:val="005325DC"/>
    <w:rsid w:val="00532A67"/>
    <w:rsid w:val="00533DA2"/>
    <w:rsid w:val="0053546B"/>
    <w:rsid w:val="00535492"/>
    <w:rsid w:val="005354E8"/>
    <w:rsid w:val="00535738"/>
    <w:rsid w:val="00536672"/>
    <w:rsid w:val="00536C99"/>
    <w:rsid w:val="0053754E"/>
    <w:rsid w:val="00537EE1"/>
    <w:rsid w:val="00540A68"/>
    <w:rsid w:val="00540C89"/>
    <w:rsid w:val="00540D95"/>
    <w:rsid w:val="00541180"/>
    <w:rsid w:val="005418F1"/>
    <w:rsid w:val="00541E26"/>
    <w:rsid w:val="00541E8C"/>
    <w:rsid w:val="005424A3"/>
    <w:rsid w:val="0054289D"/>
    <w:rsid w:val="005429E9"/>
    <w:rsid w:val="00542CC6"/>
    <w:rsid w:val="005430AB"/>
    <w:rsid w:val="00543701"/>
    <w:rsid w:val="005439A5"/>
    <w:rsid w:val="00543E3D"/>
    <w:rsid w:val="00543F87"/>
    <w:rsid w:val="00544193"/>
    <w:rsid w:val="005450AC"/>
    <w:rsid w:val="005452AD"/>
    <w:rsid w:val="005454F2"/>
    <w:rsid w:val="005459E6"/>
    <w:rsid w:val="00545FBA"/>
    <w:rsid w:val="005467D6"/>
    <w:rsid w:val="00546D60"/>
    <w:rsid w:val="00546E5A"/>
    <w:rsid w:val="005475E0"/>
    <w:rsid w:val="0054764F"/>
    <w:rsid w:val="005477DB"/>
    <w:rsid w:val="0055089E"/>
    <w:rsid w:val="0055092C"/>
    <w:rsid w:val="00550F3E"/>
    <w:rsid w:val="005527D5"/>
    <w:rsid w:val="00552880"/>
    <w:rsid w:val="005530AE"/>
    <w:rsid w:val="005531F4"/>
    <w:rsid w:val="00553258"/>
    <w:rsid w:val="0055359F"/>
    <w:rsid w:val="00553A33"/>
    <w:rsid w:val="00553C8E"/>
    <w:rsid w:val="00553F2B"/>
    <w:rsid w:val="0055420B"/>
    <w:rsid w:val="005542D3"/>
    <w:rsid w:val="0055435E"/>
    <w:rsid w:val="0055453B"/>
    <w:rsid w:val="00554697"/>
    <w:rsid w:val="00554C32"/>
    <w:rsid w:val="00555097"/>
    <w:rsid w:val="005554C5"/>
    <w:rsid w:val="005555C2"/>
    <w:rsid w:val="00555658"/>
    <w:rsid w:val="005558E9"/>
    <w:rsid w:val="00555F8D"/>
    <w:rsid w:val="00556648"/>
    <w:rsid w:val="00556F5A"/>
    <w:rsid w:val="005572EF"/>
    <w:rsid w:val="00557566"/>
    <w:rsid w:val="0055768A"/>
    <w:rsid w:val="00557693"/>
    <w:rsid w:val="00557C0E"/>
    <w:rsid w:val="00560921"/>
    <w:rsid w:val="00560D0F"/>
    <w:rsid w:val="005610C8"/>
    <w:rsid w:val="00561723"/>
    <w:rsid w:val="00561EAD"/>
    <w:rsid w:val="005625D1"/>
    <w:rsid w:val="0056284A"/>
    <w:rsid w:val="00562BDB"/>
    <w:rsid w:val="0056321C"/>
    <w:rsid w:val="005635DE"/>
    <w:rsid w:val="00563E18"/>
    <w:rsid w:val="00563F68"/>
    <w:rsid w:val="005642A0"/>
    <w:rsid w:val="005644CC"/>
    <w:rsid w:val="005645A2"/>
    <w:rsid w:val="005647F7"/>
    <w:rsid w:val="005655F1"/>
    <w:rsid w:val="00565867"/>
    <w:rsid w:val="00565B73"/>
    <w:rsid w:val="0056604F"/>
    <w:rsid w:val="0056679D"/>
    <w:rsid w:val="00566D09"/>
    <w:rsid w:val="005670FA"/>
    <w:rsid w:val="00567486"/>
    <w:rsid w:val="00567E4A"/>
    <w:rsid w:val="00570ABC"/>
    <w:rsid w:val="005710E9"/>
    <w:rsid w:val="005715F3"/>
    <w:rsid w:val="00572A2E"/>
    <w:rsid w:val="00572D03"/>
    <w:rsid w:val="005731EC"/>
    <w:rsid w:val="0057354D"/>
    <w:rsid w:val="0057366C"/>
    <w:rsid w:val="005740CC"/>
    <w:rsid w:val="00574282"/>
    <w:rsid w:val="005742B6"/>
    <w:rsid w:val="005744A7"/>
    <w:rsid w:val="00574A65"/>
    <w:rsid w:val="00574AC2"/>
    <w:rsid w:val="00574DB6"/>
    <w:rsid w:val="00575687"/>
    <w:rsid w:val="00575AC3"/>
    <w:rsid w:val="00575BB3"/>
    <w:rsid w:val="00575BF6"/>
    <w:rsid w:val="00575CDC"/>
    <w:rsid w:val="005760B9"/>
    <w:rsid w:val="00576DAF"/>
    <w:rsid w:val="0057716F"/>
    <w:rsid w:val="005773C2"/>
    <w:rsid w:val="00577406"/>
    <w:rsid w:val="00577C55"/>
    <w:rsid w:val="00577CB9"/>
    <w:rsid w:val="005800AA"/>
    <w:rsid w:val="005806DC"/>
    <w:rsid w:val="00580C2C"/>
    <w:rsid w:val="00580FB1"/>
    <w:rsid w:val="0058179E"/>
    <w:rsid w:val="00581DE5"/>
    <w:rsid w:val="00581DEF"/>
    <w:rsid w:val="005828AE"/>
    <w:rsid w:val="00582916"/>
    <w:rsid w:val="00582FF5"/>
    <w:rsid w:val="0058314E"/>
    <w:rsid w:val="005834C7"/>
    <w:rsid w:val="005838D6"/>
    <w:rsid w:val="00583A20"/>
    <w:rsid w:val="00583DCE"/>
    <w:rsid w:val="00583F4C"/>
    <w:rsid w:val="005840FA"/>
    <w:rsid w:val="00584ED7"/>
    <w:rsid w:val="005859C6"/>
    <w:rsid w:val="00585EAF"/>
    <w:rsid w:val="00586336"/>
    <w:rsid w:val="0058683A"/>
    <w:rsid w:val="00586D2F"/>
    <w:rsid w:val="00587304"/>
    <w:rsid w:val="005874AB"/>
    <w:rsid w:val="00587690"/>
    <w:rsid w:val="00587948"/>
    <w:rsid w:val="00587A39"/>
    <w:rsid w:val="005900CF"/>
    <w:rsid w:val="0059056A"/>
    <w:rsid w:val="005906FA"/>
    <w:rsid w:val="0059146E"/>
    <w:rsid w:val="0059179B"/>
    <w:rsid w:val="005926A2"/>
    <w:rsid w:val="00592B08"/>
    <w:rsid w:val="00592E69"/>
    <w:rsid w:val="00593062"/>
    <w:rsid w:val="0059308F"/>
    <w:rsid w:val="00593A82"/>
    <w:rsid w:val="00593DC7"/>
    <w:rsid w:val="00593FE5"/>
    <w:rsid w:val="005944B5"/>
    <w:rsid w:val="0059489A"/>
    <w:rsid w:val="00595129"/>
    <w:rsid w:val="00595164"/>
    <w:rsid w:val="005952CF"/>
    <w:rsid w:val="00595731"/>
    <w:rsid w:val="00595F0A"/>
    <w:rsid w:val="00595F1E"/>
    <w:rsid w:val="00595FD1"/>
    <w:rsid w:val="005969B8"/>
    <w:rsid w:val="00596D02"/>
    <w:rsid w:val="0059726A"/>
    <w:rsid w:val="00597318"/>
    <w:rsid w:val="005975C8"/>
    <w:rsid w:val="00597C6F"/>
    <w:rsid w:val="005A05E4"/>
    <w:rsid w:val="005A09CC"/>
    <w:rsid w:val="005A0B94"/>
    <w:rsid w:val="005A1262"/>
    <w:rsid w:val="005A15E4"/>
    <w:rsid w:val="005A1EEE"/>
    <w:rsid w:val="005A203A"/>
    <w:rsid w:val="005A23E6"/>
    <w:rsid w:val="005A249C"/>
    <w:rsid w:val="005A2687"/>
    <w:rsid w:val="005A28E3"/>
    <w:rsid w:val="005A2ABE"/>
    <w:rsid w:val="005A3492"/>
    <w:rsid w:val="005A3C32"/>
    <w:rsid w:val="005A3ED8"/>
    <w:rsid w:val="005A4448"/>
    <w:rsid w:val="005A4AD8"/>
    <w:rsid w:val="005A4E20"/>
    <w:rsid w:val="005A4FFD"/>
    <w:rsid w:val="005A529B"/>
    <w:rsid w:val="005A53AC"/>
    <w:rsid w:val="005A59C3"/>
    <w:rsid w:val="005A5E1C"/>
    <w:rsid w:val="005A6021"/>
    <w:rsid w:val="005A6055"/>
    <w:rsid w:val="005A62FB"/>
    <w:rsid w:val="005A6769"/>
    <w:rsid w:val="005A6E36"/>
    <w:rsid w:val="005A6EBE"/>
    <w:rsid w:val="005A7430"/>
    <w:rsid w:val="005A7737"/>
    <w:rsid w:val="005A776A"/>
    <w:rsid w:val="005A7B5F"/>
    <w:rsid w:val="005B0539"/>
    <w:rsid w:val="005B05F4"/>
    <w:rsid w:val="005B0954"/>
    <w:rsid w:val="005B0F92"/>
    <w:rsid w:val="005B14FC"/>
    <w:rsid w:val="005B182F"/>
    <w:rsid w:val="005B19C9"/>
    <w:rsid w:val="005B1BFA"/>
    <w:rsid w:val="005B2362"/>
    <w:rsid w:val="005B2C17"/>
    <w:rsid w:val="005B2D35"/>
    <w:rsid w:val="005B2DC2"/>
    <w:rsid w:val="005B3160"/>
    <w:rsid w:val="005B3838"/>
    <w:rsid w:val="005B3F73"/>
    <w:rsid w:val="005B4124"/>
    <w:rsid w:val="005B457F"/>
    <w:rsid w:val="005B4824"/>
    <w:rsid w:val="005B4C23"/>
    <w:rsid w:val="005B5338"/>
    <w:rsid w:val="005B5508"/>
    <w:rsid w:val="005B586F"/>
    <w:rsid w:val="005B603C"/>
    <w:rsid w:val="005B6650"/>
    <w:rsid w:val="005B6D6A"/>
    <w:rsid w:val="005B6E59"/>
    <w:rsid w:val="005B73E8"/>
    <w:rsid w:val="005B7F12"/>
    <w:rsid w:val="005B7F26"/>
    <w:rsid w:val="005C02F0"/>
    <w:rsid w:val="005C06A2"/>
    <w:rsid w:val="005C0AB3"/>
    <w:rsid w:val="005C1184"/>
    <w:rsid w:val="005C1449"/>
    <w:rsid w:val="005C163C"/>
    <w:rsid w:val="005C1A1C"/>
    <w:rsid w:val="005C1AC8"/>
    <w:rsid w:val="005C2141"/>
    <w:rsid w:val="005C24AA"/>
    <w:rsid w:val="005C2AD4"/>
    <w:rsid w:val="005C31B4"/>
    <w:rsid w:val="005C3319"/>
    <w:rsid w:val="005C3C9D"/>
    <w:rsid w:val="005C3D9B"/>
    <w:rsid w:val="005C4881"/>
    <w:rsid w:val="005C4B50"/>
    <w:rsid w:val="005C4C0D"/>
    <w:rsid w:val="005C4E0D"/>
    <w:rsid w:val="005C4F45"/>
    <w:rsid w:val="005C5482"/>
    <w:rsid w:val="005C57AA"/>
    <w:rsid w:val="005C57EF"/>
    <w:rsid w:val="005C5BE7"/>
    <w:rsid w:val="005C5CF1"/>
    <w:rsid w:val="005C5D0B"/>
    <w:rsid w:val="005C6BA2"/>
    <w:rsid w:val="005C6CA2"/>
    <w:rsid w:val="005C6E29"/>
    <w:rsid w:val="005C6F33"/>
    <w:rsid w:val="005C71B5"/>
    <w:rsid w:val="005C731D"/>
    <w:rsid w:val="005C7641"/>
    <w:rsid w:val="005C7647"/>
    <w:rsid w:val="005C78EA"/>
    <w:rsid w:val="005D06BF"/>
    <w:rsid w:val="005D08D3"/>
    <w:rsid w:val="005D21BE"/>
    <w:rsid w:val="005D2277"/>
    <w:rsid w:val="005D28A7"/>
    <w:rsid w:val="005D2AA4"/>
    <w:rsid w:val="005D2B3F"/>
    <w:rsid w:val="005D31CE"/>
    <w:rsid w:val="005D3294"/>
    <w:rsid w:val="005D3365"/>
    <w:rsid w:val="005D3617"/>
    <w:rsid w:val="005D3CD6"/>
    <w:rsid w:val="005D41C0"/>
    <w:rsid w:val="005D4A22"/>
    <w:rsid w:val="005D4B8D"/>
    <w:rsid w:val="005D4C69"/>
    <w:rsid w:val="005D5033"/>
    <w:rsid w:val="005D55D7"/>
    <w:rsid w:val="005D56F7"/>
    <w:rsid w:val="005D642A"/>
    <w:rsid w:val="005D664C"/>
    <w:rsid w:val="005D66AA"/>
    <w:rsid w:val="005D7031"/>
    <w:rsid w:val="005D7DE5"/>
    <w:rsid w:val="005E00BA"/>
    <w:rsid w:val="005E0D0F"/>
    <w:rsid w:val="005E0D43"/>
    <w:rsid w:val="005E0E5A"/>
    <w:rsid w:val="005E1E1F"/>
    <w:rsid w:val="005E25D6"/>
    <w:rsid w:val="005E48B9"/>
    <w:rsid w:val="005E4D8C"/>
    <w:rsid w:val="005E5DED"/>
    <w:rsid w:val="005E694F"/>
    <w:rsid w:val="005E6B0F"/>
    <w:rsid w:val="005E6E34"/>
    <w:rsid w:val="005E713D"/>
    <w:rsid w:val="005E7850"/>
    <w:rsid w:val="005E793A"/>
    <w:rsid w:val="005E79AE"/>
    <w:rsid w:val="005E7C53"/>
    <w:rsid w:val="005F0504"/>
    <w:rsid w:val="005F0A79"/>
    <w:rsid w:val="005F102D"/>
    <w:rsid w:val="005F10BC"/>
    <w:rsid w:val="005F185A"/>
    <w:rsid w:val="005F2B31"/>
    <w:rsid w:val="005F2B9F"/>
    <w:rsid w:val="005F2C20"/>
    <w:rsid w:val="005F2F1E"/>
    <w:rsid w:val="005F3480"/>
    <w:rsid w:val="005F4023"/>
    <w:rsid w:val="005F42A6"/>
    <w:rsid w:val="005F4402"/>
    <w:rsid w:val="005F4E38"/>
    <w:rsid w:val="005F520C"/>
    <w:rsid w:val="005F5E7D"/>
    <w:rsid w:val="005F69D1"/>
    <w:rsid w:val="005F7238"/>
    <w:rsid w:val="005F72FF"/>
    <w:rsid w:val="005F7EAB"/>
    <w:rsid w:val="005F7EE5"/>
    <w:rsid w:val="006000E3"/>
    <w:rsid w:val="006004CD"/>
    <w:rsid w:val="006004EF"/>
    <w:rsid w:val="00600806"/>
    <w:rsid w:val="00600B73"/>
    <w:rsid w:val="00600D6B"/>
    <w:rsid w:val="00601065"/>
    <w:rsid w:val="006011B4"/>
    <w:rsid w:val="0060125E"/>
    <w:rsid w:val="006014FA"/>
    <w:rsid w:val="00601622"/>
    <w:rsid w:val="006018D6"/>
    <w:rsid w:val="00601CF7"/>
    <w:rsid w:val="00601F29"/>
    <w:rsid w:val="006022F9"/>
    <w:rsid w:val="006029BD"/>
    <w:rsid w:val="00602E51"/>
    <w:rsid w:val="006032F7"/>
    <w:rsid w:val="006036BB"/>
    <w:rsid w:val="006039A8"/>
    <w:rsid w:val="00604671"/>
    <w:rsid w:val="006046A3"/>
    <w:rsid w:val="00604E2F"/>
    <w:rsid w:val="00604F48"/>
    <w:rsid w:val="0060504A"/>
    <w:rsid w:val="00605503"/>
    <w:rsid w:val="00605DDF"/>
    <w:rsid w:val="00606406"/>
    <w:rsid w:val="00606487"/>
    <w:rsid w:val="006065E9"/>
    <w:rsid w:val="00606C40"/>
    <w:rsid w:val="00606D68"/>
    <w:rsid w:val="006072C7"/>
    <w:rsid w:val="00607B9B"/>
    <w:rsid w:val="00607F66"/>
    <w:rsid w:val="00610296"/>
    <w:rsid w:val="00610AA0"/>
    <w:rsid w:val="00610D8B"/>
    <w:rsid w:val="00610EF4"/>
    <w:rsid w:val="0061148D"/>
    <w:rsid w:val="00611892"/>
    <w:rsid w:val="00612BF4"/>
    <w:rsid w:val="006130B0"/>
    <w:rsid w:val="00613848"/>
    <w:rsid w:val="00614103"/>
    <w:rsid w:val="00614359"/>
    <w:rsid w:val="006144A4"/>
    <w:rsid w:val="0061484E"/>
    <w:rsid w:val="00615103"/>
    <w:rsid w:val="00617076"/>
    <w:rsid w:val="00617562"/>
    <w:rsid w:val="00617704"/>
    <w:rsid w:val="00617A90"/>
    <w:rsid w:val="00617CA1"/>
    <w:rsid w:val="00620262"/>
    <w:rsid w:val="006207BD"/>
    <w:rsid w:val="00620D70"/>
    <w:rsid w:val="00620DF3"/>
    <w:rsid w:val="006216DC"/>
    <w:rsid w:val="00621798"/>
    <w:rsid w:val="00621A37"/>
    <w:rsid w:val="00621B36"/>
    <w:rsid w:val="00621B58"/>
    <w:rsid w:val="00621EFD"/>
    <w:rsid w:val="00621F20"/>
    <w:rsid w:val="0062264C"/>
    <w:rsid w:val="00622842"/>
    <w:rsid w:val="0062291C"/>
    <w:rsid w:val="00622C8B"/>
    <w:rsid w:val="00622EA4"/>
    <w:rsid w:val="00623647"/>
    <w:rsid w:val="00623ACF"/>
    <w:rsid w:val="00623C1B"/>
    <w:rsid w:val="0062421E"/>
    <w:rsid w:val="006249BE"/>
    <w:rsid w:val="00624C9E"/>
    <w:rsid w:val="00624D7B"/>
    <w:rsid w:val="0062528B"/>
    <w:rsid w:val="006253CF"/>
    <w:rsid w:val="0062610C"/>
    <w:rsid w:val="0062674B"/>
    <w:rsid w:val="00626769"/>
    <w:rsid w:val="00626FF7"/>
    <w:rsid w:val="0062780C"/>
    <w:rsid w:val="00630364"/>
    <w:rsid w:val="00630668"/>
    <w:rsid w:val="00631284"/>
    <w:rsid w:val="0063165C"/>
    <w:rsid w:val="006316EA"/>
    <w:rsid w:val="00632170"/>
    <w:rsid w:val="0063226F"/>
    <w:rsid w:val="00632AD9"/>
    <w:rsid w:val="00633099"/>
    <w:rsid w:val="0063325F"/>
    <w:rsid w:val="00633889"/>
    <w:rsid w:val="00633D09"/>
    <w:rsid w:val="00634B5E"/>
    <w:rsid w:val="00635545"/>
    <w:rsid w:val="00635859"/>
    <w:rsid w:val="00635D05"/>
    <w:rsid w:val="006365FA"/>
    <w:rsid w:val="0063676E"/>
    <w:rsid w:val="00637108"/>
    <w:rsid w:val="00637351"/>
    <w:rsid w:val="0063748E"/>
    <w:rsid w:val="006376E8"/>
    <w:rsid w:val="006378BB"/>
    <w:rsid w:val="0064013F"/>
    <w:rsid w:val="00640226"/>
    <w:rsid w:val="00640808"/>
    <w:rsid w:val="0064103F"/>
    <w:rsid w:val="006413F1"/>
    <w:rsid w:val="006414DE"/>
    <w:rsid w:val="00641A2C"/>
    <w:rsid w:val="00641D01"/>
    <w:rsid w:val="00642073"/>
    <w:rsid w:val="006423A5"/>
    <w:rsid w:val="00642A54"/>
    <w:rsid w:val="00642D12"/>
    <w:rsid w:val="006431E0"/>
    <w:rsid w:val="006439CE"/>
    <w:rsid w:val="006440B0"/>
    <w:rsid w:val="006441C8"/>
    <w:rsid w:val="00644620"/>
    <w:rsid w:val="00645376"/>
    <w:rsid w:val="006458DD"/>
    <w:rsid w:val="0064598F"/>
    <w:rsid w:val="006459CF"/>
    <w:rsid w:val="00645D6E"/>
    <w:rsid w:val="006461A6"/>
    <w:rsid w:val="0064760D"/>
    <w:rsid w:val="00647ED6"/>
    <w:rsid w:val="00650113"/>
    <w:rsid w:val="006501DC"/>
    <w:rsid w:val="006502EC"/>
    <w:rsid w:val="00650A22"/>
    <w:rsid w:val="0065107B"/>
    <w:rsid w:val="006516CA"/>
    <w:rsid w:val="00651B68"/>
    <w:rsid w:val="00652B45"/>
    <w:rsid w:val="006530E6"/>
    <w:rsid w:val="006530F6"/>
    <w:rsid w:val="006531C0"/>
    <w:rsid w:val="0065345B"/>
    <w:rsid w:val="00654418"/>
    <w:rsid w:val="006549A0"/>
    <w:rsid w:val="00654F61"/>
    <w:rsid w:val="006551BB"/>
    <w:rsid w:val="00656005"/>
    <w:rsid w:val="00657916"/>
    <w:rsid w:val="00660561"/>
    <w:rsid w:val="00660A43"/>
    <w:rsid w:val="0066149C"/>
    <w:rsid w:val="00661E31"/>
    <w:rsid w:val="0066201E"/>
    <w:rsid w:val="006620F8"/>
    <w:rsid w:val="00663819"/>
    <w:rsid w:val="00663C4F"/>
    <w:rsid w:val="00664DC6"/>
    <w:rsid w:val="00664F1A"/>
    <w:rsid w:val="006650D5"/>
    <w:rsid w:val="00665181"/>
    <w:rsid w:val="00665285"/>
    <w:rsid w:val="0066534B"/>
    <w:rsid w:val="0066569A"/>
    <w:rsid w:val="00665AC4"/>
    <w:rsid w:val="00666543"/>
    <w:rsid w:val="00667181"/>
    <w:rsid w:val="00667966"/>
    <w:rsid w:val="00670101"/>
    <w:rsid w:val="00670407"/>
    <w:rsid w:val="00670E0F"/>
    <w:rsid w:val="00670E86"/>
    <w:rsid w:val="00672722"/>
    <w:rsid w:val="00672997"/>
    <w:rsid w:val="00672F6F"/>
    <w:rsid w:val="00672F84"/>
    <w:rsid w:val="0067320B"/>
    <w:rsid w:val="00673477"/>
    <w:rsid w:val="00673867"/>
    <w:rsid w:val="0067390A"/>
    <w:rsid w:val="00673BB6"/>
    <w:rsid w:val="00674191"/>
    <w:rsid w:val="006744FE"/>
    <w:rsid w:val="00674954"/>
    <w:rsid w:val="0067574E"/>
    <w:rsid w:val="00675C6C"/>
    <w:rsid w:val="006762AA"/>
    <w:rsid w:val="0067667F"/>
    <w:rsid w:val="00676A56"/>
    <w:rsid w:val="00676ACB"/>
    <w:rsid w:val="00677122"/>
    <w:rsid w:val="006773B1"/>
    <w:rsid w:val="00677453"/>
    <w:rsid w:val="00680431"/>
    <w:rsid w:val="006804DB"/>
    <w:rsid w:val="00681180"/>
    <w:rsid w:val="00682111"/>
    <w:rsid w:val="006823AB"/>
    <w:rsid w:val="00682789"/>
    <w:rsid w:val="00682CA2"/>
    <w:rsid w:val="006833CC"/>
    <w:rsid w:val="00683434"/>
    <w:rsid w:val="00683B99"/>
    <w:rsid w:val="00683CEF"/>
    <w:rsid w:val="00683D14"/>
    <w:rsid w:val="00683E21"/>
    <w:rsid w:val="00684505"/>
    <w:rsid w:val="00684896"/>
    <w:rsid w:val="00684954"/>
    <w:rsid w:val="00684AD6"/>
    <w:rsid w:val="006850A7"/>
    <w:rsid w:val="00685423"/>
    <w:rsid w:val="006856C3"/>
    <w:rsid w:val="00685966"/>
    <w:rsid w:val="00686C87"/>
    <w:rsid w:val="00687074"/>
    <w:rsid w:val="0068773C"/>
    <w:rsid w:val="00687C70"/>
    <w:rsid w:val="00687DB0"/>
    <w:rsid w:val="006901B4"/>
    <w:rsid w:val="00690E87"/>
    <w:rsid w:val="00691530"/>
    <w:rsid w:val="006918CC"/>
    <w:rsid w:val="00691F26"/>
    <w:rsid w:val="0069223D"/>
    <w:rsid w:val="0069230B"/>
    <w:rsid w:val="0069232E"/>
    <w:rsid w:val="006923E5"/>
    <w:rsid w:val="006923F7"/>
    <w:rsid w:val="00692430"/>
    <w:rsid w:val="00692562"/>
    <w:rsid w:val="00692753"/>
    <w:rsid w:val="0069306F"/>
    <w:rsid w:val="00693227"/>
    <w:rsid w:val="0069419C"/>
    <w:rsid w:val="0069429A"/>
    <w:rsid w:val="00694426"/>
    <w:rsid w:val="006946EC"/>
    <w:rsid w:val="006947F9"/>
    <w:rsid w:val="006948A5"/>
    <w:rsid w:val="00694A50"/>
    <w:rsid w:val="00695247"/>
    <w:rsid w:val="0069580E"/>
    <w:rsid w:val="00695B27"/>
    <w:rsid w:val="00695C42"/>
    <w:rsid w:val="00695C7D"/>
    <w:rsid w:val="006963CE"/>
    <w:rsid w:val="00696D07"/>
    <w:rsid w:val="00696F69"/>
    <w:rsid w:val="00697735"/>
    <w:rsid w:val="0069795F"/>
    <w:rsid w:val="006A150B"/>
    <w:rsid w:val="006A1DDC"/>
    <w:rsid w:val="006A2C72"/>
    <w:rsid w:val="006A3901"/>
    <w:rsid w:val="006A4318"/>
    <w:rsid w:val="006A45E9"/>
    <w:rsid w:val="006A4760"/>
    <w:rsid w:val="006A484B"/>
    <w:rsid w:val="006A5560"/>
    <w:rsid w:val="006A56AC"/>
    <w:rsid w:val="006A62BB"/>
    <w:rsid w:val="006A67C3"/>
    <w:rsid w:val="006A7809"/>
    <w:rsid w:val="006A7DF5"/>
    <w:rsid w:val="006B04D4"/>
    <w:rsid w:val="006B0B54"/>
    <w:rsid w:val="006B0CC0"/>
    <w:rsid w:val="006B193B"/>
    <w:rsid w:val="006B1CF0"/>
    <w:rsid w:val="006B2605"/>
    <w:rsid w:val="006B2BDD"/>
    <w:rsid w:val="006B2E28"/>
    <w:rsid w:val="006B2E98"/>
    <w:rsid w:val="006B37B4"/>
    <w:rsid w:val="006B3A24"/>
    <w:rsid w:val="006B3A81"/>
    <w:rsid w:val="006B4AAC"/>
    <w:rsid w:val="006B4AD9"/>
    <w:rsid w:val="006B4C5B"/>
    <w:rsid w:val="006B4F37"/>
    <w:rsid w:val="006B516B"/>
    <w:rsid w:val="006B5636"/>
    <w:rsid w:val="006B56F2"/>
    <w:rsid w:val="006B5A60"/>
    <w:rsid w:val="006B5F0A"/>
    <w:rsid w:val="006B6302"/>
    <w:rsid w:val="006B64CC"/>
    <w:rsid w:val="006B6859"/>
    <w:rsid w:val="006B6949"/>
    <w:rsid w:val="006B6D21"/>
    <w:rsid w:val="006B724E"/>
    <w:rsid w:val="006B73E3"/>
    <w:rsid w:val="006B7793"/>
    <w:rsid w:val="006B7FB0"/>
    <w:rsid w:val="006C0533"/>
    <w:rsid w:val="006C05B1"/>
    <w:rsid w:val="006C1646"/>
    <w:rsid w:val="006C2135"/>
    <w:rsid w:val="006C2516"/>
    <w:rsid w:val="006C2C7D"/>
    <w:rsid w:val="006C3148"/>
    <w:rsid w:val="006C34A2"/>
    <w:rsid w:val="006C3536"/>
    <w:rsid w:val="006C3C21"/>
    <w:rsid w:val="006C4AE3"/>
    <w:rsid w:val="006C56CF"/>
    <w:rsid w:val="006C5981"/>
    <w:rsid w:val="006C5C39"/>
    <w:rsid w:val="006C5E85"/>
    <w:rsid w:val="006C6E3C"/>
    <w:rsid w:val="006C6F54"/>
    <w:rsid w:val="006C6FF0"/>
    <w:rsid w:val="006C711D"/>
    <w:rsid w:val="006D005F"/>
    <w:rsid w:val="006D0113"/>
    <w:rsid w:val="006D08E3"/>
    <w:rsid w:val="006D0D6D"/>
    <w:rsid w:val="006D0D7C"/>
    <w:rsid w:val="006D1399"/>
    <w:rsid w:val="006D159D"/>
    <w:rsid w:val="006D20D7"/>
    <w:rsid w:val="006D21F5"/>
    <w:rsid w:val="006D2503"/>
    <w:rsid w:val="006D27E3"/>
    <w:rsid w:val="006D296B"/>
    <w:rsid w:val="006D2B1F"/>
    <w:rsid w:val="006D2D66"/>
    <w:rsid w:val="006D352E"/>
    <w:rsid w:val="006D3A96"/>
    <w:rsid w:val="006D3D20"/>
    <w:rsid w:val="006D40F6"/>
    <w:rsid w:val="006D47B8"/>
    <w:rsid w:val="006D4D85"/>
    <w:rsid w:val="006D5663"/>
    <w:rsid w:val="006D5935"/>
    <w:rsid w:val="006D5EC8"/>
    <w:rsid w:val="006D647F"/>
    <w:rsid w:val="006D6556"/>
    <w:rsid w:val="006D767B"/>
    <w:rsid w:val="006E064F"/>
    <w:rsid w:val="006E08B2"/>
    <w:rsid w:val="006E09DE"/>
    <w:rsid w:val="006E0AE6"/>
    <w:rsid w:val="006E1010"/>
    <w:rsid w:val="006E1520"/>
    <w:rsid w:val="006E159A"/>
    <w:rsid w:val="006E2117"/>
    <w:rsid w:val="006E22ED"/>
    <w:rsid w:val="006E275A"/>
    <w:rsid w:val="006E27ED"/>
    <w:rsid w:val="006E28C6"/>
    <w:rsid w:val="006E2EEA"/>
    <w:rsid w:val="006E2F6C"/>
    <w:rsid w:val="006E3011"/>
    <w:rsid w:val="006E312C"/>
    <w:rsid w:val="006E381A"/>
    <w:rsid w:val="006E3926"/>
    <w:rsid w:val="006E3C8A"/>
    <w:rsid w:val="006E4079"/>
    <w:rsid w:val="006E409C"/>
    <w:rsid w:val="006E419B"/>
    <w:rsid w:val="006E5760"/>
    <w:rsid w:val="006E58E4"/>
    <w:rsid w:val="006E5E5D"/>
    <w:rsid w:val="006F0515"/>
    <w:rsid w:val="006F07C5"/>
    <w:rsid w:val="006F0803"/>
    <w:rsid w:val="006F094A"/>
    <w:rsid w:val="006F09F3"/>
    <w:rsid w:val="006F0CA5"/>
    <w:rsid w:val="006F0CFB"/>
    <w:rsid w:val="006F1E7F"/>
    <w:rsid w:val="006F24F5"/>
    <w:rsid w:val="006F2775"/>
    <w:rsid w:val="006F3189"/>
    <w:rsid w:val="006F404D"/>
    <w:rsid w:val="006F40F0"/>
    <w:rsid w:val="006F42FC"/>
    <w:rsid w:val="006F49F4"/>
    <w:rsid w:val="006F5814"/>
    <w:rsid w:val="006F5933"/>
    <w:rsid w:val="006F59EF"/>
    <w:rsid w:val="006F616E"/>
    <w:rsid w:val="006F6297"/>
    <w:rsid w:val="006F6357"/>
    <w:rsid w:val="006F64B3"/>
    <w:rsid w:val="006F70D1"/>
    <w:rsid w:val="006F7393"/>
    <w:rsid w:val="006F774F"/>
    <w:rsid w:val="006F7A9B"/>
    <w:rsid w:val="007004E9"/>
    <w:rsid w:val="00700778"/>
    <w:rsid w:val="00700C51"/>
    <w:rsid w:val="0070177F"/>
    <w:rsid w:val="00701B1D"/>
    <w:rsid w:val="0070222D"/>
    <w:rsid w:val="007023EE"/>
    <w:rsid w:val="00702867"/>
    <w:rsid w:val="00702AC6"/>
    <w:rsid w:val="00702F5E"/>
    <w:rsid w:val="00703C66"/>
    <w:rsid w:val="00703F0E"/>
    <w:rsid w:val="007043F2"/>
    <w:rsid w:val="00704668"/>
    <w:rsid w:val="007058B9"/>
    <w:rsid w:val="0070597C"/>
    <w:rsid w:val="00705A02"/>
    <w:rsid w:val="00705F60"/>
    <w:rsid w:val="007060C2"/>
    <w:rsid w:val="00706244"/>
    <w:rsid w:val="0070674E"/>
    <w:rsid w:val="00706C8A"/>
    <w:rsid w:val="00706E5D"/>
    <w:rsid w:val="00706F6A"/>
    <w:rsid w:val="007070C4"/>
    <w:rsid w:val="007070DD"/>
    <w:rsid w:val="007072C2"/>
    <w:rsid w:val="00707E12"/>
    <w:rsid w:val="00710820"/>
    <w:rsid w:val="00710A4E"/>
    <w:rsid w:val="00710CEE"/>
    <w:rsid w:val="00710DA4"/>
    <w:rsid w:val="00711151"/>
    <w:rsid w:val="00711333"/>
    <w:rsid w:val="00711397"/>
    <w:rsid w:val="00711503"/>
    <w:rsid w:val="00711957"/>
    <w:rsid w:val="007119B0"/>
    <w:rsid w:val="00711D86"/>
    <w:rsid w:val="00711E03"/>
    <w:rsid w:val="00711E40"/>
    <w:rsid w:val="00712620"/>
    <w:rsid w:val="00713069"/>
    <w:rsid w:val="007135F1"/>
    <w:rsid w:val="00713638"/>
    <w:rsid w:val="00713CF0"/>
    <w:rsid w:val="00713D3E"/>
    <w:rsid w:val="00713E18"/>
    <w:rsid w:val="00714543"/>
    <w:rsid w:val="007148D4"/>
    <w:rsid w:val="00714BCF"/>
    <w:rsid w:val="00714DB5"/>
    <w:rsid w:val="0071652C"/>
    <w:rsid w:val="00716E53"/>
    <w:rsid w:val="00717E19"/>
    <w:rsid w:val="0072038F"/>
    <w:rsid w:val="00720441"/>
    <w:rsid w:val="0072064D"/>
    <w:rsid w:val="007206D7"/>
    <w:rsid w:val="00720E20"/>
    <w:rsid w:val="00721005"/>
    <w:rsid w:val="0072110F"/>
    <w:rsid w:val="0072129B"/>
    <w:rsid w:val="00721ADB"/>
    <w:rsid w:val="00721DD7"/>
    <w:rsid w:val="00722619"/>
    <w:rsid w:val="007229DB"/>
    <w:rsid w:val="00722D27"/>
    <w:rsid w:val="00723436"/>
    <w:rsid w:val="007237D1"/>
    <w:rsid w:val="00724B86"/>
    <w:rsid w:val="00724E08"/>
    <w:rsid w:val="00724F95"/>
    <w:rsid w:val="00724FAC"/>
    <w:rsid w:val="0072553E"/>
    <w:rsid w:val="0072566B"/>
    <w:rsid w:val="00725ABC"/>
    <w:rsid w:val="00725B55"/>
    <w:rsid w:val="007260E1"/>
    <w:rsid w:val="00726192"/>
    <w:rsid w:val="00726308"/>
    <w:rsid w:val="00727007"/>
    <w:rsid w:val="007308C6"/>
    <w:rsid w:val="00730F1A"/>
    <w:rsid w:val="00730F4E"/>
    <w:rsid w:val="00731017"/>
    <w:rsid w:val="007316E9"/>
    <w:rsid w:val="00732413"/>
    <w:rsid w:val="0073249A"/>
    <w:rsid w:val="00732EE0"/>
    <w:rsid w:val="00732F47"/>
    <w:rsid w:val="00733227"/>
    <w:rsid w:val="00733762"/>
    <w:rsid w:val="00733C55"/>
    <w:rsid w:val="007346B6"/>
    <w:rsid w:val="00734942"/>
    <w:rsid w:val="0073495C"/>
    <w:rsid w:val="00734AAB"/>
    <w:rsid w:val="00734CC8"/>
    <w:rsid w:val="00736074"/>
    <w:rsid w:val="00736474"/>
    <w:rsid w:val="00736C3B"/>
    <w:rsid w:val="00736C6C"/>
    <w:rsid w:val="00736FB0"/>
    <w:rsid w:val="00737098"/>
    <w:rsid w:val="00737F94"/>
    <w:rsid w:val="00737F99"/>
    <w:rsid w:val="00740A4D"/>
    <w:rsid w:val="00740C77"/>
    <w:rsid w:val="00741433"/>
    <w:rsid w:val="007416AE"/>
    <w:rsid w:val="00741D6D"/>
    <w:rsid w:val="00742750"/>
    <w:rsid w:val="0074336B"/>
    <w:rsid w:val="00743483"/>
    <w:rsid w:val="00743CDE"/>
    <w:rsid w:val="00743DC1"/>
    <w:rsid w:val="00744052"/>
    <w:rsid w:val="00744854"/>
    <w:rsid w:val="00744CEB"/>
    <w:rsid w:val="00745011"/>
    <w:rsid w:val="007469DE"/>
    <w:rsid w:val="00746BBD"/>
    <w:rsid w:val="00747BC4"/>
    <w:rsid w:val="0075009B"/>
    <w:rsid w:val="007500C8"/>
    <w:rsid w:val="00750960"/>
    <w:rsid w:val="007516C7"/>
    <w:rsid w:val="007521C0"/>
    <w:rsid w:val="0075288F"/>
    <w:rsid w:val="00752B75"/>
    <w:rsid w:val="0075314E"/>
    <w:rsid w:val="00753308"/>
    <w:rsid w:val="00753608"/>
    <w:rsid w:val="007538DE"/>
    <w:rsid w:val="00753915"/>
    <w:rsid w:val="00753932"/>
    <w:rsid w:val="00754104"/>
    <w:rsid w:val="007548F1"/>
    <w:rsid w:val="00754E65"/>
    <w:rsid w:val="0075505A"/>
    <w:rsid w:val="0075587B"/>
    <w:rsid w:val="007559D6"/>
    <w:rsid w:val="00755BE5"/>
    <w:rsid w:val="00756622"/>
    <w:rsid w:val="00756BFD"/>
    <w:rsid w:val="00756BFF"/>
    <w:rsid w:val="00756E38"/>
    <w:rsid w:val="00756F93"/>
    <w:rsid w:val="007572AF"/>
    <w:rsid w:val="0075761D"/>
    <w:rsid w:val="00757B89"/>
    <w:rsid w:val="00757FBD"/>
    <w:rsid w:val="00760005"/>
    <w:rsid w:val="0076038A"/>
    <w:rsid w:val="007603C6"/>
    <w:rsid w:val="00760879"/>
    <w:rsid w:val="0076105E"/>
    <w:rsid w:val="00761758"/>
    <w:rsid w:val="0076177C"/>
    <w:rsid w:val="00761917"/>
    <w:rsid w:val="00761C3F"/>
    <w:rsid w:val="00761C9F"/>
    <w:rsid w:val="00762BBC"/>
    <w:rsid w:val="00762C99"/>
    <w:rsid w:val="00762DB0"/>
    <w:rsid w:val="007635D1"/>
    <w:rsid w:val="00763C98"/>
    <w:rsid w:val="00763DAB"/>
    <w:rsid w:val="00764111"/>
    <w:rsid w:val="0076446B"/>
    <w:rsid w:val="007647AC"/>
    <w:rsid w:val="00764A58"/>
    <w:rsid w:val="00764B31"/>
    <w:rsid w:val="00764B42"/>
    <w:rsid w:val="00764C5C"/>
    <w:rsid w:val="007650A3"/>
    <w:rsid w:val="00765180"/>
    <w:rsid w:val="00766715"/>
    <w:rsid w:val="0076675D"/>
    <w:rsid w:val="007700B0"/>
    <w:rsid w:val="007707B1"/>
    <w:rsid w:val="007707CB"/>
    <w:rsid w:val="00770BA0"/>
    <w:rsid w:val="00770DFB"/>
    <w:rsid w:val="00771125"/>
    <w:rsid w:val="007712AE"/>
    <w:rsid w:val="007712C5"/>
    <w:rsid w:val="00771A45"/>
    <w:rsid w:val="007723E1"/>
    <w:rsid w:val="00773180"/>
    <w:rsid w:val="00773691"/>
    <w:rsid w:val="007736AF"/>
    <w:rsid w:val="007737B6"/>
    <w:rsid w:val="00773D15"/>
    <w:rsid w:val="007752CD"/>
    <w:rsid w:val="00775302"/>
    <w:rsid w:val="007755E9"/>
    <w:rsid w:val="00775C0E"/>
    <w:rsid w:val="00775E19"/>
    <w:rsid w:val="007769EA"/>
    <w:rsid w:val="00777D24"/>
    <w:rsid w:val="00780F0C"/>
    <w:rsid w:val="00781022"/>
    <w:rsid w:val="00781711"/>
    <w:rsid w:val="00781792"/>
    <w:rsid w:val="00781FE3"/>
    <w:rsid w:val="00782095"/>
    <w:rsid w:val="00782D41"/>
    <w:rsid w:val="007833A3"/>
    <w:rsid w:val="007834EA"/>
    <w:rsid w:val="00783CA0"/>
    <w:rsid w:val="00783D6D"/>
    <w:rsid w:val="00783F77"/>
    <w:rsid w:val="00783FDF"/>
    <w:rsid w:val="00784687"/>
    <w:rsid w:val="007849A6"/>
    <w:rsid w:val="00784D43"/>
    <w:rsid w:val="00785229"/>
    <w:rsid w:val="00785F5C"/>
    <w:rsid w:val="00785FB9"/>
    <w:rsid w:val="007865B6"/>
    <w:rsid w:val="0078667E"/>
    <w:rsid w:val="00786A8F"/>
    <w:rsid w:val="00786B35"/>
    <w:rsid w:val="00786F16"/>
    <w:rsid w:val="00786F95"/>
    <w:rsid w:val="00787421"/>
    <w:rsid w:val="00787A11"/>
    <w:rsid w:val="007901B6"/>
    <w:rsid w:val="00790793"/>
    <w:rsid w:val="00790A65"/>
    <w:rsid w:val="00790C44"/>
    <w:rsid w:val="00790DAF"/>
    <w:rsid w:val="00791195"/>
    <w:rsid w:val="00791739"/>
    <w:rsid w:val="00791C99"/>
    <w:rsid w:val="007928EC"/>
    <w:rsid w:val="00792D60"/>
    <w:rsid w:val="0079323D"/>
    <w:rsid w:val="00794791"/>
    <w:rsid w:val="007949B0"/>
    <w:rsid w:val="00794C23"/>
    <w:rsid w:val="007955C0"/>
    <w:rsid w:val="00795674"/>
    <w:rsid w:val="007956A1"/>
    <w:rsid w:val="007956DB"/>
    <w:rsid w:val="00795B8B"/>
    <w:rsid w:val="00795FE7"/>
    <w:rsid w:val="00796311"/>
    <w:rsid w:val="00796999"/>
    <w:rsid w:val="007969F0"/>
    <w:rsid w:val="007969F2"/>
    <w:rsid w:val="00796A5B"/>
    <w:rsid w:val="00796E7C"/>
    <w:rsid w:val="007972CE"/>
    <w:rsid w:val="00797368"/>
    <w:rsid w:val="00797A0B"/>
    <w:rsid w:val="00797A17"/>
    <w:rsid w:val="00797BC6"/>
    <w:rsid w:val="007A00CD"/>
    <w:rsid w:val="007A0ED8"/>
    <w:rsid w:val="007A1434"/>
    <w:rsid w:val="007A1742"/>
    <w:rsid w:val="007A18F0"/>
    <w:rsid w:val="007A1A31"/>
    <w:rsid w:val="007A1D78"/>
    <w:rsid w:val="007A3242"/>
    <w:rsid w:val="007A3B1D"/>
    <w:rsid w:val="007A3B76"/>
    <w:rsid w:val="007A3CD6"/>
    <w:rsid w:val="007A3EA8"/>
    <w:rsid w:val="007A40A3"/>
    <w:rsid w:val="007A4C20"/>
    <w:rsid w:val="007A5194"/>
    <w:rsid w:val="007A53B3"/>
    <w:rsid w:val="007A54F1"/>
    <w:rsid w:val="007A5D2A"/>
    <w:rsid w:val="007A5E81"/>
    <w:rsid w:val="007A629F"/>
    <w:rsid w:val="007A692D"/>
    <w:rsid w:val="007A6C7C"/>
    <w:rsid w:val="007A7960"/>
    <w:rsid w:val="007B0D13"/>
    <w:rsid w:val="007B1291"/>
    <w:rsid w:val="007B1337"/>
    <w:rsid w:val="007B14E5"/>
    <w:rsid w:val="007B188D"/>
    <w:rsid w:val="007B1E54"/>
    <w:rsid w:val="007B26CA"/>
    <w:rsid w:val="007B304D"/>
    <w:rsid w:val="007B30A9"/>
    <w:rsid w:val="007B3819"/>
    <w:rsid w:val="007B4A40"/>
    <w:rsid w:val="007B5746"/>
    <w:rsid w:val="007B5A26"/>
    <w:rsid w:val="007B5EB8"/>
    <w:rsid w:val="007B61CB"/>
    <w:rsid w:val="007B7123"/>
    <w:rsid w:val="007B71DC"/>
    <w:rsid w:val="007B72EE"/>
    <w:rsid w:val="007C0236"/>
    <w:rsid w:val="007C0963"/>
    <w:rsid w:val="007C0D0D"/>
    <w:rsid w:val="007C0FE1"/>
    <w:rsid w:val="007C1029"/>
    <w:rsid w:val="007C11F0"/>
    <w:rsid w:val="007C195D"/>
    <w:rsid w:val="007C1D4D"/>
    <w:rsid w:val="007C2365"/>
    <w:rsid w:val="007C249B"/>
    <w:rsid w:val="007C2B4F"/>
    <w:rsid w:val="007C2BBD"/>
    <w:rsid w:val="007C30BD"/>
    <w:rsid w:val="007C35C5"/>
    <w:rsid w:val="007C3A81"/>
    <w:rsid w:val="007C3A9A"/>
    <w:rsid w:val="007C4D0F"/>
    <w:rsid w:val="007C5A3D"/>
    <w:rsid w:val="007C5BD6"/>
    <w:rsid w:val="007C5F42"/>
    <w:rsid w:val="007C6BDB"/>
    <w:rsid w:val="007C71B4"/>
    <w:rsid w:val="007C726E"/>
    <w:rsid w:val="007C762A"/>
    <w:rsid w:val="007C78F6"/>
    <w:rsid w:val="007C7ADC"/>
    <w:rsid w:val="007D009C"/>
    <w:rsid w:val="007D0108"/>
    <w:rsid w:val="007D0701"/>
    <w:rsid w:val="007D10CF"/>
    <w:rsid w:val="007D1479"/>
    <w:rsid w:val="007D24F0"/>
    <w:rsid w:val="007D3A8E"/>
    <w:rsid w:val="007D4DD5"/>
    <w:rsid w:val="007D513F"/>
    <w:rsid w:val="007D5716"/>
    <w:rsid w:val="007D59C6"/>
    <w:rsid w:val="007D5C1B"/>
    <w:rsid w:val="007D5C28"/>
    <w:rsid w:val="007D5D49"/>
    <w:rsid w:val="007D5FE6"/>
    <w:rsid w:val="007D6184"/>
    <w:rsid w:val="007D68C1"/>
    <w:rsid w:val="007D6A73"/>
    <w:rsid w:val="007D6E22"/>
    <w:rsid w:val="007D70AC"/>
    <w:rsid w:val="007D7553"/>
    <w:rsid w:val="007D773C"/>
    <w:rsid w:val="007D7910"/>
    <w:rsid w:val="007D7BA0"/>
    <w:rsid w:val="007E0600"/>
    <w:rsid w:val="007E0DC8"/>
    <w:rsid w:val="007E1A27"/>
    <w:rsid w:val="007E1F1A"/>
    <w:rsid w:val="007E2113"/>
    <w:rsid w:val="007E29B3"/>
    <w:rsid w:val="007E2A4B"/>
    <w:rsid w:val="007E2E54"/>
    <w:rsid w:val="007E3387"/>
    <w:rsid w:val="007E33D1"/>
    <w:rsid w:val="007E3570"/>
    <w:rsid w:val="007E358D"/>
    <w:rsid w:val="007E3907"/>
    <w:rsid w:val="007E3EF4"/>
    <w:rsid w:val="007E40FC"/>
    <w:rsid w:val="007E4528"/>
    <w:rsid w:val="007E503C"/>
    <w:rsid w:val="007E50F0"/>
    <w:rsid w:val="007E5D53"/>
    <w:rsid w:val="007E5F3D"/>
    <w:rsid w:val="007E6226"/>
    <w:rsid w:val="007E6400"/>
    <w:rsid w:val="007E6587"/>
    <w:rsid w:val="007E6925"/>
    <w:rsid w:val="007E70F1"/>
    <w:rsid w:val="007E7A11"/>
    <w:rsid w:val="007E7A76"/>
    <w:rsid w:val="007F0A4C"/>
    <w:rsid w:val="007F1698"/>
    <w:rsid w:val="007F1F1F"/>
    <w:rsid w:val="007F21C9"/>
    <w:rsid w:val="007F2283"/>
    <w:rsid w:val="007F263E"/>
    <w:rsid w:val="007F31A4"/>
    <w:rsid w:val="007F38BD"/>
    <w:rsid w:val="007F3E64"/>
    <w:rsid w:val="007F48A9"/>
    <w:rsid w:val="007F4C7D"/>
    <w:rsid w:val="007F5227"/>
    <w:rsid w:val="007F53B7"/>
    <w:rsid w:val="007F578F"/>
    <w:rsid w:val="007F5A8B"/>
    <w:rsid w:val="007F5E0E"/>
    <w:rsid w:val="007F623E"/>
    <w:rsid w:val="007F63D6"/>
    <w:rsid w:val="007F65A5"/>
    <w:rsid w:val="007F676F"/>
    <w:rsid w:val="007F6D86"/>
    <w:rsid w:val="007F7CAF"/>
    <w:rsid w:val="007F7F4C"/>
    <w:rsid w:val="00800434"/>
    <w:rsid w:val="008004D1"/>
    <w:rsid w:val="00801818"/>
    <w:rsid w:val="00801898"/>
    <w:rsid w:val="00801AD8"/>
    <w:rsid w:val="00801C07"/>
    <w:rsid w:val="00801DD8"/>
    <w:rsid w:val="00802026"/>
    <w:rsid w:val="0080236A"/>
    <w:rsid w:val="0080237C"/>
    <w:rsid w:val="008024BA"/>
    <w:rsid w:val="0080251F"/>
    <w:rsid w:val="00803A4D"/>
    <w:rsid w:val="00803E06"/>
    <w:rsid w:val="00804028"/>
    <w:rsid w:val="008042E7"/>
    <w:rsid w:val="00804545"/>
    <w:rsid w:val="00804654"/>
    <w:rsid w:val="008049F5"/>
    <w:rsid w:val="0080528E"/>
    <w:rsid w:val="00805668"/>
    <w:rsid w:val="00805B06"/>
    <w:rsid w:val="00805B0C"/>
    <w:rsid w:val="00806323"/>
    <w:rsid w:val="008067B6"/>
    <w:rsid w:val="008067DA"/>
    <w:rsid w:val="00806D70"/>
    <w:rsid w:val="00806F22"/>
    <w:rsid w:val="00807091"/>
    <w:rsid w:val="00807120"/>
    <w:rsid w:val="0080788E"/>
    <w:rsid w:val="00807926"/>
    <w:rsid w:val="0080797E"/>
    <w:rsid w:val="00807B23"/>
    <w:rsid w:val="00807FEA"/>
    <w:rsid w:val="0081005D"/>
    <w:rsid w:val="00810A1C"/>
    <w:rsid w:val="008112DE"/>
    <w:rsid w:val="0081132A"/>
    <w:rsid w:val="00811546"/>
    <w:rsid w:val="00811840"/>
    <w:rsid w:val="00811AFB"/>
    <w:rsid w:val="00811DA3"/>
    <w:rsid w:val="00811DDB"/>
    <w:rsid w:val="00812093"/>
    <w:rsid w:val="008128F3"/>
    <w:rsid w:val="00812E1A"/>
    <w:rsid w:val="00813160"/>
    <w:rsid w:val="00813616"/>
    <w:rsid w:val="00813874"/>
    <w:rsid w:val="00813A6B"/>
    <w:rsid w:val="00814992"/>
    <w:rsid w:val="0081531B"/>
    <w:rsid w:val="00815584"/>
    <w:rsid w:val="008156FB"/>
    <w:rsid w:val="008159BE"/>
    <w:rsid w:val="00815A32"/>
    <w:rsid w:val="00815D0B"/>
    <w:rsid w:val="00816660"/>
    <w:rsid w:val="008174EB"/>
    <w:rsid w:val="00817B22"/>
    <w:rsid w:val="00817C8F"/>
    <w:rsid w:val="00817D9B"/>
    <w:rsid w:val="008203C1"/>
    <w:rsid w:val="00820B47"/>
    <w:rsid w:val="008216BE"/>
    <w:rsid w:val="00821A29"/>
    <w:rsid w:val="008228DD"/>
    <w:rsid w:val="00822917"/>
    <w:rsid w:val="00822F05"/>
    <w:rsid w:val="008231DE"/>
    <w:rsid w:val="00823DF0"/>
    <w:rsid w:val="008243D1"/>
    <w:rsid w:val="008244ED"/>
    <w:rsid w:val="00824AAA"/>
    <w:rsid w:val="00824BE4"/>
    <w:rsid w:val="0082521B"/>
    <w:rsid w:val="00825461"/>
    <w:rsid w:val="008256E5"/>
    <w:rsid w:val="008259C9"/>
    <w:rsid w:val="00825DED"/>
    <w:rsid w:val="00825E15"/>
    <w:rsid w:val="00826088"/>
    <w:rsid w:val="00827440"/>
    <w:rsid w:val="00827B3A"/>
    <w:rsid w:val="00827FAC"/>
    <w:rsid w:val="00830982"/>
    <w:rsid w:val="00830B61"/>
    <w:rsid w:val="00831B3D"/>
    <w:rsid w:val="00831DA3"/>
    <w:rsid w:val="00831EC0"/>
    <w:rsid w:val="0083203D"/>
    <w:rsid w:val="00832235"/>
    <w:rsid w:val="00832AB7"/>
    <w:rsid w:val="00832BD2"/>
    <w:rsid w:val="00833B28"/>
    <w:rsid w:val="00834404"/>
    <w:rsid w:val="008346C8"/>
    <w:rsid w:val="00835332"/>
    <w:rsid w:val="0083583E"/>
    <w:rsid w:val="00836146"/>
    <w:rsid w:val="00836716"/>
    <w:rsid w:val="00836E1A"/>
    <w:rsid w:val="00837811"/>
    <w:rsid w:val="00837D4E"/>
    <w:rsid w:val="0084013A"/>
    <w:rsid w:val="00840751"/>
    <w:rsid w:val="00840A17"/>
    <w:rsid w:val="00840E0E"/>
    <w:rsid w:val="00841099"/>
    <w:rsid w:val="008410FA"/>
    <w:rsid w:val="00841255"/>
    <w:rsid w:val="008416DA"/>
    <w:rsid w:val="00841702"/>
    <w:rsid w:val="00842095"/>
    <w:rsid w:val="00842172"/>
    <w:rsid w:val="0084223E"/>
    <w:rsid w:val="008422CE"/>
    <w:rsid w:val="00842307"/>
    <w:rsid w:val="00842BCD"/>
    <w:rsid w:val="00843100"/>
    <w:rsid w:val="00843178"/>
    <w:rsid w:val="00845102"/>
    <w:rsid w:val="00845108"/>
    <w:rsid w:val="00845222"/>
    <w:rsid w:val="008454BC"/>
    <w:rsid w:val="00845854"/>
    <w:rsid w:val="008461DD"/>
    <w:rsid w:val="008461E3"/>
    <w:rsid w:val="00846630"/>
    <w:rsid w:val="00846E5C"/>
    <w:rsid w:val="00847456"/>
    <w:rsid w:val="008477A7"/>
    <w:rsid w:val="00847BA2"/>
    <w:rsid w:val="00847E4B"/>
    <w:rsid w:val="0085022E"/>
    <w:rsid w:val="00850558"/>
    <w:rsid w:val="00850928"/>
    <w:rsid w:val="00851164"/>
    <w:rsid w:val="0085143D"/>
    <w:rsid w:val="008514B7"/>
    <w:rsid w:val="00851A94"/>
    <w:rsid w:val="0085266B"/>
    <w:rsid w:val="00852B24"/>
    <w:rsid w:val="008530C3"/>
    <w:rsid w:val="00853C2B"/>
    <w:rsid w:val="00854600"/>
    <w:rsid w:val="00854AC1"/>
    <w:rsid w:val="00854C5C"/>
    <w:rsid w:val="008557E5"/>
    <w:rsid w:val="008557E7"/>
    <w:rsid w:val="00855BBD"/>
    <w:rsid w:val="00855C35"/>
    <w:rsid w:val="00855F66"/>
    <w:rsid w:val="00855FDD"/>
    <w:rsid w:val="008560D4"/>
    <w:rsid w:val="00856147"/>
    <w:rsid w:val="008563F5"/>
    <w:rsid w:val="008567C4"/>
    <w:rsid w:val="00856C9F"/>
    <w:rsid w:val="00856D17"/>
    <w:rsid w:val="00856D6C"/>
    <w:rsid w:val="00857986"/>
    <w:rsid w:val="00857C6C"/>
    <w:rsid w:val="008601D7"/>
    <w:rsid w:val="008601F3"/>
    <w:rsid w:val="00860B1D"/>
    <w:rsid w:val="00861043"/>
    <w:rsid w:val="00861306"/>
    <w:rsid w:val="00861530"/>
    <w:rsid w:val="008615A6"/>
    <w:rsid w:val="00861E06"/>
    <w:rsid w:val="00861EDC"/>
    <w:rsid w:val="00862451"/>
    <w:rsid w:val="00862780"/>
    <w:rsid w:val="008628DB"/>
    <w:rsid w:val="0086298D"/>
    <w:rsid w:val="00863332"/>
    <w:rsid w:val="0086369E"/>
    <w:rsid w:val="0086399A"/>
    <w:rsid w:val="00863A5A"/>
    <w:rsid w:val="00863BAF"/>
    <w:rsid w:val="00864075"/>
    <w:rsid w:val="00864E80"/>
    <w:rsid w:val="0086544F"/>
    <w:rsid w:val="008659A6"/>
    <w:rsid w:val="00865D12"/>
    <w:rsid w:val="008662D7"/>
    <w:rsid w:val="00866D81"/>
    <w:rsid w:val="00866F71"/>
    <w:rsid w:val="00867274"/>
    <w:rsid w:val="00867B79"/>
    <w:rsid w:val="00867F29"/>
    <w:rsid w:val="00870264"/>
    <w:rsid w:val="00870963"/>
    <w:rsid w:val="008710CD"/>
    <w:rsid w:val="00871165"/>
    <w:rsid w:val="00871669"/>
    <w:rsid w:val="00871C19"/>
    <w:rsid w:val="00872674"/>
    <w:rsid w:val="00872BC8"/>
    <w:rsid w:val="00873E28"/>
    <w:rsid w:val="0087419E"/>
    <w:rsid w:val="00874E3B"/>
    <w:rsid w:val="008754A8"/>
    <w:rsid w:val="00875D33"/>
    <w:rsid w:val="0087622D"/>
    <w:rsid w:val="008765C9"/>
    <w:rsid w:val="00876689"/>
    <w:rsid w:val="00876E90"/>
    <w:rsid w:val="00876F67"/>
    <w:rsid w:val="00876FB1"/>
    <w:rsid w:val="008770CB"/>
    <w:rsid w:val="00877641"/>
    <w:rsid w:val="008808AE"/>
    <w:rsid w:val="00880DF9"/>
    <w:rsid w:val="0088193D"/>
    <w:rsid w:val="008826F5"/>
    <w:rsid w:val="00882C22"/>
    <w:rsid w:val="00882C39"/>
    <w:rsid w:val="0088305E"/>
    <w:rsid w:val="008832B6"/>
    <w:rsid w:val="008835F6"/>
    <w:rsid w:val="008839D6"/>
    <w:rsid w:val="00883AE8"/>
    <w:rsid w:val="00883D40"/>
    <w:rsid w:val="0088420C"/>
    <w:rsid w:val="00884225"/>
    <w:rsid w:val="00884465"/>
    <w:rsid w:val="00884BBB"/>
    <w:rsid w:val="00884CF8"/>
    <w:rsid w:val="0088589F"/>
    <w:rsid w:val="00885AEB"/>
    <w:rsid w:val="00885E9E"/>
    <w:rsid w:val="0088626E"/>
    <w:rsid w:val="008866B2"/>
    <w:rsid w:val="00886B9A"/>
    <w:rsid w:val="00887607"/>
    <w:rsid w:val="008877C6"/>
    <w:rsid w:val="008878F9"/>
    <w:rsid w:val="00887A7A"/>
    <w:rsid w:val="00887E37"/>
    <w:rsid w:val="00890784"/>
    <w:rsid w:val="00890E02"/>
    <w:rsid w:val="00890FF6"/>
    <w:rsid w:val="00891BA5"/>
    <w:rsid w:val="00891CC4"/>
    <w:rsid w:val="00891D39"/>
    <w:rsid w:val="00891D84"/>
    <w:rsid w:val="008920A6"/>
    <w:rsid w:val="008922C4"/>
    <w:rsid w:val="00892EC9"/>
    <w:rsid w:val="00893E25"/>
    <w:rsid w:val="00893FFE"/>
    <w:rsid w:val="00894812"/>
    <w:rsid w:val="0089496B"/>
    <w:rsid w:val="00895ABA"/>
    <w:rsid w:val="00895EAD"/>
    <w:rsid w:val="008963DB"/>
    <w:rsid w:val="00896C38"/>
    <w:rsid w:val="00896E2F"/>
    <w:rsid w:val="00897772"/>
    <w:rsid w:val="00897EC2"/>
    <w:rsid w:val="008A05A0"/>
    <w:rsid w:val="008A0B68"/>
    <w:rsid w:val="008A174B"/>
    <w:rsid w:val="008A1A5C"/>
    <w:rsid w:val="008A2A69"/>
    <w:rsid w:val="008A2F00"/>
    <w:rsid w:val="008A371B"/>
    <w:rsid w:val="008A3741"/>
    <w:rsid w:val="008A3B86"/>
    <w:rsid w:val="008A3F44"/>
    <w:rsid w:val="008A3F4F"/>
    <w:rsid w:val="008A4A78"/>
    <w:rsid w:val="008A5078"/>
    <w:rsid w:val="008A51C0"/>
    <w:rsid w:val="008A587A"/>
    <w:rsid w:val="008A5C62"/>
    <w:rsid w:val="008A6036"/>
    <w:rsid w:val="008A6DC0"/>
    <w:rsid w:val="008A7BA8"/>
    <w:rsid w:val="008B07A3"/>
    <w:rsid w:val="008B0F92"/>
    <w:rsid w:val="008B11D5"/>
    <w:rsid w:val="008B15A9"/>
    <w:rsid w:val="008B19F6"/>
    <w:rsid w:val="008B1BC7"/>
    <w:rsid w:val="008B2043"/>
    <w:rsid w:val="008B2287"/>
    <w:rsid w:val="008B2476"/>
    <w:rsid w:val="008B2577"/>
    <w:rsid w:val="008B28EA"/>
    <w:rsid w:val="008B3B66"/>
    <w:rsid w:val="008B49E5"/>
    <w:rsid w:val="008B664E"/>
    <w:rsid w:val="008B6672"/>
    <w:rsid w:val="008B66D1"/>
    <w:rsid w:val="008B66D7"/>
    <w:rsid w:val="008B6A91"/>
    <w:rsid w:val="008B6AB1"/>
    <w:rsid w:val="008B7232"/>
    <w:rsid w:val="008B73D1"/>
    <w:rsid w:val="008B7970"/>
    <w:rsid w:val="008B7C48"/>
    <w:rsid w:val="008B7F02"/>
    <w:rsid w:val="008C0551"/>
    <w:rsid w:val="008C0DD8"/>
    <w:rsid w:val="008C17FE"/>
    <w:rsid w:val="008C1802"/>
    <w:rsid w:val="008C18DF"/>
    <w:rsid w:val="008C1F28"/>
    <w:rsid w:val="008C2972"/>
    <w:rsid w:val="008C2C7D"/>
    <w:rsid w:val="008C389E"/>
    <w:rsid w:val="008C3915"/>
    <w:rsid w:val="008C396E"/>
    <w:rsid w:val="008C3EBD"/>
    <w:rsid w:val="008C5400"/>
    <w:rsid w:val="008C5A10"/>
    <w:rsid w:val="008C5B07"/>
    <w:rsid w:val="008C6773"/>
    <w:rsid w:val="008C6812"/>
    <w:rsid w:val="008C6CA5"/>
    <w:rsid w:val="008C745A"/>
    <w:rsid w:val="008C7623"/>
    <w:rsid w:val="008D04D9"/>
    <w:rsid w:val="008D0813"/>
    <w:rsid w:val="008D0C01"/>
    <w:rsid w:val="008D1252"/>
    <w:rsid w:val="008D170E"/>
    <w:rsid w:val="008D1B89"/>
    <w:rsid w:val="008D27CC"/>
    <w:rsid w:val="008D28C8"/>
    <w:rsid w:val="008D297D"/>
    <w:rsid w:val="008D2B63"/>
    <w:rsid w:val="008D2C23"/>
    <w:rsid w:val="008D2C25"/>
    <w:rsid w:val="008D2EE7"/>
    <w:rsid w:val="008D2FE1"/>
    <w:rsid w:val="008D3065"/>
    <w:rsid w:val="008D3F2E"/>
    <w:rsid w:val="008D4DE3"/>
    <w:rsid w:val="008D5EE7"/>
    <w:rsid w:val="008D68AB"/>
    <w:rsid w:val="008D7613"/>
    <w:rsid w:val="008D7732"/>
    <w:rsid w:val="008D7787"/>
    <w:rsid w:val="008D7E5B"/>
    <w:rsid w:val="008D7FD5"/>
    <w:rsid w:val="008E0852"/>
    <w:rsid w:val="008E089D"/>
    <w:rsid w:val="008E0B51"/>
    <w:rsid w:val="008E0C69"/>
    <w:rsid w:val="008E156B"/>
    <w:rsid w:val="008E17E3"/>
    <w:rsid w:val="008E1A20"/>
    <w:rsid w:val="008E1D03"/>
    <w:rsid w:val="008E1E3A"/>
    <w:rsid w:val="008E1F0F"/>
    <w:rsid w:val="008E23F1"/>
    <w:rsid w:val="008E2A8F"/>
    <w:rsid w:val="008E31B0"/>
    <w:rsid w:val="008E325D"/>
    <w:rsid w:val="008E49AC"/>
    <w:rsid w:val="008E509B"/>
    <w:rsid w:val="008E616A"/>
    <w:rsid w:val="008E65B9"/>
    <w:rsid w:val="008E688C"/>
    <w:rsid w:val="008E6979"/>
    <w:rsid w:val="008E6E75"/>
    <w:rsid w:val="008E6EFC"/>
    <w:rsid w:val="008E7897"/>
    <w:rsid w:val="008E79C2"/>
    <w:rsid w:val="008F0651"/>
    <w:rsid w:val="008F0CEA"/>
    <w:rsid w:val="008F1D18"/>
    <w:rsid w:val="008F1DCA"/>
    <w:rsid w:val="008F202B"/>
    <w:rsid w:val="008F23C4"/>
    <w:rsid w:val="008F2B8D"/>
    <w:rsid w:val="008F31A0"/>
    <w:rsid w:val="008F34F9"/>
    <w:rsid w:val="008F3F91"/>
    <w:rsid w:val="008F4B78"/>
    <w:rsid w:val="008F5891"/>
    <w:rsid w:val="008F67B5"/>
    <w:rsid w:val="008F6D0D"/>
    <w:rsid w:val="008F6DCB"/>
    <w:rsid w:val="008F7371"/>
    <w:rsid w:val="0090007F"/>
    <w:rsid w:val="0090008A"/>
    <w:rsid w:val="00900E62"/>
    <w:rsid w:val="00901629"/>
    <w:rsid w:val="0090173E"/>
    <w:rsid w:val="00901794"/>
    <w:rsid w:val="009028D6"/>
    <w:rsid w:val="00902B4D"/>
    <w:rsid w:val="009031F4"/>
    <w:rsid w:val="00903AF8"/>
    <w:rsid w:val="00903F27"/>
    <w:rsid w:val="00904122"/>
    <w:rsid w:val="00904209"/>
    <w:rsid w:val="009042A0"/>
    <w:rsid w:val="00904402"/>
    <w:rsid w:val="0090442B"/>
    <w:rsid w:val="00904492"/>
    <w:rsid w:val="0090455D"/>
    <w:rsid w:val="009047BB"/>
    <w:rsid w:val="0090496A"/>
    <w:rsid w:val="0090513C"/>
    <w:rsid w:val="00905363"/>
    <w:rsid w:val="009058C7"/>
    <w:rsid w:val="009067C6"/>
    <w:rsid w:val="0090681E"/>
    <w:rsid w:val="0090689C"/>
    <w:rsid w:val="00906ECD"/>
    <w:rsid w:val="00907E94"/>
    <w:rsid w:val="009102EB"/>
    <w:rsid w:val="009106C5"/>
    <w:rsid w:val="0091148B"/>
    <w:rsid w:val="00911A2B"/>
    <w:rsid w:val="00914217"/>
    <w:rsid w:val="00914FDD"/>
    <w:rsid w:val="00915B01"/>
    <w:rsid w:val="00915F2A"/>
    <w:rsid w:val="00916791"/>
    <w:rsid w:val="00916D71"/>
    <w:rsid w:val="00917291"/>
    <w:rsid w:val="00917A35"/>
    <w:rsid w:val="00917AAC"/>
    <w:rsid w:val="00917BDA"/>
    <w:rsid w:val="009203AD"/>
    <w:rsid w:val="009209F0"/>
    <w:rsid w:val="00920DB7"/>
    <w:rsid w:val="00921754"/>
    <w:rsid w:val="00922CF2"/>
    <w:rsid w:val="00923BCA"/>
    <w:rsid w:val="009242C9"/>
    <w:rsid w:val="009248D2"/>
    <w:rsid w:val="00924B6D"/>
    <w:rsid w:val="00925285"/>
    <w:rsid w:val="009254B0"/>
    <w:rsid w:val="00925E2D"/>
    <w:rsid w:val="00925EC7"/>
    <w:rsid w:val="0092620E"/>
    <w:rsid w:val="0092690F"/>
    <w:rsid w:val="0092732A"/>
    <w:rsid w:val="00927465"/>
    <w:rsid w:val="009274C3"/>
    <w:rsid w:val="00927A33"/>
    <w:rsid w:val="00927E1C"/>
    <w:rsid w:val="00930DD3"/>
    <w:rsid w:val="00931113"/>
    <w:rsid w:val="00931B1F"/>
    <w:rsid w:val="00931B39"/>
    <w:rsid w:val="00931BE7"/>
    <w:rsid w:val="00931F48"/>
    <w:rsid w:val="0093260F"/>
    <w:rsid w:val="00932649"/>
    <w:rsid w:val="0093269E"/>
    <w:rsid w:val="00932A13"/>
    <w:rsid w:val="00932C95"/>
    <w:rsid w:val="00932DDB"/>
    <w:rsid w:val="00933406"/>
    <w:rsid w:val="0093347E"/>
    <w:rsid w:val="00933910"/>
    <w:rsid w:val="00933948"/>
    <w:rsid w:val="00934553"/>
    <w:rsid w:val="009345EA"/>
    <w:rsid w:val="00934B2A"/>
    <w:rsid w:val="0093505B"/>
    <w:rsid w:val="00935087"/>
    <w:rsid w:val="00935333"/>
    <w:rsid w:val="00935B67"/>
    <w:rsid w:val="00935D29"/>
    <w:rsid w:val="00935DD5"/>
    <w:rsid w:val="00935DEE"/>
    <w:rsid w:val="00936AD3"/>
    <w:rsid w:val="00936BBC"/>
    <w:rsid w:val="00937BDC"/>
    <w:rsid w:val="00940767"/>
    <w:rsid w:val="00940BBE"/>
    <w:rsid w:val="00940F58"/>
    <w:rsid w:val="00941C62"/>
    <w:rsid w:val="00941E9E"/>
    <w:rsid w:val="0094358D"/>
    <w:rsid w:val="00944A15"/>
    <w:rsid w:val="0094631D"/>
    <w:rsid w:val="0094689A"/>
    <w:rsid w:val="009476FD"/>
    <w:rsid w:val="00947ED5"/>
    <w:rsid w:val="0095057D"/>
    <w:rsid w:val="009511DC"/>
    <w:rsid w:val="00951848"/>
    <w:rsid w:val="009518CF"/>
    <w:rsid w:val="00951DB4"/>
    <w:rsid w:val="00952615"/>
    <w:rsid w:val="0095265D"/>
    <w:rsid w:val="00953215"/>
    <w:rsid w:val="00953342"/>
    <w:rsid w:val="009544DF"/>
    <w:rsid w:val="0095469B"/>
    <w:rsid w:val="0095469C"/>
    <w:rsid w:val="00954C43"/>
    <w:rsid w:val="00954DFA"/>
    <w:rsid w:val="00954FFD"/>
    <w:rsid w:val="00955712"/>
    <w:rsid w:val="00955736"/>
    <w:rsid w:val="009559E5"/>
    <w:rsid w:val="00955DC7"/>
    <w:rsid w:val="00955FD6"/>
    <w:rsid w:val="00955FED"/>
    <w:rsid w:val="009564BB"/>
    <w:rsid w:val="00956651"/>
    <w:rsid w:val="00956A27"/>
    <w:rsid w:val="00956F87"/>
    <w:rsid w:val="00956FE3"/>
    <w:rsid w:val="0095787F"/>
    <w:rsid w:val="009609B3"/>
    <w:rsid w:val="009612FD"/>
    <w:rsid w:val="0096135A"/>
    <w:rsid w:val="00961B6F"/>
    <w:rsid w:val="00961ECA"/>
    <w:rsid w:val="0096293A"/>
    <w:rsid w:val="00962CCB"/>
    <w:rsid w:val="00962D09"/>
    <w:rsid w:val="0096334D"/>
    <w:rsid w:val="009634CA"/>
    <w:rsid w:val="00963799"/>
    <w:rsid w:val="009639B6"/>
    <w:rsid w:val="00963F1A"/>
    <w:rsid w:val="009640FF"/>
    <w:rsid w:val="0096440B"/>
    <w:rsid w:val="009646E9"/>
    <w:rsid w:val="009649D5"/>
    <w:rsid w:val="0096504E"/>
    <w:rsid w:val="0096553D"/>
    <w:rsid w:val="00965737"/>
    <w:rsid w:val="00965CE6"/>
    <w:rsid w:val="009661DB"/>
    <w:rsid w:val="00966A22"/>
    <w:rsid w:val="009673AC"/>
    <w:rsid w:val="00967454"/>
    <w:rsid w:val="00970A54"/>
    <w:rsid w:val="00971984"/>
    <w:rsid w:val="00971CAC"/>
    <w:rsid w:val="009722BE"/>
    <w:rsid w:val="00972E44"/>
    <w:rsid w:val="00973119"/>
    <w:rsid w:val="00973242"/>
    <w:rsid w:val="009732FE"/>
    <w:rsid w:val="0097392F"/>
    <w:rsid w:val="00974093"/>
    <w:rsid w:val="00974107"/>
    <w:rsid w:val="00975083"/>
    <w:rsid w:val="00975609"/>
    <w:rsid w:val="00975A95"/>
    <w:rsid w:val="00975F38"/>
    <w:rsid w:val="009760C2"/>
    <w:rsid w:val="009765C2"/>
    <w:rsid w:val="0097682C"/>
    <w:rsid w:val="00976B40"/>
    <w:rsid w:val="00976B58"/>
    <w:rsid w:val="00977346"/>
    <w:rsid w:val="00977970"/>
    <w:rsid w:val="009779D2"/>
    <w:rsid w:val="00977EE2"/>
    <w:rsid w:val="0098074A"/>
    <w:rsid w:val="0098118E"/>
    <w:rsid w:val="009812C0"/>
    <w:rsid w:val="00981885"/>
    <w:rsid w:val="00981D5E"/>
    <w:rsid w:val="00981E09"/>
    <w:rsid w:val="00981F01"/>
    <w:rsid w:val="0098240F"/>
    <w:rsid w:val="0098275F"/>
    <w:rsid w:val="00983621"/>
    <w:rsid w:val="00983873"/>
    <w:rsid w:val="00983C47"/>
    <w:rsid w:val="00983C67"/>
    <w:rsid w:val="00983F15"/>
    <w:rsid w:val="009841E7"/>
    <w:rsid w:val="009843EB"/>
    <w:rsid w:val="00984B2D"/>
    <w:rsid w:val="00984C6F"/>
    <w:rsid w:val="00985420"/>
    <w:rsid w:val="00985AF9"/>
    <w:rsid w:val="00985D92"/>
    <w:rsid w:val="009864C9"/>
    <w:rsid w:val="009866DE"/>
    <w:rsid w:val="00986974"/>
    <w:rsid w:val="00986B9B"/>
    <w:rsid w:val="00986BA5"/>
    <w:rsid w:val="0098738D"/>
    <w:rsid w:val="00987992"/>
    <w:rsid w:val="009879A4"/>
    <w:rsid w:val="00987DBA"/>
    <w:rsid w:val="00987F9F"/>
    <w:rsid w:val="009915D9"/>
    <w:rsid w:val="009918DE"/>
    <w:rsid w:val="00991AD7"/>
    <w:rsid w:val="00991C62"/>
    <w:rsid w:val="00992008"/>
    <w:rsid w:val="00992446"/>
    <w:rsid w:val="00992646"/>
    <w:rsid w:val="00992C7F"/>
    <w:rsid w:val="00993100"/>
    <w:rsid w:val="00993141"/>
    <w:rsid w:val="0099314F"/>
    <w:rsid w:val="009932C5"/>
    <w:rsid w:val="0099350A"/>
    <w:rsid w:val="00993C15"/>
    <w:rsid w:val="00994677"/>
    <w:rsid w:val="00994C65"/>
    <w:rsid w:val="00995BE2"/>
    <w:rsid w:val="00995D11"/>
    <w:rsid w:val="00996705"/>
    <w:rsid w:val="00996F3B"/>
    <w:rsid w:val="00997616"/>
    <w:rsid w:val="0099771B"/>
    <w:rsid w:val="0099796D"/>
    <w:rsid w:val="009A0108"/>
    <w:rsid w:val="009A0686"/>
    <w:rsid w:val="009A0A42"/>
    <w:rsid w:val="009A0ED2"/>
    <w:rsid w:val="009A1496"/>
    <w:rsid w:val="009A2D2E"/>
    <w:rsid w:val="009A5006"/>
    <w:rsid w:val="009A5076"/>
    <w:rsid w:val="009A6020"/>
    <w:rsid w:val="009A652D"/>
    <w:rsid w:val="009A688C"/>
    <w:rsid w:val="009A6A15"/>
    <w:rsid w:val="009A733E"/>
    <w:rsid w:val="009A7351"/>
    <w:rsid w:val="009A7B57"/>
    <w:rsid w:val="009A7E6C"/>
    <w:rsid w:val="009B0D41"/>
    <w:rsid w:val="009B1148"/>
    <w:rsid w:val="009B187D"/>
    <w:rsid w:val="009B1B0A"/>
    <w:rsid w:val="009B1BA2"/>
    <w:rsid w:val="009B24DC"/>
    <w:rsid w:val="009B2557"/>
    <w:rsid w:val="009B2C1F"/>
    <w:rsid w:val="009B2DE5"/>
    <w:rsid w:val="009B2E2F"/>
    <w:rsid w:val="009B472F"/>
    <w:rsid w:val="009B5384"/>
    <w:rsid w:val="009B590A"/>
    <w:rsid w:val="009B5940"/>
    <w:rsid w:val="009B66CB"/>
    <w:rsid w:val="009B6B36"/>
    <w:rsid w:val="009B6FC9"/>
    <w:rsid w:val="009B72EE"/>
    <w:rsid w:val="009B7640"/>
    <w:rsid w:val="009B79CD"/>
    <w:rsid w:val="009C0758"/>
    <w:rsid w:val="009C0ED7"/>
    <w:rsid w:val="009C14D7"/>
    <w:rsid w:val="009C2B3D"/>
    <w:rsid w:val="009C2FB8"/>
    <w:rsid w:val="009C326C"/>
    <w:rsid w:val="009C3544"/>
    <w:rsid w:val="009C3D63"/>
    <w:rsid w:val="009C4D7B"/>
    <w:rsid w:val="009C5281"/>
    <w:rsid w:val="009C52AA"/>
    <w:rsid w:val="009C564B"/>
    <w:rsid w:val="009C5BEA"/>
    <w:rsid w:val="009C5E7E"/>
    <w:rsid w:val="009C6470"/>
    <w:rsid w:val="009C6A40"/>
    <w:rsid w:val="009C6ECD"/>
    <w:rsid w:val="009C7796"/>
    <w:rsid w:val="009C79A4"/>
    <w:rsid w:val="009D061C"/>
    <w:rsid w:val="009D0665"/>
    <w:rsid w:val="009D0AE5"/>
    <w:rsid w:val="009D0BEF"/>
    <w:rsid w:val="009D0BFE"/>
    <w:rsid w:val="009D15CD"/>
    <w:rsid w:val="009D1F5B"/>
    <w:rsid w:val="009D2035"/>
    <w:rsid w:val="009D3835"/>
    <w:rsid w:val="009D3C4B"/>
    <w:rsid w:val="009D430C"/>
    <w:rsid w:val="009D4440"/>
    <w:rsid w:val="009D4924"/>
    <w:rsid w:val="009D4F6F"/>
    <w:rsid w:val="009D627B"/>
    <w:rsid w:val="009D65D0"/>
    <w:rsid w:val="009D6DCA"/>
    <w:rsid w:val="009D6F0A"/>
    <w:rsid w:val="009D7773"/>
    <w:rsid w:val="009D779F"/>
    <w:rsid w:val="009E078A"/>
    <w:rsid w:val="009E107B"/>
    <w:rsid w:val="009E1255"/>
    <w:rsid w:val="009E157B"/>
    <w:rsid w:val="009E1D33"/>
    <w:rsid w:val="009E1DB0"/>
    <w:rsid w:val="009E2416"/>
    <w:rsid w:val="009E282B"/>
    <w:rsid w:val="009E2915"/>
    <w:rsid w:val="009E2DC7"/>
    <w:rsid w:val="009E2E91"/>
    <w:rsid w:val="009E2EFA"/>
    <w:rsid w:val="009E35C4"/>
    <w:rsid w:val="009E3E3C"/>
    <w:rsid w:val="009E4558"/>
    <w:rsid w:val="009E4C62"/>
    <w:rsid w:val="009E4C79"/>
    <w:rsid w:val="009E4F27"/>
    <w:rsid w:val="009E70CB"/>
    <w:rsid w:val="009E75A3"/>
    <w:rsid w:val="009E7B09"/>
    <w:rsid w:val="009E7E94"/>
    <w:rsid w:val="009F04D5"/>
    <w:rsid w:val="009F0BE1"/>
    <w:rsid w:val="009F19C8"/>
    <w:rsid w:val="009F2880"/>
    <w:rsid w:val="009F2CE5"/>
    <w:rsid w:val="009F2FD2"/>
    <w:rsid w:val="009F3221"/>
    <w:rsid w:val="009F39AF"/>
    <w:rsid w:val="009F3C03"/>
    <w:rsid w:val="009F3D49"/>
    <w:rsid w:val="009F4138"/>
    <w:rsid w:val="009F42EF"/>
    <w:rsid w:val="009F4584"/>
    <w:rsid w:val="009F4907"/>
    <w:rsid w:val="009F4B61"/>
    <w:rsid w:val="009F4C16"/>
    <w:rsid w:val="009F50FE"/>
    <w:rsid w:val="009F5559"/>
    <w:rsid w:val="009F5E7F"/>
    <w:rsid w:val="009F625B"/>
    <w:rsid w:val="009F6940"/>
    <w:rsid w:val="009F6FD5"/>
    <w:rsid w:val="009F7EFD"/>
    <w:rsid w:val="00A002AD"/>
    <w:rsid w:val="00A0164E"/>
    <w:rsid w:val="00A022A9"/>
    <w:rsid w:val="00A0235E"/>
    <w:rsid w:val="00A02577"/>
    <w:rsid w:val="00A02A6D"/>
    <w:rsid w:val="00A02D5C"/>
    <w:rsid w:val="00A02EBA"/>
    <w:rsid w:val="00A03385"/>
    <w:rsid w:val="00A03493"/>
    <w:rsid w:val="00A0377D"/>
    <w:rsid w:val="00A03AF9"/>
    <w:rsid w:val="00A03E58"/>
    <w:rsid w:val="00A04413"/>
    <w:rsid w:val="00A04D0A"/>
    <w:rsid w:val="00A04EF7"/>
    <w:rsid w:val="00A0521A"/>
    <w:rsid w:val="00A05C0C"/>
    <w:rsid w:val="00A05CCE"/>
    <w:rsid w:val="00A06322"/>
    <w:rsid w:val="00A064DE"/>
    <w:rsid w:val="00A06BCA"/>
    <w:rsid w:val="00A07135"/>
    <w:rsid w:val="00A077CE"/>
    <w:rsid w:val="00A079D5"/>
    <w:rsid w:val="00A07E8E"/>
    <w:rsid w:val="00A10076"/>
    <w:rsid w:val="00A101E4"/>
    <w:rsid w:val="00A102A7"/>
    <w:rsid w:val="00A1069D"/>
    <w:rsid w:val="00A10823"/>
    <w:rsid w:val="00A110E0"/>
    <w:rsid w:val="00A112CD"/>
    <w:rsid w:val="00A11740"/>
    <w:rsid w:val="00A11901"/>
    <w:rsid w:val="00A11B88"/>
    <w:rsid w:val="00A120C2"/>
    <w:rsid w:val="00A12578"/>
    <w:rsid w:val="00A12630"/>
    <w:rsid w:val="00A126DA"/>
    <w:rsid w:val="00A1281E"/>
    <w:rsid w:val="00A12A8D"/>
    <w:rsid w:val="00A12B26"/>
    <w:rsid w:val="00A13166"/>
    <w:rsid w:val="00A13203"/>
    <w:rsid w:val="00A13B87"/>
    <w:rsid w:val="00A13F49"/>
    <w:rsid w:val="00A14273"/>
    <w:rsid w:val="00A14A83"/>
    <w:rsid w:val="00A14C17"/>
    <w:rsid w:val="00A156D4"/>
    <w:rsid w:val="00A15AA5"/>
    <w:rsid w:val="00A15ACE"/>
    <w:rsid w:val="00A15E99"/>
    <w:rsid w:val="00A15F20"/>
    <w:rsid w:val="00A161CC"/>
    <w:rsid w:val="00A164B7"/>
    <w:rsid w:val="00A1651C"/>
    <w:rsid w:val="00A16600"/>
    <w:rsid w:val="00A16A80"/>
    <w:rsid w:val="00A178A6"/>
    <w:rsid w:val="00A17B34"/>
    <w:rsid w:val="00A17C4B"/>
    <w:rsid w:val="00A17DDC"/>
    <w:rsid w:val="00A17DF2"/>
    <w:rsid w:val="00A200C1"/>
    <w:rsid w:val="00A2027D"/>
    <w:rsid w:val="00A202FC"/>
    <w:rsid w:val="00A2074B"/>
    <w:rsid w:val="00A21426"/>
    <w:rsid w:val="00A2155F"/>
    <w:rsid w:val="00A21BA6"/>
    <w:rsid w:val="00A22E96"/>
    <w:rsid w:val="00A236F1"/>
    <w:rsid w:val="00A23EE4"/>
    <w:rsid w:val="00A24166"/>
    <w:rsid w:val="00A24401"/>
    <w:rsid w:val="00A245EA"/>
    <w:rsid w:val="00A24622"/>
    <w:rsid w:val="00A24A39"/>
    <w:rsid w:val="00A253F8"/>
    <w:rsid w:val="00A259FF"/>
    <w:rsid w:val="00A25CCF"/>
    <w:rsid w:val="00A25DB4"/>
    <w:rsid w:val="00A25F5B"/>
    <w:rsid w:val="00A2612E"/>
    <w:rsid w:val="00A2696C"/>
    <w:rsid w:val="00A269B0"/>
    <w:rsid w:val="00A26EB6"/>
    <w:rsid w:val="00A26EF4"/>
    <w:rsid w:val="00A26F50"/>
    <w:rsid w:val="00A27016"/>
    <w:rsid w:val="00A27215"/>
    <w:rsid w:val="00A27737"/>
    <w:rsid w:val="00A278B7"/>
    <w:rsid w:val="00A27AF7"/>
    <w:rsid w:val="00A30E32"/>
    <w:rsid w:val="00A31349"/>
    <w:rsid w:val="00A31B09"/>
    <w:rsid w:val="00A32295"/>
    <w:rsid w:val="00A32869"/>
    <w:rsid w:val="00A32D91"/>
    <w:rsid w:val="00A333E0"/>
    <w:rsid w:val="00A33D9C"/>
    <w:rsid w:val="00A34A80"/>
    <w:rsid w:val="00A34AEB"/>
    <w:rsid w:val="00A34C40"/>
    <w:rsid w:val="00A3547B"/>
    <w:rsid w:val="00A36263"/>
    <w:rsid w:val="00A3653A"/>
    <w:rsid w:val="00A36AE7"/>
    <w:rsid w:val="00A36DBB"/>
    <w:rsid w:val="00A371ED"/>
    <w:rsid w:val="00A375A9"/>
    <w:rsid w:val="00A378C6"/>
    <w:rsid w:val="00A378E2"/>
    <w:rsid w:val="00A379A6"/>
    <w:rsid w:val="00A37AAE"/>
    <w:rsid w:val="00A37DD5"/>
    <w:rsid w:val="00A400F3"/>
    <w:rsid w:val="00A403B4"/>
    <w:rsid w:val="00A40CC4"/>
    <w:rsid w:val="00A41C48"/>
    <w:rsid w:val="00A42846"/>
    <w:rsid w:val="00A42C06"/>
    <w:rsid w:val="00A42DF2"/>
    <w:rsid w:val="00A42E9F"/>
    <w:rsid w:val="00A42EBA"/>
    <w:rsid w:val="00A438C4"/>
    <w:rsid w:val="00A43C02"/>
    <w:rsid w:val="00A447FF"/>
    <w:rsid w:val="00A44FCB"/>
    <w:rsid w:val="00A45248"/>
    <w:rsid w:val="00A45CE4"/>
    <w:rsid w:val="00A4630D"/>
    <w:rsid w:val="00A467D2"/>
    <w:rsid w:val="00A46CA1"/>
    <w:rsid w:val="00A472B2"/>
    <w:rsid w:val="00A477AB"/>
    <w:rsid w:val="00A478AB"/>
    <w:rsid w:val="00A47D64"/>
    <w:rsid w:val="00A5028F"/>
    <w:rsid w:val="00A5078E"/>
    <w:rsid w:val="00A50C74"/>
    <w:rsid w:val="00A50DF1"/>
    <w:rsid w:val="00A51681"/>
    <w:rsid w:val="00A52513"/>
    <w:rsid w:val="00A52A89"/>
    <w:rsid w:val="00A52C71"/>
    <w:rsid w:val="00A52FB3"/>
    <w:rsid w:val="00A532E4"/>
    <w:rsid w:val="00A537D1"/>
    <w:rsid w:val="00A5384A"/>
    <w:rsid w:val="00A53AD8"/>
    <w:rsid w:val="00A53C02"/>
    <w:rsid w:val="00A5419D"/>
    <w:rsid w:val="00A5462D"/>
    <w:rsid w:val="00A54844"/>
    <w:rsid w:val="00A554AB"/>
    <w:rsid w:val="00A55AAE"/>
    <w:rsid w:val="00A55FDB"/>
    <w:rsid w:val="00A560A5"/>
    <w:rsid w:val="00A56843"/>
    <w:rsid w:val="00A56868"/>
    <w:rsid w:val="00A57B25"/>
    <w:rsid w:val="00A60520"/>
    <w:rsid w:val="00A60778"/>
    <w:rsid w:val="00A607BC"/>
    <w:rsid w:val="00A608BD"/>
    <w:rsid w:val="00A60A76"/>
    <w:rsid w:val="00A60DC2"/>
    <w:rsid w:val="00A60F5C"/>
    <w:rsid w:val="00A61157"/>
    <w:rsid w:val="00A6179B"/>
    <w:rsid w:val="00A6259D"/>
    <w:rsid w:val="00A627B8"/>
    <w:rsid w:val="00A627FC"/>
    <w:rsid w:val="00A62B70"/>
    <w:rsid w:val="00A6397C"/>
    <w:rsid w:val="00A63AD9"/>
    <w:rsid w:val="00A64545"/>
    <w:rsid w:val="00A646CE"/>
    <w:rsid w:val="00A64DA8"/>
    <w:rsid w:val="00A64F4D"/>
    <w:rsid w:val="00A64F9C"/>
    <w:rsid w:val="00A650E7"/>
    <w:rsid w:val="00A65C9F"/>
    <w:rsid w:val="00A65F58"/>
    <w:rsid w:val="00A671CD"/>
    <w:rsid w:val="00A67540"/>
    <w:rsid w:val="00A676F9"/>
    <w:rsid w:val="00A67D13"/>
    <w:rsid w:val="00A70123"/>
    <w:rsid w:val="00A70218"/>
    <w:rsid w:val="00A70586"/>
    <w:rsid w:val="00A71004"/>
    <w:rsid w:val="00A714D6"/>
    <w:rsid w:val="00A71ADC"/>
    <w:rsid w:val="00A7209E"/>
    <w:rsid w:val="00A72816"/>
    <w:rsid w:val="00A7288C"/>
    <w:rsid w:val="00A72B4E"/>
    <w:rsid w:val="00A7304F"/>
    <w:rsid w:val="00A73242"/>
    <w:rsid w:val="00A74007"/>
    <w:rsid w:val="00A74187"/>
    <w:rsid w:val="00A7428A"/>
    <w:rsid w:val="00A7498E"/>
    <w:rsid w:val="00A76BC6"/>
    <w:rsid w:val="00A77878"/>
    <w:rsid w:val="00A77DAA"/>
    <w:rsid w:val="00A803C9"/>
    <w:rsid w:val="00A8132E"/>
    <w:rsid w:val="00A827FF"/>
    <w:rsid w:val="00A83028"/>
    <w:rsid w:val="00A83C98"/>
    <w:rsid w:val="00A84391"/>
    <w:rsid w:val="00A85400"/>
    <w:rsid w:val="00A85669"/>
    <w:rsid w:val="00A85F2D"/>
    <w:rsid w:val="00A8685F"/>
    <w:rsid w:val="00A86E7A"/>
    <w:rsid w:val="00A874DF"/>
    <w:rsid w:val="00A87ACA"/>
    <w:rsid w:val="00A90F32"/>
    <w:rsid w:val="00A92276"/>
    <w:rsid w:val="00A9278E"/>
    <w:rsid w:val="00A927AC"/>
    <w:rsid w:val="00A930BA"/>
    <w:rsid w:val="00A93364"/>
    <w:rsid w:val="00A94785"/>
    <w:rsid w:val="00A947E6"/>
    <w:rsid w:val="00A94831"/>
    <w:rsid w:val="00A9499F"/>
    <w:rsid w:val="00A95243"/>
    <w:rsid w:val="00A95358"/>
    <w:rsid w:val="00A953C9"/>
    <w:rsid w:val="00A9565B"/>
    <w:rsid w:val="00A96232"/>
    <w:rsid w:val="00A963F9"/>
    <w:rsid w:val="00A9676E"/>
    <w:rsid w:val="00A96CB9"/>
    <w:rsid w:val="00A97B11"/>
    <w:rsid w:val="00A97D07"/>
    <w:rsid w:val="00A97D55"/>
    <w:rsid w:val="00AA130A"/>
    <w:rsid w:val="00AA1347"/>
    <w:rsid w:val="00AA3239"/>
    <w:rsid w:val="00AA422F"/>
    <w:rsid w:val="00AA532C"/>
    <w:rsid w:val="00AA5609"/>
    <w:rsid w:val="00AA56F5"/>
    <w:rsid w:val="00AA5EBB"/>
    <w:rsid w:val="00AA613A"/>
    <w:rsid w:val="00AA6571"/>
    <w:rsid w:val="00AA6ADD"/>
    <w:rsid w:val="00AA78C4"/>
    <w:rsid w:val="00AB0042"/>
    <w:rsid w:val="00AB0A4C"/>
    <w:rsid w:val="00AB0A5A"/>
    <w:rsid w:val="00AB0DC8"/>
    <w:rsid w:val="00AB0F5E"/>
    <w:rsid w:val="00AB0FA8"/>
    <w:rsid w:val="00AB1466"/>
    <w:rsid w:val="00AB2084"/>
    <w:rsid w:val="00AB3133"/>
    <w:rsid w:val="00AB3654"/>
    <w:rsid w:val="00AB394A"/>
    <w:rsid w:val="00AB3AFA"/>
    <w:rsid w:val="00AB4AE2"/>
    <w:rsid w:val="00AB519F"/>
    <w:rsid w:val="00AB55F0"/>
    <w:rsid w:val="00AB5FA8"/>
    <w:rsid w:val="00AB6782"/>
    <w:rsid w:val="00AB6A4F"/>
    <w:rsid w:val="00AB7856"/>
    <w:rsid w:val="00AB7C21"/>
    <w:rsid w:val="00AC02F3"/>
    <w:rsid w:val="00AC09F1"/>
    <w:rsid w:val="00AC0EF3"/>
    <w:rsid w:val="00AC1025"/>
    <w:rsid w:val="00AC11B9"/>
    <w:rsid w:val="00AC1950"/>
    <w:rsid w:val="00AC19EE"/>
    <w:rsid w:val="00AC1B6C"/>
    <w:rsid w:val="00AC1F4E"/>
    <w:rsid w:val="00AC2071"/>
    <w:rsid w:val="00AC20DC"/>
    <w:rsid w:val="00AC2B6E"/>
    <w:rsid w:val="00AC38D7"/>
    <w:rsid w:val="00AC3DBA"/>
    <w:rsid w:val="00AC3FAC"/>
    <w:rsid w:val="00AC44D1"/>
    <w:rsid w:val="00AC4A5D"/>
    <w:rsid w:val="00AC4C29"/>
    <w:rsid w:val="00AC501D"/>
    <w:rsid w:val="00AC50FE"/>
    <w:rsid w:val="00AC523A"/>
    <w:rsid w:val="00AC558A"/>
    <w:rsid w:val="00AC559A"/>
    <w:rsid w:val="00AC5703"/>
    <w:rsid w:val="00AC58B5"/>
    <w:rsid w:val="00AC68A9"/>
    <w:rsid w:val="00AC6B07"/>
    <w:rsid w:val="00AC6D10"/>
    <w:rsid w:val="00AC715D"/>
    <w:rsid w:val="00AC739F"/>
    <w:rsid w:val="00AC78D1"/>
    <w:rsid w:val="00AC78D4"/>
    <w:rsid w:val="00AD0126"/>
    <w:rsid w:val="00AD030F"/>
    <w:rsid w:val="00AD04ED"/>
    <w:rsid w:val="00AD08B6"/>
    <w:rsid w:val="00AD11A7"/>
    <w:rsid w:val="00AD17A3"/>
    <w:rsid w:val="00AD18B4"/>
    <w:rsid w:val="00AD1AE2"/>
    <w:rsid w:val="00AD2226"/>
    <w:rsid w:val="00AD22A7"/>
    <w:rsid w:val="00AD2562"/>
    <w:rsid w:val="00AD27CF"/>
    <w:rsid w:val="00AD30DB"/>
    <w:rsid w:val="00AD3446"/>
    <w:rsid w:val="00AD34C1"/>
    <w:rsid w:val="00AD3677"/>
    <w:rsid w:val="00AD36E3"/>
    <w:rsid w:val="00AD3DE3"/>
    <w:rsid w:val="00AD498F"/>
    <w:rsid w:val="00AD4A59"/>
    <w:rsid w:val="00AD4C91"/>
    <w:rsid w:val="00AD4CA6"/>
    <w:rsid w:val="00AD4F35"/>
    <w:rsid w:val="00AD5055"/>
    <w:rsid w:val="00AD50EC"/>
    <w:rsid w:val="00AD52A3"/>
    <w:rsid w:val="00AD5C74"/>
    <w:rsid w:val="00AD5D52"/>
    <w:rsid w:val="00AD673C"/>
    <w:rsid w:val="00AD6881"/>
    <w:rsid w:val="00AD736A"/>
    <w:rsid w:val="00AD7555"/>
    <w:rsid w:val="00AD75E4"/>
    <w:rsid w:val="00AD76EF"/>
    <w:rsid w:val="00AD78A6"/>
    <w:rsid w:val="00AE0785"/>
    <w:rsid w:val="00AE09D6"/>
    <w:rsid w:val="00AE0D8B"/>
    <w:rsid w:val="00AE0D90"/>
    <w:rsid w:val="00AE1530"/>
    <w:rsid w:val="00AE15F7"/>
    <w:rsid w:val="00AE2278"/>
    <w:rsid w:val="00AE263A"/>
    <w:rsid w:val="00AE2F25"/>
    <w:rsid w:val="00AE3988"/>
    <w:rsid w:val="00AE41DF"/>
    <w:rsid w:val="00AE43B8"/>
    <w:rsid w:val="00AE45DD"/>
    <w:rsid w:val="00AE50C4"/>
    <w:rsid w:val="00AE522A"/>
    <w:rsid w:val="00AE5266"/>
    <w:rsid w:val="00AE57EF"/>
    <w:rsid w:val="00AE5E35"/>
    <w:rsid w:val="00AE6A02"/>
    <w:rsid w:val="00AE6A0E"/>
    <w:rsid w:val="00AE6B7F"/>
    <w:rsid w:val="00AE6B8F"/>
    <w:rsid w:val="00AE6DC0"/>
    <w:rsid w:val="00AE7688"/>
    <w:rsid w:val="00AF0B75"/>
    <w:rsid w:val="00AF0CC2"/>
    <w:rsid w:val="00AF0F4B"/>
    <w:rsid w:val="00AF1044"/>
    <w:rsid w:val="00AF146C"/>
    <w:rsid w:val="00AF1926"/>
    <w:rsid w:val="00AF1961"/>
    <w:rsid w:val="00AF1DED"/>
    <w:rsid w:val="00AF224B"/>
    <w:rsid w:val="00AF2266"/>
    <w:rsid w:val="00AF36E0"/>
    <w:rsid w:val="00AF38FC"/>
    <w:rsid w:val="00AF3EFB"/>
    <w:rsid w:val="00AF3F96"/>
    <w:rsid w:val="00AF4750"/>
    <w:rsid w:val="00AF49A6"/>
    <w:rsid w:val="00AF4AB2"/>
    <w:rsid w:val="00AF5028"/>
    <w:rsid w:val="00AF5799"/>
    <w:rsid w:val="00AF594E"/>
    <w:rsid w:val="00AF5D77"/>
    <w:rsid w:val="00AF6EBE"/>
    <w:rsid w:val="00AF7513"/>
    <w:rsid w:val="00AF7ADE"/>
    <w:rsid w:val="00AF7C29"/>
    <w:rsid w:val="00B00315"/>
    <w:rsid w:val="00B00CE9"/>
    <w:rsid w:val="00B00FE0"/>
    <w:rsid w:val="00B01048"/>
    <w:rsid w:val="00B010D4"/>
    <w:rsid w:val="00B012FF"/>
    <w:rsid w:val="00B01763"/>
    <w:rsid w:val="00B01DC3"/>
    <w:rsid w:val="00B0247A"/>
    <w:rsid w:val="00B0328B"/>
    <w:rsid w:val="00B03833"/>
    <w:rsid w:val="00B03F99"/>
    <w:rsid w:val="00B042B8"/>
    <w:rsid w:val="00B04E9A"/>
    <w:rsid w:val="00B051BF"/>
    <w:rsid w:val="00B05ACA"/>
    <w:rsid w:val="00B05F54"/>
    <w:rsid w:val="00B064F6"/>
    <w:rsid w:val="00B06599"/>
    <w:rsid w:val="00B06644"/>
    <w:rsid w:val="00B066D0"/>
    <w:rsid w:val="00B07AA4"/>
    <w:rsid w:val="00B07C27"/>
    <w:rsid w:val="00B1016E"/>
    <w:rsid w:val="00B11E09"/>
    <w:rsid w:val="00B11F8B"/>
    <w:rsid w:val="00B12111"/>
    <w:rsid w:val="00B128E9"/>
    <w:rsid w:val="00B12C34"/>
    <w:rsid w:val="00B12C57"/>
    <w:rsid w:val="00B13247"/>
    <w:rsid w:val="00B1358C"/>
    <w:rsid w:val="00B139C7"/>
    <w:rsid w:val="00B13B61"/>
    <w:rsid w:val="00B13FEB"/>
    <w:rsid w:val="00B14B35"/>
    <w:rsid w:val="00B14B3E"/>
    <w:rsid w:val="00B15C15"/>
    <w:rsid w:val="00B15CEA"/>
    <w:rsid w:val="00B16B94"/>
    <w:rsid w:val="00B16D8D"/>
    <w:rsid w:val="00B16F75"/>
    <w:rsid w:val="00B17875"/>
    <w:rsid w:val="00B17D65"/>
    <w:rsid w:val="00B20AB4"/>
    <w:rsid w:val="00B20CBB"/>
    <w:rsid w:val="00B20F66"/>
    <w:rsid w:val="00B212C4"/>
    <w:rsid w:val="00B2134A"/>
    <w:rsid w:val="00B21972"/>
    <w:rsid w:val="00B21BAE"/>
    <w:rsid w:val="00B22433"/>
    <w:rsid w:val="00B226A4"/>
    <w:rsid w:val="00B2283F"/>
    <w:rsid w:val="00B228A8"/>
    <w:rsid w:val="00B229B9"/>
    <w:rsid w:val="00B2303D"/>
    <w:rsid w:val="00B232EB"/>
    <w:rsid w:val="00B23482"/>
    <w:rsid w:val="00B2389B"/>
    <w:rsid w:val="00B2399C"/>
    <w:rsid w:val="00B23A3C"/>
    <w:rsid w:val="00B23B9E"/>
    <w:rsid w:val="00B242FB"/>
    <w:rsid w:val="00B245FC"/>
    <w:rsid w:val="00B249FA"/>
    <w:rsid w:val="00B24EF9"/>
    <w:rsid w:val="00B255AC"/>
    <w:rsid w:val="00B256B0"/>
    <w:rsid w:val="00B25DD4"/>
    <w:rsid w:val="00B26944"/>
    <w:rsid w:val="00B27894"/>
    <w:rsid w:val="00B279A6"/>
    <w:rsid w:val="00B27AAF"/>
    <w:rsid w:val="00B27E62"/>
    <w:rsid w:val="00B27E83"/>
    <w:rsid w:val="00B304F1"/>
    <w:rsid w:val="00B309E9"/>
    <w:rsid w:val="00B31CC5"/>
    <w:rsid w:val="00B3201A"/>
    <w:rsid w:val="00B32796"/>
    <w:rsid w:val="00B32808"/>
    <w:rsid w:val="00B32849"/>
    <w:rsid w:val="00B3302D"/>
    <w:rsid w:val="00B330BA"/>
    <w:rsid w:val="00B33658"/>
    <w:rsid w:val="00B33707"/>
    <w:rsid w:val="00B33CF8"/>
    <w:rsid w:val="00B343CF"/>
    <w:rsid w:val="00B351B5"/>
    <w:rsid w:val="00B35854"/>
    <w:rsid w:val="00B359B5"/>
    <w:rsid w:val="00B35D4D"/>
    <w:rsid w:val="00B36046"/>
    <w:rsid w:val="00B3640F"/>
    <w:rsid w:val="00B3653B"/>
    <w:rsid w:val="00B36D3A"/>
    <w:rsid w:val="00B36DAA"/>
    <w:rsid w:val="00B36F3C"/>
    <w:rsid w:val="00B372C4"/>
    <w:rsid w:val="00B375BC"/>
    <w:rsid w:val="00B37CC8"/>
    <w:rsid w:val="00B40CF2"/>
    <w:rsid w:val="00B40F16"/>
    <w:rsid w:val="00B41402"/>
    <w:rsid w:val="00B41684"/>
    <w:rsid w:val="00B41ABB"/>
    <w:rsid w:val="00B41C37"/>
    <w:rsid w:val="00B41FAD"/>
    <w:rsid w:val="00B43336"/>
    <w:rsid w:val="00B4386E"/>
    <w:rsid w:val="00B43A55"/>
    <w:rsid w:val="00B43DFB"/>
    <w:rsid w:val="00B44D73"/>
    <w:rsid w:val="00B453B3"/>
    <w:rsid w:val="00B45F3F"/>
    <w:rsid w:val="00B46D15"/>
    <w:rsid w:val="00B47BA6"/>
    <w:rsid w:val="00B47D7B"/>
    <w:rsid w:val="00B5043D"/>
    <w:rsid w:val="00B509EC"/>
    <w:rsid w:val="00B50FA6"/>
    <w:rsid w:val="00B515DB"/>
    <w:rsid w:val="00B51975"/>
    <w:rsid w:val="00B51AEF"/>
    <w:rsid w:val="00B51AF4"/>
    <w:rsid w:val="00B5214E"/>
    <w:rsid w:val="00B524EF"/>
    <w:rsid w:val="00B52F09"/>
    <w:rsid w:val="00B532E6"/>
    <w:rsid w:val="00B532F5"/>
    <w:rsid w:val="00B534D4"/>
    <w:rsid w:val="00B537F9"/>
    <w:rsid w:val="00B538E2"/>
    <w:rsid w:val="00B53CCB"/>
    <w:rsid w:val="00B53E44"/>
    <w:rsid w:val="00B5437A"/>
    <w:rsid w:val="00B5483A"/>
    <w:rsid w:val="00B54EBA"/>
    <w:rsid w:val="00B552C7"/>
    <w:rsid w:val="00B552E3"/>
    <w:rsid w:val="00B557D9"/>
    <w:rsid w:val="00B559E2"/>
    <w:rsid w:val="00B56452"/>
    <w:rsid w:val="00B56977"/>
    <w:rsid w:val="00B57298"/>
    <w:rsid w:val="00B5752C"/>
    <w:rsid w:val="00B579C1"/>
    <w:rsid w:val="00B579EB"/>
    <w:rsid w:val="00B57A7A"/>
    <w:rsid w:val="00B57EE8"/>
    <w:rsid w:val="00B61096"/>
    <w:rsid w:val="00B616BE"/>
    <w:rsid w:val="00B61F13"/>
    <w:rsid w:val="00B6217A"/>
    <w:rsid w:val="00B62725"/>
    <w:rsid w:val="00B627B7"/>
    <w:rsid w:val="00B62FC5"/>
    <w:rsid w:val="00B63276"/>
    <w:rsid w:val="00B63546"/>
    <w:rsid w:val="00B6355A"/>
    <w:rsid w:val="00B63C68"/>
    <w:rsid w:val="00B63DE5"/>
    <w:rsid w:val="00B63ED1"/>
    <w:rsid w:val="00B63EE3"/>
    <w:rsid w:val="00B64362"/>
    <w:rsid w:val="00B644C0"/>
    <w:rsid w:val="00B6482C"/>
    <w:rsid w:val="00B6482E"/>
    <w:rsid w:val="00B64996"/>
    <w:rsid w:val="00B6506F"/>
    <w:rsid w:val="00B65257"/>
    <w:rsid w:val="00B65282"/>
    <w:rsid w:val="00B652B7"/>
    <w:rsid w:val="00B655B5"/>
    <w:rsid w:val="00B655D2"/>
    <w:rsid w:val="00B6656D"/>
    <w:rsid w:val="00B67A6F"/>
    <w:rsid w:val="00B67F91"/>
    <w:rsid w:val="00B70011"/>
    <w:rsid w:val="00B70170"/>
    <w:rsid w:val="00B7044B"/>
    <w:rsid w:val="00B7087F"/>
    <w:rsid w:val="00B70E98"/>
    <w:rsid w:val="00B70EC7"/>
    <w:rsid w:val="00B7181D"/>
    <w:rsid w:val="00B71A44"/>
    <w:rsid w:val="00B71CE8"/>
    <w:rsid w:val="00B7226D"/>
    <w:rsid w:val="00B727C6"/>
    <w:rsid w:val="00B7341B"/>
    <w:rsid w:val="00B73B5D"/>
    <w:rsid w:val="00B73D98"/>
    <w:rsid w:val="00B73FED"/>
    <w:rsid w:val="00B74164"/>
    <w:rsid w:val="00B74310"/>
    <w:rsid w:val="00B74701"/>
    <w:rsid w:val="00B74B50"/>
    <w:rsid w:val="00B74B6C"/>
    <w:rsid w:val="00B752EC"/>
    <w:rsid w:val="00B753E2"/>
    <w:rsid w:val="00B75A4F"/>
    <w:rsid w:val="00B7679A"/>
    <w:rsid w:val="00B76F6D"/>
    <w:rsid w:val="00B77B4C"/>
    <w:rsid w:val="00B77F9F"/>
    <w:rsid w:val="00B803F2"/>
    <w:rsid w:val="00B8047E"/>
    <w:rsid w:val="00B80FD6"/>
    <w:rsid w:val="00B811E6"/>
    <w:rsid w:val="00B818D5"/>
    <w:rsid w:val="00B81AE8"/>
    <w:rsid w:val="00B81D04"/>
    <w:rsid w:val="00B81E16"/>
    <w:rsid w:val="00B81F7C"/>
    <w:rsid w:val="00B820F7"/>
    <w:rsid w:val="00B82735"/>
    <w:rsid w:val="00B828AC"/>
    <w:rsid w:val="00B829DE"/>
    <w:rsid w:val="00B82EC3"/>
    <w:rsid w:val="00B831E3"/>
    <w:rsid w:val="00B8484B"/>
    <w:rsid w:val="00B855A3"/>
    <w:rsid w:val="00B85CC7"/>
    <w:rsid w:val="00B862A8"/>
    <w:rsid w:val="00B86361"/>
    <w:rsid w:val="00B8670D"/>
    <w:rsid w:val="00B867A9"/>
    <w:rsid w:val="00B86C75"/>
    <w:rsid w:val="00B87267"/>
    <w:rsid w:val="00B87931"/>
    <w:rsid w:val="00B87B46"/>
    <w:rsid w:val="00B87B6A"/>
    <w:rsid w:val="00B87E71"/>
    <w:rsid w:val="00B87FB1"/>
    <w:rsid w:val="00B87FFD"/>
    <w:rsid w:val="00B902D6"/>
    <w:rsid w:val="00B9032F"/>
    <w:rsid w:val="00B90A59"/>
    <w:rsid w:val="00B90DA9"/>
    <w:rsid w:val="00B91B48"/>
    <w:rsid w:val="00B9258A"/>
    <w:rsid w:val="00B92CD1"/>
    <w:rsid w:val="00B92D87"/>
    <w:rsid w:val="00B932D0"/>
    <w:rsid w:val="00B93DCE"/>
    <w:rsid w:val="00B9407B"/>
    <w:rsid w:val="00B94085"/>
    <w:rsid w:val="00B948C5"/>
    <w:rsid w:val="00B948FF"/>
    <w:rsid w:val="00B94D5D"/>
    <w:rsid w:val="00B9527C"/>
    <w:rsid w:val="00B9536F"/>
    <w:rsid w:val="00B96338"/>
    <w:rsid w:val="00B964BC"/>
    <w:rsid w:val="00B965CF"/>
    <w:rsid w:val="00B97111"/>
    <w:rsid w:val="00B974D2"/>
    <w:rsid w:val="00B975FE"/>
    <w:rsid w:val="00B9769D"/>
    <w:rsid w:val="00B97C2D"/>
    <w:rsid w:val="00BA0248"/>
    <w:rsid w:val="00BA044F"/>
    <w:rsid w:val="00BA0AC2"/>
    <w:rsid w:val="00BA0ACF"/>
    <w:rsid w:val="00BA0C64"/>
    <w:rsid w:val="00BA0C80"/>
    <w:rsid w:val="00BA0FA5"/>
    <w:rsid w:val="00BA1D33"/>
    <w:rsid w:val="00BA23FD"/>
    <w:rsid w:val="00BA29CB"/>
    <w:rsid w:val="00BA2B87"/>
    <w:rsid w:val="00BA405E"/>
    <w:rsid w:val="00BA450E"/>
    <w:rsid w:val="00BA4645"/>
    <w:rsid w:val="00BA4F9C"/>
    <w:rsid w:val="00BA5311"/>
    <w:rsid w:val="00BA5356"/>
    <w:rsid w:val="00BA5E06"/>
    <w:rsid w:val="00BA6318"/>
    <w:rsid w:val="00BA68BF"/>
    <w:rsid w:val="00BA6A2C"/>
    <w:rsid w:val="00BA6D87"/>
    <w:rsid w:val="00BA721D"/>
    <w:rsid w:val="00BB02A2"/>
    <w:rsid w:val="00BB1382"/>
    <w:rsid w:val="00BB13A6"/>
    <w:rsid w:val="00BB1616"/>
    <w:rsid w:val="00BB1629"/>
    <w:rsid w:val="00BB17BE"/>
    <w:rsid w:val="00BB234A"/>
    <w:rsid w:val="00BB242C"/>
    <w:rsid w:val="00BB27C4"/>
    <w:rsid w:val="00BB28DC"/>
    <w:rsid w:val="00BB344D"/>
    <w:rsid w:val="00BB422D"/>
    <w:rsid w:val="00BB52F8"/>
    <w:rsid w:val="00BB53C7"/>
    <w:rsid w:val="00BB5BCB"/>
    <w:rsid w:val="00BB5C70"/>
    <w:rsid w:val="00BB5DFF"/>
    <w:rsid w:val="00BB5FD3"/>
    <w:rsid w:val="00BB6042"/>
    <w:rsid w:val="00BB6126"/>
    <w:rsid w:val="00BB665D"/>
    <w:rsid w:val="00BB6D08"/>
    <w:rsid w:val="00BB6D76"/>
    <w:rsid w:val="00BB6E93"/>
    <w:rsid w:val="00BB72D8"/>
    <w:rsid w:val="00BB7418"/>
    <w:rsid w:val="00BB747F"/>
    <w:rsid w:val="00BB7597"/>
    <w:rsid w:val="00BB769C"/>
    <w:rsid w:val="00BB7DB8"/>
    <w:rsid w:val="00BC014B"/>
    <w:rsid w:val="00BC03DB"/>
    <w:rsid w:val="00BC0E87"/>
    <w:rsid w:val="00BC0FBE"/>
    <w:rsid w:val="00BC1426"/>
    <w:rsid w:val="00BC1FC4"/>
    <w:rsid w:val="00BC2305"/>
    <w:rsid w:val="00BC244E"/>
    <w:rsid w:val="00BC2AB6"/>
    <w:rsid w:val="00BC30FE"/>
    <w:rsid w:val="00BC3A7C"/>
    <w:rsid w:val="00BC438B"/>
    <w:rsid w:val="00BC52C1"/>
    <w:rsid w:val="00BC57D2"/>
    <w:rsid w:val="00BC5B23"/>
    <w:rsid w:val="00BC5CF8"/>
    <w:rsid w:val="00BC60B8"/>
    <w:rsid w:val="00BC6408"/>
    <w:rsid w:val="00BC7EE6"/>
    <w:rsid w:val="00BD054A"/>
    <w:rsid w:val="00BD0C39"/>
    <w:rsid w:val="00BD1E85"/>
    <w:rsid w:val="00BD1F60"/>
    <w:rsid w:val="00BD2398"/>
    <w:rsid w:val="00BD29FD"/>
    <w:rsid w:val="00BD2FB9"/>
    <w:rsid w:val="00BD2FF0"/>
    <w:rsid w:val="00BD338D"/>
    <w:rsid w:val="00BD3613"/>
    <w:rsid w:val="00BD45D8"/>
    <w:rsid w:val="00BD46B9"/>
    <w:rsid w:val="00BD4914"/>
    <w:rsid w:val="00BD4E57"/>
    <w:rsid w:val="00BD53E2"/>
    <w:rsid w:val="00BD587B"/>
    <w:rsid w:val="00BD6966"/>
    <w:rsid w:val="00BD6FC3"/>
    <w:rsid w:val="00BD7336"/>
    <w:rsid w:val="00BD7548"/>
    <w:rsid w:val="00BD7A44"/>
    <w:rsid w:val="00BD7E48"/>
    <w:rsid w:val="00BE005B"/>
    <w:rsid w:val="00BE0106"/>
    <w:rsid w:val="00BE012D"/>
    <w:rsid w:val="00BE020F"/>
    <w:rsid w:val="00BE0829"/>
    <w:rsid w:val="00BE0B78"/>
    <w:rsid w:val="00BE2239"/>
    <w:rsid w:val="00BE255D"/>
    <w:rsid w:val="00BE2E52"/>
    <w:rsid w:val="00BE3699"/>
    <w:rsid w:val="00BE37E1"/>
    <w:rsid w:val="00BE421A"/>
    <w:rsid w:val="00BE4622"/>
    <w:rsid w:val="00BE4AF3"/>
    <w:rsid w:val="00BE536F"/>
    <w:rsid w:val="00BE5675"/>
    <w:rsid w:val="00BE5EC3"/>
    <w:rsid w:val="00BE5ECC"/>
    <w:rsid w:val="00BE5FA5"/>
    <w:rsid w:val="00BE61C2"/>
    <w:rsid w:val="00BE6665"/>
    <w:rsid w:val="00BE6CF0"/>
    <w:rsid w:val="00BE6E92"/>
    <w:rsid w:val="00BE75C9"/>
    <w:rsid w:val="00BE75CD"/>
    <w:rsid w:val="00BE79AC"/>
    <w:rsid w:val="00BE7DBF"/>
    <w:rsid w:val="00BE7EE0"/>
    <w:rsid w:val="00BF014E"/>
    <w:rsid w:val="00BF0ACA"/>
    <w:rsid w:val="00BF0C42"/>
    <w:rsid w:val="00BF0D9C"/>
    <w:rsid w:val="00BF0DC4"/>
    <w:rsid w:val="00BF1054"/>
    <w:rsid w:val="00BF14ED"/>
    <w:rsid w:val="00BF16B1"/>
    <w:rsid w:val="00BF16D4"/>
    <w:rsid w:val="00BF423D"/>
    <w:rsid w:val="00BF4D34"/>
    <w:rsid w:val="00BF5ACE"/>
    <w:rsid w:val="00BF6003"/>
    <w:rsid w:val="00BF670A"/>
    <w:rsid w:val="00BF6CBA"/>
    <w:rsid w:val="00BF73E2"/>
    <w:rsid w:val="00C00219"/>
    <w:rsid w:val="00C0031D"/>
    <w:rsid w:val="00C00F52"/>
    <w:rsid w:val="00C01B1F"/>
    <w:rsid w:val="00C02B68"/>
    <w:rsid w:val="00C03267"/>
    <w:rsid w:val="00C03BEF"/>
    <w:rsid w:val="00C0416A"/>
    <w:rsid w:val="00C041D9"/>
    <w:rsid w:val="00C0433C"/>
    <w:rsid w:val="00C05889"/>
    <w:rsid w:val="00C05A71"/>
    <w:rsid w:val="00C05AAE"/>
    <w:rsid w:val="00C06655"/>
    <w:rsid w:val="00C06882"/>
    <w:rsid w:val="00C06D9D"/>
    <w:rsid w:val="00C07423"/>
    <w:rsid w:val="00C07DB3"/>
    <w:rsid w:val="00C07FBF"/>
    <w:rsid w:val="00C10F23"/>
    <w:rsid w:val="00C118C0"/>
    <w:rsid w:val="00C1197C"/>
    <w:rsid w:val="00C11997"/>
    <w:rsid w:val="00C11A83"/>
    <w:rsid w:val="00C11CEA"/>
    <w:rsid w:val="00C12416"/>
    <w:rsid w:val="00C125AF"/>
    <w:rsid w:val="00C127E7"/>
    <w:rsid w:val="00C12C1F"/>
    <w:rsid w:val="00C12EF7"/>
    <w:rsid w:val="00C13683"/>
    <w:rsid w:val="00C13CA4"/>
    <w:rsid w:val="00C143DD"/>
    <w:rsid w:val="00C14873"/>
    <w:rsid w:val="00C14FB7"/>
    <w:rsid w:val="00C15B34"/>
    <w:rsid w:val="00C15F5E"/>
    <w:rsid w:val="00C16172"/>
    <w:rsid w:val="00C16283"/>
    <w:rsid w:val="00C1634C"/>
    <w:rsid w:val="00C16CB7"/>
    <w:rsid w:val="00C177BE"/>
    <w:rsid w:val="00C20A99"/>
    <w:rsid w:val="00C22227"/>
    <w:rsid w:val="00C222C8"/>
    <w:rsid w:val="00C22548"/>
    <w:rsid w:val="00C2259E"/>
    <w:rsid w:val="00C226AD"/>
    <w:rsid w:val="00C22B79"/>
    <w:rsid w:val="00C22EC1"/>
    <w:rsid w:val="00C231EE"/>
    <w:rsid w:val="00C23942"/>
    <w:rsid w:val="00C23B6C"/>
    <w:rsid w:val="00C24FA2"/>
    <w:rsid w:val="00C250E1"/>
    <w:rsid w:val="00C253E2"/>
    <w:rsid w:val="00C2547F"/>
    <w:rsid w:val="00C2587C"/>
    <w:rsid w:val="00C264CB"/>
    <w:rsid w:val="00C2705B"/>
    <w:rsid w:val="00C275C1"/>
    <w:rsid w:val="00C277BE"/>
    <w:rsid w:val="00C27FC9"/>
    <w:rsid w:val="00C30EFB"/>
    <w:rsid w:val="00C31CFE"/>
    <w:rsid w:val="00C31F1C"/>
    <w:rsid w:val="00C3244D"/>
    <w:rsid w:val="00C32D6E"/>
    <w:rsid w:val="00C33D18"/>
    <w:rsid w:val="00C33F65"/>
    <w:rsid w:val="00C34001"/>
    <w:rsid w:val="00C340A1"/>
    <w:rsid w:val="00C34276"/>
    <w:rsid w:val="00C347F4"/>
    <w:rsid w:val="00C34A2F"/>
    <w:rsid w:val="00C34CAF"/>
    <w:rsid w:val="00C34D77"/>
    <w:rsid w:val="00C35192"/>
    <w:rsid w:val="00C36A6D"/>
    <w:rsid w:val="00C36B1C"/>
    <w:rsid w:val="00C36F69"/>
    <w:rsid w:val="00C371FE"/>
    <w:rsid w:val="00C3780D"/>
    <w:rsid w:val="00C37F06"/>
    <w:rsid w:val="00C409F9"/>
    <w:rsid w:val="00C40A0D"/>
    <w:rsid w:val="00C40BBD"/>
    <w:rsid w:val="00C4138C"/>
    <w:rsid w:val="00C41493"/>
    <w:rsid w:val="00C41CD2"/>
    <w:rsid w:val="00C42CA0"/>
    <w:rsid w:val="00C435FA"/>
    <w:rsid w:val="00C43675"/>
    <w:rsid w:val="00C43C26"/>
    <w:rsid w:val="00C44C23"/>
    <w:rsid w:val="00C44E11"/>
    <w:rsid w:val="00C4699F"/>
    <w:rsid w:val="00C46BEA"/>
    <w:rsid w:val="00C47275"/>
    <w:rsid w:val="00C478F8"/>
    <w:rsid w:val="00C47F19"/>
    <w:rsid w:val="00C50321"/>
    <w:rsid w:val="00C50537"/>
    <w:rsid w:val="00C507A1"/>
    <w:rsid w:val="00C5091E"/>
    <w:rsid w:val="00C50FDF"/>
    <w:rsid w:val="00C51139"/>
    <w:rsid w:val="00C51B80"/>
    <w:rsid w:val="00C51EF1"/>
    <w:rsid w:val="00C522EB"/>
    <w:rsid w:val="00C523F6"/>
    <w:rsid w:val="00C5258E"/>
    <w:rsid w:val="00C525CC"/>
    <w:rsid w:val="00C52691"/>
    <w:rsid w:val="00C52E31"/>
    <w:rsid w:val="00C53244"/>
    <w:rsid w:val="00C533D7"/>
    <w:rsid w:val="00C5389C"/>
    <w:rsid w:val="00C545C0"/>
    <w:rsid w:val="00C55AFD"/>
    <w:rsid w:val="00C55C0F"/>
    <w:rsid w:val="00C55C12"/>
    <w:rsid w:val="00C563F4"/>
    <w:rsid w:val="00C564EE"/>
    <w:rsid w:val="00C5653A"/>
    <w:rsid w:val="00C56998"/>
    <w:rsid w:val="00C56B8A"/>
    <w:rsid w:val="00C573CE"/>
    <w:rsid w:val="00C57416"/>
    <w:rsid w:val="00C5750B"/>
    <w:rsid w:val="00C575DB"/>
    <w:rsid w:val="00C575EE"/>
    <w:rsid w:val="00C57872"/>
    <w:rsid w:val="00C57965"/>
    <w:rsid w:val="00C57E71"/>
    <w:rsid w:val="00C57FB3"/>
    <w:rsid w:val="00C57FFC"/>
    <w:rsid w:val="00C600CC"/>
    <w:rsid w:val="00C60BCA"/>
    <w:rsid w:val="00C6158E"/>
    <w:rsid w:val="00C61A77"/>
    <w:rsid w:val="00C61E2F"/>
    <w:rsid w:val="00C6204E"/>
    <w:rsid w:val="00C620B0"/>
    <w:rsid w:val="00C62401"/>
    <w:rsid w:val="00C628EE"/>
    <w:rsid w:val="00C62940"/>
    <w:rsid w:val="00C630D2"/>
    <w:rsid w:val="00C63102"/>
    <w:rsid w:val="00C63716"/>
    <w:rsid w:val="00C63EEC"/>
    <w:rsid w:val="00C64273"/>
    <w:rsid w:val="00C645F6"/>
    <w:rsid w:val="00C649DE"/>
    <w:rsid w:val="00C64CB2"/>
    <w:rsid w:val="00C6531B"/>
    <w:rsid w:val="00C653B8"/>
    <w:rsid w:val="00C65663"/>
    <w:rsid w:val="00C663F9"/>
    <w:rsid w:val="00C672CE"/>
    <w:rsid w:val="00C70211"/>
    <w:rsid w:val="00C702F6"/>
    <w:rsid w:val="00C708D2"/>
    <w:rsid w:val="00C71237"/>
    <w:rsid w:val="00C713B1"/>
    <w:rsid w:val="00C71CDA"/>
    <w:rsid w:val="00C729D6"/>
    <w:rsid w:val="00C72FAC"/>
    <w:rsid w:val="00C73A32"/>
    <w:rsid w:val="00C73A76"/>
    <w:rsid w:val="00C73CEA"/>
    <w:rsid w:val="00C73D71"/>
    <w:rsid w:val="00C73D83"/>
    <w:rsid w:val="00C74313"/>
    <w:rsid w:val="00C74317"/>
    <w:rsid w:val="00C744D9"/>
    <w:rsid w:val="00C749EB"/>
    <w:rsid w:val="00C74A5F"/>
    <w:rsid w:val="00C75003"/>
    <w:rsid w:val="00C750E2"/>
    <w:rsid w:val="00C750EF"/>
    <w:rsid w:val="00C75220"/>
    <w:rsid w:val="00C75781"/>
    <w:rsid w:val="00C75CF6"/>
    <w:rsid w:val="00C764C8"/>
    <w:rsid w:val="00C7670A"/>
    <w:rsid w:val="00C7781B"/>
    <w:rsid w:val="00C77BED"/>
    <w:rsid w:val="00C805FF"/>
    <w:rsid w:val="00C80A66"/>
    <w:rsid w:val="00C80B36"/>
    <w:rsid w:val="00C80E61"/>
    <w:rsid w:val="00C81A05"/>
    <w:rsid w:val="00C81D10"/>
    <w:rsid w:val="00C820F8"/>
    <w:rsid w:val="00C8254D"/>
    <w:rsid w:val="00C8269B"/>
    <w:rsid w:val="00C82B65"/>
    <w:rsid w:val="00C82F09"/>
    <w:rsid w:val="00C83119"/>
    <w:rsid w:val="00C8350C"/>
    <w:rsid w:val="00C83994"/>
    <w:rsid w:val="00C84B43"/>
    <w:rsid w:val="00C8501A"/>
    <w:rsid w:val="00C858A9"/>
    <w:rsid w:val="00C861F5"/>
    <w:rsid w:val="00C8661D"/>
    <w:rsid w:val="00C86C56"/>
    <w:rsid w:val="00C872BE"/>
    <w:rsid w:val="00C87B5C"/>
    <w:rsid w:val="00C87C43"/>
    <w:rsid w:val="00C87F06"/>
    <w:rsid w:val="00C90316"/>
    <w:rsid w:val="00C908D3"/>
    <w:rsid w:val="00C90C45"/>
    <w:rsid w:val="00C90F90"/>
    <w:rsid w:val="00C912C3"/>
    <w:rsid w:val="00C9169F"/>
    <w:rsid w:val="00C917C7"/>
    <w:rsid w:val="00C91899"/>
    <w:rsid w:val="00C91FAD"/>
    <w:rsid w:val="00C928B0"/>
    <w:rsid w:val="00C92B8E"/>
    <w:rsid w:val="00C92CAE"/>
    <w:rsid w:val="00C92ED2"/>
    <w:rsid w:val="00C935EF"/>
    <w:rsid w:val="00C936EA"/>
    <w:rsid w:val="00C93BBF"/>
    <w:rsid w:val="00C93FEC"/>
    <w:rsid w:val="00C94703"/>
    <w:rsid w:val="00C94874"/>
    <w:rsid w:val="00C948E2"/>
    <w:rsid w:val="00C94BEB"/>
    <w:rsid w:val="00C94F61"/>
    <w:rsid w:val="00C9509F"/>
    <w:rsid w:val="00C9623E"/>
    <w:rsid w:val="00C97368"/>
    <w:rsid w:val="00C97413"/>
    <w:rsid w:val="00C974EC"/>
    <w:rsid w:val="00C977F2"/>
    <w:rsid w:val="00C978B3"/>
    <w:rsid w:val="00C97ABD"/>
    <w:rsid w:val="00CA01BF"/>
    <w:rsid w:val="00CA0BEF"/>
    <w:rsid w:val="00CA1756"/>
    <w:rsid w:val="00CA17DC"/>
    <w:rsid w:val="00CA1CCB"/>
    <w:rsid w:val="00CA2087"/>
    <w:rsid w:val="00CA222D"/>
    <w:rsid w:val="00CA2479"/>
    <w:rsid w:val="00CA3BB7"/>
    <w:rsid w:val="00CA3CE4"/>
    <w:rsid w:val="00CA3D41"/>
    <w:rsid w:val="00CA552F"/>
    <w:rsid w:val="00CA564D"/>
    <w:rsid w:val="00CA5B0B"/>
    <w:rsid w:val="00CA5DF9"/>
    <w:rsid w:val="00CA6489"/>
    <w:rsid w:val="00CA67EA"/>
    <w:rsid w:val="00CA6AA6"/>
    <w:rsid w:val="00CA7E2B"/>
    <w:rsid w:val="00CB02B6"/>
    <w:rsid w:val="00CB03D4"/>
    <w:rsid w:val="00CB11AC"/>
    <w:rsid w:val="00CB135E"/>
    <w:rsid w:val="00CB1B36"/>
    <w:rsid w:val="00CB2400"/>
    <w:rsid w:val="00CB291C"/>
    <w:rsid w:val="00CB2D16"/>
    <w:rsid w:val="00CB2DCB"/>
    <w:rsid w:val="00CB30A7"/>
    <w:rsid w:val="00CB3D17"/>
    <w:rsid w:val="00CB40A2"/>
    <w:rsid w:val="00CB4C4C"/>
    <w:rsid w:val="00CB4DDC"/>
    <w:rsid w:val="00CB4E85"/>
    <w:rsid w:val="00CB53C2"/>
    <w:rsid w:val="00CB5406"/>
    <w:rsid w:val="00CB587F"/>
    <w:rsid w:val="00CB589B"/>
    <w:rsid w:val="00CB63B9"/>
    <w:rsid w:val="00CB6770"/>
    <w:rsid w:val="00CB6CFA"/>
    <w:rsid w:val="00CB6F76"/>
    <w:rsid w:val="00CB745E"/>
    <w:rsid w:val="00CB746E"/>
    <w:rsid w:val="00CB79B9"/>
    <w:rsid w:val="00CB7A91"/>
    <w:rsid w:val="00CB7FF8"/>
    <w:rsid w:val="00CC0016"/>
    <w:rsid w:val="00CC054B"/>
    <w:rsid w:val="00CC0B5C"/>
    <w:rsid w:val="00CC1052"/>
    <w:rsid w:val="00CC151E"/>
    <w:rsid w:val="00CC2475"/>
    <w:rsid w:val="00CC29D1"/>
    <w:rsid w:val="00CC2A5C"/>
    <w:rsid w:val="00CC2DD6"/>
    <w:rsid w:val="00CC331F"/>
    <w:rsid w:val="00CC33C9"/>
    <w:rsid w:val="00CC344E"/>
    <w:rsid w:val="00CC4066"/>
    <w:rsid w:val="00CC5043"/>
    <w:rsid w:val="00CC51D9"/>
    <w:rsid w:val="00CC5209"/>
    <w:rsid w:val="00CC5672"/>
    <w:rsid w:val="00CC5808"/>
    <w:rsid w:val="00CC639C"/>
    <w:rsid w:val="00CC66C2"/>
    <w:rsid w:val="00CC68CB"/>
    <w:rsid w:val="00CC6961"/>
    <w:rsid w:val="00CC6C20"/>
    <w:rsid w:val="00CC755D"/>
    <w:rsid w:val="00CC7C0F"/>
    <w:rsid w:val="00CC7DAB"/>
    <w:rsid w:val="00CC7EE4"/>
    <w:rsid w:val="00CC7FE0"/>
    <w:rsid w:val="00CD0684"/>
    <w:rsid w:val="00CD071B"/>
    <w:rsid w:val="00CD0AA3"/>
    <w:rsid w:val="00CD1038"/>
    <w:rsid w:val="00CD1B0C"/>
    <w:rsid w:val="00CD21D0"/>
    <w:rsid w:val="00CD2F75"/>
    <w:rsid w:val="00CD39FC"/>
    <w:rsid w:val="00CD3B6A"/>
    <w:rsid w:val="00CD3DF3"/>
    <w:rsid w:val="00CD421A"/>
    <w:rsid w:val="00CD50C0"/>
    <w:rsid w:val="00CD6141"/>
    <w:rsid w:val="00CD62DF"/>
    <w:rsid w:val="00CD6355"/>
    <w:rsid w:val="00CD64E8"/>
    <w:rsid w:val="00CD7146"/>
    <w:rsid w:val="00CD786D"/>
    <w:rsid w:val="00CE0035"/>
    <w:rsid w:val="00CE014C"/>
    <w:rsid w:val="00CE01A5"/>
    <w:rsid w:val="00CE0E95"/>
    <w:rsid w:val="00CE1698"/>
    <w:rsid w:val="00CE176F"/>
    <w:rsid w:val="00CE25DA"/>
    <w:rsid w:val="00CE2696"/>
    <w:rsid w:val="00CE2A7D"/>
    <w:rsid w:val="00CE2B2E"/>
    <w:rsid w:val="00CE38AF"/>
    <w:rsid w:val="00CE3DC7"/>
    <w:rsid w:val="00CE3F78"/>
    <w:rsid w:val="00CE4517"/>
    <w:rsid w:val="00CE4787"/>
    <w:rsid w:val="00CE4F3B"/>
    <w:rsid w:val="00CE5956"/>
    <w:rsid w:val="00CE6C6A"/>
    <w:rsid w:val="00CE6CB2"/>
    <w:rsid w:val="00CE7246"/>
    <w:rsid w:val="00CE779B"/>
    <w:rsid w:val="00CE7CE8"/>
    <w:rsid w:val="00CE7ED9"/>
    <w:rsid w:val="00CE7EF7"/>
    <w:rsid w:val="00CF00FA"/>
    <w:rsid w:val="00CF0BC2"/>
    <w:rsid w:val="00CF121E"/>
    <w:rsid w:val="00CF375A"/>
    <w:rsid w:val="00CF37FF"/>
    <w:rsid w:val="00CF41F3"/>
    <w:rsid w:val="00CF4204"/>
    <w:rsid w:val="00CF43FC"/>
    <w:rsid w:val="00CF444C"/>
    <w:rsid w:val="00CF48E3"/>
    <w:rsid w:val="00CF4D96"/>
    <w:rsid w:val="00CF4E9B"/>
    <w:rsid w:val="00CF5038"/>
    <w:rsid w:val="00CF57F3"/>
    <w:rsid w:val="00CF58B3"/>
    <w:rsid w:val="00CF617D"/>
    <w:rsid w:val="00CF729C"/>
    <w:rsid w:val="00CF76D3"/>
    <w:rsid w:val="00CF7AA4"/>
    <w:rsid w:val="00D009DF"/>
    <w:rsid w:val="00D00F6F"/>
    <w:rsid w:val="00D016D4"/>
    <w:rsid w:val="00D0186C"/>
    <w:rsid w:val="00D01DF0"/>
    <w:rsid w:val="00D020D3"/>
    <w:rsid w:val="00D02712"/>
    <w:rsid w:val="00D0331E"/>
    <w:rsid w:val="00D03B43"/>
    <w:rsid w:val="00D03CDE"/>
    <w:rsid w:val="00D04CF3"/>
    <w:rsid w:val="00D04F2B"/>
    <w:rsid w:val="00D05886"/>
    <w:rsid w:val="00D05EC7"/>
    <w:rsid w:val="00D05F9A"/>
    <w:rsid w:val="00D0620E"/>
    <w:rsid w:val="00D06AF1"/>
    <w:rsid w:val="00D073AD"/>
    <w:rsid w:val="00D078A4"/>
    <w:rsid w:val="00D07BE3"/>
    <w:rsid w:val="00D1127A"/>
    <w:rsid w:val="00D11569"/>
    <w:rsid w:val="00D1183F"/>
    <w:rsid w:val="00D126A1"/>
    <w:rsid w:val="00D13263"/>
    <w:rsid w:val="00D13F5F"/>
    <w:rsid w:val="00D1420E"/>
    <w:rsid w:val="00D14504"/>
    <w:rsid w:val="00D14C15"/>
    <w:rsid w:val="00D14C41"/>
    <w:rsid w:val="00D155D0"/>
    <w:rsid w:val="00D15B9B"/>
    <w:rsid w:val="00D15EF9"/>
    <w:rsid w:val="00D160FF"/>
    <w:rsid w:val="00D1654B"/>
    <w:rsid w:val="00D1671E"/>
    <w:rsid w:val="00D1689F"/>
    <w:rsid w:val="00D16B68"/>
    <w:rsid w:val="00D16B96"/>
    <w:rsid w:val="00D16DD7"/>
    <w:rsid w:val="00D16EDD"/>
    <w:rsid w:val="00D16EE0"/>
    <w:rsid w:val="00D16F06"/>
    <w:rsid w:val="00D17249"/>
    <w:rsid w:val="00D1757A"/>
    <w:rsid w:val="00D17CF9"/>
    <w:rsid w:val="00D20577"/>
    <w:rsid w:val="00D21762"/>
    <w:rsid w:val="00D22715"/>
    <w:rsid w:val="00D227E7"/>
    <w:rsid w:val="00D23188"/>
    <w:rsid w:val="00D23745"/>
    <w:rsid w:val="00D23D76"/>
    <w:rsid w:val="00D25830"/>
    <w:rsid w:val="00D25982"/>
    <w:rsid w:val="00D25A12"/>
    <w:rsid w:val="00D25B2D"/>
    <w:rsid w:val="00D260A7"/>
    <w:rsid w:val="00D2621C"/>
    <w:rsid w:val="00D26F4F"/>
    <w:rsid w:val="00D2726F"/>
    <w:rsid w:val="00D27798"/>
    <w:rsid w:val="00D279DF"/>
    <w:rsid w:val="00D27CDC"/>
    <w:rsid w:val="00D30185"/>
    <w:rsid w:val="00D30F7B"/>
    <w:rsid w:val="00D31470"/>
    <w:rsid w:val="00D318D5"/>
    <w:rsid w:val="00D31D25"/>
    <w:rsid w:val="00D31E25"/>
    <w:rsid w:val="00D32028"/>
    <w:rsid w:val="00D32932"/>
    <w:rsid w:val="00D32AA8"/>
    <w:rsid w:val="00D32C72"/>
    <w:rsid w:val="00D32DC1"/>
    <w:rsid w:val="00D33235"/>
    <w:rsid w:val="00D3365E"/>
    <w:rsid w:val="00D338E6"/>
    <w:rsid w:val="00D33C91"/>
    <w:rsid w:val="00D34571"/>
    <w:rsid w:val="00D34CCC"/>
    <w:rsid w:val="00D355F7"/>
    <w:rsid w:val="00D35C9C"/>
    <w:rsid w:val="00D3608F"/>
    <w:rsid w:val="00D36817"/>
    <w:rsid w:val="00D368BD"/>
    <w:rsid w:val="00D36EBD"/>
    <w:rsid w:val="00D37C71"/>
    <w:rsid w:val="00D37E8E"/>
    <w:rsid w:val="00D4003E"/>
    <w:rsid w:val="00D40AF7"/>
    <w:rsid w:val="00D41287"/>
    <w:rsid w:val="00D418A0"/>
    <w:rsid w:val="00D426E4"/>
    <w:rsid w:val="00D42832"/>
    <w:rsid w:val="00D42861"/>
    <w:rsid w:val="00D42EF9"/>
    <w:rsid w:val="00D42FA3"/>
    <w:rsid w:val="00D42FDB"/>
    <w:rsid w:val="00D43274"/>
    <w:rsid w:val="00D4373E"/>
    <w:rsid w:val="00D4377A"/>
    <w:rsid w:val="00D43EFF"/>
    <w:rsid w:val="00D44370"/>
    <w:rsid w:val="00D44DE4"/>
    <w:rsid w:val="00D450D1"/>
    <w:rsid w:val="00D4535D"/>
    <w:rsid w:val="00D456C7"/>
    <w:rsid w:val="00D45FBC"/>
    <w:rsid w:val="00D46170"/>
    <w:rsid w:val="00D465D6"/>
    <w:rsid w:val="00D467E2"/>
    <w:rsid w:val="00D46CFA"/>
    <w:rsid w:val="00D46DAB"/>
    <w:rsid w:val="00D46E24"/>
    <w:rsid w:val="00D46EE3"/>
    <w:rsid w:val="00D4776B"/>
    <w:rsid w:val="00D477EA"/>
    <w:rsid w:val="00D47AF7"/>
    <w:rsid w:val="00D5001A"/>
    <w:rsid w:val="00D5046B"/>
    <w:rsid w:val="00D505CE"/>
    <w:rsid w:val="00D506B0"/>
    <w:rsid w:val="00D50945"/>
    <w:rsid w:val="00D511AD"/>
    <w:rsid w:val="00D511F0"/>
    <w:rsid w:val="00D52071"/>
    <w:rsid w:val="00D520C1"/>
    <w:rsid w:val="00D5240D"/>
    <w:rsid w:val="00D52737"/>
    <w:rsid w:val="00D52D54"/>
    <w:rsid w:val="00D534BD"/>
    <w:rsid w:val="00D53AEA"/>
    <w:rsid w:val="00D53CF7"/>
    <w:rsid w:val="00D543CA"/>
    <w:rsid w:val="00D54957"/>
    <w:rsid w:val="00D54B2A"/>
    <w:rsid w:val="00D54FD6"/>
    <w:rsid w:val="00D5525E"/>
    <w:rsid w:val="00D556BB"/>
    <w:rsid w:val="00D56377"/>
    <w:rsid w:val="00D564CD"/>
    <w:rsid w:val="00D57194"/>
    <w:rsid w:val="00D576F2"/>
    <w:rsid w:val="00D57E6D"/>
    <w:rsid w:val="00D57FDD"/>
    <w:rsid w:val="00D601AC"/>
    <w:rsid w:val="00D60EB9"/>
    <w:rsid w:val="00D61166"/>
    <w:rsid w:val="00D6116E"/>
    <w:rsid w:val="00D61796"/>
    <w:rsid w:val="00D625D1"/>
    <w:rsid w:val="00D62E59"/>
    <w:rsid w:val="00D63AE8"/>
    <w:rsid w:val="00D64337"/>
    <w:rsid w:val="00D64730"/>
    <w:rsid w:val="00D6499D"/>
    <w:rsid w:val="00D65A14"/>
    <w:rsid w:val="00D66157"/>
    <w:rsid w:val="00D662EB"/>
    <w:rsid w:val="00D667FE"/>
    <w:rsid w:val="00D66936"/>
    <w:rsid w:val="00D66E24"/>
    <w:rsid w:val="00D671F8"/>
    <w:rsid w:val="00D67723"/>
    <w:rsid w:val="00D67778"/>
    <w:rsid w:val="00D70A19"/>
    <w:rsid w:val="00D70D7D"/>
    <w:rsid w:val="00D70E33"/>
    <w:rsid w:val="00D71069"/>
    <w:rsid w:val="00D72202"/>
    <w:rsid w:val="00D72E06"/>
    <w:rsid w:val="00D739C3"/>
    <w:rsid w:val="00D73AB7"/>
    <w:rsid w:val="00D73B45"/>
    <w:rsid w:val="00D73BE1"/>
    <w:rsid w:val="00D74212"/>
    <w:rsid w:val="00D748BF"/>
    <w:rsid w:val="00D74F23"/>
    <w:rsid w:val="00D7513E"/>
    <w:rsid w:val="00D7519E"/>
    <w:rsid w:val="00D751F1"/>
    <w:rsid w:val="00D75871"/>
    <w:rsid w:val="00D7753D"/>
    <w:rsid w:val="00D7758A"/>
    <w:rsid w:val="00D775DD"/>
    <w:rsid w:val="00D779AF"/>
    <w:rsid w:val="00D77AE4"/>
    <w:rsid w:val="00D80204"/>
    <w:rsid w:val="00D808DE"/>
    <w:rsid w:val="00D8098C"/>
    <w:rsid w:val="00D8099D"/>
    <w:rsid w:val="00D80B2E"/>
    <w:rsid w:val="00D8116C"/>
    <w:rsid w:val="00D81353"/>
    <w:rsid w:val="00D81383"/>
    <w:rsid w:val="00D81938"/>
    <w:rsid w:val="00D81A65"/>
    <w:rsid w:val="00D81F51"/>
    <w:rsid w:val="00D81FFA"/>
    <w:rsid w:val="00D8228A"/>
    <w:rsid w:val="00D8248B"/>
    <w:rsid w:val="00D829D6"/>
    <w:rsid w:val="00D82EFC"/>
    <w:rsid w:val="00D82FCD"/>
    <w:rsid w:val="00D83B24"/>
    <w:rsid w:val="00D83F0C"/>
    <w:rsid w:val="00D83FEC"/>
    <w:rsid w:val="00D8538B"/>
    <w:rsid w:val="00D854BF"/>
    <w:rsid w:val="00D85F73"/>
    <w:rsid w:val="00D863AC"/>
    <w:rsid w:val="00D86502"/>
    <w:rsid w:val="00D874F0"/>
    <w:rsid w:val="00D87CB3"/>
    <w:rsid w:val="00D87CD5"/>
    <w:rsid w:val="00D87F96"/>
    <w:rsid w:val="00D906E0"/>
    <w:rsid w:val="00D90760"/>
    <w:rsid w:val="00D91652"/>
    <w:rsid w:val="00D916B8"/>
    <w:rsid w:val="00D91847"/>
    <w:rsid w:val="00D91A01"/>
    <w:rsid w:val="00D91B78"/>
    <w:rsid w:val="00D91CFD"/>
    <w:rsid w:val="00D91E20"/>
    <w:rsid w:val="00D9242B"/>
    <w:rsid w:val="00D9270D"/>
    <w:rsid w:val="00D92AC8"/>
    <w:rsid w:val="00D92CF4"/>
    <w:rsid w:val="00D92EC1"/>
    <w:rsid w:val="00D92F93"/>
    <w:rsid w:val="00D92FDA"/>
    <w:rsid w:val="00D93099"/>
    <w:rsid w:val="00D9320C"/>
    <w:rsid w:val="00D93260"/>
    <w:rsid w:val="00D9333F"/>
    <w:rsid w:val="00D93588"/>
    <w:rsid w:val="00D93B4E"/>
    <w:rsid w:val="00D93CAA"/>
    <w:rsid w:val="00D93EDC"/>
    <w:rsid w:val="00D93F29"/>
    <w:rsid w:val="00D9400F"/>
    <w:rsid w:val="00D94012"/>
    <w:rsid w:val="00D943D2"/>
    <w:rsid w:val="00D94BA9"/>
    <w:rsid w:val="00D94F44"/>
    <w:rsid w:val="00D96471"/>
    <w:rsid w:val="00D970E8"/>
    <w:rsid w:val="00D97148"/>
    <w:rsid w:val="00D9769C"/>
    <w:rsid w:val="00DA11AA"/>
    <w:rsid w:val="00DA240B"/>
    <w:rsid w:val="00DA266C"/>
    <w:rsid w:val="00DA347F"/>
    <w:rsid w:val="00DA3977"/>
    <w:rsid w:val="00DA39A6"/>
    <w:rsid w:val="00DA3B12"/>
    <w:rsid w:val="00DA454E"/>
    <w:rsid w:val="00DA5430"/>
    <w:rsid w:val="00DA574B"/>
    <w:rsid w:val="00DA653F"/>
    <w:rsid w:val="00DA6810"/>
    <w:rsid w:val="00DA69FF"/>
    <w:rsid w:val="00DA6C1F"/>
    <w:rsid w:val="00DA7B96"/>
    <w:rsid w:val="00DA7E62"/>
    <w:rsid w:val="00DB0679"/>
    <w:rsid w:val="00DB0939"/>
    <w:rsid w:val="00DB09BC"/>
    <w:rsid w:val="00DB0DBC"/>
    <w:rsid w:val="00DB0F57"/>
    <w:rsid w:val="00DB1608"/>
    <w:rsid w:val="00DB1DEE"/>
    <w:rsid w:val="00DB2577"/>
    <w:rsid w:val="00DB368D"/>
    <w:rsid w:val="00DB3C65"/>
    <w:rsid w:val="00DB4040"/>
    <w:rsid w:val="00DB4290"/>
    <w:rsid w:val="00DB42BD"/>
    <w:rsid w:val="00DB48A9"/>
    <w:rsid w:val="00DB4A1E"/>
    <w:rsid w:val="00DB4E31"/>
    <w:rsid w:val="00DB4FFA"/>
    <w:rsid w:val="00DB5ACC"/>
    <w:rsid w:val="00DB5B0F"/>
    <w:rsid w:val="00DB5C3F"/>
    <w:rsid w:val="00DB5F8E"/>
    <w:rsid w:val="00DB64F8"/>
    <w:rsid w:val="00DB6766"/>
    <w:rsid w:val="00DB7454"/>
    <w:rsid w:val="00DB751C"/>
    <w:rsid w:val="00DB76FE"/>
    <w:rsid w:val="00DB7A8D"/>
    <w:rsid w:val="00DB7F39"/>
    <w:rsid w:val="00DC0E2A"/>
    <w:rsid w:val="00DC1682"/>
    <w:rsid w:val="00DC18A4"/>
    <w:rsid w:val="00DC18D5"/>
    <w:rsid w:val="00DC1BAE"/>
    <w:rsid w:val="00DC1BEA"/>
    <w:rsid w:val="00DC1CAC"/>
    <w:rsid w:val="00DC1F31"/>
    <w:rsid w:val="00DC2089"/>
    <w:rsid w:val="00DC25F6"/>
    <w:rsid w:val="00DC291F"/>
    <w:rsid w:val="00DC29DA"/>
    <w:rsid w:val="00DC2E1E"/>
    <w:rsid w:val="00DC3513"/>
    <w:rsid w:val="00DC369D"/>
    <w:rsid w:val="00DC3831"/>
    <w:rsid w:val="00DC3E85"/>
    <w:rsid w:val="00DC4588"/>
    <w:rsid w:val="00DC45DC"/>
    <w:rsid w:val="00DC45EA"/>
    <w:rsid w:val="00DC5159"/>
    <w:rsid w:val="00DC6317"/>
    <w:rsid w:val="00DC6326"/>
    <w:rsid w:val="00DC632E"/>
    <w:rsid w:val="00DC71A1"/>
    <w:rsid w:val="00DC7737"/>
    <w:rsid w:val="00DD04AB"/>
    <w:rsid w:val="00DD0649"/>
    <w:rsid w:val="00DD0F10"/>
    <w:rsid w:val="00DD10CF"/>
    <w:rsid w:val="00DD1F09"/>
    <w:rsid w:val="00DD23AA"/>
    <w:rsid w:val="00DD24B9"/>
    <w:rsid w:val="00DD2EAD"/>
    <w:rsid w:val="00DD347E"/>
    <w:rsid w:val="00DD3794"/>
    <w:rsid w:val="00DD40A5"/>
    <w:rsid w:val="00DD50DA"/>
    <w:rsid w:val="00DD53F5"/>
    <w:rsid w:val="00DD7639"/>
    <w:rsid w:val="00DD772B"/>
    <w:rsid w:val="00DD786E"/>
    <w:rsid w:val="00DD78C3"/>
    <w:rsid w:val="00DE0275"/>
    <w:rsid w:val="00DE02AA"/>
    <w:rsid w:val="00DE0347"/>
    <w:rsid w:val="00DE05E7"/>
    <w:rsid w:val="00DE0BE1"/>
    <w:rsid w:val="00DE0DF8"/>
    <w:rsid w:val="00DE0EA5"/>
    <w:rsid w:val="00DE1391"/>
    <w:rsid w:val="00DE146C"/>
    <w:rsid w:val="00DE14F4"/>
    <w:rsid w:val="00DE1FAA"/>
    <w:rsid w:val="00DE26DB"/>
    <w:rsid w:val="00DE29F7"/>
    <w:rsid w:val="00DE2BC8"/>
    <w:rsid w:val="00DE2EA6"/>
    <w:rsid w:val="00DE3EED"/>
    <w:rsid w:val="00DE401A"/>
    <w:rsid w:val="00DE4200"/>
    <w:rsid w:val="00DE480E"/>
    <w:rsid w:val="00DE48AA"/>
    <w:rsid w:val="00DE4AE1"/>
    <w:rsid w:val="00DE4E1F"/>
    <w:rsid w:val="00DE512E"/>
    <w:rsid w:val="00DE55EC"/>
    <w:rsid w:val="00DE5686"/>
    <w:rsid w:val="00DE5735"/>
    <w:rsid w:val="00DE5795"/>
    <w:rsid w:val="00DE585B"/>
    <w:rsid w:val="00DE5AE4"/>
    <w:rsid w:val="00DE5DD9"/>
    <w:rsid w:val="00DE60FF"/>
    <w:rsid w:val="00DE619C"/>
    <w:rsid w:val="00DE6889"/>
    <w:rsid w:val="00DE6C35"/>
    <w:rsid w:val="00DE6D0D"/>
    <w:rsid w:val="00DF0257"/>
    <w:rsid w:val="00DF0AFE"/>
    <w:rsid w:val="00DF0B79"/>
    <w:rsid w:val="00DF0B88"/>
    <w:rsid w:val="00DF1245"/>
    <w:rsid w:val="00DF2373"/>
    <w:rsid w:val="00DF2771"/>
    <w:rsid w:val="00DF4C38"/>
    <w:rsid w:val="00DF5378"/>
    <w:rsid w:val="00DF56E0"/>
    <w:rsid w:val="00DF5A4C"/>
    <w:rsid w:val="00DF5D62"/>
    <w:rsid w:val="00DF670B"/>
    <w:rsid w:val="00DF6BBC"/>
    <w:rsid w:val="00DF7292"/>
    <w:rsid w:val="00DF7905"/>
    <w:rsid w:val="00DF7EBA"/>
    <w:rsid w:val="00E000D4"/>
    <w:rsid w:val="00E00543"/>
    <w:rsid w:val="00E0055C"/>
    <w:rsid w:val="00E0060B"/>
    <w:rsid w:val="00E006FE"/>
    <w:rsid w:val="00E00838"/>
    <w:rsid w:val="00E00D51"/>
    <w:rsid w:val="00E00D82"/>
    <w:rsid w:val="00E012B2"/>
    <w:rsid w:val="00E01423"/>
    <w:rsid w:val="00E014BC"/>
    <w:rsid w:val="00E018FB"/>
    <w:rsid w:val="00E01A8D"/>
    <w:rsid w:val="00E01D4E"/>
    <w:rsid w:val="00E01F59"/>
    <w:rsid w:val="00E01FC6"/>
    <w:rsid w:val="00E02506"/>
    <w:rsid w:val="00E02AFE"/>
    <w:rsid w:val="00E03378"/>
    <w:rsid w:val="00E03813"/>
    <w:rsid w:val="00E03E33"/>
    <w:rsid w:val="00E0448A"/>
    <w:rsid w:val="00E049D7"/>
    <w:rsid w:val="00E04D6A"/>
    <w:rsid w:val="00E04F1D"/>
    <w:rsid w:val="00E05009"/>
    <w:rsid w:val="00E0513F"/>
    <w:rsid w:val="00E05284"/>
    <w:rsid w:val="00E05533"/>
    <w:rsid w:val="00E05547"/>
    <w:rsid w:val="00E05AFF"/>
    <w:rsid w:val="00E05C6D"/>
    <w:rsid w:val="00E05CFB"/>
    <w:rsid w:val="00E0647B"/>
    <w:rsid w:val="00E06A11"/>
    <w:rsid w:val="00E06EAF"/>
    <w:rsid w:val="00E06F7A"/>
    <w:rsid w:val="00E07B25"/>
    <w:rsid w:val="00E07E81"/>
    <w:rsid w:val="00E07FE4"/>
    <w:rsid w:val="00E10641"/>
    <w:rsid w:val="00E10834"/>
    <w:rsid w:val="00E11CE7"/>
    <w:rsid w:val="00E120AB"/>
    <w:rsid w:val="00E12226"/>
    <w:rsid w:val="00E12966"/>
    <w:rsid w:val="00E132B4"/>
    <w:rsid w:val="00E1334C"/>
    <w:rsid w:val="00E13578"/>
    <w:rsid w:val="00E14158"/>
    <w:rsid w:val="00E14175"/>
    <w:rsid w:val="00E14D16"/>
    <w:rsid w:val="00E1572C"/>
    <w:rsid w:val="00E15C4B"/>
    <w:rsid w:val="00E16068"/>
    <w:rsid w:val="00E161CF"/>
    <w:rsid w:val="00E165FB"/>
    <w:rsid w:val="00E1681E"/>
    <w:rsid w:val="00E16955"/>
    <w:rsid w:val="00E16A08"/>
    <w:rsid w:val="00E16F5A"/>
    <w:rsid w:val="00E1791A"/>
    <w:rsid w:val="00E20532"/>
    <w:rsid w:val="00E205D3"/>
    <w:rsid w:val="00E20A82"/>
    <w:rsid w:val="00E20E7A"/>
    <w:rsid w:val="00E21122"/>
    <w:rsid w:val="00E21ABA"/>
    <w:rsid w:val="00E21BC6"/>
    <w:rsid w:val="00E21C8C"/>
    <w:rsid w:val="00E22591"/>
    <w:rsid w:val="00E22733"/>
    <w:rsid w:val="00E22DEF"/>
    <w:rsid w:val="00E22E39"/>
    <w:rsid w:val="00E23A07"/>
    <w:rsid w:val="00E241EA"/>
    <w:rsid w:val="00E2467B"/>
    <w:rsid w:val="00E24F7B"/>
    <w:rsid w:val="00E2552E"/>
    <w:rsid w:val="00E256C3"/>
    <w:rsid w:val="00E25833"/>
    <w:rsid w:val="00E25896"/>
    <w:rsid w:val="00E25B59"/>
    <w:rsid w:val="00E25D7A"/>
    <w:rsid w:val="00E26042"/>
    <w:rsid w:val="00E264C3"/>
    <w:rsid w:val="00E26B2F"/>
    <w:rsid w:val="00E2723B"/>
    <w:rsid w:val="00E27306"/>
    <w:rsid w:val="00E275B5"/>
    <w:rsid w:val="00E27963"/>
    <w:rsid w:val="00E27DFC"/>
    <w:rsid w:val="00E30A3C"/>
    <w:rsid w:val="00E30D26"/>
    <w:rsid w:val="00E31607"/>
    <w:rsid w:val="00E31A39"/>
    <w:rsid w:val="00E322AD"/>
    <w:rsid w:val="00E323C2"/>
    <w:rsid w:val="00E32486"/>
    <w:rsid w:val="00E32739"/>
    <w:rsid w:val="00E329A2"/>
    <w:rsid w:val="00E32B76"/>
    <w:rsid w:val="00E32F2A"/>
    <w:rsid w:val="00E32F88"/>
    <w:rsid w:val="00E33141"/>
    <w:rsid w:val="00E331D4"/>
    <w:rsid w:val="00E3321E"/>
    <w:rsid w:val="00E3462A"/>
    <w:rsid w:val="00E34703"/>
    <w:rsid w:val="00E34D4A"/>
    <w:rsid w:val="00E3559D"/>
    <w:rsid w:val="00E357B7"/>
    <w:rsid w:val="00E35BA4"/>
    <w:rsid w:val="00E36545"/>
    <w:rsid w:val="00E36711"/>
    <w:rsid w:val="00E3674B"/>
    <w:rsid w:val="00E3689D"/>
    <w:rsid w:val="00E369CD"/>
    <w:rsid w:val="00E36A03"/>
    <w:rsid w:val="00E36E82"/>
    <w:rsid w:val="00E36FFA"/>
    <w:rsid w:val="00E37CFC"/>
    <w:rsid w:val="00E37DA9"/>
    <w:rsid w:val="00E37EB2"/>
    <w:rsid w:val="00E40061"/>
    <w:rsid w:val="00E40145"/>
    <w:rsid w:val="00E40B7F"/>
    <w:rsid w:val="00E4122F"/>
    <w:rsid w:val="00E4144A"/>
    <w:rsid w:val="00E41670"/>
    <w:rsid w:val="00E41E29"/>
    <w:rsid w:val="00E420AB"/>
    <w:rsid w:val="00E42278"/>
    <w:rsid w:val="00E42BD6"/>
    <w:rsid w:val="00E435C9"/>
    <w:rsid w:val="00E439DC"/>
    <w:rsid w:val="00E43A72"/>
    <w:rsid w:val="00E44E86"/>
    <w:rsid w:val="00E45557"/>
    <w:rsid w:val="00E457E2"/>
    <w:rsid w:val="00E45BA1"/>
    <w:rsid w:val="00E45C6E"/>
    <w:rsid w:val="00E45FBF"/>
    <w:rsid w:val="00E4748F"/>
    <w:rsid w:val="00E477AE"/>
    <w:rsid w:val="00E47DB8"/>
    <w:rsid w:val="00E47F31"/>
    <w:rsid w:val="00E5039D"/>
    <w:rsid w:val="00E50750"/>
    <w:rsid w:val="00E50B74"/>
    <w:rsid w:val="00E50ED4"/>
    <w:rsid w:val="00E51570"/>
    <w:rsid w:val="00E517A8"/>
    <w:rsid w:val="00E51C7C"/>
    <w:rsid w:val="00E51FD9"/>
    <w:rsid w:val="00E523D7"/>
    <w:rsid w:val="00E530AA"/>
    <w:rsid w:val="00E53C5A"/>
    <w:rsid w:val="00E53ECB"/>
    <w:rsid w:val="00E53FE6"/>
    <w:rsid w:val="00E545D7"/>
    <w:rsid w:val="00E54655"/>
    <w:rsid w:val="00E54969"/>
    <w:rsid w:val="00E5534A"/>
    <w:rsid w:val="00E553B9"/>
    <w:rsid w:val="00E55823"/>
    <w:rsid w:val="00E55F8B"/>
    <w:rsid w:val="00E56C10"/>
    <w:rsid w:val="00E56C92"/>
    <w:rsid w:val="00E56D91"/>
    <w:rsid w:val="00E57291"/>
    <w:rsid w:val="00E572E3"/>
    <w:rsid w:val="00E60312"/>
    <w:rsid w:val="00E60796"/>
    <w:rsid w:val="00E60F18"/>
    <w:rsid w:val="00E61051"/>
    <w:rsid w:val="00E6134A"/>
    <w:rsid w:val="00E616E5"/>
    <w:rsid w:val="00E619B1"/>
    <w:rsid w:val="00E61CFC"/>
    <w:rsid w:val="00E61EA8"/>
    <w:rsid w:val="00E62175"/>
    <w:rsid w:val="00E62A7B"/>
    <w:rsid w:val="00E62CD3"/>
    <w:rsid w:val="00E63462"/>
    <w:rsid w:val="00E63753"/>
    <w:rsid w:val="00E63C7C"/>
    <w:rsid w:val="00E6428C"/>
    <w:rsid w:val="00E646EB"/>
    <w:rsid w:val="00E6535F"/>
    <w:rsid w:val="00E658B9"/>
    <w:rsid w:val="00E659BE"/>
    <w:rsid w:val="00E664B7"/>
    <w:rsid w:val="00E66A51"/>
    <w:rsid w:val="00E66F8B"/>
    <w:rsid w:val="00E67892"/>
    <w:rsid w:val="00E6790F"/>
    <w:rsid w:val="00E67948"/>
    <w:rsid w:val="00E70509"/>
    <w:rsid w:val="00E708AA"/>
    <w:rsid w:val="00E714EC"/>
    <w:rsid w:val="00E71A6E"/>
    <w:rsid w:val="00E71AA3"/>
    <w:rsid w:val="00E72515"/>
    <w:rsid w:val="00E729E3"/>
    <w:rsid w:val="00E72A7B"/>
    <w:rsid w:val="00E72FCD"/>
    <w:rsid w:val="00E73031"/>
    <w:rsid w:val="00E731C7"/>
    <w:rsid w:val="00E73C8A"/>
    <w:rsid w:val="00E740D1"/>
    <w:rsid w:val="00E7413F"/>
    <w:rsid w:val="00E750C2"/>
    <w:rsid w:val="00E753F5"/>
    <w:rsid w:val="00E7585D"/>
    <w:rsid w:val="00E75FE2"/>
    <w:rsid w:val="00E7607F"/>
    <w:rsid w:val="00E76269"/>
    <w:rsid w:val="00E7660D"/>
    <w:rsid w:val="00E77063"/>
    <w:rsid w:val="00E77C3C"/>
    <w:rsid w:val="00E77D79"/>
    <w:rsid w:val="00E77DA8"/>
    <w:rsid w:val="00E80C09"/>
    <w:rsid w:val="00E835BA"/>
    <w:rsid w:val="00E83844"/>
    <w:rsid w:val="00E839E1"/>
    <w:rsid w:val="00E83B16"/>
    <w:rsid w:val="00E83F30"/>
    <w:rsid w:val="00E84657"/>
    <w:rsid w:val="00E84CA9"/>
    <w:rsid w:val="00E85359"/>
    <w:rsid w:val="00E85881"/>
    <w:rsid w:val="00E85CE9"/>
    <w:rsid w:val="00E860E4"/>
    <w:rsid w:val="00E86B8C"/>
    <w:rsid w:val="00E86DA7"/>
    <w:rsid w:val="00E86DBC"/>
    <w:rsid w:val="00E86FC6"/>
    <w:rsid w:val="00E8766F"/>
    <w:rsid w:val="00E8778B"/>
    <w:rsid w:val="00E90A3E"/>
    <w:rsid w:val="00E90B4D"/>
    <w:rsid w:val="00E90FF0"/>
    <w:rsid w:val="00E9166D"/>
    <w:rsid w:val="00E91687"/>
    <w:rsid w:val="00E917D3"/>
    <w:rsid w:val="00E91CA0"/>
    <w:rsid w:val="00E92004"/>
    <w:rsid w:val="00E921DC"/>
    <w:rsid w:val="00E925B3"/>
    <w:rsid w:val="00E92981"/>
    <w:rsid w:val="00E9314D"/>
    <w:rsid w:val="00E93512"/>
    <w:rsid w:val="00E939B0"/>
    <w:rsid w:val="00E93E5D"/>
    <w:rsid w:val="00E948CB"/>
    <w:rsid w:val="00E9497D"/>
    <w:rsid w:val="00E9547E"/>
    <w:rsid w:val="00E956CB"/>
    <w:rsid w:val="00E95AE4"/>
    <w:rsid w:val="00E96315"/>
    <w:rsid w:val="00E9640E"/>
    <w:rsid w:val="00E96518"/>
    <w:rsid w:val="00E96E11"/>
    <w:rsid w:val="00E970BD"/>
    <w:rsid w:val="00E9734D"/>
    <w:rsid w:val="00E9748D"/>
    <w:rsid w:val="00E974E0"/>
    <w:rsid w:val="00E97E3F"/>
    <w:rsid w:val="00E97E59"/>
    <w:rsid w:val="00E97EE7"/>
    <w:rsid w:val="00EA0B6E"/>
    <w:rsid w:val="00EA2205"/>
    <w:rsid w:val="00EA3141"/>
    <w:rsid w:val="00EA3851"/>
    <w:rsid w:val="00EA3A75"/>
    <w:rsid w:val="00EA4418"/>
    <w:rsid w:val="00EA4445"/>
    <w:rsid w:val="00EA478E"/>
    <w:rsid w:val="00EA4F94"/>
    <w:rsid w:val="00EA61FB"/>
    <w:rsid w:val="00EA6FD4"/>
    <w:rsid w:val="00EB10DD"/>
    <w:rsid w:val="00EB14AE"/>
    <w:rsid w:val="00EB1FBA"/>
    <w:rsid w:val="00EB2035"/>
    <w:rsid w:val="00EB2AC3"/>
    <w:rsid w:val="00EB2C21"/>
    <w:rsid w:val="00EB33CB"/>
    <w:rsid w:val="00EB3E57"/>
    <w:rsid w:val="00EB414F"/>
    <w:rsid w:val="00EB41C4"/>
    <w:rsid w:val="00EB45BE"/>
    <w:rsid w:val="00EB4C57"/>
    <w:rsid w:val="00EB5134"/>
    <w:rsid w:val="00EB5675"/>
    <w:rsid w:val="00EB57DA"/>
    <w:rsid w:val="00EB62AA"/>
    <w:rsid w:val="00EB65B3"/>
    <w:rsid w:val="00EB74E2"/>
    <w:rsid w:val="00EB75BD"/>
    <w:rsid w:val="00EC0765"/>
    <w:rsid w:val="00EC0F72"/>
    <w:rsid w:val="00EC10A4"/>
    <w:rsid w:val="00EC13FE"/>
    <w:rsid w:val="00EC18EF"/>
    <w:rsid w:val="00EC22BF"/>
    <w:rsid w:val="00EC27EB"/>
    <w:rsid w:val="00EC30A0"/>
    <w:rsid w:val="00EC3623"/>
    <w:rsid w:val="00EC3A99"/>
    <w:rsid w:val="00EC3ADC"/>
    <w:rsid w:val="00EC3B1E"/>
    <w:rsid w:val="00EC45A6"/>
    <w:rsid w:val="00EC5950"/>
    <w:rsid w:val="00EC677F"/>
    <w:rsid w:val="00EC7152"/>
    <w:rsid w:val="00EC7332"/>
    <w:rsid w:val="00EC7422"/>
    <w:rsid w:val="00EC7A3D"/>
    <w:rsid w:val="00ED02FD"/>
    <w:rsid w:val="00ED0355"/>
    <w:rsid w:val="00ED04A7"/>
    <w:rsid w:val="00ED1054"/>
    <w:rsid w:val="00ED12D2"/>
    <w:rsid w:val="00ED2611"/>
    <w:rsid w:val="00ED2864"/>
    <w:rsid w:val="00ED31A5"/>
    <w:rsid w:val="00ED3AA3"/>
    <w:rsid w:val="00ED3D52"/>
    <w:rsid w:val="00ED3FD2"/>
    <w:rsid w:val="00ED40A9"/>
    <w:rsid w:val="00ED41A0"/>
    <w:rsid w:val="00ED432E"/>
    <w:rsid w:val="00ED4B1F"/>
    <w:rsid w:val="00ED54CB"/>
    <w:rsid w:val="00ED55DF"/>
    <w:rsid w:val="00ED56A7"/>
    <w:rsid w:val="00ED5851"/>
    <w:rsid w:val="00ED5A8D"/>
    <w:rsid w:val="00ED5AFD"/>
    <w:rsid w:val="00ED5FBD"/>
    <w:rsid w:val="00ED70D9"/>
    <w:rsid w:val="00ED755A"/>
    <w:rsid w:val="00ED76C7"/>
    <w:rsid w:val="00ED7852"/>
    <w:rsid w:val="00ED798B"/>
    <w:rsid w:val="00ED79E0"/>
    <w:rsid w:val="00ED7AC8"/>
    <w:rsid w:val="00EE0868"/>
    <w:rsid w:val="00EE10CD"/>
    <w:rsid w:val="00EE2157"/>
    <w:rsid w:val="00EE2335"/>
    <w:rsid w:val="00EE2379"/>
    <w:rsid w:val="00EE255F"/>
    <w:rsid w:val="00EE2591"/>
    <w:rsid w:val="00EE304A"/>
    <w:rsid w:val="00EE3242"/>
    <w:rsid w:val="00EE38CE"/>
    <w:rsid w:val="00EE39AA"/>
    <w:rsid w:val="00EE3AAA"/>
    <w:rsid w:val="00EE3E24"/>
    <w:rsid w:val="00EE3F7F"/>
    <w:rsid w:val="00EE412A"/>
    <w:rsid w:val="00EE41BC"/>
    <w:rsid w:val="00EE4303"/>
    <w:rsid w:val="00EE5087"/>
    <w:rsid w:val="00EE54CE"/>
    <w:rsid w:val="00EE5A51"/>
    <w:rsid w:val="00EE5D7D"/>
    <w:rsid w:val="00EE6543"/>
    <w:rsid w:val="00EE697E"/>
    <w:rsid w:val="00EE6D5C"/>
    <w:rsid w:val="00EE72AC"/>
    <w:rsid w:val="00EE7490"/>
    <w:rsid w:val="00EE7EA7"/>
    <w:rsid w:val="00EE7FDF"/>
    <w:rsid w:val="00EF0692"/>
    <w:rsid w:val="00EF07C9"/>
    <w:rsid w:val="00EF0ED3"/>
    <w:rsid w:val="00EF113C"/>
    <w:rsid w:val="00EF134D"/>
    <w:rsid w:val="00EF1C65"/>
    <w:rsid w:val="00EF26B4"/>
    <w:rsid w:val="00EF2E56"/>
    <w:rsid w:val="00EF30DD"/>
    <w:rsid w:val="00EF32D7"/>
    <w:rsid w:val="00EF3B89"/>
    <w:rsid w:val="00EF457D"/>
    <w:rsid w:val="00EF480F"/>
    <w:rsid w:val="00EF4A61"/>
    <w:rsid w:val="00EF4B0D"/>
    <w:rsid w:val="00EF4F44"/>
    <w:rsid w:val="00EF51EE"/>
    <w:rsid w:val="00EF59C0"/>
    <w:rsid w:val="00EF5ED2"/>
    <w:rsid w:val="00EF6026"/>
    <w:rsid w:val="00EF66EF"/>
    <w:rsid w:val="00EF679E"/>
    <w:rsid w:val="00EF6BB5"/>
    <w:rsid w:val="00EF7AB3"/>
    <w:rsid w:val="00EF7AD0"/>
    <w:rsid w:val="00F00136"/>
    <w:rsid w:val="00F0017C"/>
    <w:rsid w:val="00F003C4"/>
    <w:rsid w:val="00F00738"/>
    <w:rsid w:val="00F00901"/>
    <w:rsid w:val="00F00A2C"/>
    <w:rsid w:val="00F00AFB"/>
    <w:rsid w:val="00F00C46"/>
    <w:rsid w:val="00F00DB4"/>
    <w:rsid w:val="00F00FE6"/>
    <w:rsid w:val="00F014D0"/>
    <w:rsid w:val="00F01589"/>
    <w:rsid w:val="00F0196D"/>
    <w:rsid w:val="00F01DE3"/>
    <w:rsid w:val="00F02760"/>
    <w:rsid w:val="00F0299D"/>
    <w:rsid w:val="00F033F1"/>
    <w:rsid w:val="00F03407"/>
    <w:rsid w:val="00F03449"/>
    <w:rsid w:val="00F03BF4"/>
    <w:rsid w:val="00F03C2A"/>
    <w:rsid w:val="00F03FA8"/>
    <w:rsid w:val="00F04842"/>
    <w:rsid w:val="00F05858"/>
    <w:rsid w:val="00F05F30"/>
    <w:rsid w:val="00F069A7"/>
    <w:rsid w:val="00F06FE3"/>
    <w:rsid w:val="00F07353"/>
    <w:rsid w:val="00F0781A"/>
    <w:rsid w:val="00F07A2F"/>
    <w:rsid w:val="00F100D3"/>
    <w:rsid w:val="00F1017E"/>
    <w:rsid w:val="00F10472"/>
    <w:rsid w:val="00F1051D"/>
    <w:rsid w:val="00F10B3F"/>
    <w:rsid w:val="00F10CD2"/>
    <w:rsid w:val="00F10E8D"/>
    <w:rsid w:val="00F10F52"/>
    <w:rsid w:val="00F111C1"/>
    <w:rsid w:val="00F1123C"/>
    <w:rsid w:val="00F113E1"/>
    <w:rsid w:val="00F11529"/>
    <w:rsid w:val="00F11E68"/>
    <w:rsid w:val="00F11F30"/>
    <w:rsid w:val="00F1225B"/>
    <w:rsid w:val="00F12A19"/>
    <w:rsid w:val="00F12B1B"/>
    <w:rsid w:val="00F136C6"/>
    <w:rsid w:val="00F13D8E"/>
    <w:rsid w:val="00F141D1"/>
    <w:rsid w:val="00F143BC"/>
    <w:rsid w:val="00F14625"/>
    <w:rsid w:val="00F14AB9"/>
    <w:rsid w:val="00F153D6"/>
    <w:rsid w:val="00F15888"/>
    <w:rsid w:val="00F15AF3"/>
    <w:rsid w:val="00F15DAD"/>
    <w:rsid w:val="00F15E5E"/>
    <w:rsid w:val="00F16457"/>
    <w:rsid w:val="00F165B7"/>
    <w:rsid w:val="00F16D11"/>
    <w:rsid w:val="00F1756F"/>
    <w:rsid w:val="00F177AD"/>
    <w:rsid w:val="00F17912"/>
    <w:rsid w:val="00F17950"/>
    <w:rsid w:val="00F179E8"/>
    <w:rsid w:val="00F17D77"/>
    <w:rsid w:val="00F20285"/>
    <w:rsid w:val="00F202AE"/>
    <w:rsid w:val="00F20767"/>
    <w:rsid w:val="00F20ADE"/>
    <w:rsid w:val="00F20B80"/>
    <w:rsid w:val="00F20E97"/>
    <w:rsid w:val="00F211D9"/>
    <w:rsid w:val="00F21429"/>
    <w:rsid w:val="00F21A59"/>
    <w:rsid w:val="00F21D07"/>
    <w:rsid w:val="00F22094"/>
    <w:rsid w:val="00F2285E"/>
    <w:rsid w:val="00F22B36"/>
    <w:rsid w:val="00F22B63"/>
    <w:rsid w:val="00F22BD6"/>
    <w:rsid w:val="00F23757"/>
    <w:rsid w:val="00F24060"/>
    <w:rsid w:val="00F24567"/>
    <w:rsid w:val="00F24A62"/>
    <w:rsid w:val="00F254E1"/>
    <w:rsid w:val="00F2590D"/>
    <w:rsid w:val="00F2617F"/>
    <w:rsid w:val="00F26575"/>
    <w:rsid w:val="00F265DE"/>
    <w:rsid w:val="00F26730"/>
    <w:rsid w:val="00F26865"/>
    <w:rsid w:val="00F269FF"/>
    <w:rsid w:val="00F3006B"/>
    <w:rsid w:val="00F30199"/>
    <w:rsid w:val="00F30906"/>
    <w:rsid w:val="00F30DC7"/>
    <w:rsid w:val="00F3106C"/>
    <w:rsid w:val="00F31397"/>
    <w:rsid w:val="00F315EF"/>
    <w:rsid w:val="00F3198D"/>
    <w:rsid w:val="00F32E90"/>
    <w:rsid w:val="00F33303"/>
    <w:rsid w:val="00F333D3"/>
    <w:rsid w:val="00F333DD"/>
    <w:rsid w:val="00F34A02"/>
    <w:rsid w:val="00F350EF"/>
    <w:rsid w:val="00F354AE"/>
    <w:rsid w:val="00F36075"/>
    <w:rsid w:val="00F3679E"/>
    <w:rsid w:val="00F37CC4"/>
    <w:rsid w:val="00F37FDB"/>
    <w:rsid w:val="00F4024A"/>
    <w:rsid w:val="00F40487"/>
    <w:rsid w:val="00F4099D"/>
    <w:rsid w:val="00F40C3C"/>
    <w:rsid w:val="00F41984"/>
    <w:rsid w:val="00F41E72"/>
    <w:rsid w:val="00F426F0"/>
    <w:rsid w:val="00F43960"/>
    <w:rsid w:val="00F44297"/>
    <w:rsid w:val="00F44A35"/>
    <w:rsid w:val="00F457F2"/>
    <w:rsid w:val="00F46039"/>
    <w:rsid w:val="00F46120"/>
    <w:rsid w:val="00F462BD"/>
    <w:rsid w:val="00F46317"/>
    <w:rsid w:val="00F46A07"/>
    <w:rsid w:val="00F46A59"/>
    <w:rsid w:val="00F46D5C"/>
    <w:rsid w:val="00F47E61"/>
    <w:rsid w:val="00F507CE"/>
    <w:rsid w:val="00F50D60"/>
    <w:rsid w:val="00F50EEB"/>
    <w:rsid w:val="00F51825"/>
    <w:rsid w:val="00F51A4A"/>
    <w:rsid w:val="00F530C1"/>
    <w:rsid w:val="00F5363D"/>
    <w:rsid w:val="00F53DF8"/>
    <w:rsid w:val="00F53F18"/>
    <w:rsid w:val="00F54140"/>
    <w:rsid w:val="00F542F4"/>
    <w:rsid w:val="00F54524"/>
    <w:rsid w:val="00F54733"/>
    <w:rsid w:val="00F5476F"/>
    <w:rsid w:val="00F54A16"/>
    <w:rsid w:val="00F54F97"/>
    <w:rsid w:val="00F5503E"/>
    <w:rsid w:val="00F55D0E"/>
    <w:rsid w:val="00F562AC"/>
    <w:rsid w:val="00F573BD"/>
    <w:rsid w:val="00F57BD2"/>
    <w:rsid w:val="00F57DE3"/>
    <w:rsid w:val="00F60455"/>
    <w:rsid w:val="00F60783"/>
    <w:rsid w:val="00F60902"/>
    <w:rsid w:val="00F60B2F"/>
    <w:rsid w:val="00F61BA4"/>
    <w:rsid w:val="00F61F05"/>
    <w:rsid w:val="00F62717"/>
    <w:rsid w:val="00F6292B"/>
    <w:rsid w:val="00F62B15"/>
    <w:rsid w:val="00F62EF0"/>
    <w:rsid w:val="00F62F45"/>
    <w:rsid w:val="00F63141"/>
    <w:rsid w:val="00F63653"/>
    <w:rsid w:val="00F63FFE"/>
    <w:rsid w:val="00F6435D"/>
    <w:rsid w:val="00F644C9"/>
    <w:rsid w:val="00F645A6"/>
    <w:rsid w:val="00F64C65"/>
    <w:rsid w:val="00F64D95"/>
    <w:rsid w:val="00F6525C"/>
    <w:rsid w:val="00F65C62"/>
    <w:rsid w:val="00F65D06"/>
    <w:rsid w:val="00F65D0F"/>
    <w:rsid w:val="00F6732D"/>
    <w:rsid w:val="00F67695"/>
    <w:rsid w:val="00F6796D"/>
    <w:rsid w:val="00F706EC"/>
    <w:rsid w:val="00F70876"/>
    <w:rsid w:val="00F70E5A"/>
    <w:rsid w:val="00F71111"/>
    <w:rsid w:val="00F711CE"/>
    <w:rsid w:val="00F724B0"/>
    <w:rsid w:val="00F72E39"/>
    <w:rsid w:val="00F72E6B"/>
    <w:rsid w:val="00F731E9"/>
    <w:rsid w:val="00F735E5"/>
    <w:rsid w:val="00F73B68"/>
    <w:rsid w:val="00F73F1E"/>
    <w:rsid w:val="00F743BE"/>
    <w:rsid w:val="00F743C8"/>
    <w:rsid w:val="00F74839"/>
    <w:rsid w:val="00F74BC7"/>
    <w:rsid w:val="00F74D6C"/>
    <w:rsid w:val="00F74EAC"/>
    <w:rsid w:val="00F758B7"/>
    <w:rsid w:val="00F759DE"/>
    <w:rsid w:val="00F75FDF"/>
    <w:rsid w:val="00F76BB9"/>
    <w:rsid w:val="00F77255"/>
    <w:rsid w:val="00F77504"/>
    <w:rsid w:val="00F778F4"/>
    <w:rsid w:val="00F80049"/>
    <w:rsid w:val="00F801B7"/>
    <w:rsid w:val="00F80D14"/>
    <w:rsid w:val="00F813C1"/>
    <w:rsid w:val="00F819D7"/>
    <w:rsid w:val="00F81E6A"/>
    <w:rsid w:val="00F82B1D"/>
    <w:rsid w:val="00F82F61"/>
    <w:rsid w:val="00F82F69"/>
    <w:rsid w:val="00F833B4"/>
    <w:rsid w:val="00F8442F"/>
    <w:rsid w:val="00F84C40"/>
    <w:rsid w:val="00F84C5B"/>
    <w:rsid w:val="00F84FEE"/>
    <w:rsid w:val="00F85224"/>
    <w:rsid w:val="00F852FB"/>
    <w:rsid w:val="00F859C0"/>
    <w:rsid w:val="00F85B84"/>
    <w:rsid w:val="00F85DF9"/>
    <w:rsid w:val="00F862AA"/>
    <w:rsid w:val="00F86A69"/>
    <w:rsid w:val="00F86C26"/>
    <w:rsid w:val="00F8706D"/>
    <w:rsid w:val="00F8720D"/>
    <w:rsid w:val="00F8727B"/>
    <w:rsid w:val="00F873FE"/>
    <w:rsid w:val="00F87492"/>
    <w:rsid w:val="00F878F1"/>
    <w:rsid w:val="00F87B5E"/>
    <w:rsid w:val="00F90274"/>
    <w:rsid w:val="00F903B9"/>
    <w:rsid w:val="00F9059D"/>
    <w:rsid w:val="00F9060D"/>
    <w:rsid w:val="00F9191B"/>
    <w:rsid w:val="00F92613"/>
    <w:rsid w:val="00F92949"/>
    <w:rsid w:val="00F92E4A"/>
    <w:rsid w:val="00F9331F"/>
    <w:rsid w:val="00F933D1"/>
    <w:rsid w:val="00F93528"/>
    <w:rsid w:val="00F94086"/>
    <w:rsid w:val="00F948B1"/>
    <w:rsid w:val="00F94F9A"/>
    <w:rsid w:val="00F95048"/>
    <w:rsid w:val="00F9589D"/>
    <w:rsid w:val="00F95BF7"/>
    <w:rsid w:val="00F95DD0"/>
    <w:rsid w:val="00F95E55"/>
    <w:rsid w:val="00F9688E"/>
    <w:rsid w:val="00F96C8F"/>
    <w:rsid w:val="00F96F06"/>
    <w:rsid w:val="00F97236"/>
    <w:rsid w:val="00FA05C3"/>
    <w:rsid w:val="00FA0E39"/>
    <w:rsid w:val="00FA1630"/>
    <w:rsid w:val="00FA1733"/>
    <w:rsid w:val="00FA18DF"/>
    <w:rsid w:val="00FA2559"/>
    <w:rsid w:val="00FA29B0"/>
    <w:rsid w:val="00FA2B55"/>
    <w:rsid w:val="00FA3A92"/>
    <w:rsid w:val="00FA3F56"/>
    <w:rsid w:val="00FA40B8"/>
    <w:rsid w:val="00FA4849"/>
    <w:rsid w:val="00FA4E35"/>
    <w:rsid w:val="00FA5B76"/>
    <w:rsid w:val="00FA5BC7"/>
    <w:rsid w:val="00FA5F1B"/>
    <w:rsid w:val="00FA61B9"/>
    <w:rsid w:val="00FA70C3"/>
    <w:rsid w:val="00FA750C"/>
    <w:rsid w:val="00FA7523"/>
    <w:rsid w:val="00FA7D68"/>
    <w:rsid w:val="00FA7FF3"/>
    <w:rsid w:val="00FB09D5"/>
    <w:rsid w:val="00FB0DF9"/>
    <w:rsid w:val="00FB12C4"/>
    <w:rsid w:val="00FB2170"/>
    <w:rsid w:val="00FB27B4"/>
    <w:rsid w:val="00FB3741"/>
    <w:rsid w:val="00FB3804"/>
    <w:rsid w:val="00FB399E"/>
    <w:rsid w:val="00FB3BA2"/>
    <w:rsid w:val="00FB4069"/>
    <w:rsid w:val="00FB47ED"/>
    <w:rsid w:val="00FB50E4"/>
    <w:rsid w:val="00FB550E"/>
    <w:rsid w:val="00FB5545"/>
    <w:rsid w:val="00FB5D91"/>
    <w:rsid w:val="00FB63C4"/>
    <w:rsid w:val="00FB6801"/>
    <w:rsid w:val="00FB693E"/>
    <w:rsid w:val="00FB7009"/>
    <w:rsid w:val="00FB7408"/>
    <w:rsid w:val="00FB7505"/>
    <w:rsid w:val="00FB7C66"/>
    <w:rsid w:val="00FC15DA"/>
    <w:rsid w:val="00FC1862"/>
    <w:rsid w:val="00FC188F"/>
    <w:rsid w:val="00FC1A4E"/>
    <w:rsid w:val="00FC1B40"/>
    <w:rsid w:val="00FC22F9"/>
    <w:rsid w:val="00FC2604"/>
    <w:rsid w:val="00FC28CC"/>
    <w:rsid w:val="00FC4512"/>
    <w:rsid w:val="00FC4CE5"/>
    <w:rsid w:val="00FC5029"/>
    <w:rsid w:val="00FC51B1"/>
    <w:rsid w:val="00FC62B5"/>
    <w:rsid w:val="00FC6338"/>
    <w:rsid w:val="00FC66B4"/>
    <w:rsid w:val="00FC6833"/>
    <w:rsid w:val="00FD0634"/>
    <w:rsid w:val="00FD1521"/>
    <w:rsid w:val="00FD1929"/>
    <w:rsid w:val="00FD214E"/>
    <w:rsid w:val="00FD219C"/>
    <w:rsid w:val="00FD2354"/>
    <w:rsid w:val="00FD2725"/>
    <w:rsid w:val="00FD2C70"/>
    <w:rsid w:val="00FD2CC7"/>
    <w:rsid w:val="00FD3C4A"/>
    <w:rsid w:val="00FD436D"/>
    <w:rsid w:val="00FD594C"/>
    <w:rsid w:val="00FD611B"/>
    <w:rsid w:val="00FD6350"/>
    <w:rsid w:val="00FD644B"/>
    <w:rsid w:val="00FD6844"/>
    <w:rsid w:val="00FD6CBC"/>
    <w:rsid w:val="00FD741A"/>
    <w:rsid w:val="00FD790E"/>
    <w:rsid w:val="00FD7B8D"/>
    <w:rsid w:val="00FD7D4B"/>
    <w:rsid w:val="00FD7EC0"/>
    <w:rsid w:val="00FE058E"/>
    <w:rsid w:val="00FE0B8B"/>
    <w:rsid w:val="00FE0E4C"/>
    <w:rsid w:val="00FE12E9"/>
    <w:rsid w:val="00FE20D8"/>
    <w:rsid w:val="00FE21BC"/>
    <w:rsid w:val="00FE25C1"/>
    <w:rsid w:val="00FE2AD2"/>
    <w:rsid w:val="00FE31C6"/>
    <w:rsid w:val="00FE3485"/>
    <w:rsid w:val="00FE3843"/>
    <w:rsid w:val="00FE402A"/>
    <w:rsid w:val="00FE4692"/>
    <w:rsid w:val="00FE48EA"/>
    <w:rsid w:val="00FE49D6"/>
    <w:rsid w:val="00FE51BC"/>
    <w:rsid w:val="00FE5A35"/>
    <w:rsid w:val="00FE60C7"/>
    <w:rsid w:val="00FE643A"/>
    <w:rsid w:val="00FF04D8"/>
    <w:rsid w:val="00FF140F"/>
    <w:rsid w:val="00FF1F86"/>
    <w:rsid w:val="00FF2402"/>
    <w:rsid w:val="00FF2B75"/>
    <w:rsid w:val="00FF3647"/>
    <w:rsid w:val="00FF3990"/>
    <w:rsid w:val="00FF3BD5"/>
    <w:rsid w:val="00FF3CDC"/>
    <w:rsid w:val="00FF4024"/>
    <w:rsid w:val="00FF41CE"/>
    <w:rsid w:val="00FF48A8"/>
    <w:rsid w:val="00FF48FD"/>
    <w:rsid w:val="00FF4A51"/>
    <w:rsid w:val="00FF4AA6"/>
    <w:rsid w:val="00FF4F50"/>
    <w:rsid w:val="00FF5306"/>
    <w:rsid w:val="00FF5899"/>
    <w:rsid w:val="00FF59AB"/>
    <w:rsid w:val="00FF5CD2"/>
    <w:rsid w:val="00FF5FB8"/>
    <w:rsid w:val="00FF6EE0"/>
    <w:rsid w:val="00FF75B8"/>
    <w:rsid w:val="00FF75F3"/>
    <w:rsid w:val="00FF77A6"/>
    <w:rsid w:val="00FF7C95"/>
    <w:rsid w:val="00FF7DE4"/>
    <w:rsid w:val="011A3A51"/>
    <w:rsid w:val="01217025"/>
    <w:rsid w:val="01652F5A"/>
    <w:rsid w:val="016914F7"/>
    <w:rsid w:val="018A70A3"/>
    <w:rsid w:val="01A8038C"/>
    <w:rsid w:val="01BD3673"/>
    <w:rsid w:val="01CB2A3D"/>
    <w:rsid w:val="02186987"/>
    <w:rsid w:val="022615BE"/>
    <w:rsid w:val="024A5338"/>
    <w:rsid w:val="025C5E7E"/>
    <w:rsid w:val="026D09BB"/>
    <w:rsid w:val="0296677A"/>
    <w:rsid w:val="02AA3B90"/>
    <w:rsid w:val="02BF73E8"/>
    <w:rsid w:val="02C94A91"/>
    <w:rsid w:val="02E57171"/>
    <w:rsid w:val="0346397F"/>
    <w:rsid w:val="03571CFE"/>
    <w:rsid w:val="038001D8"/>
    <w:rsid w:val="03C40A57"/>
    <w:rsid w:val="03EB62E0"/>
    <w:rsid w:val="0420374F"/>
    <w:rsid w:val="04246539"/>
    <w:rsid w:val="042977F1"/>
    <w:rsid w:val="0438511F"/>
    <w:rsid w:val="043B37A6"/>
    <w:rsid w:val="044679BE"/>
    <w:rsid w:val="044B6314"/>
    <w:rsid w:val="045F59A2"/>
    <w:rsid w:val="0493532A"/>
    <w:rsid w:val="04B05EF3"/>
    <w:rsid w:val="05277DFE"/>
    <w:rsid w:val="05756D2B"/>
    <w:rsid w:val="060A2089"/>
    <w:rsid w:val="068C4100"/>
    <w:rsid w:val="06A12FC2"/>
    <w:rsid w:val="06B01AB3"/>
    <w:rsid w:val="06FC158D"/>
    <w:rsid w:val="071A7BD4"/>
    <w:rsid w:val="077A28BB"/>
    <w:rsid w:val="07B01A04"/>
    <w:rsid w:val="07C63F99"/>
    <w:rsid w:val="07D33E24"/>
    <w:rsid w:val="080E0EF9"/>
    <w:rsid w:val="08273B01"/>
    <w:rsid w:val="08374FA6"/>
    <w:rsid w:val="08C120E9"/>
    <w:rsid w:val="08CC385E"/>
    <w:rsid w:val="08D1642E"/>
    <w:rsid w:val="08E054D1"/>
    <w:rsid w:val="08E85438"/>
    <w:rsid w:val="08FB0AED"/>
    <w:rsid w:val="0901265D"/>
    <w:rsid w:val="094A6EC0"/>
    <w:rsid w:val="099704B3"/>
    <w:rsid w:val="0A212872"/>
    <w:rsid w:val="0A247EEC"/>
    <w:rsid w:val="0A2C3CC4"/>
    <w:rsid w:val="0A415D83"/>
    <w:rsid w:val="0A997539"/>
    <w:rsid w:val="0AC9558A"/>
    <w:rsid w:val="0AD97E98"/>
    <w:rsid w:val="0AF36510"/>
    <w:rsid w:val="0B2348FF"/>
    <w:rsid w:val="0B5964BE"/>
    <w:rsid w:val="0BAE69FE"/>
    <w:rsid w:val="0BC820A5"/>
    <w:rsid w:val="0BEB009B"/>
    <w:rsid w:val="0BF74441"/>
    <w:rsid w:val="0C115F49"/>
    <w:rsid w:val="0C2505F0"/>
    <w:rsid w:val="0C2B5FE3"/>
    <w:rsid w:val="0C590CC2"/>
    <w:rsid w:val="0C7A6A49"/>
    <w:rsid w:val="0CF37BBE"/>
    <w:rsid w:val="0D3435BF"/>
    <w:rsid w:val="0D462FCF"/>
    <w:rsid w:val="0D6660EB"/>
    <w:rsid w:val="0D82211E"/>
    <w:rsid w:val="0D866FE7"/>
    <w:rsid w:val="0D9306C4"/>
    <w:rsid w:val="0D963F9D"/>
    <w:rsid w:val="0DB50279"/>
    <w:rsid w:val="0DFA0E27"/>
    <w:rsid w:val="0E4F66DF"/>
    <w:rsid w:val="0E520AF3"/>
    <w:rsid w:val="0E562752"/>
    <w:rsid w:val="0E72344D"/>
    <w:rsid w:val="0E7B56E7"/>
    <w:rsid w:val="0F192714"/>
    <w:rsid w:val="0F276267"/>
    <w:rsid w:val="0F352F9D"/>
    <w:rsid w:val="0FE0798C"/>
    <w:rsid w:val="0FE128A0"/>
    <w:rsid w:val="102473B1"/>
    <w:rsid w:val="104D7317"/>
    <w:rsid w:val="105008F3"/>
    <w:rsid w:val="10667F85"/>
    <w:rsid w:val="10A52C44"/>
    <w:rsid w:val="11241F63"/>
    <w:rsid w:val="11281924"/>
    <w:rsid w:val="11393129"/>
    <w:rsid w:val="115A082E"/>
    <w:rsid w:val="11DC68B7"/>
    <w:rsid w:val="11E26C2A"/>
    <w:rsid w:val="12212958"/>
    <w:rsid w:val="122753F9"/>
    <w:rsid w:val="123C4281"/>
    <w:rsid w:val="125C6666"/>
    <w:rsid w:val="127F2903"/>
    <w:rsid w:val="12847551"/>
    <w:rsid w:val="128F2B8B"/>
    <w:rsid w:val="12960762"/>
    <w:rsid w:val="12AC14C8"/>
    <w:rsid w:val="12BC698D"/>
    <w:rsid w:val="131273C1"/>
    <w:rsid w:val="13345174"/>
    <w:rsid w:val="1338284F"/>
    <w:rsid w:val="13573D22"/>
    <w:rsid w:val="13A8718E"/>
    <w:rsid w:val="13B64F2E"/>
    <w:rsid w:val="13C82A5B"/>
    <w:rsid w:val="13D43F15"/>
    <w:rsid w:val="13EF775C"/>
    <w:rsid w:val="141236D5"/>
    <w:rsid w:val="14567DF9"/>
    <w:rsid w:val="148D25C0"/>
    <w:rsid w:val="14B626C1"/>
    <w:rsid w:val="15006279"/>
    <w:rsid w:val="15825358"/>
    <w:rsid w:val="158B42D2"/>
    <w:rsid w:val="15D46901"/>
    <w:rsid w:val="15E10708"/>
    <w:rsid w:val="15E84BFF"/>
    <w:rsid w:val="16322E85"/>
    <w:rsid w:val="167A09B1"/>
    <w:rsid w:val="16895AFB"/>
    <w:rsid w:val="170952E3"/>
    <w:rsid w:val="17223155"/>
    <w:rsid w:val="1761582C"/>
    <w:rsid w:val="17942E09"/>
    <w:rsid w:val="18504869"/>
    <w:rsid w:val="186A7173"/>
    <w:rsid w:val="1883540D"/>
    <w:rsid w:val="18C10C4C"/>
    <w:rsid w:val="190524C2"/>
    <w:rsid w:val="193605CB"/>
    <w:rsid w:val="19657C30"/>
    <w:rsid w:val="196A5A13"/>
    <w:rsid w:val="19765FE0"/>
    <w:rsid w:val="197F75A9"/>
    <w:rsid w:val="1A374390"/>
    <w:rsid w:val="1A672EDE"/>
    <w:rsid w:val="1ABF513A"/>
    <w:rsid w:val="1AC836CB"/>
    <w:rsid w:val="1AD25F1E"/>
    <w:rsid w:val="1AD35D14"/>
    <w:rsid w:val="1B3042AB"/>
    <w:rsid w:val="1B3D2F95"/>
    <w:rsid w:val="1B576C05"/>
    <w:rsid w:val="1B792ECE"/>
    <w:rsid w:val="1BB02B01"/>
    <w:rsid w:val="1BB60210"/>
    <w:rsid w:val="1BDC4F1C"/>
    <w:rsid w:val="1BFA542B"/>
    <w:rsid w:val="1C6A0CF4"/>
    <w:rsid w:val="1C6C3D24"/>
    <w:rsid w:val="1C942586"/>
    <w:rsid w:val="1D052942"/>
    <w:rsid w:val="1D360C84"/>
    <w:rsid w:val="1D8455B3"/>
    <w:rsid w:val="1D9E7951"/>
    <w:rsid w:val="1DD1615D"/>
    <w:rsid w:val="1DEC235B"/>
    <w:rsid w:val="1E0554CE"/>
    <w:rsid w:val="1E1701F1"/>
    <w:rsid w:val="1E91122B"/>
    <w:rsid w:val="1EAD76C7"/>
    <w:rsid w:val="1EC405B3"/>
    <w:rsid w:val="1EC62EF3"/>
    <w:rsid w:val="1ED71DA1"/>
    <w:rsid w:val="1EF050AA"/>
    <w:rsid w:val="1F055063"/>
    <w:rsid w:val="1F1A37B5"/>
    <w:rsid w:val="1F1B5A94"/>
    <w:rsid w:val="1F377998"/>
    <w:rsid w:val="1F553D96"/>
    <w:rsid w:val="1F6916E7"/>
    <w:rsid w:val="1F9E2661"/>
    <w:rsid w:val="1FE56E37"/>
    <w:rsid w:val="1FFA50B9"/>
    <w:rsid w:val="20116FF3"/>
    <w:rsid w:val="20646EB5"/>
    <w:rsid w:val="20A269C6"/>
    <w:rsid w:val="20B81B87"/>
    <w:rsid w:val="20C805E3"/>
    <w:rsid w:val="20E3290C"/>
    <w:rsid w:val="210D3F18"/>
    <w:rsid w:val="212575CF"/>
    <w:rsid w:val="21354AC8"/>
    <w:rsid w:val="218B5F15"/>
    <w:rsid w:val="21CC62F6"/>
    <w:rsid w:val="21F77E2B"/>
    <w:rsid w:val="22032D4A"/>
    <w:rsid w:val="221B7259"/>
    <w:rsid w:val="22443EA6"/>
    <w:rsid w:val="22587AA3"/>
    <w:rsid w:val="227C2089"/>
    <w:rsid w:val="22815124"/>
    <w:rsid w:val="22891548"/>
    <w:rsid w:val="228B7EDB"/>
    <w:rsid w:val="229111F1"/>
    <w:rsid w:val="22BD0809"/>
    <w:rsid w:val="234B5F77"/>
    <w:rsid w:val="23917F9A"/>
    <w:rsid w:val="23954C93"/>
    <w:rsid w:val="23AA03DD"/>
    <w:rsid w:val="23EB5739"/>
    <w:rsid w:val="24602576"/>
    <w:rsid w:val="24A37BB9"/>
    <w:rsid w:val="24B24A3E"/>
    <w:rsid w:val="24D23AD4"/>
    <w:rsid w:val="24ED453C"/>
    <w:rsid w:val="25021128"/>
    <w:rsid w:val="25480FFF"/>
    <w:rsid w:val="2575161B"/>
    <w:rsid w:val="25832EDE"/>
    <w:rsid w:val="259169D1"/>
    <w:rsid w:val="25C4095F"/>
    <w:rsid w:val="25DA540F"/>
    <w:rsid w:val="25E0243F"/>
    <w:rsid w:val="260A4530"/>
    <w:rsid w:val="265D576D"/>
    <w:rsid w:val="26614179"/>
    <w:rsid w:val="2699640A"/>
    <w:rsid w:val="26C01FF8"/>
    <w:rsid w:val="26FC6D59"/>
    <w:rsid w:val="274836D9"/>
    <w:rsid w:val="276348F0"/>
    <w:rsid w:val="279C29ED"/>
    <w:rsid w:val="27AF270F"/>
    <w:rsid w:val="27BD4D03"/>
    <w:rsid w:val="280871EC"/>
    <w:rsid w:val="28273CF4"/>
    <w:rsid w:val="28574898"/>
    <w:rsid w:val="286B61C1"/>
    <w:rsid w:val="28780509"/>
    <w:rsid w:val="28AA4A25"/>
    <w:rsid w:val="28D3597B"/>
    <w:rsid w:val="28FE41C8"/>
    <w:rsid w:val="290272FF"/>
    <w:rsid w:val="29090C41"/>
    <w:rsid w:val="29265397"/>
    <w:rsid w:val="293A702E"/>
    <w:rsid w:val="298C695F"/>
    <w:rsid w:val="29B9432A"/>
    <w:rsid w:val="29ED0B9A"/>
    <w:rsid w:val="2A312833"/>
    <w:rsid w:val="2A3E6C13"/>
    <w:rsid w:val="2A4C6836"/>
    <w:rsid w:val="2A7511C3"/>
    <w:rsid w:val="2A7532FD"/>
    <w:rsid w:val="2A9A1690"/>
    <w:rsid w:val="2B05729B"/>
    <w:rsid w:val="2B1013F8"/>
    <w:rsid w:val="2B2F45BB"/>
    <w:rsid w:val="2B522140"/>
    <w:rsid w:val="2B576C3B"/>
    <w:rsid w:val="2B6A32C6"/>
    <w:rsid w:val="2B866AF7"/>
    <w:rsid w:val="2B867FF8"/>
    <w:rsid w:val="2B99002E"/>
    <w:rsid w:val="2BBF3307"/>
    <w:rsid w:val="2BC47FD4"/>
    <w:rsid w:val="2BE56CF9"/>
    <w:rsid w:val="2BE80638"/>
    <w:rsid w:val="2C2311EB"/>
    <w:rsid w:val="2C5C1CB8"/>
    <w:rsid w:val="2C7501C2"/>
    <w:rsid w:val="2C89266D"/>
    <w:rsid w:val="2CB722E9"/>
    <w:rsid w:val="2CC92725"/>
    <w:rsid w:val="2CE64CFA"/>
    <w:rsid w:val="2D4D0146"/>
    <w:rsid w:val="2D7F71A2"/>
    <w:rsid w:val="2DA626DC"/>
    <w:rsid w:val="2DB15D9D"/>
    <w:rsid w:val="2DC21DBA"/>
    <w:rsid w:val="2DE30C83"/>
    <w:rsid w:val="2DF328CA"/>
    <w:rsid w:val="2E58472D"/>
    <w:rsid w:val="2E5E62A2"/>
    <w:rsid w:val="2E9A512C"/>
    <w:rsid w:val="2EE9563E"/>
    <w:rsid w:val="2F222401"/>
    <w:rsid w:val="2F5E29FE"/>
    <w:rsid w:val="2F6E73A3"/>
    <w:rsid w:val="2F86236B"/>
    <w:rsid w:val="2F8B6696"/>
    <w:rsid w:val="2FA6785A"/>
    <w:rsid w:val="2FA72F1D"/>
    <w:rsid w:val="2FAE7265"/>
    <w:rsid w:val="2FB66DE1"/>
    <w:rsid w:val="2FE7382D"/>
    <w:rsid w:val="2FF756A8"/>
    <w:rsid w:val="301D2ADB"/>
    <w:rsid w:val="303339C0"/>
    <w:rsid w:val="303603B4"/>
    <w:rsid w:val="305626A5"/>
    <w:rsid w:val="305A39F1"/>
    <w:rsid w:val="308A0524"/>
    <w:rsid w:val="30AD4F6B"/>
    <w:rsid w:val="30C576D4"/>
    <w:rsid w:val="31362BBC"/>
    <w:rsid w:val="3143020F"/>
    <w:rsid w:val="31612156"/>
    <w:rsid w:val="316D75EB"/>
    <w:rsid w:val="318B2990"/>
    <w:rsid w:val="319A3775"/>
    <w:rsid w:val="31A55287"/>
    <w:rsid w:val="31B65008"/>
    <w:rsid w:val="31C51DA9"/>
    <w:rsid w:val="32080EED"/>
    <w:rsid w:val="321B204C"/>
    <w:rsid w:val="321C5E39"/>
    <w:rsid w:val="32294397"/>
    <w:rsid w:val="327B42B7"/>
    <w:rsid w:val="3296275C"/>
    <w:rsid w:val="32A278C3"/>
    <w:rsid w:val="32BE49D6"/>
    <w:rsid w:val="33085A8C"/>
    <w:rsid w:val="33356F66"/>
    <w:rsid w:val="3343666E"/>
    <w:rsid w:val="335274AE"/>
    <w:rsid w:val="335B3267"/>
    <w:rsid w:val="33844476"/>
    <w:rsid w:val="33D57926"/>
    <w:rsid w:val="33DF06B0"/>
    <w:rsid w:val="33FE7D36"/>
    <w:rsid w:val="3404534B"/>
    <w:rsid w:val="341D6A66"/>
    <w:rsid w:val="344C09F6"/>
    <w:rsid w:val="3450679D"/>
    <w:rsid w:val="34771989"/>
    <w:rsid w:val="34852E3F"/>
    <w:rsid w:val="348D39D5"/>
    <w:rsid w:val="34B54FFE"/>
    <w:rsid w:val="34E13787"/>
    <w:rsid w:val="350E533D"/>
    <w:rsid w:val="35573B5F"/>
    <w:rsid w:val="3579095B"/>
    <w:rsid w:val="35AF028A"/>
    <w:rsid w:val="35B333E4"/>
    <w:rsid w:val="35CD3A5B"/>
    <w:rsid w:val="36404BA7"/>
    <w:rsid w:val="368E7A79"/>
    <w:rsid w:val="369548FE"/>
    <w:rsid w:val="36B13108"/>
    <w:rsid w:val="36BC5291"/>
    <w:rsid w:val="36E01A20"/>
    <w:rsid w:val="36F16AA7"/>
    <w:rsid w:val="37151609"/>
    <w:rsid w:val="371C600B"/>
    <w:rsid w:val="376135E1"/>
    <w:rsid w:val="37620CC1"/>
    <w:rsid w:val="377669B6"/>
    <w:rsid w:val="37843FD3"/>
    <w:rsid w:val="379A47AB"/>
    <w:rsid w:val="37A066BE"/>
    <w:rsid w:val="37B02F49"/>
    <w:rsid w:val="37D92CB9"/>
    <w:rsid w:val="37FF4DDA"/>
    <w:rsid w:val="38165506"/>
    <w:rsid w:val="38831048"/>
    <w:rsid w:val="388C6CFA"/>
    <w:rsid w:val="38E40535"/>
    <w:rsid w:val="38F711D0"/>
    <w:rsid w:val="38FF5D30"/>
    <w:rsid w:val="3941133D"/>
    <w:rsid w:val="397E231E"/>
    <w:rsid w:val="399B6FB2"/>
    <w:rsid w:val="39C22043"/>
    <w:rsid w:val="39D73AC9"/>
    <w:rsid w:val="39E64797"/>
    <w:rsid w:val="3A1B3779"/>
    <w:rsid w:val="3A8064B4"/>
    <w:rsid w:val="3AE26DAC"/>
    <w:rsid w:val="3B177280"/>
    <w:rsid w:val="3B181079"/>
    <w:rsid w:val="3B352F3F"/>
    <w:rsid w:val="3B5F3932"/>
    <w:rsid w:val="3B6D037E"/>
    <w:rsid w:val="3BC03280"/>
    <w:rsid w:val="3BE467E9"/>
    <w:rsid w:val="3BFD44A4"/>
    <w:rsid w:val="3C1E68E5"/>
    <w:rsid w:val="3C2F6435"/>
    <w:rsid w:val="3C45051C"/>
    <w:rsid w:val="3C5A4BC8"/>
    <w:rsid w:val="3C662F67"/>
    <w:rsid w:val="3D10013B"/>
    <w:rsid w:val="3D1206D2"/>
    <w:rsid w:val="3D1A7227"/>
    <w:rsid w:val="3D367445"/>
    <w:rsid w:val="3D72106E"/>
    <w:rsid w:val="3DB64C94"/>
    <w:rsid w:val="3DBA493C"/>
    <w:rsid w:val="3DC9107A"/>
    <w:rsid w:val="3DD13126"/>
    <w:rsid w:val="3DD5630D"/>
    <w:rsid w:val="3DD822E3"/>
    <w:rsid w:val="3E2145F8"/>
    <w:rsid w:val="3E215DD6"/>
    <w:rsid w:val="3E247664"/>
    <w:rsid w:val="3E4F4272"/>
    <w:rsid w:val="3E742852"/>
    <w:rsid w:val="3E894C85"/>
    <w:rsid w:val="3EB41945"/>
    <w:rsid w:val="3EB5405F"/>
    <w:rsid w:val="3EBE1F3A"/>
    <w:rsid w:val="3EEC31FC"/>
    <w:rsid w:val="3F213E3E"/>
    <w:rsid w:val="3F337158"/>
    <w:rsid w:val="3FA24E97"/>
    <w:rsid w:val="3FAD015A"/>
    <w:rsid w:val="3FC96071"/>
    <w:rsid w:val="3FF7300A"/>
    <w:rsid w:val="4003194A"/>
    <w:rsid w:val="400A03FF"/>
    <w:rsid w:val="400E755D"/>
    <w:rsid w:val="405B262E"/>
    <w:rsid w:val="405F39C7"/>
    <w:rsid w:val="40667AC7"/>
    <w:rsid w:val="406D50A7"/>
    <w:rsid w:val="40B04A73"/>
    <w:rsid w:val="40BB0546"/>
    <w:rsid w:val="40BE5B18"/>
    <w:rsid w:val="40BF1D7B"/>
    <w:rsid w:val="40D96D5D"/>
    <w:rsid w:val="40E546A1"/>
    <w:rsid w:val="40FC63CE"/>
    <w:rsid w:val="40FD52CA"/>
    <w:rsid w:val="410D0FB8"/>
    <w:rsid w:val="4154657A"/>
    <w:rsid w:val="41575DC6"/>
    <w:rsid w:val="415D0279"/>
    <w:rsid w:val="417B5445"/>
    <w:rsid w:val="41902EF3"/>
    <w:rsid w:val="41BF0C20"/>
    <w:rsid w:val="41F7145E"/>
    <w:rsid w:val="42063F53"/>
    <w:rsid w:val="423E3D38"/>
    <w:rsid w:val="42524B5F"/>
    <w:rsid w:val="42C31A5D"/>
    <w:rsid w:val="42DB14AB"/>
    <w:rsid w:val="43000066"/>
    <w:rsid w:val="431344EA"/>
    <w:rsid w:val="43253134"/>
    <w:rsid w:val="43364235"/>
    <w:rsid w:val="434D4DCE"/>
    <w:rsid w:val="43546B17"/>
    <w:rsid w:val="43643268"/>
    <w:rsid w:val="437B064D"/>
    <w:rsid w:val="43AA3E89"/>
    <w:rsid w:val="43C2487A"/>
    <w:rsid w:val="43CC47B7"/>
    <w:rsid w:val="444602FF"/>
    <w:rsid w:val="449B24F5"/>
    <w:rsid w:val="44AB2D86"/>
    <w:rsid w:val="44CE7025"/>
    <w:rsid w:val="44E97208"/>
    <w:rsid w:val="44EF7079"/>
    <w:rsid w:val="451432DE"/>
    <w:rsid w:val="45164479"/>
    <w:rsid w:val="452371CC"/>
    <w:rsid w:val="45383C28"/>
    <w:rsid w:val="45422C41"/>
    <w:rsid w:val="454C6D95"/>
    <w:rsid w:val="459C6F06"/>
    <w:rsid w:val="45F22DFB"/>
    <w:rsid w:val="46081FFA"/>
    <w:rsid w:val="460D41D0"/>
    <w:rsid w:val="465144CF"/>
    <w:rsid w:val="46644B68"/>
    <w:rsid w:val="467779CA"/>
    <w:rsid w:val="469A206C"/>
    <w:rsid w:val="46CE2A67"/>
    <w:rsid w:val="46D27B95"/>
    <w:rsid w:val="46EC4A4D"/>
    <w:rsid w:val="470B0EED"/>
    <w:rsid w:val="472E4BCB"/>
    <w:rsid w:val="47317202"/>
    <w:rsid w:val="4740182F"/>
    <w:rsid w:val="47410E9C"/>
    <w:rsid w:val="47C933EA"/>
    <w:rsid w:val="480A50CA"/>
    <w:rsid w:val="48174FF8"/>
    <w:rsid w:val="481E2C42"/>
    <w:rsid w:val="48BA7F33"/>
    <w:rsid w:val="48E852FE"/>
    <w:rsid w:val="4969581B"/>
    <w:rsid w:val="49DA6F1A"/>
    <w:rsid w:val="4A035A7D"/>
    <w:rsid w:val="4A0950F9"/>
    <w:rsid w:val="4A674493"/>
    <w:rsid w:val="4A7E3DAB"/>
    <w:rsid w:val="4AA1095F"/>
    <w:rsid w:val="4B2647E6"/>
    <w:rsid w:val="4B5279E8"/>
    <w:rsid w:val="4B5B2CC9"/>
    <w:rsid w:val="4B7B5751"/>
    <w:rsid w:val="4BA866FE"/>
    <w:rsid w:val="4BB46AE9"/>
    <w:rsid w:val="4BBA2A0E"/>
    <w:rsid w:val="4BC11A42"/>
    <w:rsid w:val="4BC36B54"/>
    <w:rsid w:val="4BD67C4A"/>
    <w:rsid w:val="4BF51221"/>
    <w:rsid w:val="4BFB2D9F"/>
    <w:rsid w:val="4C0E5B31"/>
    <w:rsid w:val="4C40102C"/>
    <w:rsid w:val="4C892610"/>
    <w:rsid w:val="4CCB21F6"/>
    <w:rsid w:val="4CF51073"/>
    <w:rsid w:val="4CF87DD5"/>
    <w:rsid w:val="4D173BA3"/>
    <w:rsid w:val="4D19530D"/>
    <w:rsid w:val="4D363E28"/>
    <w:rsid w:val="4D3671FE"/>
    <w:rsid w:val="4D3B57BB"/>
    <w:rsid w:val="4D4B56F7"/>
    <w:rsid w:val="4D8314D1"/>
    <w:rsid w:val="4DD8201A"/>
    <w:rsid w:val="4E284642"/>
    <w:rsid w:val="4E691C94"/>
    <w:rsid w:val="4E713381"/>
    <w:rsid w:val="4E7F525A"/>
    <w:rsid w:val="4E980D97"/>
    <w:rsid w:val="4EF34C0F"/>
    <w:rsid w:val="4F2166AE"/>
    <w:rsid w:val="4F7D61C7"/>
    <w:rsid w:val="4F847768"/>
    <w:rsid w:val="4FB604C9"/>
    <w:rsid w:val="4FEF6D6D"/>
    <w:rsid w:val="501A350C"/>
    <w:rsid w:val="5025506B"/>
    <w:rsid w:val="502D3ABA"/>
    <w:rsid w:val="50322B0B"/>
    <w:rsid w:val="50736CEF"/>
    <w:rsid w:val="50A65AD9"/>
    <w:rsid w:val="50D80F5B"/>
    <w:rsid w:val="512E39C9"/>
    <w:rsid w:val="513935DC"/>
    <w:rsid w:val="51CB3C7C"/>
    <w:rsid w:val="51F35868"/>
    <w:rsid w:val="51FC2327"/>
    <w:rsid w:val="51FF1B7F"/>
    <w:rsid w:val="52026B58"/>
    <w:rsid w:val="522917A2"/>
    <w:rsid w:val="522B1357"/>
    <w:rsid w:val="525432FC"/>
    <w:rsid w:val="528319A4"/>
    <w:rsid w:val="529B6D74"/>
    <w:rsid w:val="52A004F0"/>
    <w:rsid w:val="52A812C7"/>
    <w:rsid w:val="52E60024"/>
    <w:rsid w:val="52F07E3C"/>
    <w:rsid w:val="52F45E95"/>
    <w:rsid w:val="52FE22C5"/>
    <w:rsid w:val="53205CBB"/>
    <w:rsid w:val="532234F7"/>
    <w:rsid w:val="53413273"/>
    <w:rsid w:val="53A5580F"/>
    <w:rsid w:val="53B743C9"/>
    <w:rsid w:val="53C06263"/>
    <w:rsid w:val="53E44DB8"/>
    <w:rsid w:val="53EA4CCB"/>
    <w:rsid w:val="54052887"/>
    <w:rsid w:val="540857D3"/>
    <w:rsid w:val="542B4BD1"/>
    <w:rsid w:val="542F49D3"/>
    <w:rsid w:val="543B4AEA"/>
    <w:rsid w:val="54406A85"/>
    <w:rsid w:val="54692386"/>
    <w:rsid w:val="547E240E"/>
    <w:rsid w:val="54DA0074"/>
    <w:rsid w:val="54E509A6"/>
    <w:rsid w:val="54EA491C"/>
    <w:rsid w:val="54F01A8C"/>
    <w:rsid w:val="55097207"/>
    <w:rsid w:val="553665DD"/>
    <w:rsid w:val="554C72BC"/>
    <w:rsid w:val="55537446"/>
    <w:rsid w:val="55573CDC"/>
    <w:rsid w:val="55645079"/>
    <w:rsid w:val="55755E2C"/>
    <w:rsid w:val="55AD1EDC"/>
    <w:rsid w:val="55B4007F"/>
    <w:rsid w:val="55EA70A0"/>
    <w:rsid w:val="55F663E8"/>
    <w:rsid w:val="55FA397B"/>
    <w:rsid w:val="56053756"/>
    <w:rsid w:val="56151BD2"/>
    <w:rsid w:val="561A1BAF"/>
    <w:rsid w:val="56235519"/>
    <w:rsid w:val="56872318"/>
    <w:rsid w:val="56A978FC"/>
    <w:rsid w:val="56AE63AD"/>
    <w:rsid w:val="56FE35CB"/>
    <w:rsid w:val="56FE4175"/>
    <w:rsid w:val="570008F5"/>
    <w:rsid w:val="57052381"/>
    <w:rsid w:val="5706008F"/>
    <w:rsid w:val="573C654E"/>
    <w:rsid w:val="574B3B87"/>
    <w:rsid w:val="57825C23"/>
    <w:rsid w:val="57E202FA"/>
    <w:rsid w:val="57E224DE"/>
    <w:rsid w:val="57EF0C1E"/>
    <w:rsid w:val="58314019"/>
    <w:rsid w:val="586367FD"/>
    <w:rsid w:val="58A272FD"/>
    <w:rsid w:val="58AA1A94"/>
    <w:rsid w:val="58BF28E7"/>
    <w:rsid w:val="59026323"/>
    <w:rsid w:val="590D07C2"/>
    <w:rsid w:val="59136745"/>
    <w:rsid w:val="5914723F"/>
    <w:rsid w:val="59546D0C"/>
    <w:rsid w:val="59A01D77"/>
    <w:rsid w:val="59B979C8"/>
    <w:rsid w:val="59BD7748"/>
    <w:rsid w:val="59DC70FA"/>
    <w:rsid w:val="5A072186"/>
    <w:rsid w:val="5A6F60C0"/>
    <w:rsid w:val="5A85539F"/>
    <w:rsid w:val="5A9544BB"/>
    <w:rsid w:val="5AC90EE2"/>
    <w:rsid w:val="5B1741E3"/>
    <w:rsid w:val="5B40787B"/>
    <w:rsid w:val="5B5102B5"/>
    <w:rsid w:val="5B794B22"/>
    <w:rsid w:val="5B9A6D35"/>
    <w:rsid w:val="5BB537B9"/>
    <w:rsid w:val="5C1C737D"/>
    <w:rsid w:val="5C300F2C"/>
    <w:rsid w:val="5C437C32"/>
    <w:rsid w:val="5C6D134C"/>
    <w:rsid w:val="5C867A50"/>
    <w:rsid w:val="5CD11C08"/>
    <w:rsid w:val="5CD96214"/>
    <w:rsid w:val="5CDE0D98"/>
    <w:rsid w:val="5CE906AD"/>
    <w:rsid w:val="5CF0071C"/>
    <w:rsid w:val="5D36689D"/>
    <w:rsid w:val="5D4E5863"/>
    <w:rsid w:val="5D596DED"/>
    <w:rsid w:val="5D5D2A2B"/>
    <w:rsid w:val="5D785C30"/>
    <w:rsid w:val="5D926555"/>
    <w:rsid w:val="5D9F7527"/>
    <w:rsid w:val="5DC574E7"/>
    <w:rsid w:val="5DF2262B"/>
    <w:rsid w:val="5E0A7A36"/>
    <w:rsid w:val="5E347C19"/>
    <w:rsid w:val="5E5B0608"/>
    <w:rsid w:val="5E613F39"/>
    <w:rsid w:val="5EC05223"/>
    <w:rsid w:val="5EDF5583"/>
    <w:rsid w:val="5EEA3587"/>
    <w:rsid w:val="5F5758B3"/>
    <w:rsid w:val="5F59381B"/>
    <w:rsid w:val="5F8544E6"/>
    <w:rsid w:val="5FE82161"/>
    <w:rsid w:val="60263800"/>
    <w:rsid w:val="60E05459"/>
    <w:rsid w:val="60E12345"/>
    <w:rsid w:val="61066859"/>
    <w:rsid w:val="615144DA"/>
    <w:rsid w:val="61544006"/>
    <w:rsid w:val="619D15FB"/>
    <w:rsid w:val="61B60EDC"/>
    <w:rsid w:val="61C46EB7"/>
    <w:rsid w:val="61D75FAE"/>
    <w:rsid w:val="61ED6640"/>
    <w:rsid w:val="621F795D"/>
    <w:rsid w:val="622C51F4"/>
    <w:rsid w:val="62480D10"/>
    <w:rsid w:val="627F1715"/>
    <w:rsid w:val="62915AEA"/>
    <w:rsid w:val="62F0722A"/>
    <w:rsid w:val="63355CBB"/>
    <w:rsid w:val="635C55B5"/>
    <w:rsid w:val="63675A1B"/>
    <w:rsid w:val="638E3E77"/>
    <w:rsid w:val="63A722F1"/>
    <w:rsid w:val="63DC06E0"/>
    <w:rsid w:val="641B4035"/>
    <w:rsid w:val="64221C28"/>
    <w:rsid w:val="642311C7"/>
    <w:rsid w:val="64293E4E"/>
    <w:rsid w:val="6457082A"/>
    <w:rsid w:val="64AF3F44"/>
    <w:rsid w:val="64D0476C"/>
    <w:rsid w:val="64F5266D"/>
    <w:rsid w:val="652A0546"/>
    <w:rsid w:val="654B6BD7"/>
    <w:rsid w:val="657C1E6F"/>
    <w:rsid w:val="65D45FB2"/>
    <w:rsid w:val="65E903A4"/>
    <w:rsid w:val="664D7CE3"/>
    <w:rsid w:val="6663767F"/>
    <w:rsid w:val="669D4A1A"/>
    <w:rsid w:val="66C422D5"/>
    <w:rsid w:val="66F2561D"/>
    <w:rsid w:val="67093F97"/>
    <w:rsid w:val="670F6278"/>
    <w:rsid w:val="67262DF4"/>
    <w:rsid w:val="674F394C"/>
    <w:rsid w:val="678A3CC0"/>
    <w:rsid w:val="67D453E4"/>
    <w:rsid w:val="67EC5DB3"/>
    <w:rsid w:val="67F35B89"/>
    <w:rsid w:val="67F66A1E"/>
    <w:rsid w:val="682E717D"/>
    <w:rsid w:val="684371E2"/>
    <w:rsid w:val="68455B6E"/>
    <w:rsid w:val="68AF27F8"/>
    <w:rsid w:val="68B06C64"/>
    <w:rsid w:val="68BA69C2"/>
    <w:rsid w:val="68CD4150"/>
    <w:rsid w:val="690232DC"/>
    <w:rsid w:val="69254F64"/>
    <w:rsid w:val="69443F0C"/>
    <w:rsid w:val="698F475B"/>
    <w:rsid w:val="6990394A"/>
    <w:rsid w:val="6A440BCD"/>
    <w:rsid w:val="6A631346"/>
    <w:rsid w:val="6A646439"/>
    <w:rsid w:val="6A6C5332"/>
    <w:rsid w:val="6A6D3487"/>
    <w:rsid w:val="6AB059DE"/>
    <w:rsid w:val="6AB94695"/>
    <w:rsid w:val="6ACA4359"/>
    <w:rsid w:val="6AD14D1B"/>
    <w:rsid w:val="6ADB0042"/>
    <w:rsid w:val="6AE77C77"/>
    <w:rsid w:val="6AEB078D"/>
    <w:rsid w:val="6B2B4E76"/>
    <w:rsid w:val="6B4D74EF"/>
    <w:rsid w:val="6B6477A8"/>
    <w:rsid w:val="6B655326"/>
    <w:rsid w:val="6B705768"/>
    <w:rsid w:val="6B742835"/>
    <w:rsid w:val="6B7D650A"/>
    <w:rsid w:val="6B7E2144"/>
    <w:rsid w:val="6BC337F4"/>
    <w:rsid w:val="6BD73AF7"/>
    <w:rsid w:val="6BFF18E1"/>
    <w:rsid w:val="6C101962"/>
    <w:rsid w:val="6C6D3695"/>
    <w:rsid w:val="6C9B0CAB"/>
    <w:rsid w:val="6CDC59FB"/>
    <w:rsid w:val="6D2A5875"/>
    <w:rsid w:val="6D3649DA"/>
    <w:rsid w:val="6D953C76"/>
    <w:rsid w:val="6DA1520D"/>
    <w:rsid w:val="6DAD7CCF"/>
    <w:rsid w:val="6DF13764"/>
    <w:rsid w:val="6E033CFA"/>
    <w:rsid w:val="6E1940B6"/>
    <w:rsid w:val="6E323F66"/>
    <w:rsid w:val="6E486F1E"/>
    <w:rsid w:val="6E9311AA"/>
    <w:rsid w:val="6E997A08"/>
    <w:rsid w:val="6EB92BDD"/>
    <w:rsid w:val="6EEA38F3"/>
    <w:rsid w:val="6EF5357C"/>
    <w:rsid w:val="6EFA6D03"/>
    <w:rsid w:val="6F2F3DEC"/>
    <w:rsid w:val="6F420C38"/>
    <w:rsid w:val="6F4260E3"/>
    <w:rsid w:val="6F9A0C0F"/>
    <w:rsid w:val="6FB27F1E"/>
    <w:rsid w:val="6FBB56E4"/>
    <w:rsid w:val="6FEC25ED"/>
    <w:rsid w:val="70726FFD"/>
    <w:rsid w:val="707C3094"/>
    <w:rsid w:val="708375FC"/>
    <w:rsid w:val="7086747B"/>
    <w:rsid w:val="70AA4FE1"/>
    <w:rsid w:val="71071DC0"/>
    <w:rsid w:val="71291F80"/>
    <w:rsid w:val="71674520"/>
    <w:rsid w:val="717D23D8"/>
    <w:rsid w:val="71A02AA6"/>
    <w:rsid w:val="71A409D7"/>
    <w:rsid w:val="71BB620E"/>
    <w:rsid w:val="71F05B5D"/>
    <w:rsid w:val="721D3B60"/>
    <w:rsid w:val="726D60D2"/>
    <w:rsid w:val="729A2C45"/>
    <w:rsid w:val="72A368BC"/>
    <w:rsid w:val="72BA2FE5"/>
    <w:rsid w:val="72F15B47"/>
    <w:rsid w:val="733D0F46"/>
    <w:rsid w:val="73496AA7"/>
    <w:rsid w:val="735B627E"/>
    <w:rsid w:val="73687683"/>
    <w:rsid w:val="738D4893"/>
    <w:rsid w:val="738F57FE"/>
    <w:rsid w:val="73902CE7"/>
    <w:rsid w:val="73B47439"/>
    <w:rsid w:val="73C76AD0"/>
    <w:rsid w:val="73F25AAA"/>
    <w:rsid w:val="74341074"/>
    <w:rsid w:val="743412DE"/>
    <w:rsid w:val="743D0045"/>
    <w:rsid w:val="74423AEE"/>
    <w:rsid w:val="74660482"/>
    <w:rsid w:val="74764603"/>
    <w:rsid w:val="74817331"/>
    <w:rsid w:val="74E35BE5"/>
    <w:rsid w:val="74F8244A"/>
    <w:rsid w:val="754B4E6B"/>
    <w:rsid w:val="755C6832"/>
    <w:rsid w:val="75705805"/>
    <w:rsid w:val="7585387A"/>
    <w:rsid w:val="758F3FA6"/>
    <w:rsid w:val="75B41AD3"/>
    <w:rsid w:val="75F43823"/>
    <w:rsid w:val="7618212B"/>
    <w:rsid w:val="7661341E"/>
    <w:rsid w:val="767A4A53"/>
    <w:rsid w:val="76B21999"/>
    <w:rsid w:val="76C2162A"/>
    <w:rsid w:val="76E63387"/>
    <w:rsid w:val="76E81BB8"/>
    <w:rsid w:val="76E91493"/>
    <w:rsid w:val="77196056"/>
    <w:rsid w:val="773035EC"/>
    <w:rsid w:val="775D5847"/>
    <w:rsid w:val="77E8115C"/>
    <w:rsid w:val="78907D78"/>
    <w:rsid w:val="790761F1"/>
    <w:rsid w:val="7912186A"/>
    <w:rsid w:val="79831DA7"/>
    <w:rsid w:val="79993708"/>
    <w:rsid w:val="799A061A"/>
    <w:rsid w:val="79B33E1C"/>
    <w:rsid w:val="79C16F93"/>
    <w:rsid w:val="79C96EAC"/>
    <w:rsid w:val="79DD4C0A"/>
    <w:rsid w:val="7A757EA9"/>
    <w:rsid w:val="7A772A4F"/>
    <w:rsid w:val="7A7773D3"/>
    <w:rsid w:val="7AE35051"/>
    <w:rsid w:val="7B1647DD"/>
    <w:rsid w:val="7C1F1760"/>
    <w:rsid w:val="7C332419"/>
    <w:rsid w:val="7C3669A2"/>
    <w:rsid w:val="7C383592"/>
    <w:rsid w:val="7C4220AA"/>
    <w:rsid w:val="7C712B50"/>
    <w:rsid w:val="7CB40297"/>
    <w:rsid w:val="7CE253FD"/>
    <w:rsid w:val="7D176D26"/>
    <w:rsid w:val="7D814100"/>
    <w:rsid w:val="7D8462D8"/>
    <w:rsid w:val="7DC316F8"/>
    <w:rsid w:val="7DEC69BA"/>
    <w:rsid w:val="7DF20469"/>
    <w:rsid w:val="7E104435"/>
    <w:rsid w:val="7E215461"/>
    <w:rsid w:val="7E513E32"/>
    <w:rsid w:val="7E6521FD"/>
    <w:rsid w:val="7E837FB5"/>
    <w:rsid w:val="7E9F2A3B"/>
    <w:rsid w:val="7EA81BCE"/>
    <w:rsid w:val="7EC635C5"/>
    <w:rsid w:val="7ED11926"/>
    <w:rsid w:val="7ED60013"/>
    <w:rsid w:val="7F1235DC"/>
    <w:rsid w:val="7F6369C6"/>
    <w:rsid w:val="7FFB25C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startarrow="block" endarrow="block"/>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qFormat="1" w:unhideWhenUsed="0" w:uiPriority="0" w:semiHidden="0"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iPriority="99" w:semiHidden="0" w:name="Body Text First Indent"/>
    <w:lsdException w:qFormat="1" w:uiPriority="99" w:name="Body Text First Indent 2"/>
    <w:lsdException w:uiPriority="99" w:name="Note Heading"/>
    <w:lsdException w:qFormat="1" w:unhideWhenUsed="0" w:uiPriority="0" w:semiHidden="0" w:name="Body Text 2"/>
    <w:lsdException w:qFormat="1"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iPriority="0" w:semiHidden="0" w:name="Document Map"/>
    <w:lsdException w:qFormat="1"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Theme="minorEastAsia" w:cstheme="minorBidi"/>
      <w:kern w:val="2"/>
      <w:sz w:val="24"/>
      <w:szCs w:val="22"/>
      <w:lang w:val="en-US" w:eastAsia="zh-CN" w:bidi="ar-SA"/>
    </w:rPr>
  </w:style>
  <w:style w:type="paragraph" w:styleId="4">
    <w:name w:val="heading 1"/>
    <w:basedOn w:val="1"/>
    <w:next w:val="1"/>
    <w:link w:val="49"/>
    <w:qFormat/>
    <w:uiPriority w:val="0"/>
    <w:pPr>
      <w:keepNext/>
      <w:keepLines/>
      <w:adjustRightInd w:val="0"/>
      <w:snapToGrid w:val="0"/>
      <w:spacing w:before="120" w:after="120" w:line="240" w:lineRule="atLeast"/>
      <w:ind w:firstLine="0" w:firstLineChars="0"/>
      <w:jc w:val="center"/>
      <w:outlineLvl w:val="0"/>
    </w:pPr>
    <w:rPr>
      <w:rFonts w:ascii="黑体" w:hAnsi="黑体" w:eastAsia="黑体" w:cs="Times New Roman"/>
      <w:bCs/>
      <w:kern w:val="44"/>
      <w:sz w:val="30"/>
      <w:szCs w:val="44"/>
    </w:rPr>
  </w:style>
  <w:style w:type="paragraph" w:styleId="5">
    <w:name w:val="heading 2"/>
    <w:basedOn w:val="1"/>
    <w:next w:val="1"/>
    <w:link w:val="122"/>
    <w:unhideWhenUsed/>
    <w:qFormat/>
    <w:uiPriority w:val="9"/>
    <w:pPr>
      <w:keepNext/>
      <w:keepLines/>
      <w:adjustRightInd w:val="0"/>
      <w:snapToGrid w:val="0"/>
      <w:spacing w:before="100" w:beforeLines="100"/>
      <w:jc w:val="left"/>
      <w:outlineLvl w:val="1"/>
    </w:pPr>
    <w:rPr>
      <w:rFonts w:eastAsia="宋体" w:cs="Times New Roman"/>
      <w:b/>
      <w:bCs/>
      <w:szCs w:val="32"/>
    </w:rPr>
  </w:style>
  <w:style w:type="paragraph" w:styleId="6">
    <w:name w:val="heading 3"/>
    <w:basedOn w:val="1"/>
    <w:next w:val="1"/>
    <w:link w:val="45"/>
    <w:unhideWhenUsed/>
    <w:qFormat/>
    <w:uiPriority w:val="0"/>
    <w:pPr>
      <w:keepNext/>
      <w:keepLines/>
      <w:spacing w:before="260" w:after="260" w:line="416" w:lineRule="auto"/>
      <w:outlineLvl w:val="2"/>
    </w:pPr>
    <w:rPr>
      <w:rFonts w:eastAsia="宋体" w:cs="Times New Roman"/>
      <w:b/>
      <w:bCs/>
      <w:sz w:val="32"/>
      <w:szCs w:val="32"/>
    </w:rPr>
  </w:style>
  <w:style w:type="paragraph" w:styleId="7">
    <w:name w:val="heading 4"/>
    <w:basedOn w:val="1"/>
    <w:next w:val="1"/>
    <w:link w:val="129"/>
    <w:unhideWhenUsed/>
    <w:qFormat/>
    <w:uiPriority w:val="9"/>
    <w:pPr>
      <w:keepNext/>
      <w:keepLines/>
      <w:outlineLvl w:val="3"/>
    </w:pPr>
    <w:rPr>
      <w:rFonts w:eastAsia="宋体" w:cs="Times New Roman"/>
      <w:b/>
      <w:bCs/>
      <w:szCs w:val="28"/>
    </w:rPr>
  </w:style>
  <w:style w:type="paragraph" w:styleId="8">
    <w:name w:val="heading 5"/>
    <w:basedOn w:val="1"/>
    <w:next w:val="1"/>
    <w:link w:val="159"/>
    <w:unhideWhenUsed/>
    <w:qFormat/>
    <w:uiPriority w:val="9"/>
    <w:pPr>
      <w:keepNext/>
      <w:keepLines/>
      <w:spacing w:before="280" w:after="290" w:line="376" w:lineRule="auto"/>
      <w:outlineLvl w:val="4"/>
    </w:pPr>
    <w:rPr>
      <w:b/>
      <w:bCs/>
      <w:sz w:val="28"/>
      <w:szCs w:val="28"/>
    </w:rPr>
  </w:style>
  <w:style w:type="paragraph" w:styleId="9">
    <w:name w:val="heading 6"/>
    <w:basedOn w:val="1"/>
    <w:next w:val="1"/>
    <w:link w:val="160"/>
    <w:unhideWhenUsed/>
    <w:qFormat/>
    <w:uiPriority w:val="9"/>
    <w:pPr>
      <w:keepNext/>
      <w:keepLines/>
      <w:spacing w:before="240" w:after="64" w:line="320" w:lineRule="auto"/>
      <w:outlineLvl w:val="5"/>
    </w:pPr>
    <w:rPr>
      <w:rFonts w:asciiTheme="majorHAnsi" w:hAnsiTheme="majorHAnsi" w:eastAsiaTheme="majorEastAsia" w:cstheme="majorBidi"/>
      <w:b/>
      <w:bCs/>
      <w:szCs w:val="24"/>
    </w:rPr>
  </w:style>
  <w:style w:type="paragraph" w:styleId="10">
    <w:name w:val="heading 7"/>
    <w:basedOn w:val="1"/>
    <w:next w:val="1"/>
    <w:link w:val="161"/>
    <w:unhideWhenUsed/>
    <w:qFormat/>
    <w:uiPriority w:val="9"/>
    <w:pPr>
      <w:keepNext/>
      <w:keepLines/>
      <w:spacing w:before="240" w:after="64" w:line="320" w:lineRule="auto"/>
      <w:outlineLvl w:val="6"/>
    </w:pPr>
    <w:rPr>
      <w:b/>
      <w:bCs/>
      <w:szCs w:val="24"/>
    </w:rPr>
  </w:style>
  <w:style w:type="paragraph" w:styleId="11">
    <w:name w:val="heading 8"/>
    <w:basedOn w:val="1"/>
    <w:next w:val="1"/>
    <w:link w:val="162"/>
    <w:unhideWhenUsed/>
    <w:qFormat/>
    <w:uiPriority w:val="9"/>
    <w:pPr>
      <w:keepNext/>
      <w:keepLines/>
      <w:spacing w:before="240" w:after="64" w:line="320" w:lineRule="auto"/>
      <w:outlineLvl w:val="7"/>
    </w:pPr>
    <w:rPr>
      <w:rFonts w:asciiTheme="majorHAnsi" w:hAnsiTheme="majorHAnsi" w:eastAsiaTheme="majorEastAsia" w:cstheme="majorBidi"/>
      <w:szCs w:val="24"/>
    </w:rPr>
  </w:style>
  <w:style w:type="paragraph" w:styleId="12">
    <w:name w:val="heading 9"/>
    <w:basedOn w:val="1"/>
    <w:next w:val="1"/>
    <w:link w:val="145"/>
    <w:unhideWhenUsed/>
    <w:qFormat/>
    <w:uiPriority w:val="9"/>
    <w:pPr>
      <w:keepNext/>
      <w:keepLines/>
      <w:spacing w:before="240" w:after="64" w:line="320" w:lineRule="auto"/>
      <w:outlineLvl w:val="8"/>
    </w:pPr>
    <w:rPr>
      <w:rFonts w:asciiTheme="majorHAnsi" w:hAnsiTheme="majorHAnsi" w:eastAsiaTheme="majorEastAsia" w:cstheme="majorBidi"/>
      <w:sz w:val="21"/>
      <w:szCs w:val="21"/>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1"/>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styleId="3">
    <w:name w:val="macro"/>
    <w:link w:val="103"/>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3">
    <w:name w:val="Normal Indent"/>
    <w:basedOn w:val="1"/>
    <w:next w:val="1"/>
    <w:link w:val="80"/>
    <w:unhideWhenUsed/>
    <w:qFormat/>
    <w:uiPriority w:val="0"/>
    <w:pPr>
      <w:ind w:firstLine="420"/>
    </w:pPr>
    <w:rPr>
      <w:rFonts w:eastAsia="宋体"/>
    </w:rPr>
  </w:style>
  <w:style w:type="paragraph" w:styleId="14">
    <w:name w:val="Document Map"/>
    <w:basedOn w:val="1"/>
    <w:link w:val="55"/>
    <w:unhideWhenUsed/>
    <w:qFormat/>
    <w:uiPriority w:val="0"/>
    <w:rPr>
      <w:rFonts w:ascii="宋体" w:eastAsia="宋体" w:cs="Times New Roman"/>
      <w:sz w:val="18"/>
      <w:szCs w:val="18"/>
    </w:rPr>
  </w:style>
  <w:style w:type="paragraph" w:styleId="15">
    <w:name w:val="annotation text"/>
    <w:basedOn w:val="1"/>
    <w:link w:val="151"/>
    <w:qFormat/>
    <w:uiPriority w:val="0"/>
    <w:pPr>
      <w:spacing w:line="240" w:lineRule="auto"/>
      <w:ind w:firstLine="0" w:firstLineChars="0"/>
      <w:jc w:val="left"/>
    </w:pPr>
    <w:rPr>
      <w:rFonts w:eastAsia="宋体" w:cs="Times New Roman"/>
      <w:sz w:val="21"/>
      <w:szCs w:val="24"/>
    </w:rPr>
  </w:style>
  <w:style w:type="paragraph" w:styleId="16">
    <w:name w:val="Salutation"/>
    <w:basedOn w:val="1"/>
    <w:next w:val="1"/>
    <w:link w:val="79"/>
    <w:qFormat/>
    <w:uiPriority w:val="0"/>
    <w:pPr>
      <w:widowControl/>
      <w:jc w:val="left"/>
    </w:pPr>
    <w:rPr>
      <w:rFonts w:eastAsia="宋体" w:cs="Times New Roman"/>
      <w:kern w:val="0"/>
      <w:szCs w:val="20"/>
    </w:rPr>
  </w:style>
  <w:style w:type="paragraph" w:styleId="17">
    <w:name w:val="Body Text 3"/>
    <w:basedOn w:val="1"/>
    <w:link w:val="119"/>
    <w:semiHidden/>
    <w:unhideWhenUsed/>
    <w:qFormat/>
    <w:uiPriority w:val="99"/>
    <w:pPr>
      <w:spacing w:after="120"/>
    </w:pPr>
    <w:rPr>
      <w:rFonts w:eastAsia="宋体" w:cs="Times New Roman"/>
      <w:sz w:val="16"/>
      <w:szCs w:val="16"/>
    </w:rPr>
  </w:style>
  <w:style w:type="paragraph" w:styleId="18">
    <w:name w:val="Body Text"/>
    <w:basedOn w:val="1"/>
    <w:next w:val="1"/>
    <w:link w:val="127"/>
    <w:semiHidden/>
    <w:unhideWhenUsed/>
    <w:qFormat/>
    <w:uiPriority w:val="0"/>
    <w:pPr>
      <w:spacing w:after="120"/>
    </w:pPr>
    <w:rPr>
      <w:rFonts w:eastAsia="宋体"/>
    </w:rPr>
  </w:style>
  <w:style w:type="paragraph" w:styleId="19">
    <w:name w:val="Body Text Indent"/>
    <w:basedOn w:val="1"/>
    <w:link w:val="101"/>
    <w:qFormat/>
    <w:uiPriority w:val="0"/>
    <w:pPr>
      <w:spacing w:after="120"/>
      <w:ind w:left="420" w:leftChars="200"/>
    </w:pPr>
    <w:rPr>
      <w:rFonts w:eastAsia="宋体" w:cs="Times New Roman"/>
      <w:szCs w:val="20"/>
    </w:rPr>
  </w:style>
  <w:style w:type="paragraph" w:styleId="20">
    <w:name w:val="Plain Text"/>
    <w:basedOn w:val="1"/>
    <w:next w:val="1"/>
    <w:link w:val="128"/>
    <w:unhideWhenUsed/>
    <w:qFormat/>
    <w:uiPriority w:val="0"/>
    <w:rPr>
      <w:rFonts w:ascii="宋体" w:hAnsi="Courier New" w:eastAsia="宋体"/>
      <w:sz w:val="28"/>
      <w:szCs w:val="21"/>
    </w:rPr>
  </w:style>
  <w:style w:type="paragraph" w:styleId="21">
    <w:name w:val="Date"/>
    <w:basedOn w:val="1"/>
    <w:next w:val="1"/>
    <w:link w:val="97"/>
    <w:qFormat/>
    <w:uiPriority w:val="0"/>
    <w:pPr>
      <w:ind w:left="100" w:leftChars="2500"/>
    </w:pPr>
    <w:rPr>
      <w:rFonts w:eastAsia="宋体" w:cs="Times New Roman"/>
      <w:szCs w:val="24"/>
    </w:rPr>
  </w:style>
  <w:style w:type="paragraph" w:styleId="22">
    <w:name w:val="Body Text Indent 2"/>
    <w:basedOn w:val="1"/>
    <w:link w:val="72"/>
    <w:qFormat/>
    <w:uiPriority w:val="0"/>
    <w:pPr>
      <w:spacing w:line="460" w:lineRule="exact"/>
      <w:ind w:firstLine="568" w:firstLineChars="203"/>
    </w:pPr>
    <w:rPr>
      <w:rFonts w:eastAsia="宋体" w:cs="Times New Roman"/>
      <w:sz w:val="28"/>
      <w:szCs w:val="20"/>
    </w:rPr>
  </w:style>
  <w:style w:type="paragraph" w:styleId="23">
    <w:name w:val="Balloon Text"/>
    <w:basedOn w:val="1"/>
    <w:link w:val="116"/>
    <w:qFormat/>
    <w:uiPriority w:val="0"/>
    <w:rPr>
      <w:rFonts w:eastAsia="宋体" w:cs="Times New Roman"/>
      <w:sz w:val="18"/>
      <w:szCs w:val="18"/>
    </w:rPr>
  </w:style>
  <w:style w:type="paragraph" w:styleId="24">
    <w:name w:val="footer"/>
    <w:basedOn w:val="1"/>
    <w:link w:val="48"/>
    <w:unhideWhenUsed/>
    <w:qFormat/>
    <w:uiPriority w:val="99"/>
    <w:pPr>
      <w:tabs>
        <w:tab w:val="center" w:pos="4153"/>
        <w:tab w:val="right" w:pos="8306"/>
      </w:tabs>
      <w:snapToGrid w:val="0"/>
      <w:jc w:val="left"/>
    </w:pPr>
    <w:rPr>
      <w:sz w:val="18"/>
      <w:szCs w:val="18"/>
    </w:rPr>
  </w:style>
  <w:style w:type="paragraph" w:styleId="25">
    <w:name w:val="header"/>
    <w:basedOn w:val="1"/>
    <w:next w:val="1"/>
    <w:link w:val="47"/>
    <w:unhideWhenUsed/>
    <w:qFormat/>
    <w:uiPriority w:val="99"/>
    <w:pPr>
      <w:pBdr>
        <w:bottom w:val="single" w:color="auto" w:sz="6" w:space="1"/>
      </w:pBdr>
      <w:tabs>
        <w:tab w:val="center" w:pos="4153"/>
        <w:tab w:val="right" w:pos="8306"/>
      </w:tabs>
      <w:snapToGrid w:val="0"/>
      <w:jc w:val="center"/>
    </w:pPr>
    <w:rPr>
      <w:sz w:val="18"/>
      <w:szCs w:val="18"/>
    </w:rPr>
  </w:style>
  <w:style w:type="paragraph" w:styleId="26">
    <w:name w:val="toc 1"/>
    <w:basedOn w:val="1"/>
    <w:next w:val="1"/>
    <w:qFormat/>
    <w:uiPriority w:val="39"/>
    <w:rPr>
      <w:rFonts w:eastAsia="宋体" w:cs="Times New Roman"/>
      <w:szCs w:val="24"/>
    </w:rPr>
  </w:style>
  <w:style w:type="paragraph" w:styleId="27">
    <w:name w:val="Subtitle"/>
    <w:basedOn w:val="1"/>
    <w:next w:val="1"/>
    <w:link w:val="126"/>
    <w:qFormat/>
    <w:uiPriority w:val="0"/>
    <w:pPr>
      <w:spacing w:before="240" w:after="60" w:line="312" w:lineRule="auto"/>
      <w:jc w:val="center"/>
      <w:outlineLvl w:val="1"/>
    </w:pPr>
    <w:rPr>
      <w:rFonts w:eastAsia="宋体" w:cs="Times New Roman"/>
      <w:b/>
      <w:bCs/>
      <w:kern w:val="28"/>
      <w:szCs w:val="32"/>
    </w:rPr>
  </w:style>
  <w:style w:type="paragraph" w:styleId="28">
    <w:name w:val="Body Text Indent 3"/>
    <w:basedOn w:val="1"/>
    <w:link w:val="104"/>
    <w:qFormat/>
    <w:uiPriority w:val="0"/>
    <w:pPr>
      <w:spacing w:after="120"/>
      <w:ind w:left="420" w:leftChars="200"/>
    </w:pPr>
    <w:rPr>
      <w:rFonts w:eastAsia="宋体" w:cs="Times New Roman"/>
      <w:sz w:val="16"/>
      <w:szCs w:val="16"/>
    </w:rPr>
  </w:style>
  <w:style w:type="paragraph" w:styleId="29">
    <w:name w:val="toc 2"/>
    <w:basedOn w:val="1"/>
    <w:next w:val="1"/>
    <w:qFormat/>
    <w:uiPriority w:val="39"/>
    <w:pPr>
      <w:ind w:left="420" w:leftChars="200"/>
    </w:pPr>
    <w:rPr>
      <w:rFonts w:eastAsia="宋体" w:cs="Times New Roman"/>
      <w:szCs w:val="24"/>
    </w:rPr>
  </w:style>
  <w:style w:type="paragraph" w:styleId="30">
    <w:name w:val="Body Text 2"/>
    <w:basedOn w:val="1"/>
    <w:link w:val="71"/>
    <w:qFormat/>
    <w:uiPriority w:val="0"/>
    <w:pPr>
      <w:spacing w:after="120" w:line="480" w:lineRule="auto"/>
    </w:pPr>
    <w:rPr>
      <w:rFonts w:eastAsia="宋体" w:cs="Times New Roman"/>
      <w:szCs w:val="20"/>
    </w:rPr>
  </w:style>
  <w:style w:type="paragraph" w:styleId="31">
    <w:name w:val="HTML Preformatted"/>
    <w:basedOn w:val="1"/>
    <w:link w:val="9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eastAsia="宋体" w:cs="Arial"/>
      <w:kern w:val="0"/>
      <w:szCs w:val="24"/>
    </w:rPr>
  </w:style>
  <w:style w:type="paragraph" w:styleId="32">
    <w:name w:val="Normal (Web)"/>
    <w:basedOn w:val="1"/>
    <w:link w:val="175"/>
    <w:qFormat/>
    <w:uiPriority w:val="0"/>
    <w:pPr>
      <w:widowControl/>
      <w:spacing w:before="100" w:beforeAutospacing="1" w:after="100" w:afterAutospacing="1"/>
      <w:jc w:val="left"/>
    </w:pPr>
    <w:rPr>
      <w:rFonts w:ascii="Arial Unicode MS" w:hAnsi="Arial Unicode MS" w:eastAsia="Arial Unicode MS" w:cs="Arial Unicode MS"/>
      <w:kern w:val="0"/>
      <w:szCs w:val="24"/>
    </w:rPr>
  </w:style>
  <w:style w:type="paragraph" w:styleId="33">
    <w:name w:val="index 1"/>
    <w:basedOn w:val="1"/>
    <w:next w:val="1"/>
    <w:qFormat/>
    <w:uiPriority w:val="0"/>
    <w:pPr>
      <w:tabs>
        <w:tab w:val="left" w:pos="5580"/>
      </w:tabs>
      <w:spacing w:line="280" w:lineRule="exact"/>
    </w:pPr>
    <w:rPr>
      <w:rFonts w:ascii="宋体" w:hAnsi="宋体" w:eastAsia="宋体" w:cs="Times New Roman"/>
      <w:spacing w:val="10"/>
      <w:szCs w:val="24"/>
    </w:rPr>
  </w:style>
  <w:style w:type="paragraph" w:styleId="34">
    <w:name w:val="Title"/>
    <w:basedOn w:val="1"/>
    <w:next w:val="1"/>
    <w:link w:val="153"/>
    <w:qFormat/>
    <w:uiPriority w:val="10"/>
    <w:pPr>
      <w:spacing w:before="280" w:after="60" w:line="260" w:lineRule="exact"/>
      <w:outlineLvl w:val="2"/>
    </w:pPr>
    <w:rPr>
      <w:rFonts w:eastAsia="宋体" w:cstheme="majorBidi"/>
      <w:b/>
      <w:bCs/>
      <w:snapToGrid w:val="0"/>
      <w:kern w:val="0"/>
      <w:szCs w:val="32"/>
    </w:rPr>
  </w:style>
  <w:style w:type="paragraph" w:styleId="35">
    <w:name w:val="Body Text First Indent"/>
    <w:basedOn w:val="18"/>
    <w:next w:val="1"/>
    <w:link w:val="132"/>
    <w:unhideWhenUsed/>
    <w:qFormat/>
    <w:uiPriority w:val="99"/>
    <w:pPr>
      <w:ind w:firstLine="420" w:firstLineChars="100"/>
    </w:pPr>
    <w:rPr>
      <w:rFonts w:eastAsiaTheme="minorEastAsia"/>
    </w:rPr>
  </w:style>
  <w:style w:type="paragraph" w:styleId="36">
    <w:name w:val="Body Text First Indent 2"/>
    <w:basedOn w:val="19"/>
    <w:next w:val="35"/>
    <w:link w:val="180"/>
    <w:semiHidden/>
    <w:unhideWhenUsed/>
    <w:qFormat/>
    <w:uiPriority w:val="99"/>
    <w:pPr>
      <w:ind w:firstLine="420"/>
    </w:pPr>
    <w:rPr>
      <w:rFonts w:eastAsiaTheme="minorEastAsia" w:cstheme="minorBidi"/>
      <w:szCs w:val="22"/>
    </w:rPr>
  </w:style>
  <w:style w:type="table" w:styleId="38">
    <w:name w:val="Table Grid"/>
    <w:basedOn w:val="3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0">
    <w:name w:val="Strong"/>
    <w:basedOn w:val="39"/>
    <w:qFormat/>
    <w:uiPriority w:val="0"/>
    <w:rPr>
      <w:b/>
      <w:bCs/>
    </w:rPr>
  </w:style>
  <w:style w:type="character" w:styleId="41">
    <w:name w:val="page number"/>
    <w:basedOn w:val="39"/>
    <w:qFormat/>
    <w:uiPriority w:val="0"/>
  </w:style>
  <w:style w:type="character" w:styleId="42">
    <w:name w:val="Emphasis"/>
    <w:basedOn w:val="39"/>
    <w:qFormat/>
    <w:uiPriority w:val="0"/>
    <w:rPr>
      <w:color w:val="CC0000"/>
    </w:rPr>
  </w:style>
  <w:style w:type="character" w:styleId="43">
    <w:name w:val="Hyperlink"/>
    <w:basedOn w:val="39"/>
    <w:qFormat/>
    <w:uiPriority w:val="99"/>
    <w:rPr>
      <w:color w:val="0000FF"/>
      <w:u w:val="single"/>
    </w:rPr>
  </w:style>
  <w:style w:type="character" w:styleId="44">
    <w:name w:val="annotation reference"/>
    <w:basedOn w:val="39"/>
    <w:qFormat/>
    <w:uiPriority w:val="0"/>
    <w:rPr>
      <w:sz w:val="21"/>
      <w:szCs w:val="21"/>
    </w:rPr>
  </w:style>
  <w:style w:type="character" w:customStyle="1" w:styleId="45">
    <w:name w:val="标题 3 Char"/>
    <w:basedOn w:val="39"/>
    <w:link w:val="6"/>
    <w:qFormat/>
    <w:uiPriority w:val="0"/>
    <w:rPr>
      <w:rFonts w:ascii="Times New Roman" w:hAnsi="Times New Roman" w:eastAsia="宋体" w:cs="Times New Roman"/>
      <w:b/>
      <w:bCs/>
      <w:sz w:val="32"/>
      <w:szCs w:val="32"/>
    </w:rPr>
  </w:style>
  <w:style w:type="paragraph" w:customStyle="1" w:styleId="46">
    <w:name w:val="明显引用1"/>
    <w:basedOn w:val="1"/>
    <w:next w:val="1"/>
    <w:qFormat/>
    <w:uiPriority w:val="30"/>
    <w:pPr>
      <w:pBdr>
        <w:bottom w:val="single" w:color="4F81BD" w:sz="4" w:space="4"/>
      </w:pBdr>
      <w:spacing w:before="200" w:after="280"/>
      <w:ind w:left="936" w:right="936"/>
    </w:pPr>
    <w:rPr>
      <w:rFonts w:eastAsia="宋体" w:cs="Times New Roman"/>
      <w:b/>
      <w:bCs/>
      <w:i/>
      <w:iCs/>
      <w:color w:val="4F81BD"/>
      <w:szCs w:val="20"/>
    </w:rPr>
  </w:style>
  <w:style w:type="character" w:customStyle="1" w:styleId="47">
    <w:name w:val="页眉 Char"/>
    <w:basedOn w:val="39"/>
    <w:link w:val="25"/>
    <w:qFormat/>
    <w:uiPriority w:val="99"/>
    <w:rPr>
      <w:sz w:val="18"/>
      <w:szCs w:val="18"/>
    </w:rPr>
  </w:style>
  <w:style w:type="character" w:customStyle="1" w:styleId="48">
    <w:name w:val="页脚 Char"/>
    <w:basedOn w:val="39"/>
    <w:link w:val="24"/>
    <w:qFormat/>
    <w:uiPriority w:val="99"/>
    <w:rPr>
      <w:sz w:val="18"/>
      <w:szCs w:val="18"/>
    </w:rPr>
  </w:style>
  <w:style w:type="character" w:customStyle="1" w:styleId="49">
    <w:name w:val="标题 1 Char"/>
    <w:basedOn w:val="39"/>
    <w:link w:val="4"/>
    <w:qFormat/>
    <w:uiPriority w:val="0"/>
    <w:rPr>
      <w:rFonts w:ascii="黑体" w:hAnsi="黑体" w:eastAsia="黑体" w:cs="Times New Roman"/>
      <w:bCs/>
      <w:kern w:val="44"/>
      <w:sz w:val="30"/>
      <w:szCs w:val="44"/>
    </w:rPr>
  </w:style>
  <w:style w:type="paragraph" w:customStyle="1" w:styleId="50">
    <w:name w:val="二级标题1"/>
    <w:basedOn w:val="1"/>
    <w:next w:val="1"/>
    <w:unhideWhenUsed/>
    <w:qFormat/>
    <w:uiPriority w:val="0"/>
    <w:pPr>
      <w:keepNext/>
      <w:keepLines/>
      <w:adjustRightInd w:val="0"/>
      <w:snapToGrid w:val="0"/>
      <w:spacing w:before="240"/>
      <w:outlineLvl w:val="1"/>
    </w:pPr>
    <w:rPr>
      <w:rFonts w:eastAsia="宋体" w:cs="Times New Roman"/>
      <w:b/>
      <w:bCs/>
      <w:szCs w:val="32"/>
    </w:rPr>
  </w:style>
  <w:style w:type="paragraph" w:customStyle="1" w:styleId="51">
    <w:name w:val="标题123"/>
    <w:basedOn w:val="1"/>
    <w:next w:val="1"/>
    <w:unhideWhenUsed/>
    <w:qFormat/>
    <w:uiPriority w:val="9"/>
    <w:pPr>
      <w:keepNext/>
      <w:keepLines/>
      <w:adjustRightInd w:val="0"/>
      <w:snapToGrid w:val="0"/>
      <w:spacing w:before="240" w:after="120" w:line="240" w:lineRule="auto"/>
      <w:ind w:firstLine="482"/>
      <w:jc w:val="left"/>
      <w:outlineLvl w:val="2"/>
    </w:pPr>
    <w:rPr>
      <w:rFonts w:eastAsia="宋体" w:cs="Times New Roman" w:asciiTheme="majorHAnsi" w:hAnsiTheme="majorHAnsi"/>
      <w:b/>
      <w:bCs/>
      <w:snapToGrid w:val="0"/>
      <w:kern w:val="0"/>
      <w:szCs w:val="28"/>
    </w:rPr>
  </w:style>
  <w:style w:type="character" w:customStyle="1" w:styleId="52">
    <w:name w:val="标题 2 Char"/>
    <w:basedOn w:val="39"/>
    <w:qFormat/>
    <w:uiPriority w:val="9"/>
    <w:rPr>
      <w:rFonts w:ascii="Times New Roman" w:hAnsi="Times New Roman" w:eastAsia="宋体" w:cs="Times New Roman"/>
      <w:b/>
      <w:bCs/>
      <w:sz w:val="28"/>
      <w:szCs w:val="32"/>
    </w:rPr>
  </w:style>
  <w:style w:type="paragraph" w:customStyle="1" w:styleId="53">
    <w:name w:val="TOC 标题1"/>
    <w:basedOn w:val="4"/>
    <w:next w:val="1"/>
    <w:unhideWhenUsed/>
    <w:qFormat/>
    <w:uiPriority w:val="39"/>
    <w:pPr>
      <w:outlineLvl w:val="9"/>
    </w:pPr>
  </w:style>
  <w:style w:type="paragraph" w:customStyle="1" w:styleId="54">
    <w:name w:val="表格单倍"/>
    <w:basedOn w:val="1"/>
    <w:next w:val="1"/>
    <w:qFormat/>
    <w:uiPriority w:val="0"/>
    <w:pPr>
      <w:autoSpaceDE w:val="0"/>
      <w:autoSpaceDN w:val="0"/>
      <w:adjustRightInd w:val="0"/>
      <w:snapToGrid w:val="0"/>
      <w:spacing w:line="240" w:lineRule="auto"/>
      <w:ind w:firstLine="0" w:firstLineChars="0"/>
      <w:jc w:val="center"/>
      <w:textAlignment w:val="baseline"/>
    </w:pPr>
    <w:rPr>
      <w:rFonts w:eastAsia="宋体" w:cs="Times New Roman"/>
      <w:kern w:val="24"/>
      <w:sz w:val="21"/>
      <w:szCs w:val="20"/>
    </w:rPr>
  </w:style>
  <w:style w:type="character" w:customStyle="1" w:styleId="55">
    <w:name w:val="文档结构图 Char"/>
    <w:basedOn w:val="39"/>
    <w:link w:val="14"/>
    <w:qFormat/>
    <w:uiPriority w:val="0"/>
    <w:rPr>
      <w:rFonts w:ascii="宋体" w:hAnsi="Times New Roman" w:eastAsia="宋体" w:cs="Times New Roman"/>
      <w:sz w:val="18"/>
      <w:szCs w:val="18"/>
    </w:rPr>
  </w:style>
  <w:style w:type="character" w:customStyle="1" w:styleId="56">
    <w:name w:val="明显引用 Char"/>
    <w:basedOn w:val="39"/>
    <w:qFormat/>
    <w:uiPriority w:val="30"/>
    <w:rPr>
      <w:rFonts w:ascii="Times New Roman" w:hAnsi="Times New Roman" w:eastAsia="宋体" w:cs="Times New Roman"/>
      <w:b/>
      <w:bCs/>
      <w:i/>
      <w:iCs/>
      <w:color w:val="4F81BD"/>
      <w:sz w:val="24"/>
      <w:szCs w:val="20"/>
    </w:rPr>
  </w:style>
  <w:style w:type="paragraph" w:styleId="57">
    <w:name w:val="Intense Quote"/>
    <w:basedOn w:val="1"/>
    <w:next w:val="1"/>
    <w:link w:val="123"/>
    <w:qFormat/>
    <w:uiPriority w:val="30"/>
    <w:pPr>
      <w:pBdr>
        <w:bottom w:val="single" w:color="4F81BD" w:themeColor="accent1" w:sz="4" w:space="4"/>
      </w:pBdr>
      <w:spacing w:before="200" w:after="280"/>
      <w:ind w:left="936" w:right="936"/>
    </w:pPr>
    <w:rPr>
      <w:rFonts w:eastAsia="宋体" w:cs="Times New Roman"/>
      <w:b/>
      <w:bCs/>
      <w:i/>
      <w:iCs/>
      <w:color w:val="4F81BD"/>
      <w:szCs w:val="20"/>
    </w:rPr>
  </w:style>
  <w:style w:type="paragraph" w:styleId="58">
    <w:name w:val="List Paragraph"/>
    <w:basedOn w:val="1"/>
    <w:qFormat/>
    <w:uiPriority w:val="34"/>
    <w:pPr>
      <w:ind w:firstLine="420"/>
    </w:pPr>
    <w:rPr>
      <w:rFonts w:eastAsia="宋体" w:cs="Times New Roman"/>
      <w:szCs w:val="20"/>
    </w:rPr>
  </w:style>
  <w:style w:type="character" w:customStyle="1" w:styleId="59">
    <w:name w:val="书籍标题1"/>
    <w:basedOn w:val="39"/>
    <w:qFormat/>
    <w:uiPriority w:val="33"/>
    <w:rPr>
      <w:b/>
      <w:bCs/>
      <w:smallCaps/>
      <w:spacing w:val="5"/>
    </w:rPr>
  </w:style>
  <w:style w:type="character" w:customStyle="1" w:styleId="60">
    <w:name w:val="明显参考1"/>
    <w:basedOn w:val="39"/>
    <w:qFormat/>
    <w:uiPriority w:val="32"/>
    <w:rPr>
      <w:b/>
      <w:bCs/>
      <w:smallCaps/>
      <w:color w:val="C0504D"/>
      <w:spacing w:val="5"/>
      <w:u w:val="single"/>
    </w:rPr>
  </w:style>
  <w:style w:type="character" w:customStyle="1" w:styleId="61">
    <w:name w:val="不明显参考1"/>
    <w:basedOn w:val="39"/>
    <w:qFormat/>
    <w:uiPriority w:val="31"/>
    <w:rPr>
      <w:smallCaps/>
      <w:color w:val="C0504D"/>
      <w:u w:val="single"/>
    </w:rPr>
  </w:style>
  <w:style w:type="character" w:customStyle="1" w:styleId="62">
    <w:name w:val="不明显强调1"/>
    <w:basedOn w:val="63"/>
    <w:qFormat/>
    <w:uiPriority w:val="19"/>
    <w:rPr>
      <w:rFonts w:ascii="Times New Roman" w:hAnsi="Times New Roman" w:eastAsia="宋体" w:cs="Times New Roman"/>
      <w:b/>
      <w:iCs/>
      <w:color w:val="auto"/>
      <w:sz w:val="18"/>
      <w:szCs w:val="20"/>
      <w:vertAlign w:val="baseline"/>
    </w:rPr>
  </w:style>
  <w:style w:type="character" w:customStyle="1" w:styleId="63">
    <w:name w:val="正文（首行缩进两字）m Char"/>
    <w:link w:val="64"/>
    <w:qFormat/>
    <w:uiPriority w:val="0"/>
    <w:rPr>
      <w:rFonts w:ascii="Times New Roman" w:hAnsi="Times New Roman" w:eastAsia="宋体" w:cs="Times New Roman"/>
      <w:color w:val="339966"/>
      <w:sz w:val="24"/>
      <w:szCs w:val="20"/>
    </w:rPr>
  </w:style>
  <w:style w:type="paragraph" w:customStyle="1" w:styleId="64">
    <w:name w:val="正文（首行缩进两字）m"/>
    <w:basedOn w:val="13"/>
    <w:link w:val="63"/>
    <w:qFormat/>
    <w:uiPriority w:val="0"/>
    <w:pPr>
      <w:tabs>
        <w:tab w:val="left" w:pos="1848"/>
        <w:tab w:val="left" w:pos="6061"/>
        <w:tab w:val="left" w:pos="8665"/>
      </w:tabs>
      <w:adjustRightInd w:val="0"/>
      <w:snapToGrid w:val="0"/>
      <w:spacing w:beforeLines="50" w:line="460" w:lineRule="exact"/>
      <w:ind w:firstLine="480"/>
    </w:pPr>
    <w:rPr>
      <w:rFonts w:cs="Times New Roman"/>
      <w:color w:val="339966"/>
      <w:szCs w:val="20"/>
    </w:rPr>
  </w:style>
  <w:style w:type="table" w:customStyle="1" w:styleId="65">
    <w:name w:val="报告表表格"/>
    <w:basedOn w:val="37"/>
    <w:qFormat/>
    <w:uiPriority w:val="99"/>
    <w:rPr>
      <w:szCs w:val="21"/>
    </w:rPr>
    <w:tblPr>
      <w:tblCellMar>
        <w:top w:w="0" w:type="dxa"/>
        <w:left w:w="108" w:type="dxa"/>
        <w:bottom w:w="0" w:type="dxa"/>
        <w:right w:w="108" w:type="dxa"/>
      </w:tblCellMar>
    </w:tblPr>
  </w:style>
  <w:style w:type="table" w:customStyle="1" w:styleId="66">
    <w:name w:val="我的表格"/>
    <w:basedOn w:val="37"/>
    <w:qFormat/>
    <w:uiPriority w:val="99"/>
    <w:rPr>
      <w:rFonts w:ascii="Times New Roman" w:hAnsi="Times New Roman" w:eastAsia="宋体"/>
      <w:szCs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paragraph" w:customStyle="1" w:styleId="67">
    <w:name w:val="表题1"/>
    <w:basedOn w:val="1"/>
    <w:next w:val="1"/>
    <w:qFormat/>
    <w:uiPriority w:val="0"/>
    <w:pPr>
      <w:keepNext/>
      <w:pageBreakBefore/>
      <w:snapToGrid w:val="0"/>
      <w:spacing w:before="120" w:after="60" w:line="240" w:lineRule="exact"/>
      <w:ind w:firstLine="0" w:firstLineChars="0"/>
      <w:jc w:val="center"/>
      <w:outlineLvl w:val="4"/>
    </w:pPr>
    <w:rPr>
      <w:rFonts w:eastAsia="宋体" w:cs="Times New Roman"/>
      <w:b/>
      <w:bCs/>
      <w:kern w:val="28"/>
      <w:szCs w:val="32"/>
    </w:rPr>
  </w:style>
  <w:style w:type="character" w:customStyle="1" w:styleId="68">
    <w:name w:val="副标题 Char"/>
    <w:basedOn w:val="39"/>
    <w:qFormat/>
    <w:uiPriority w:val="0"/>
    <w:rPr>
      <w:rFonts w:ascii="Times New Roman" w:hAnsi="Times New Roman" w:eastAsia="宋体" w:cs="Times New Roman"/>
      <w:b/>
      <w:bCs/>
      <w:kern w:val="28"/>
      <w:szCs w:val="32"/>
    </w:rPr>
  </w:style>
  <w:style w:type="character" w:customStyle="1" w:styleId="69">
    <w:name w:val="正文文本 Char"/>
    <w:basedOn w:val="39"/>
    <w:qFormat/>
    <w:uiPriority w:val="0"/>
    <w:rPr>
      <w:rFonts w:eastAsia="宋体"/>
    </w:rPr>
  </w:style>
  <w:style w:type="paragraph" w:customStyle="1" w:styleId="70">
    <w:name w:val="正文文本1"/>
    <w:basedOn w:val="1"/>
    <w:next w:val="18"/>
    <w:qFormat/>
    <w:uiPriority w:val="0"/>
    <w:pPr>
      <w:spacing w:after="120"/>
    </w:pPr>
    <w:rPr>
      <w:rFonts w:eastAsia="宋体"/>
    </w:rPr>
  </w:style>
  <w:style w:type="character" w:customStyle="1" w:styleId="71">
    <w:name w:val="正文文本 2 Char"/>
    <w:basedOn w:val="39"/>
    <w:link w:val="30"/>
    <w:qFormat/>
    <w:uiPriority w:val="0"/>
    <w:rPr>
      <w:rFonts w:ascii="Times New Roman" w:hAnsi="Times New Roman" w:eastAsia="宋体" w:cs="Times New Roman"/>
      <w:szCs w:val="20"/>
    </w:rPr>
  </w:style>
  <w:style w:type="character" w:customStyle="1" w:styleId="72">
    <w:name w:val="正文文本缩进 2 Char"/>
    <w:basedOn w:val="39"/>
    <w:link w:val="22"/>
    <w:qFormat/>
    <w:uiPriority w:val="0"/>
    <w:rPr>
      <w:rFonts w:ascii="Times New Roman" w:hAnsi="Times New Roman" w:eastAsia="宋体" w:cs="Times New Roman"/>
      <w:sz w:val="28"/>
      <w:szCs w:val="20"/>
    </w:rPr>
  </w:style>
  <w:style w:type="character" w:customStyle="1" w:styleId="73">
    <w:name w:val="正文文本 Char1"/>
    <w:basedOn w:val="39"/>
    <w:semiHidden/>
    <w:qFormat/>
    <w:uiPriority w:val="99"/>
    <w:rPr>
      <w:rFonts w:ascii="Times New Roman" w:hAnsi="Times New Roman" w:eastAsia="宋体" w:cs="Times New Roman"/>
      <w:sz w:val="24"/>
      <w:szCs w:val="20"/>
    </w:rPr>
  </w:style>
  <w:style w:type="paragraph" w:customStyle="1" w:styleId="74">
    <w:name w:val="正文▲"/>
    <w:link w:val="75"/>
    <w:qFormat/>
    <w:uiPriority w:val="0"/>
    <w:pPr>
      <w:spacing w:line="360" w:lineRule="auto"/>
      <w:ind w:firstLine="200" w:firstLineChars="200"/>
    </w:pPr>
    <w:rPr>
      <w:rFonts w:ascii="Times New Roman" w:hAnsi="Times New Roman" w:eastAsia="宋体" w:cs="Times New Roman"/>
      <w:color w:val="000000"/>
      <w:kern w:val="2"/>
      <w:sz w:val="24"/>
      <w:szCs w:val="24"/>
      <w:lang w:val="en-US" w:eastAsia="zh-CN" w:bidi="ar-SA"/>
    </w:rPr>
  </w:style>
  <w:style w:type="character" w:customStyle="1" w:styleId="75">
    <w:name w:val="正文▲ Char"/>
    <w:link w:val="74"/>
    <w:qFormat/>
    <w:uiPriority w:val="0"/>
    <w:rPr>
      <w:rFonts w:ascii="Times New Roman" w:hAnsi="Times New Roman" w:eastAsia="宋体" w:cs="Times New Roman"/>
      <w:color w:val="000000"/>
      <w:sz w:val="24"/>
      <w:szCs w:val="24"/>
    </w:rPr>
  </w:style>
  <w:style w:type="paragraph" w:customStyle="1" w:styleId="76">
    <w:name w:val="环评正文1"/>
    <w:basedOn w:val="1"/>
    <w:qFormat/>
    <w:uiPriority w:val="0"/>
    <w:rPr>
      <w:rFonts w:eastAsia="宋体" w:cs="Times New Roman"/>
    </w:rPr>
  </w:style>
  <w:style w:type="paragraph" w:customStyle="1" w:styleId="77">
    <w:name w:val="表格1.5行距"/>
    <w:basedOn w:val="78"/>
    <w:next w:val="17"/>
    <w:qFormat/>
    <w:uiPriority w:val="0"/>
    <w:pPr>
      <w:adjustRightInd w:val="0"/>
      <w:snapToGrid w:val="0"/>
      <w:spacing w:line="360" w:lineRule="auto"/>
    </w:pPr>
  </w:style>
  <w:style w:type="paragraph" w:customStyle="1" w:styleId="78">
    <w:name w:val="表格"/>
    <w:basedOn w:val="1"/>
    <w:next w:val="1"/>
    <w:link w:val="112"/>
    <w:qFormat/>
    <w:uiPriority w:val="0"/>
    <w:pPr>
      <w:spacing w:line="400" w:lineRule="exact"/>
      <w:jc w:val="center"/>
    </w:pPr>
    <w:rPr>
      <w:bCs/>
    </w:rPr>
  </w:style>
  <w:style w:type="character" w:customStyle="1" w:styleId="79">
    <w:name w:val="称呼 Char"/>
    <w:basedOn w:val="39"/>
    <w:link w:val="16"/>
    <w:qFormat/>
    <w:uiPriority w:val="0"/>
    <w:rPr>
      <w:rFonts w:ascii="Times New Roman" w:hAnsi="Times New Roman" w:eastAsia="宋体" w:cs="Times New Roman"/>
      <w:kern w:val="0"/>
      <w:sz w:val="24"/>
      <w:szCs w:val="20"/>
    </w:rPr>
  </w:style>
  <w:style w:type="character" w:customStyle="1" w:styleId="80">
    <w:name w:val="正文缩进 Char"/>
    <w:basedOn w:val="39"/>
    <w:link w:val="13"/>
    <w:qFormat/>
    <w:uiPriority w:val="0"/>
    <w:rPr>
      <w:rFonts w:eastAsia="宋体"/>
      <w:sz w:val="24"/>
    </w:rPr>
  </w:style>
  <w:style w:type="paragraph" w:customStyle="1" w:styleId="81">
    <w:name w:val="正文（首行缩进两字）11"/>
    <w:basedOn w:val="1"/>
    <w:next w:val="13"/>
    <w:qFormat/>
    <w:uiPriority w:val="0"/>
    <w:pPr>
      <w:ind w:firstLine="420"/>
    </w:pPr>
    <w:rPr>
      <w:rFonts w:eastAsia="宋体"/>
    </w:rPr>
  </w:style>
  <w:style w:type="paragraph" w:styleId="82">
    <w:name w:val="No Spacing"/>
    <w:link w:val="83"/>
    <w:qFormat/>
    <w:uiPriority w:val="0"/>
    <w:pPr>
      <w:widowControl w:val="0"/>
      <w:jc w:val="both"/>
    </w:pPr>
    <w:rPr>
      <w:rFonts w:ascii="Times New Roman" w:hAnsi="Times New Roman" w:eastAsia="宋体" w:cs="Times New Roman"/>
      <w:kern w:val="2"/>
      <w:sz w:val="21"/>
      <w:szCs w:val="21"/>
      <w:lang w:val="en-US" w:eastAsia="zh-CN" w:bidi="ar-SA"/>
    </w:rPr>
  </w:style>
  <w:style w:type="character" w:customStyle="1" w:styleId="83">
    <w:name w:val="无间隔 Char"/>
    <w:link w:val="82"/>
    <w:qFormat/>
    <w:uiPriority w:val="0"/>
    <w:rPr>
      <w:rFonts w:ascii="Times New Roman" w:hAnsi="Times New Roman" w:eastAsia="宋体" w:cs="Times New Roman"/>
      <w:szCs w:val="21"/>
    </w:rPr>
  </w:style>
  <w:style w:type="character" w:customStyle="1" w:styleId="84">
    <w:name w:val="纯文本 Char"/>
    <w:basedOn w:val="39"/>
    <w:qFormat/>
    <w:uiPriority w:val="0"/>
    <w:rPr>
      <w:rFonts w:ascii="宋体" w:hAnsi="Courier New" w:eastAsia="宋体"/>
      <w:sz w:val="28"/>
      <w:szCs w:val="21"/>
    </w:rPr>
  </w:style>
  <w:style w:type="paragraph" w:customStyle="1" w:styleId="85">
    <w:name w:val="表内文字1"/>
    <w:basedOn w:val="1"/>
    <w:next w:val="20"/>
    <w:qFormat/>
    <w:uiPriority w:val="0"/>
    <w:pPr>
      <w:spacing w:line="240" w:lineRule="atLeast"/>
    </w:pPr>
    <w:rPr>
      <w:rFonts w:ascii="宋体" w:hAnsi="Courier New" w:eastAsia="宋体"/>
      <w:sz w:val="28"/>
      <w:szCs w:val="21"/>
    </w:rPr>
  </w:style>
  <w:style w:type="character" w:customStyle="1" w:styleId="86">
    <w:name w:val="纯文本 Char1"/>
    <w:basedOn w:val="39"/>
    <w:semiHidden/>
    <w:qFormat/>
    <w:uiPriority w:val="99"/>
    <w:rPr>
      <w:rFonts w:ascii="宋体" w:hAnsi="Courier New" w:eastAsia="宋体" w:cs="Courier New"/>
      <w:szCs w:val="21"/>
    </w:rPr>
  </w:style>
  <w:style w:type="character" w:customStyle="1" w:styleId="87">
    <w:name w:val="fs"/>
    <w:basedOn w:val="39"/>
    <w:qFormat/>
    <w:uiPriority w:val="0"/>
  </w:style>
  <w:style w:type="character" w:customStyle="1" w:styleId="88">
    <w:name w:val="textcontents"/>
    <w:basedOn w:val="39"/>
    <w:qFormat/>
    <w:uiPriority w:val="0"/>
  </w:style>
  <w:style w:type="character" w:customStyle="1" w:styleId="89">
    <w:name w:val="msoins"/>
    <w:basedOn w:val="39"/>
    <w:qFormat/>
    <w:uiPriority w:val="0"/>
  </w:style>
  <w:style w:type="paragraph" w:customStyle="1" w:styleId="90">
    <w:name w:val="默认段落字体 Para Char Char Char Char"/>
    <w:basedOn w:val="1"/>
    <w:qFormat/>
    <w:uiPriority w:val="0"/>
    <w:rPr>
      <w:rFonts w:eastAsia="宋体" w:cs="Times New Roman"/>
      <w:szCs w:val="24"/>
    </w:rPr>
  </w:style>
  <w:style w:type="paragraph" w:customStyle="1" w:styleId="91">
    <w:name w:val="正文(首行缩进)"/>
    <w:basedOn w:val="1"/>
    <w:qFormat/>
    <w:uiPriority w:val="0"/>
    <w:pPr>
      <w:tabs>
        <w:tab w:val="left" w:pos="6678"/>
      </w:tabs>
      <w:ind w:firstLine="630" w:firstLineChars="225"/>
    </w:pPr>
    <w:rPr>
      <w:rFonts w:ascii="宋体" w:hAnsi="宋体" w:eastAsia="宋体" w:cs="Times New Roman"/>
      <w:snapToGrid w:val="0"/>
      <w:color w:val="FF0000"/>
      <w:sz w:val="28"/>
      <w:szCs w:val="28"/>
    </w:rPr>
  </w:style>
  <w:style w:type="paragraph" w:customStyle="1" w:styleId="92">
    <w:name w:val="正文2"/>
    <w:basedOn w:val="1"/>
    <w:qFormat/>
    <w:uiPriority w:val="0"/>
    <w:pPr>
      <w:snapToGrid w:val="0"/>
      <w:spacing w:line="500" w:lineRule="atLeast"/>
      <w:ind w:firstLine="567"/>
    </w:pPr>
    <w:rPr>
      <w:rFonts w:eastAsia="宋体" w:cs="Times New Roman"/>
      <w:szCs w:val="20"/>
    </w:rPr>
  </w:style>
  <w:style w:type="paragraph" w:customStyle="1" w:styleId="93">
    <w:name w:val="表格小五"/>
    <w:basedOn w:val="1"/>
    <w:qFormat/>
    <w:uiPriority w:val="0"/>
    <w:pPr>
      <w:adjustRightInd w:val="0"/>
      <w:snapToGrid w:val="0"/>
      <w:spacing w:afterLines="30" w:line="240" w:lineRule="atLeast"/>
      <w:ind w:firstLine="510"/>
      <w:jc w:val="left"/>
    </w:pPr>
    <w:rPr>
      <w:rFonts w:eastAsia="宋体" w:cs="Times New Roman"/>
      <w:spacing w:val="16"/>
      <w:kern w:val="0"/>
      <w:sz w:val="18"/>
      <w:szCs w:val="20"/>
    </w:rPr>
  </w:style>
  <w:style w:type="paragraph" w:customStyle="1" w:styleId="94">
    <w:name w:val="目录"/>
    <w:basedOn w:val="26"/>
    <w:next w:val="29"/>
    <w:qFormat/>
    <w:uiPriority w:val="0"/>
    <w:pPr>
      <w:spacing w:line="240" w:lineRule="auto"/>
      <w:ind w:firstLine="0" w:firstLineChars="0"/>
    </w:pPr>
    <w:rPr>
      <w:sz w:val="21"/>
    </w:rPr>
  </w:style>
  <w:style w:type="paragraph" w:customStyle="1" w:styleId="95">
    <w:name w:val="宋体"/>
    <w:basedOn w:val="1"/>
    <w:qFormat/>
    <w:uiPriority w:val="0"/>
    <w:rPr>
      <w:rFonts w:ascii="宋体" w:hAnsi="宋体" w:eastAsia="宋体" w:cs="宋体"/>
      <w:szCs w:val="24"/>
    </w:rPr>
  </w:style>
  <w:style w:type="character" w:customStyle="1" w:styleId="96">
    <w:name w:val="HTML 预设格式 Char"/>
    <w:basedOn w:val="39"/>
    <w:link w:val="31"/>
    <w:qFormat/>
    <w:uiPriority w:val="0"/>
    <w:rPr>
      <w:rFonts w:ascii="Arial" w:hAnsi="Arial" w:eastAsia="宋体" w:cs="Arial"/>
      <w:kern w:val="0"/>
      <w:sz w:val="24"/>
      <w:szCs w:val="24"/>
    </w:rPr>
  </w:style>
  <w:style w:type="character" w:customStyle="1" w:styleId="97">
    <w:name w:val="日期 Char"/>
    <w:basedOn w:val="39"/>
    <w:link w:val="21"/>
    <w:qFormat/>
    <w:uiPriority w:val="0"/>
    <w:rPr>
      <w:rFonts w:ascii="Times New Roman" w:hAnsi="Times New Roman" w:eastAsia="宋体" w:cs="Times New Roman"/>
      <w:sz w:val="24"/>
      <w:szCs w:val="24"/>
    </w:rPr>
  </w:style>
  <w:style w:type="paragraph" w:customStyle="1" w:styleId="98">
    <w:name w:val="Char Char Char Char"/>
    <w:basedOn w:val="1"/>
    <w:qFormat/>
    <w:uiPriority w:val="0"/>
    <w:rPr>
      <w:rFonts w:eastAsia="宋体" w:cs="Times New Roman"/>
      <w:szCs w:val="24"/>
    </w:rPr>
  </w:style>
  <w:style w:type="paragraph" w:customStyle="1" w:styleId="99">
    <w:name w:val="Char Char Char"/>
    <w:basedOn w:val="1"/>
    <w:qFormat/>
    <w:uiPriority w:val="0"/>
    <w:rPr>
      <w:rFonts w:eastAsia="宋体" w:cs="Times New Roman"/>
      <w:szCs w:val="24"/>
    </w:rPr>
  </w:style>
  <w:style w:type="paragraph" w:customStyle="1" w:styleId="100">
    <w:name w:val="表格内容"/>
    <w:basedOn w:val="1"/>
    <w:qFormat/>
    <w:uiPriority w:val="0"/>
    <w:pPr>
      <w:ind w:firstLine="360"/>
    </w:pPr>
    <w:rPr>
      <w:rFonts w:ascii="宋体" w:hAnsi="宋体" w:eastAsia="宋体" w:cs="Times New Roman"/>
      <w:snapToGrid w:val="0"/>
      <w:szCs w:val="24"/>
    </w:rPr>
  </w:style>
  <w:style w:type="character" w:customStyle="1" w:styleId="101">
    <w:name w:val="正文文本缩进 Char"/>
    <w:basedOn w:val="39"/>
    <w:link w:val="19"/>
    <w:qFormat/>
    <w:uiPriority w:val="0"/>
    <w:rPr>
      <w:rFonts w:ascii="Times New Roman" w:hAnsi="Times New Roman" w:eastAsia="宋体" w:cs="Times New Roman"/>
      <w:szCs w:val="20"/>
    </w:rPr>
  </w:style>
  <w:style w:type="paragraph" w:customStyle="1" w:styleId="102">
    <w:name w:val="二级无标题条"/>
    <w:basedOn w:val="1"/>
    <w:qFormat/>
    <w:uiPriority w:val="0"/>
    <w:rPr>
      <w:rFonts w:eastAsia="宋体" w:cs="Times New Roman"/>
      <w:szCs w:val="24"/>
    </w:rPr>
  </w:style>
  <w:style w:type="character" w:customStyle="1" w:styleId="103">
    <w:name w:val="宏文本 Char"/>
    <w:basedOn w:val="39"/>
    <w:link w:val="3"/>
    <w:qFormat/>
    <w:uiPriority w:val="0"/>
    <w:rPr>
      <w:rFonts w:ascii="Courier New" w:hAnsi="Courier New" w:eastAsia="宋体" w:cs="Courier New"/>
      <w:sz w:val="24"/>
      <w:szCs w:val="24"/>
    </w:rPr>
  </w:style>
  <w:style w:type="character" w:customStyle="1" w:styleId="104">
    <w:name w:val="正文文本缩进 3 Char"/>
    <w:basedOn w:val="39"/>
    <w:link w:val="28"/>
    <w:qFormat/>
    <w:uiPriority w:val="0"/>
    <w:rPr>
      <w:rFonts w:ascii="Times New Roman" w:hAnsi="Times New Roman" w:eastAsia="宋体" w:cs="Times New Roman"/>
      <w:sz w:val="16"/>
      <w:szCs w:val="16"/>
    </w:rPr>
  </w:style>
  <w:style w:type="paragraph" w:customStyle="1" w:styleId="105">
    <w:name w:val="Char"/>
    <w:basedOn w:val="1"/>
    <w:next w:val="36"/>
    <w:qFormat/>
    <w:uiPriority w:val="0"/>
    <w:rPr>
      <w:rFonts w:eastAsia="宋体" w:cs="Times New Roman"/>
      <w:szCs w:val="24"/>
    </w:rPr>
  </w:style>
  <w:style w:type="paragraph" w:customStyle="1" w:styleId="106">
    <w:name w:val="Char Char Char1 Char"/>
    <w:basedOn w:val="1"/>
    <w:qFormat/>
    <w:uiPriority w:val="0"/>
    <w:pPr>
      <w:widowControl/>
      <w:jc w:val="left"/>
    </w:pPr>
    <w:rPr>
      <w:rFonts w:ascii="宋体" w:hAnsi="宋体" w:eastAsia="宋体" w:cs="宋体"/>
      <w:kern w:val="0"/>
      <w:szCs w:val="24"/>
    </w:rPr>
  </w:style>
  <w:style w:type="paragraph" w:customStyle="1" w:styleId="107">
    <w:name w:val="Char Char Char Char Char Char"/>
    <w:basedOn w:val="1"/>
    <w:next w:val="3"/>
    <w:qFormat/>
    <w:uiPriority w:val="0"/>
    <w:rPr>
      <w:rFonts w:eastAsia="宋体" w:cs="Times New Roman"/>
      <w:sz w:val="28"/>
      <w:szCs w:val="28"/>
    </w:rPr>
  </w:style>
  <w:style w:type="paragraph" w:customStyle="1" w:styleId="108">
    <w:name w:val="xl24"/>
    <w:basedOn w:val="1"/>
    <w:qFormat/>
    <w:uiPriority w:val="0"/>
    <w:pPr>
      <w:widowControl/>
      <w:spacing w:before="100" w:beforeAutospacing="1" w:after="100" w:afterAutospacing="1"/>
      <w:jc w:val="center"/>
    </w:pPr>
    <w:rPr>
      <w:rFonts w:ascii="宋体" w:hAnsi="宋体" w:eastAsia="宋体" w:cs="Times New Roman"/>
      <w:kern w:val="0"/>
      <w:szCs w:val="24"/>
    </w:rPr>
  </w:style>
  <w:style w:type="character" w:customStyle="1" w:styleId="109">
    <w:name w:val="正文缩进 Char1"/>
    <w:basedOn w:val="39"/>
    <w:qFormat/>
    <w:uiPriority w:val="0"/>
    <w:rPr>
      <w:rFonts w:eastAsia="宋体"/>
      <w:kern w:val="2"/>
      <w:sz w:val="21"/>
      <w:szCs w:val="24"/>
      <w:lang w:val="en-US" w:eastAsia="zh-CN" w:bidi="ar-SA"/>
    </w:rPr>
  </w:style>
  <w:style w:type="paragraph" w:customStyle="1" w:styleId="110">
    <w:name w:val="wj样式 + 首行缩进:  2 字符"/>
    <w:basedOn w:val="1"/>
    <w:next w:val="1"/>
    <w:qFormat/>
    <w:uiPriority w:val="0"/>
    <w:pPr>
      <w:ind w:firstLine="536"/>
    </w:pPr>
    <w:rPr>
      <w:rFonts w:eastAsia="宋体" w:cs="宋体"/>
      <w:spacing w:val="14"/>
      <w:szCs w:val="20"/>
    </w:rPr>
  </w:style>
  <w:style w:type="paragraph" w:customStyle="1" w:styleId="111">
    <w:name w:val="无悬挂正文5号"/>
    <w:basedOn w:val="1"/>
    <w:qFormat/>
    <w:uiPriority w:val="0"/>
    <w:pPr>
      <w:jc w:val="center"/>
    </w:pPr>
    <w:rPr>
      <w:rFonts w:eastAsia="宋体" w:cs="Times New Roman"/>
      <w:szCs w:val="24"/>
    </w:rPr>
  </w:style>
  <w:style w:type="character" w:customStyle="1" w:styleId="112">
    <w:name w:val="表格 Char Char"/>
    <w:basedOn w:val="39"/>
    <w:link w:val="78"/>
    <w:qFormat/>
    <w:uiPriority w:val="0"/>
    <w:rPr>
      <w:bCs/>
    </w:rPr>
  </w:style>
  <w:style w:type="paragraph" w:customStyle="1" w:styleId="113">
    <w:name w:val="表格文字"/>
    <w:basedOn w:val="13"/>
    <w:link w:val="114"/>
    <w:qFormat/>
    <w:uiPriority w:val="0"/>
    <w:pPr>
      <w:snapToGrid w:val="0"/>
      <w:spacing w:line="340" w:lineRule="exact"/>
      <w:ind w:firstLine="0" w:firstLineChars="0"/>
      <w:jc w:val="center"/>
    </w:pPr>
    <w:rPr>
      <w:rFonts w:ascii="宋体" w:hAnsi="Arial" w:cs="Times New Roman"/>
      <w:sz w:val="21"/>
      <w:szCs w:val="20"/>
    </w:rPr>
  </w:style>
  <w:style w:type="character" w:customStyle="1" w:styleId="114">
    <w:name w:val="表格文字 Char"/>
    <w:link w:val="113"/>
    <w:qFormat/>
    <w:uiPriority w:val="0"/>
    <w:rPr>
      <w:rFonts w:ascii="宋体" w:hAnsi="Arial" w:eastAsia="宋体" w:cs="Times New Roman"/>
      <w:szCs w:val="20"/>
    </w:rPr>
  </w:style>
  <w:style w:type="character" w:customStyle="1" w:styleId="115">
    <w:name w:val="标题 3 Char1"/>
    <w:basedOn w:val="39"/>
    <w:qFormat/>
    <w:uiPriority w:val="0"/>
    <w:rPr>
      <w:b/>
      <w:bCs/>
      <w:kern w:val="2"/>
      <w:sz w:val="32"/>
      <w:szCs w:val="32"/>
    </w:rPr>
  </w:style>
  <w:style w:type="character" w:customStyle="1" w:styleId="116">
    <w:name w:val="批注框文本 Char"/>
    <w:basedOn w:val="39"/>
    <w:link w:val="23"/>
    <w:qFormat/>
    <w:uiPriority w:val="0"/>
    <w:rPr>
      <w:rFonts w:ascii="Times New Roman" w:hAnsi="Times New Roman" w:eastAsia="宋体" w:cs="Times New Roman"/>
      <w:sz w:val="18"/>
      <w:szCs w:val="18"/>
    </w:rPr>
  </w:style>
  <w:style w:type="character" w:customStyle="1" w:styleId="117">
    <w:name w:val="标题 4 Char"/>
    <w:basedOn w:val="39"/>
    <w:qFormat/>
    <w:uiPriority w:val="9"/>
    <w:rPr>
      <w:rFonts w:ascii="Times New Roman" w:hAnsi="Times New Roman" w:eastAsia="宋体" w:cs="Times New Roman"/>
      <w:b/>
      <w:bCs/>
      <w:sz w:val="24"/>
      <w:szCs w:val="28"/>
    </w:rPr>
  </w:style>
  <w:style w:type="paragraph" w:customStyle="1" w:styleId="118">
    <w:name w:val="引用1"/>
    <w:basedOn w:val="1"/>
    <w:next w:val="1"/>
    <w:qFormat/>
    <w:uiPriority w:val="29"/>
    <w:rPr>
      <w:rFonts w:eastAsia="宋体" w:cs="Times New Roman"/>
      <w:i/>
      <w:iCs/>
      <w:color w:val="000000"/>
      <w:szCs w:val="20"/>
    </w:rPr>
  </w:style>
  <w:style w:type="character" w:customStyle="1" w:styleId="119">
    <w:name w:val="正文文本 3 Char"/>
    <w:basedOn w:val="39"/>
    <w:link w:val="17"/>
    <w:semiHidden/>
    <w:qFormat/>
    <w:uiPriority w:val="99"/>
    <w:rPr>
      <w:rFonts w:ascii="Times New Roman" w:hAnsi="Times New Roman" w:eastAsia="宋体" w:cs="Times New Roman"/>
      <w:sz w:val="16"/>
      <w:szCs w:val="16"/>
    </w:rPr>
  </w:style>
  <w:style w:type="character" w:customStyle="1" w:styleId="120">
    <w:name w:val="引用 Char"/>
    <w:basedOn w:val="39"/>
    <w:qFormat/>
    <w:uiPriority w:val="29"/>
    <w:rPr>
      <w:rFonts w:ascii="Times New Roman" w:hAnsi="Times New Roman" w:eastAsia="宋体" w:cs="Times New Roman"/>
      <w:i/>
      <w:iCs/>
      <w:color w:val="000000"/>
      <w:sz w:val="24"/>
      <w:szCs w:val="20"/>
    </w:rPr>
  </w:style>
  <w:style w:type="paragraph" w:styleId="121">
    <w:name w:val="Quote"/>
    <w:basedOn w:val="1"/>
    <w:next w:val="1"/>
    <w:link w:val="130"/>
    <w:qFormat/>
    <w:uiPriority w:val="29"/>
    <w:rPr>
      <w:rFonts w:eastAsia="宋体" w:cs="Times New Roman"/>
      <w:i/>
      <w:iCs/>
      <w:color w:val="000000"/>
      <w:szCs w:val="20"/>
    </w:rPr>
  </w:style>
  <w:style w:type="character" w:customStyle="1" w:styleId="122">
    <w:name w:val="标题 2 Char1"/>
    <w:basedOn w:val="39"/>
    <w:link w:val="5"/>
    <w:qFormat/>
    <w:uiPriority w:val="9"/>
    <w:rPr>
      <w:rFonts w:ascii="Times New Roman" w:hAnsi="Times New Roman" w:eastAsia="宋体" w:cs="Times New Roman"/>
      <w:b/>
      <w:bCs/>
      <w:kern w:val="2"/>
      <w:sz w:val="24"/>
      <w:szCs w:val="32"/>
    </w:rPr>
  </w:style>
  <w:style w:type="character" w:customStyle="1" w:styleId="123">
    <w:name w:val="明显引用 Char1"/>
    <w:basedOn w:val="39"/>
    <w:link w:val="57"/>
    <w:qFormat/>
    <w:uiPriority w:val="30"/>
    <w:rPr>
      <w:b/>
      <w:bCs/>
      <w:i/>
      <w:iCs/>
      <w:color w:val="4F81BD" w:themeColor="accent1"/>
      <w14:textFill>
        <w14:solidFill>
          <w14:schemeClr w14:val="accent1"/>
        </w14:solidFill>
      </w14:textFill>
    </w:rPr>
  </w:style>
  <w:style w:type="character" w:customStyle="1" w:styleId="124">
    <w:name w:val="明显参考2"/>
    <w:basedOn w:val="39"/>
    <w:qFormat/>
    <w:uiPriority w:val="32"/>
    <w:rPr>
      <w:b/>
      <w:bCs/>
      <w:smallCaps/>
      <w:color w:val="C0504D" w:themeColor="accent2"/>
      <w:spacing w:val="5"/>
      <w:u w:val="single"/>
      <w14:textFill>
        <w14:solidFill>
          <w14:schemeClr w14:val="accent2"/>
        </w14:solidFill>
      </w14:textFill>
    </w:rPr>
  </w:style>
  <w:style w:type="character" w:customStyle="1" w:styleId="125">
    <w:name w:val="不明显参考2"/>
    <w:basedOn w:val="39"/>
    <w:qFormat/>
    <w:uiPriority w:val="31"/>
    <w:rPr>
      <w:smallCaps/>
      <w:color w:val="C0504D" w:themeColor="accent2"/>
      <w:u w:val="single"/>
      <w14:textFill>
        <w14:solidFill>
          <w14:schemeClr w14:val="accent2"/>
        </w14:solidFill>
      </w14:textFill>
    </w:rPr>
  </w:style>
  <w:style w:type="character" w:customStyle="1" w:styleId="126">
    <w:name w:val="副标题 Char1"/>
    <w:basedOn w:val="39"/>
    <w:link w:val="27"/>
    <w:qFormat/>
    <w:uiPriority w:val="11"/>
    <w:rPr>
      <w:rFonts w:eastAsia="宋体" w:asciiTheme="majorHAnsi" w:hAnsiTheme="majorHAnsi" w:cstheme="majorBidi"/>
      <w:b/>
      <w:bCs/>
      <w:kern w:val="28"/>
      <w:sz w:val="32"/>
      <w:szCs w:val="32"/>
    </w:rPr>
  </w:style>
  <w:style w:type="character" w:customStyle="1" w:styleId="127">
    <w:name w:val="正文文本 Char2"/>
    <w:basedOn w:val="39"/>
    <w:link w:val="18"/>
    <w:semiHidden/>
    <w:qFormat/>
    <w:uiPriority w:val="99"/>
  </w:style>
  <w:style w:type="character" w:customStyle="1" w:styleId="128">
    <w:name w:val="纯文本 Char2"/>
    <w:basedOn w:val="39"/>
    <w:link w:val="20"/>
    <w:semiHidden/>
    <w:qFormat/>
    <w:uiPriority w:val="99"/>
    <w:rPr>
      <w:rFonts w:ascii="宋体" w:hAnsi="Courier New" w:eastAsia="宋体" w:cs="Courier New"/>
      <w:szCs w:val="21"/>
    </w:rPr>
  </w:style>
  <w:style w:type="character" w:customStyle="1" w:styleId="129">
    <w:name w:val="标题 4 Char1"/>
    <w:basedOn w:val="39"/>
    <w:link w:val="7"/>
    <w:semiHidden/>
    <w:qFormat/>
    <w:uiPriority w:val="9"/>
    <w:rPr>
      <w:rFonts w:asciiTheme="majorHAnsi" w:hAnsiTheme="majorHAnsi" w:eastAsiaTheme="majorEastAsia" w:cstheme="majorBidi"/>
      <w:b/>
      <w:bCs/>
      <w:sz w:val="28"/>
      <w:szCs w:val="28"/>
    </w:rPr>
  </w:style>
  <w:style w:type="character" w:customStyle="1" w:styleId="130">
    <w:name w:val="引用 Char1"/>
    <w:basedOn w:val="39"/>
    <w:link w:val="121"/>
    <w:qFormat/>
    <w:uiPriority w:val="29"/>
    <w:rPr>
      <w:i/>
      <w:iCs/>
      <w:color w:val="000000" w:themeColor="text1"/>
      <w14:textFill>
        <w14:solidFill>
          <w14:schemeClr w14:val="tx1"/>
        </w14:solidFill>
      </w14:textFill>
    </w:rPr>
  </w:style>
  <w:style w:type="paragraph" w:customStyle="1" w:styleId="131">
    <w:name w:val="环评正文"/>
    <w:basedOn w:val="1"/>
    <w:qFormat/>
    <w:uiPriority w:val="0"/>
    <w:rPr>
      <w:rFonts w:cs="Times New Roman"/>
    </w:rPr>
  </w:style>
  <w:style w:type="character" w:customStyle="1" w:styleId="132">
    <w:name w:val="正文首行缩进 Char"/>
    <w:basedOn w:val="69"/>
    <w:link w:val="35"/>
    <w:qFormat/>
    <w:uiPriority w:val="99"/>
    <w:rPr>
      <w:rFonts w:ascii="Times New Roman" w:hAnsi="Times New Roman" w:eastAsia="宋体"/>
      <w:sz w:val="24"/>
    </w:rPr>
  </w:style>
  <w:style w:type="paragraph" w:customStyle="1" w:styleId="133">
    <w:name w:val="报告表正文"/>
    <w:basedOn w:val="1"/>
    <w:link w:val="134"/>
    <w:qFormat/>
    <w:uiPriority w:val="0"/>
    <w:pPr>
      <w:adjustRightInd w:val="0"/>
      <w:spacing w:line="312" w:lineRule="auto"/>
      <w:ind w:left="113" w:right="113" w:firstLine="482" w:firstLineChars="0"/>
      <w:textAlignment w:val="baseline"/>
    </w:pPr>
    <w:rPr>
      <w:rFonts w:eastAsia="宋体" w:cs="Times New Roman"/>
      <w:kern w:val="0"/>
      <w:szCs w:val="20"/>
    </w:rPr>
  </w:style>
  <w:style w:type="character" w:customStyle="1" w:styleId="134">
    <w:name w:val="报告表正文 Char"/>
    <w:link w:val="133"/>
    <w:qFormat/>
    <w:uiPriority w:val="0"/>
    <w:rPr>
      <w:rFonts w:ascii="Times New Roman" w:hAnsi="Times New Roman" w:eastAsia="宋体" w:cs="Times New Roman"/>
      <w:kern w:val="0"/>
      <w:sz w:val="24"/>
      <w:szCs w:val="20"/>
    </w:rPr>
  </w:style>
  <w:style w:type="character" w:customStyle="1" w:styleId="135">
    <w:name w:val="表标题 Char"/>
    <w:link w:val="136"/>
    <w:qFormat/>
    <w:uiPriority w:val="0"/>
    <w:rPr>
      <w:rFonts w:eastAsia="宋体"/>
      <w:b/>
      <w:bCs/>
      <w:sz w:val="24"/>
      <w:szCs w:val="18"/>
    </w:rPr>
  </w:style>
  <w:style w:type="paragraph" w:customStyle="1" w:styleId="136">
    <w:name w:val="表标题"/>
    <w:basedOn w:val="35"/>
    <w:link w:val="135"/>
    <w:qFormat/>
    <w:uiPriority w:val="0"/>
    <w:pPr>
      <w:adjustRightInd w:val="0"/>
      <w:snapToGrid w:val="0"/>
      <w:spacing w:before="60" w:after="60" w:line="500" w:lineRule="exact"/>
      <w:ind w:firstLine="0" w:firstLineChars="0"/>
      <w:jc w:val="center"/>
    </w:pPr>
    <w:rPr>
      <w:rFonts w:eastAsia="宋体" w:asciiTheme="minorHAnsi" w:hAnsiTheme="minorHAnsi"/>
      <w:b/>
      <w:bCs/>
      <w:szCs w:val="18"/>
    </w:rPr>
  </w:style>
  <w:style w:type="paragraph" w:customStyle="1" w:styleId="137">
    <w:name w:val="纯文本1"/>
    <w:basedOn w:val="1"/>
    <w:qFormat/>
    <w:uiPriority w:val="0"/>
    <w:pPr>
      <w:spacing w:line="240" w:lineRule="auto"/>
      <w:ind w:firstLine="0" w:firstLineChars="0"/>
    </w:pPr>
    <w:rPr>
      <w:rFonts w:hint="eastAsia" w:ascii="宋体" w:hAnsi="Courier New" w:eastAsia="宋体" w:cs="Times New Roman"/>
      <w:sz w:val="21"/>
      <w:szCs w:val="20"/>
    </w:rPr>
  </w:style>
  <w:style w:type="paragraph" w:customStyle="1" w:styleId="138">
    <w:name w:val="表格 32"/>
    <w:basedOn w:val="1"/>
    <w:qFormat/>
    <w:uiPriority w:val="0"/>
    <w:pPr>
      <w:autoSpaceDE w:val="0"/>
      <w:autoSpaceDN w:val="0"/>
      <w:adjustRightInd w:val="0"/>
      <w:jc w:val="center"/>
      <w:textAlignment w:val="baseline"/>
    </w:pPr>
    <w:rPr>
      <w:rFonts w:ascii="宋体" w:hAnsi="Impact" w:eastAsia="宋体" w:cs="Times New Roman"/>
      <w:kern w:val="24"/>
      <w:szCs w:val="20"/>
    </w:rPr>
  </w:style>
  <w:style w:type="paragraph" w:customStyle="1" w:styleId="139">
    <w:name w:val="表格标题"/>
    <w:basedOn w:val="1"/>
    <w:qFormat/>
    <w:uiPriority w:val="0"/>
    <w:pPr>
      <w:ind w:firstLine="0" w:firstLineChars="0"/>
      <w:jc w:val="center"/>
    </w:pPr>
    <w:rPr>
      <w:rFonts w:eastAsia="宋体" w:cs="Times New Roman"/>
      <w:b/>
      <w:sz w:val="21"/>
      <w:szCs w:val="24"/>
    </w:rPr>
  </w:style>
  <w:style w:type="paragraph" w:customStyle="1" w:styleId="140">
    <w:name w:val="表题"/>
    <w:basedOn w:val="78"/>
    <w:qFormat/>
    <w:uiPriority w:val="0"/>
    <w:pPr>
      <w:spacing w:line="240" w:lineRule="auto"/>
      <w:ind w:firstLine="0" w:firstLineChars="0"/>
    </w:pPr>
    <w:rPr>
      <w:rFonts w:eastAsia="宋体" w:cs="Times New Roman"/>
      <w:b/>
      <w:bCs w:val="0"/>
      <w:sz w:val="21"/>
      <w:szCs w:val="24"/>
    </w:rPr>
  </w:style>
  <w:style w:type="character" w:customStyle="1" w:styleId="141">
    <w:name w:val="魏秀珍   正文 Char"/>
    <w:basedOn w:val="39"/>
    <w:link w:val="142"/>
    <w:qFormat/>
    <w:locked/>
    <w:uiPriority w:val="0"/>
    <w:rPr>
      <w:rFonts w:ascii="宋体" w:hAnsi="宋体" w:eastAsia="宋体" w:cs="Times New Roman"/>
      <w:b/>
      <w:bCs/>
      <w:szCs w:val="21"/>
    </w:rPr>
  </w:style>
  <w:style w:type="paragraph" w:customStyle="1" w:styleId="142">
    <w:name w:val="魏秀珍   正文"/>
    <w:basedOn w:val="13"/>
    <w:link w:val="141"/>
    <w:qFormat/>
    <w:uiPriority w:val="0"/>
    <w:pPr>
      <w:ind w:firstLine="422"/>
    </w:pPr>
    <w:rPr>
      <w:rFonts w:ascii="宋体" w:hAnsi="宋体" w:cs="Times New Roman"/>
      <w:b/>
      <w:bCs/>
      <w:sz w:val="21"/>
      <w:szCs w:val="21"/>
    </w:rPr>
  </w:style>
  <w:style w:type="character" w:customStyle="1" w:styleId="143">
    <w:name w:val="文本内容 Char"/>
    <w:basedOn w:val="39"/>
    <w:link w:val="144"/>
    <w:qFormat/>
    <w:uiPriority w:val="0"/>
    <w:rPr>
      <w:rFonts w:eastAsia="宋体" w:cs="宋体"/>
      <w:sz w:val="28"/>
      <w:szCs w:val="21"/>
    </w:rPr>
  </w:style>
  <w:style w:type="paragraph" w:customStyle="1" w:styleId="144">
    <w:name w:val="文本内容"/>
    <w:basedOn w:val="1"/>
    <w:link w:val="143"/>
    <w:qFormat/>
    <w:uiPriority w:val="0"/>
    <w:pPr>
      <w:adjustRightInd w:val="0"/>
      <w:snapToGrid w:val="0"/>
      <w:ind w:firstLine="546"/>
    </w:pPr>
    <w:rPr>
      <w:rFonts w:eastAsia="宋体" w:cs="宋体" w:asciiTheme="minorHAnsi" w:hAnsiTheme="minorHAnsi"/>
      <w:sz w:val="28"/>
      <w:szCs w:val="21"/>
    </w:rPr>
  </w:style>
  <w:style w:type="character" w:customStyle="1" w:styleId="145">
    <w:name w:val="标题 9 Char"/>
    <w:basedOn w:val="39"/>
    <w:link w:val="12"/>
    <w:qFormat/>
    <w:uiPriority w:val="9"/>
    <w:rPr>
      <w:rFonts w:asciiTheme="majorHAnsi" w:hAnsiTheme="majorHAnsi" w:eastAsiaTheme="majorEastAsia" w:cstheme="majorBidi"/>
      <w:szCs w:val="21"/>
    </w:rPr>
  </w:style>
  <w:style w:type="paragraph" w:customStyle="1" w:styleId="146">
    <w:name w:val="表格内容新"/>
    <w:basedOn w:val="1"/>
    <w:next w:val="1"/>
    <w:qFormat/>
    <w:uiPriority w:val="0"/>
    <w:pPr>
      <w:autoSpaceDE w:val="0"/>
      <w:autoSpaceDN w:val="0"/>
      <w:adjustRightInd w:val="0"/>
      <w:snapToGrid w:val="0"/>
      <w:spacing w:line="360" w:lineRule="exact"/>
      <w:ind w:firstLine="0" w:firstLineChars="0"/>
      <w:jc w:val="center"/>
      <w:textAlignment w:val="baseline"/>
    </w:pPr>
    <w:rPr>
      <w:rFonts w:eastAsia="宋体" w:cs="Times New Roman"/>
      <w:kern w:val="24"/>
      <w:sz w:val="21"/>
      <w:szCs w:val="20"/>
    </w:rPr>
  </w:style>
  <w:style w:type="paragraph" w:customStyle="1" w:styleId="147">
    <w:name w:val="中文报告书"/>
    <w:basedOn w:val="1"/>
    <w:qFormat/>
    <w:uiPriority w:val="0"/>
    <w:pPr>
      <w:adjustRightInd w:val="0"/>
      <w:spacing w:after="80" w:line="420" w:lineRule="atLeast"/>
      <w:ind w:firstLine="0" w:firstLineChars="0"/>
      <w:jc w:val="left"/>
      <w:textAlignment w:val="baseline"/>
    </w:pPr>
    <w:rPr>
      <w:rFonts w:eastAsia="宋体" w:cs="Times New Roman"/>
      <w:szCs w:val="20"/>
    </w:rPr>
  </w:style>
  <w:style w:type="paragraph" w:customStyle="1" w:styleId="148">
    <w:name w:val="Char1 Char Char Char1 Char Char Char Char Char Char Char Char Char Char Char Char"/>
    <w:basedOn w:val="1"/>
    <w:next w:val="1"/>
    <w:qFormat/>
    <w:uiPriority w:val="0"/>
    <w:pPr>
      <w:spacing w:line="240" w:lineRule="auto"/>
      <w:ind w:firstLine="0" w:firstLineChars="0"/>
    </w:pPr>
    <w:rPr>
      <w:rFonts w:ascii="宋体" w:hAnsi="宋体" w:eastAsia="宋体" w:cs="Times New Roman"/>
      <w:szCs w:val="24"/>
    </w:rPr>
  </w:style>
  <w:style w:type="character" w:customStyle="1" w:styleId="149">
    <w:name w:val="方案正文 Char Char"/>
    <w:link w:val="150"/>
    <w:qFormat/>
    <w:uiPriority w:val="0"/>
    <w:rPr>
      <w:rFonts w:ascii="宋体" w:hAnsi="宋体" w:eastAsia="宋体"/>
      <w:spacing w:val="14"/>
      <w:sz w:val="24"/>
      <w:szCs w:val="24"/>
    </w:rPr>
  </w:style>
  <w:style w:type="paragraph" w:customStyle="1" w:styleId="150">
    <w:name w:val="方案正文"/>
    <w:basedOn w:val="1"/>
    <w:link w:val="149"/>
    <w:qFormat/>
    <w:uiPriority w:val="0"/>
    <w:pPr>
      <w:spacing w:beforeLines="50" w:afterLines="50"/>
    </w:pPr>
    <w:rPr>
      <w:rFonts w:ascii="宋体" w:hAnsi="宋体" w:eastAsia="宋体"/>
      <w:spacing w:val="14"/>
      <w:szCs w:val="24"/>
    </w:rPr>
  </w:style>
  <w:style w:type="character" w:customStyle="1" w:styleId="151">
    <w:name w:val="批注文字 Char"/>
    <w:basedOn w:val="39"/>
    <w:link w:val="15"/>
    <w:qFormat/>
    <w:uiPriority w:val="0"/>
    <w:rPr>
      <w:rFonts w:ascii="Times New Roman" w:hAnsi="Times New Roman" w:eastAsia="宋体" w:cs="Times New Roman"/>
      <w:szCs w:val="24"/>
    </w:rPr>
  </w:style>
  <w:style w:type="paragraph" w:customStyle="1" w:styleId="152">
    <w:name w:val="Char2"/>
    <w:basedOn w:val="1"/>
    <w:qFormat/>
    <w:uiPriority w:val="0"/>
    <w:pPr>
      <w:spacing w:line="240" w:lineRule="auto"/>
      <w:ind w:firstLine="0" w:firstLineChars="0"/>
    </w:pPr>
    <w:rPr>
      <w:rFonts w:eastAsia="宋体" w:cs="Times New Roman"/>
      <w:sz w:val="21"/>
      <w:szCs w:val="24"/>
    </w:rPr>
  </w:style>
  <w:style w:type="character" w:customStyle="1" w:styleId="153">
    <w:name w:val="标题 Char"/>
    <w:basedOn w:val="39"/>
    <w:link w:val="34"/>
    <w:qFormat/>
    <w:uiPriority w:val="10"/>
    <w:rPr>
      <w:rFonts w:ascii="Times New Roman" w:hAnsi="Times New Roman" w:eastAsia="宋体" w:cstheme="majorBidi"/>
      <w:b/>
      <w:bCs/>
      <w:snapToGrid w:val="0"/>
      <w:sz w:val="24"/>
      <w:szCs w:val="32"/>
    </w:rPr>
  </w:style>
  <w:style w:type="character" w:customStyle="1" w:styleId="154">
    <w:name w:val="font51"/>
    <w:qFormat/>
    <w:uiPriority w:val="0"/>
    <w:rPr>
      <w:rFonts w:hint="eastAsia" w:ascii="宋体" w:hAnsi="宋体" w:eastAsia="宋体" w:cs="宋体"/>
      <w:color w:val="000000"/>
      <w:sz w:val="24"/>
      <w:szCs w:val="24"/>
      <w:u w:val="none"/>
    </w:rPr>
  </w:style>
  <w:style w:type="character" w:customStyle="1" w:styleId="155">
    <w:name w:val="font61"/>
    <w:basedOn w:val="39"/>
    <w:qFormat/>
    <w:uiPriority w:val="0"/>
    <w:rPr>
      <w:rFonts w:hint="eastAsia" w:ascii="宋体" w:hAnsi="宋体" w:eastAsia="宋体" w:cs="宋体"/>
      <w:color w:val="0000FF"/>
      <w:kern w:val="0"/>
      <w:sz w:val="24"/>
      <w:szCs w:val="24"/>
      <w:u w:val="none"/>
    </w:rPr>
  </w:style>
  <w:style w:type="character" w:customStyle="1" w:styleId="156">
    <w:name w:val="font01"/>
    <w:qFormat/>
    <w:uiPriority w:val="0"/>
    <w:rPr>
      <w:rFonts w:hint="eastAsia" w:ascii="宋体" w:hAnsi="宋体" w:eastAsia="宋体" w:cs="宋体"/>
      <w:b/>
      <w:color w:val="000000"/>
      <w:sz w:val="24"/>
      <w:szCs w:val="24"/>
      <w:u w:val="none"/>
    </w:rPr>
  </w:style>
  <w:style w:type="character" w:customStyle="1" w:styleId="157">
    <w:name w:val="font81"/>
    <w:basedOn w:val="39"/>
    <w:qFormat/>
    <w:uiPriority w:val="0"/>
    <w:rPr>
      <w:rFonts w:hint="default" w:ascii="Times New Roman" w:hAnsi="Times New Roman" w:eastAsia="仿宋_GB2312" w:cs="Times New Roman"/>
      <w:color w:val="auto"/>
      <w:kern w:val="0"/>
      <w:sz w:val="24"/>
      <w:szCs w:val="24"/>
      <w:u w:val="none"/>
    </w:rPr>
  </w:style>
  <w:style w:type="character" w:customStyle="1" w:styleId="158">
    <w:name w:val="font71"/>
    <w:basedOn w:val="39"/>
    <w:qFormat/>
    <w:uiPriority w:val="0"/>
    <w:rPr>
      <w:rFonts w:hint="default" w:ascii="Times New Roman" w:hAnsi="Times New Roman" w:eastAsia="仿宋_GB2312" w:cs="Times New Roman"/>
      <w:color w:val="0000FF"/>
      <w:kern w:val="0"/>
      <w:sz w:val="24"/>
      <w:szCs w:val="24"/>
      <w:u w:val="none"/>
    </w:rPr>
  </w:style>
  <w:style w:type="character" w:customStyle="1" w:styleId="159">
    <w:name w:val="标题 5 Char"/>
    <w:basedOn w:val="39"/>
    <w:link w:val="8"/>
    <w:qFormat/>
    <w:uiPriority w:val="9"/>
    <w:rPr>
      <w:rFonts w:ascii="Times New Roman" w:hAnsi="Times New Roman"/>
      <w:b/>
      <w:bCs/>
      <w:sz w:val="28"/>
      <w:szCs w:val="28"/>
    </w:rPr>
  </w:style>
  <w:style w:type="character" w:customStyle="1" w:styleId="160">
    <w:name w:val="标题 6 Char"/>
    <w:basedOn w:val="39"/>
    <w:link w:val="9"/>
    <w:qFormat/>
    <w:uiPriority w:val="9"/>
    <w:rPr>
      <w:rFonts w:asciiTheme="majorHAnsi" w:hAnsiTheme="majorHAnsi" w:eastAsiaTheme="majorEastAsia" w:cstheme="majorBidi"/>
      <w:b/>
      <w:bCs/>
      <w:sz w:val="24"/>
      <w:szCs w:val="24"/>
    </w:rPr>
  </w:style>
  <w:style w:type="character" w:customStyle="1" w:styleId="161">
    <w:name w:val="标题 7 Char"/>
    <w:basedOn w:val="39"/>
    <w:link w:val="10"/>
    <w:qFormat/>
    <w:uiPriority w:val="9"/>
    <w:rPr>
      <w:rFonts w:ascii="Times New Roman" w:hAnsi="Times New Roman"/>
      <w:b/>
      <w:bCs/>
      <w:sz w:val="24"/>
      <w:szCs w:val="24"/>
    </w:rPr>
  </w:style>
  <w:style w:type="character" w:customStyle="1" w:styleId="162">
    <w:name w:val="标题 8 Char"/>
    <w:basedOn w:val="39"/>
    <w:link w:val="11"/>
    <w:qFormat/>
    <w:uiPriority w:val="9"/>
    <w:rPr>
      <w:rFonts w:asciiTheme="majorHAnsi" w:hAnsiTheme="majorHAnsi" w:eastAsiaTheme="majorEastAsia" w:cstheme="majorBidi"/>
      <w:sz w:val="24"/>
      <w:szCs w:val="24"/>
    </w:rPr>
  </w:style>
  <w:style w:type="paragraph" w:customStyle="1" w:styleId="163">
    <w:name w:val="Char1"/>
    <w:basedOn w:val="1"/>
    <w:qFormat/>
    <w:uiPriority w:val="0"/>
    <w:pPr>
      <w:spacing w:line="240" w:lineRule="auto"/>
      <w:ind w:firstLine="538" w:firstLineChars="192"/>
    </w:pPr>
    <w:rPr>
      <w:rFonts w:ascii="黑体" w:hAnsi="宋体" w:eastAsia="黑体" w:cs="Times New Roman"/>
      <w:b/>
      <w:color w:val="000000"/>
      <w:kern w:val="24"/>
      <w:sz w:val="28"/>
      <w:szCs w:val="28"/>
    </w:rPr>
  </w:style>
  <w:style w:type="paragraph" w:customStyle="1" w:styleId="164">
    <w:name w:val="Char1 Char Char Char1 Char Char Char Char Char Char Char Char Char Char Char Char1"/>
    <w:basedOn w:val="1"/>
    <w:next w:val="1"/>
    <w:qFormat/>
    <w:uiPriority w:val="0"/>
    <w:pPr>
      <w:spacing w:line="240" w:lineRule="auto"/>
      <w:ind w:firstLine="0" w:firstLineChars="0"/>
    </w:pPr>
    <w:rPr>
      <w:rFonts w:ascii="宋体" w:hAnsi="宋体" w:eastAsia="宋体" w:cs="Times New Roman"/>
      <w:szCs w:val="24"/>
    </w:rPr>
  </w:style>
  <w:style w:type="paragraph" w:customStyle="1" w:styleId="165">
    <w:name w:val="无间隔1"/>
    <w:basedOn w:val="1"/>
    <w:qFormat/>
    <w:uiPriority w:val="0"/>
    <w:pPr>
      <w:adjustRightInd w:val="0"/>
      <w:snapToGrid w:val="0"/>
      <w:spacing w:line="240" w:lineRule="auto"/>
      <w:ind w:firstLine="0" w:firstLineChars="0"/>
      <w:jc w:val="center"/>
    </w:pPr>
    <w:rPr>
      <w:rFonts w:eastAsia="宋体" w:cs="Times New Roman"/>
      <w:szCs w:val="24"/>
    </w:rPr>
  </w:style>
  <w:style w:type="paragraph" w:customStyle="1" w:styleId="166">
    <w:name w:val="Char Char Char1 Char Char Char Char"/>
    <w:basedOn w:val="1"/>
    <w:qFormat/>
    <w:uiPriority w:val="0"/>
    <w:pPr>
      <w:widowControl/>
      <w:spacing w:line="240" w:lineRule="auto"/>
      <w:ind w:firstLine="0" w:firstLineChars="0"/>
      <w:jc w:val="left"/>
    </w:pPr>
    <w:rPr>
      <w:rFonts w:ascii="宋体" w:hAnsi="宋体" w:eastAsia="宋体" w:cs="Courier New"/>
      <w:kern w:val="0"/>
      <w:sz w:val="32"/>
      <w:szCs w:val="32"/>
    </w:rPr>
  </w:style>
  <w:style w:type="paragraph" w:customStyle="1" w:styleId="167">
    <w:name w:val="Table Paragraph"/>
    <w:basedOn w:val="1"/>
    <w:qFormat/>
    <w:uiPriority w:val="1"/>
    <w:pPr>
      <w:autoSpaceDE w:val="0"/>
      <w:autoSpaceDN w:val="0"/>
      <w:adjustRightInd w:val="0"/>
      <w:spacing w:line="240" w:lineRule="auto"/>
      <w:ind w:firstLine="0" w:firstLineChars="0"/>
      <w:jc w:val="left"/>
    </w:pPr>
    <w:rPr>
      <w:rFonts w:cs="Times New Roman"/>
      <w:kern w:val="0"/>
      <w:szCs w:val="24"/>
    </w:rPr>
  </w:style>
  <w:style w:type="character" w:customStyle="1" w:styleId="168">
    <w:name w:val="样式4 Char2"/>
    <w:link w:val="169"/>
    <w:qFormat/>
    <w:uiPriority w:val="0"/>
    <w:rPr>
      <w:rFonts w:eastAsia="宋体"/>
      <w:color w:val="000000"/>
      <w:sz w:val="24"/>
      <w:szCs w:val="24"/>
    </w:rPr>
  </w:style>
  <w:style w:type="paragraph" w:customStyle="1" w:styleId="169">
    <w:name w:val="样式4"/>
    <w:basedOn w:val="1"/>
    <w:link w:val="168"/>
    <w:qFormat/>
    <w:uiPriority w:val="0"/>
    <w:pPr>
      <w:spacing w:line="240" w:lineRule="auto"/>
    </w:pPr>
    <w:rPr>
      <w:rFonts w:eastAsia="宋体" w:asciiTheme="minorHAnsi" w:hAnsiTheme="minorHAnsi"/>
      <w:color w:val="000000"/>
      <w:kern w:val="0"/>
      <w:szCs w:val="24"/>
    </w:rPr>
  </w:style>
  <w:style w:type="character" w:customStyle="1" w:styleId="170">
    <w:name w:val="latinname"/>
    <w:basedOn w:val="39"/>
    <w:qFormat/>
    <w:uiPriority w:val="0"/>
  </w:style>
  <w:style w:type="character" w:customStyle="1" w:styleId="171">
    <w:name w:val="splatinname"/>
    <w:basedOn w:val="39"/>
    <w:qFormat/>
    <w:uiPriority w:val="0"/>
  </w:style>
  <w:style w:type="paragraph" w:customStyle="1" w:styleId="172">
    <w:name w:val="样式 方正仿宋_GBK 三号 行距: 固定值 28 磅"/>
    <w:basedOn w:val="1"/>
    <w:qFormat/>
    <w:uiPriority w:val="0"/>
    <w:pPr>
      <w:jc w:val="left"/>
    </w:pPr>
    <w:rPr>
      <w:rFonts w:ascii="方正仿宋_GBK" w:hAnsi="方正仿宋_GBK" w:eastAsia="宋体" w:cs="宋体"/>
      <w:sz w:val="28"/>
      <w:szCs w:val="20"/>
    </w:rPr>
  </w:style>
  <w:style w:type="paragraph" w:customStyle="1" w:styleId="173">
    <w:name w:val="表格文字2"/>
    <w:basedOn w:val="1"/>
    <w:qFormat/>
    <w:uiPriority w:val="0"/>
    <w:pPr>
      <w:adjustRightInd w:val="0"/>
      <w:spacing w:before="60" w:line="240" w:lineRule="auto"/>
      <w:ind w:firstLine="0" w:firstLineChars="0"/>
      <w:jc w:val="center"/>
      <w:textAlignment w:val="baseline"/>
    </w:pPr>
    <w:rPr>
      <w:rFonts w:ascii="宋体" w:eastAsia="宋体" w:cs="Times New Roman"/>
      <w:kern w:val="0"/>
      <w:szCs w:val="20"/>
    </w:rPr>
  </w:style>
  <w:style w:type="table" w:customStyle="1" w:styleId="174">
    <w:name w:val="网格型8"/>
    <w:basedOn w:val="37"/>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75">
    <w:name w:val="普通(网站) Char"/>
    <w:link w:val="32"/>
    <w:qFormat/>
    <w:locked/>
    <w:uiPriority w:val="0"/>
    <w:rPr>
      <w:rFonts w:ascii="Arial Unicode MS" w:hAnsi="Arial Unicode MS" w:eastAsia="Arial Unicode MS" w:cs="Arial Unicode MS"/>
      <w:sz w:val="24"/>
      <w:szCs w:val="24"/>
    </w:rPr>
  </w:style>
  <w:style w:type="character" w:customStyle="1" w:styleId="176">
    <w:name w:val="表格 Char"/>
    <w:qFormat/>
    <w:locked/>
    <w:uiPriority w:val="0"/>
    <w:rPr>
      <w:rFonts w:ascii="宋体"/>
      <w:sz w:val="21"/>
    </w:rPr>
  </w:style>
  <w:style w:type="paragraph" w:customStyle="1" w:styleId="177">
    <w:name w:val="报告表正文（首行缩进）"/>
    <w:basedOn w:val="133"/>
    <w:qFormat/>
    <w:uiPriority w:val="0"/>
    <w:pPr>
      <w:spacing w:line="360" w:lineRule="auto"/>
      <w:ind w:left="0" w:right="0" w:firstLine="562" w:firstLineChars="200"/>
      <w:jc w:val="left"/>
    </w:pPr>
    <w:rPr>
      <w:szCs w:val="24"/>
    </w:rPr>
  </w:style>
  <w:style w:type="paragraph" w:customStyle="1" w:styleId="178">
    <w:name w:val="表格式"/>
    <w:basedOn w:val="179"/>
    <w:qFormat/>
    <w:uiPriority w:val="0"/>
    <w:pPr>
      <w:autoSpaceDE w:val="0"/>
      <w:autoSpaceDN w:val="0"/>
      <w:spacing w:line="240" w:lineRule="auto"/>
      <w:ind w:firstLine="0" w:firstLineChars="0"/>
      <w:jc w:val="center"/>
      <w:textAlignment w:val="bottom"/>
    </w:pPr>
    <w:rPr>
      <w:rFonts w:eastAsia="宋体" w:cs="Times New Roman"/>
      <w:kern w:val="0"/>
      <w:sz w:val="21"/>
      <w:szCs w:val="21"/>
    </w:rPr>
  </w:style>
  <w:style w:type="paragraph" w:customStyle="1" w:styleId="179">
    <w:name w:val="报告书"/>
    <w:basedOn w:val="1"/>
    <w:qFormat/>
    <w:uiPriority w:val="0"/>
    <w:pPr>
      <w:autoSpaceDE w:val="0"/>
      <w:autoSpaceDN w:val="0"/>
      <w:adjustRightInd w:val="0"/>
      <w:ind w:firstLine="505"/>
      <w:jc w:val="left"/>
      <w:textAlignment w:val="bottom"/>
    </w:pPr>
    <w:rPr>
      <w:kern w:val="0"/>
      <w:szCs w:val="20"/>
    </w:rPr>
  </w:style>
  <w:style w:type="character" w:customStyle="1" w:styleId="180">
    <w:name w:val="正文首行缩进 2 Char"/>
    <w:basedOn w:val="101"/>
    <w:link w:val="36"/>
    <w:semiHidden/>
    <w:qFormat/>
    <w:uiPriority w:val="99"/>
    <w:rPr>
      <w:rFonts w:ascii="Times New Roman" w:hAnsi="Times New Roman" w:eastAsia="宋体" w:cs="Times New Roman"/>
      <w:kern w:val="2"/>
      <w:sz w:val="24"/>
      <w:szCs w:val="22"/>
    </w:rPr>
  </w:style>
  <w:style w:type="character" w:customStyle="1" w:styleId="181">
    <w:name w:val="正文缩进 Char2"/>
    <w:qFormat/>
    <w:uiPriority w:val="0"/>
    <w:rPr>
      <w:rFonts w:ascii="Times New Roman" w:hAnsi="Times New Roman" w:eastAsia="宋体"/>
      <w:sz w:val="24"/>
    </w:rPr>
  </w:style>
  <w:style w:type="paragraph" w:customStyle="1" w:styleId="182">
    <w:name w:val="表内容"/>
    <w:basedOn w:val="1"/>
    <w:qFormat/>
    <w:uiPriority w:val="0"/>
    <w:pPr>
      <w:widowControl/>
      <w:autoSpaceDE w:val="0"/>
      <w:autoSpaceDN w:val="0"/>
      <w:spacing w:line="240" w:lineRule="auto"/>
      <w:jc w:val="center"/>
      <w:textAlignment w:val="bottom"/>
    </w:pPr>
    <w:rPr>
      <w:rFonts w:hAnsi="宋体"/>
      <w:sz w:val="21"/>
      <w:szCs w:val="21"/>
    </w:rPr>
  </w:style>
  <w:style w:type="paragraph" w:customStyle="1" w:styleId="183">
    <w:name w:val="文本正文"/>
    <w:qFormat/>
    <w:uiPriority w:val="0"/>
    <w:pPr>
      <w:adjustRightInd w:val="0"/>
      <w:snapToGrid w:val="0"/>
      <w:spacing w:line="360" w:lineRule="auto"/>
      <w:ind w:firstLine="200" w:firstLineChars="200"/>
    </w:pPr>
    <w:rPr>
      <w:rFonts w:ascii="Times New Roman" w:hAnsi="Times New Roman" w:eastAsia="宋体" w:cs="Times New Roman"/>
      <w:sz w:val="24"/>
      <w:lang w:val="en-US" w:eastAsia="zh-CN" w:bidi="ar-SA"/>
    </w:rPr>
  </w:style>
  <w:style w:type="character" w:customStyle="1" w:styleId="184">
    <w:name w:val="正文（首行缩进两字） Char"/>
    <w:qFormat/>
    <w:uiPriority w:val="0"/>
    <w:rPr>
      <w:rFonts w:hint="eastAsia" w:ascii="宋体" w:hAnsi="宋体" w:eastAsia="宋体"/>
      <w:kern w:val="2"/>
      <w:sz w:val="24"/>
      <w:lang w:val="en-US" w:eastAsia="zh-CN"/>
    </w:rPr>
  </w:style>
  <w:style w:type="paragraph" w:customStyle="1" w:styleId="185">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wmf"/><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jpeg"/><Relationship Id="rId22" Type="http://schemas.openxmlformats.org/officeDocument/2006/relationships/image" Target="media/image5.pn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B0C774-E5ED-4B44-84CD-82670542A33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79</Pages>
  <Words>41083</Words>
  <Characters>44902</Characters>
  <Lines>164</Lines>
  <Paragraphs>46</Paragraphs>
  <TotalTime>3</TotalTime>
  <ScaleCrop>false</ScaleCrop>
  <LinksUpToDate>false</LinksUpToDate>
  <CharactersWithSpaces>45157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2016-07-20T02:42:00Z</dcterms:created>
  <dc:creator>李林宝</dc:creator>
  <cp:lastModifiedBy>Administrator</cp:lastModifiedBy>
  <cp:lastPrinted>2020-04-24T01:10:00Z</cp:lastPrinted>
  <dcterms:modified xsi:type="dcterms:W3CDTF">2025-06-05T09:17:08Z</dcterms:modified>
  <cp:revision>4352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4CD4814D21A34316B1F841E866AB6EC1</vt:lpwstr>
  </property>
</Properties>
</file>