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姚安县2022年一般公共预算转移支付及</w:t>
      </w:r>
    </w:p>
    <w:p>
      <w:pPr>
        <w:widowControl/>
        <w:shd w:val="clear" w:color="auto" w:fill="FFFFFF"/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本级收入安排情况说明</w:t>
      </w:r>
    </w:p>
    <w:p>
      <w:pPr>
        <w:pStyle w:val="9"/>
        <w:widowControl/>
        <w:spacing w:beforeAutospacing="0" w:afterAutospacing="0" w:line="579" w:lineRule="exact"/>
        <w:ind w:firstLine="632" w:firstLineChars="200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根据楚雄州财政局关于提前下达2022年部分转移支付资金的通知和全口径预算的要求，按照我县2022年经济社会发展目标，2022年的财政预算编制工作，认真贯彻了新修订的《中华人民共和国预算法》、国务院《关于深化预算管理制度改革的决定》和县委十三届九次全会精神，按照“统筹兼顾、积极稳妥、量入为出、收支平衡”的原则，以“保工资、保运转、保民生、保稳定”为重点，进一步调整和优化财政支出结构，大力压缩一般性支出，以确保工资发放、机构运转、民生配套和重点支出来进行预算安排，现将我县2022年一般公共预算编制情况作如下说明：</w:t>
      </w:r>
    </w:p>
    <w:p>
      <w:pPr>
        <w:spacing w:line="540" w:lineRule="exact"/>
        <w:ind w:firstLine="531" w:firstLineChars="168"/>
        <w:rPr>
          <w:b/>
          <w:szCs w:val="32"/>
        </w:rPr>
      </w:pPr>
      <w:r>
        <w:rPr>
          <w:b/>
          <w:szCs w:val="32"/>
        </w:rPr>
        <w:t>一、一般公共预算收入预算</w:t>
      </w:r>
      <w:r>
        <w:rPr>
          <w:rFonts w:hint="eastAsia"/>
          <w:b/>
          <w:szCs w:val="32"/>
        </w:rPr>
        <w:t>情况</w:t>
      </w:r>
    </w:p>
    <w:p>
      <w:pPr>
        <w:spacing w:line="540" w:lineRule="exact"/>
        <w:ind w:firstLine="531" w:firstLineChars="168"/>
        <w:rPr>
          <w:szCs w:val="32"/>
        </w:rPr>
      </w:pPr>
      <w:r>
        <w:rPr>
          <w:szCs w:val="32"/>
        </w:rPr>
        <w:t>根据县委十</w:t>
      </w:r>
      <w:r>
        <w:rPr>
          <w:rFonts w:hint="eastAsia"/>
          <w:szCs w:val="32"/>
        </w:rPr>
        <w:t>四</w:t>
      </w:r>
      <w:r>
        <w:rPr>
          <w:szCs w:val="32"/>
        </w:rPr>
        <w:t>届</w:t>
      </w:r>
      <w:r>
        <w:rPr>
          <w:rFonts w:hint="eastAsia"/>
          <w:szCs w:val="32"/>
        </w:rPr>
        <w:t>三</w:t>
      </w:r>
      <w:r>
        <w:rPr>
          <w:szCs w:val="32"/>
        </w:rPr>
        <w:t>次全会的总体部署，结合全县经济社会发展目标和</w:t>
      </w:r>
      <w:r>
        <w:rPr>
          <w:rFonts w:hint="eastAsia"/>
          <w:szCs w:val="32"/>
        </w:rPr>
        <w:t>财</w:t>
      </w:r>
      <w:r>
        <w:rPr>
          <w:szCs w:val="32"/>
        </w:rPr>
        <w:t>源结构分析，20</w:t>
      </w:r>
      <w:r>
        <w:rPr>
          <w:rFonts w:hint="eastAsia"/>
          <w:szCs w:val="32"/>
        </w:rPr>
        <w:t>22</w:t>
      </w:r>
      <w:r>
        <w:rPr>
          <w:szCs w:val="32"/>
        </w:rPr>
        <w:t>年县本级一般公共预算收入预算</w:t>
      </w:r>
      <w:r>
        <w:rPr>
          <w:rFonts w:hint="eastAsia"/>
          <w:szCs w:val="32"/>
        </w:rPr>
        <w:t>38974</w:t>
      </w:r>
      <w:r>
        <w:rPr>
          <w:szCs w:val="32"/>
        </w:rPr>
        <w:t>万元，比20</w:t>
      </w:r>
      <w:r>
        <w:rPr>
          <w:rFonts w:hint="eastAsia"/>
          <w:szCs w:val="32"/>
        </w:rPr>
        <w:t>21</w:t>
      </w:r>
      <w:r>
        <w:rPr>
          <w:szCs w:val="32"/>
        </w:rPr>
        <w:t>年</w:t>
      </w:r>
      <w:r>
        <w:rPr>
          <w:rFonts w:hint="eastAsia"/>
          <w:szCs w:val="32"/>
        </w:rPr>
        <w:t>实现</w:t>
      </w:r>
      <w:r>
        <w:rPr>
          <w:szCs w:val="32"/>
        </w:rPr>
        <w:t>数</w:t>
      </w:r>
      <w:r>
        <w:rPr>
          <w:rFonts w:hint="eastAsia"/>
          <w:szCs w:val="32"/>
        </w:rPr>
        <w:t>37839</w:t>
      </w:r>
      <w:r>
        <w:rPr>
          <w:szCs w:val="32"/>
        </w:rPr>
        <w:t>万元增加</w:t>
      </w:r>
      <w:r>
        <w:rPr>
          <w:rFonts w:hint="eastAsia"/>
          <w:szCs w:val="32"/>
        </w:rPr>
        <w:t>1135</w:t>
      </w:r>
      <w:r>
        <w:rPr>
          <w:szCs w:val="32"/>
        </w:rPr>
        <w:t>万元，增长</w:t>
      </w:r>
      <w:r>
        <w:rPr>
          <w:rFonts w:hint="eastAsia"/>
          <w:szCs w:val="32"/>
        </w:rPr>
        <w:t>3</w:t>
      </w:r>
      <w:r>
        <w:rPr>
          <w:szCs w:val="32"/>
        </w:rPr>
        <w:t>%。</w:t>
      </w:r>
    </w:p>
    <w:p>
      <w:pPr>
        <w:spacing w:line="540" w:lineRule="exact"/>
        <w:ind w:firstLine="630"/>
        <w:rPr>
          <w:b/>
          <w:szCs w:val="32"/>
        </w:rPr>
      </w:pPr>
      <w:r>
        <w:rPr>
          <w:b/>
          <w:szCs w:val="32"/>
        </w:rPr>
        <w:t>（一）返还性收入</w:t>
      </w:r>
      <w:r>
        <w:rPr>
          <w:rFonts w:hint="eastAsia"/>
          <w:b/>
          <w:szCs w:val="32"/>
        </w:rPr>
        <w:t>。</w:t>
      </w:r>
      <w:r>
        <w:rPr>
          <w:rFonts w:hint="eastAsia"/>
          <w:bCs/>
          <w:szCs w:val="32"/>
        </w:rPr>
        <w:t>返还性收入</w:t>
      </w:r>
      <w:r>
        <w:rPr>
          <w:szCs w:val="32"/>
        </w:rPr>
        <w:t>预算2176万元，其中：所得税基数返还233万元,增值税和消费税返还1943万元。</w:t>
      </w:r>
    </w:p>
    <w:p>
      <w:pPr>
        <w:spacing w:line="540" w:lineRule="exact"/>
        <w:ind w:firstLine="630"/>
        <w:rPr>
          <w:szCs w:val="32"/>
        </w:rPr>
      </w:pPr>
      <w:r>
        <w:rPr>
          <w:b/>
          <w:szCs w:val="32"/>
        </w:rPr>
        <w:t>（</w:t>
      </w:r>
      <w:r>
        <w:rPr>
          <w:rFonts w:hint="eastAsia"/>
          <w:b/>
          <w:szCs w:val="32"/>
        </w:rPr>
        <w:t>二</w:t>
      </w:r>
      <w:r>
        <w:rPr>
          <w:b/>
          <w:szCs w:val="32"/>
        </w:rPr>
        <w:t>）一般性转移支付补助</w:t>
      </w:r>
      <w:r>
        <w:rPr>
          <w:rFonts w:hint="eastAsia"/>
          <w:b/>
          <w:szCs w:val="32"/>
        </w:rPr>
        <w:t>收入</w:t>
      </w:r>
      <w:r>
        <w:rPr>
          <w:b/>
          <w:szCs w:val="32"/>
        </w:rPr>
        <w:t>预算。</w:t>
      </w:r>
      <w:r>
        <w:rPr>
          <w:szCs w:val="32"/>
        </w:rPr>
        <w:t>根据《楚雄州财政局关于提前下达20</w:t>
      </w:r>
      <w:r>
        <w:rPr>
          <w:rFonts w:hint="eastAsia"/>
          <w:szCs w:val="32"/>
        </w:rPr>
        <w:t>22</w:t>
      </w:r>
      <w:r>
        <w:rPr>
          <w:szCs w:val="32"/>
        </w:rPr>
        <w:t>年部分转移支付补助资金的通知》和</w:t>
      </w:r>
      <w:r>
        <w:rPr>
          <w:rFonts w:hint="eastAsia"/>
          <w:szCs w:val="32"/>
        </w:rPr>
        <w:t>2021年结算</w:t>
      </w:r>
      <w:r>
        <w:rPr>
          <w:szCs w:val="32"/>
        </w:rPr>
        <w:t>全口径</w:t>
      </w:r>
      <w:r>
        <w:rPr>
          <w:rFonts w:hint="eastAsia"/>
          <w:szCs w:val="32"/>
        </w:rPr>
        <w:t>纳入</w:t>
      </w:r>
      <w:r>
        <w:rPr>
          <w:szCs w:val="32"/>
        </w:rPr>
        <w:t>预算，20</w:t>
      </w:r>
      <w:r>
        <w:rPr>
          <w:rFonts w:hint="eastAsia"/>
          <w:szCs w:val="32"/>
        </w:rPr>
        <w:t>22</w:t>
      </w:r>
      <w:r>
        <w:rPr>
          <w:szCs w:val="32"/>
        </w:rPr>
        <w:t>年列入年初预算的转移支付补助收入预算为</w:t>
      </w:r>
      <w:r>
        <w:rPr>
          <w:rFonts w:hint="eastAsia"/>
          <w:szCs w:val="32"/>
        </w:rPr>
        <w:t>125144</w:t>
      </w:r>
      <w:r>
        <w:rPr>
          <w:szCs w:val="32"/>
        </w:rPr>
        <w:t>万元，具体是：</w:t>
      </w:r>
      <w:r>
        <w:rPr>
          <w:rFonts w:hint="eastAsia"/>
          <w:szCs w:val="32"/>
        </w:rPr>
        <w:t>均衡性转移支付收入30655万元，县级基本财力保障机制奖补资金收入11780万元，结算补助收入4235万元，产粮（油）大县奖励资金收入157万元，重点生态功能区转移支付收入1155万元，固定数额补助收入12395万元，民族地区转移支付收入1578万元，贫困地区转移支付收入6000万元，公共安全共同财政事权转移支付收入1000万元，教育共同财政事权转移支付收入8000万元，文化旅游体育与传媒共同财政事权转移支付收入600万元，社会保障和就业共同财政事权转移支付收入14500万元，医疗卫生共同财政事权转移支付收入15550万元，节能环保共同财政事权转移支付收入2000万元，农林水共同财政事权转移支付收入9781万元，交通运输共同财政事权转移支付收入4500万元，住房保障共同财政事权转移支付收入600万元，粮油物资储备共同财政事权转移支付收入90万元，灾害防治及应急管理共同财政事权转移支付收入420万元，，其他一般性转移支付收入148万元</w:t>
      </w:r>
      <w:r>
        <w:rPr>
          <w:szCs w:val="32"/>
        </w:rPr>
        <w:t>。</w:t>
      </w:r>
    </w:p>
    <w:p>
      <w:pPr>
        <w:spacing w:line="540" w:lineRule="exact"/>
        <w:ind w:firstLine="632" w:firstLineChars="200"/>
        <w:rPr>
          <w:rFonts w:ascii="方正仿宋简体"/>
          <w:szCs w:val="32"/>
        </w:rPr>
      </w:pPr>
      <w:r>
        <w:rPr>
          <w:b/>
          <w:szCs w:val="32"/>
        </w:rPr>
        <w:t>（</w:t>
      </w:r>
      <w:r>
        <w:rPr>
          <w:rFonts w:hint="eastAsia"/>
          <w:b/>
          <w:szCs w:val="32"/>
        </w:rPr>
        <w:t>三</w:t>
      </w:r>
      <w:r>
        <w:rPr>
          <w:b/>
          <w:szCs w:val="32"/>
        </w:rPr>
        <w:t>）专项转移支付补助</w:t>
      </w:r>
      <w:r>
        <w:rPr>
          <w:rFonts w:hint="eastAsia"/>
          <w:b/>
          <w:szCs w:val="32"/>
        </w:rPr>
        <w:t>收入</w:t>
      </w:r>
      <w:r>
        <w:rPr>
          <w:b/>
          <w:szCs w:val="32"/>
        </w:rPr>
        <w:t>预算。</w:t>
      </w:r>
      <w:r>
        <w:rPr>
          <w:szCs w:val="32"/>
        </w:rPr>
        <w:t>按照全口径预算的要求，20</w:t>
      </w:r>
      <w:r>
        <w:rPr>
          <w:rFonts w:hint="eastAsia"/>
          <w:szCs w:val="32"/>
        </w:rPr>
        <w:t>22</w:t>
      </w:r>
      <w:r>
        <w:rPr>
          <w:szCs w:val="32"/>
        </w:rPr>
        <w:t>年专项转移支付补助（</w:t>
      </w:r>
      <w:r>
        <w:rPr>
          <w:rFonts w:hint="eastAsia"/>
          <w:szCs w:val="32"/>
        </w:rPr>
        <w:t>各级</w:t>
      </w:r>
      <w:r>
        <w:rPr>
          <w:szCs w:val="32"/>
        </w:rPr>
        <w:t>专款）预算</w:t>
      </w:r>
      <w:r>
        <w:rPr>
          <w:rFonts w:hint="eastAsia"/>
          <w:szCs w:val="32"/>
        </w:rPr>
        <w:t>33071</w:t>
      </w:r>
      <w:r>
        <w:rPr>
          <w:szCs w:val="32"/>
        </w:rPr>
        <w:t>万元。</w:t>
      </w:r>
      <w:r>
        <w:rPr>
          <w:rFonts w:hint="eastAsia"/>
          <w:szCs w:val="32"/>
        </w:rPr>
        <w:t>其中：</w:t>
      </w:r>
      <w:r>
        <w:rPr>
          <w:rFonts w:hint="eastAsia" w:ascii="方正仿宋简体"/>
          <w:color w:val="000000"/>
          <w:szCs w:val="32"/>
        </w:rPr>
        <w:t>一般公共服务860万元，国防55万元，公共安全120万元，教育800万元，科学技术350万元，文化旅游与传媒150万元，社会保障与就业1000万元，卫生健康3200万元，节能环保3736万元，城乡社区事务150万元，农林水事务15000万元，交通运输5000万元，资源勘探工业信息450万元，商业服务业950万元，自然资源海洋气象50万元，住房保障1000万元，灾害防治及应急管理200万元。</w:t>
      </w:r>
    </w:p>
    <w:p>
      <w:pPr>
        <w:spacing w:line="540" w:lineRule="exact"/>
        <w:ind w:firstLine="632" w:firstLineChars="200"/>
        <w:rPr>
          <w:szCs w:val="32"/>
        </w:rPr>
      </w:pPr>
      <w:r>
        <w:rPr>
          <w:szCs w:val="32"/>
        </w:rPr>
        <w:t>县本级一般公共预算收入</w:t>
      </w:r>
      <w:r>
        <w:rPr>
          <w:rFonts w:hint="eastAsia"/>
          <w:szCs w:val="32"/>
        </w:rPr>
        <w:t>38974</w:t>
      </w:r>
      <w:r>
        <w:rPr>
          <w:szCs w:val="32"/>
        </w:rPr>
        <w:t>万元，</w:t>
      </w:r>
      <w:r>
        <w:rPr>
          <w:rFonts w:hint="eastAsia"/>
          <w:szCs w:val="32"/>
        </w:rPr>
        <w:t>返还性收入2176万元，</w:t>
      </w:r>
      <w:r>
        <w:rPr>
          <w:szCs w:val="32"/>
        </w:rPr>
        <w:t>一般性转移支付补助收入</w:t>
      </w:r>
      <w:r>
        <w:rPr>
          <w:rFonts w:hint="eastAsia"/>
          <w:szCs w:val="32"/>
        </w:rPr>
        <w:t>125144</w:t>
      </w:r>
      <w:r>
        <w:rPr>
          <w:szCs w:val="32"/>
        </w:rPr>
        <w:t>万元，专项转移支付补助收入</w:t>
      </w:r>
      <w:r>
        <w:rPr>
          <w:rFonts w:hint="eastAsia"/>
          <w:szCs w:val="32"/>
        </w:rPr>
        <w:t>33071</w:t>
      </w:r>
      <w:r>
        <w:rPr>
          <w:szCs w:val="32"/>
        </w:rPr>
        <w:t>万元</w:t>
      </w:r>
      <w:r>
        <w:rPr>
          <w:rFonts w:hint="eastAsia"/>
          <w:szCs w:val="32"/>
        </w:rPr>
        <w:t>，</w:t>
      </w:r>
      <w:r>
        <w:rPr>
          <w:szCs w:val="32"/>
        </w:rPr>
        <w:t>置换债券</w:t>
      </w:r>
      <w:r>
        <w:rPr>
          <w:rFonts w:hint="eastAsia"/>
          <w:szCs w:val="32"/>
        </w:rPr>
        <w:t>10552</w:t>
      </w:r>
      <w:r>
        <w:rPr>
          <w:szCs w:val="32"/>
        </w:rPr>
        <w:t>万元，上年结转结余</w:t>
      </w:r>
      <w:r>
        <w:rPr>
          <w:rFonts w:hint="eastAsia"/>
          <w:szCs w:val="32"/>
        </w:rPr>
        <w:t>1006</w:t>
      </w:r>
      <w:r>
        <w:rPr>
          <w:szCs w:val="32"/>
        </w:rPr>
        <w:t>万元，</w:t>
      </w:r>
      <w:r>
        <w:rPr>
          <w:rFonts w:hint="eastAsia"/>
          <w:szCs w:val="32"/>
        </w:rPr>
        <w:t>调入资金7000万元</w:t>
      </w:r>
      <w:r>
        <w:rPr>
          <w:szCs w:val="32"/>
        </w:rPr>
        <w:t>，全年收入总计</w:t>
      </w:r>
      <w:r>
        <w:rPr>
          <w:rFonts w:hint="eastAsia"/>
          <w:szCs w:val="32"/>
        </w:rPr>
        <w:t>217923</w:t>
      </w:r>
      <w:r>
        <w:rPr>
          <w:szCs w:val="32"/>
        </w:rPr>
        <w:t>万元。</w:t>
      </w:r>
    </w:p>
    <w:p>
      <w:pPr>
        <w:spacing w:line="540" w:lineRule="exact"/>
        <w:ind w:firstLine="632" w:firstLineChars="200"/>
        <w:rPr>
          <w:b/>
          <w:szCs w:val="32"/>
        </w:rPr>
      </w:pPr>
      <w:r>
        <w:rPr>
          <w:b/>
          <w:szCs w:val="32"/>
        </w:rPr>
        <w:t>二、一般公共预算支出预算情况</w:t>
      </w:r>
    </w:p>
    <w:p>
      <w:pPr>
        <w:spacing w:line="540" w:lineRule="exact"/>
        <w:ind w:firstLine="844" w:firstLineChars="267"/>
        <w:rPr>
          <w:szCs w:val="32"/>
        </w:rPr>
      </w:pPr>
      <w:r>
        <w:rPr>
          <w:szCs w:val="32"/>
        </w:rPr>
        <w:t>20</w:t>
      </w:r>
      <w:r>
        <w:rPr>
          <w:rFonts w:hint="eastAsia"/>
          <w:szCs w:val="32"/>
        </w:rPr>
        <w:t>22</w:t>
      </w:r>
      <w:r>
        <w:rPr>
          <w:szCs w:val="32"/>
        </w:rPr>
        <w:t>年县本级一般公共预算支出预算</w:t>
      </w:r>
      <w:r>
        <w:rPr>
          <w:rFonts w:hint="eastAsia"/>
          <w:szCs w:val="32"/>
        </w:rPr>
        <w:t>202237</w:t>
      </w:r>
      <w:r>
        <w:rPr>
          <w:szCs w:val="32"/>
        </w:rPr>
        <w:t>万元，比20</w:t>
      </w:r>
      <w:r>
        <w:rPr>
          <w:rFonts w:hint="eastAsia"/>
          <w:szCs w:val="32"/>
        </w:rPr>
        <w:t>21</w:t>
      </w:r>
      <w:r>
        <w:rPr>
          <w:szCs w:val="32"/>
        </w:rPr>
        <w:t>年</w:t>
      </w:r>
      <w:r>
        <w:rPr>
          <w:rFonts w:hint="eastAsia"/>
          <w:szCs w:val="32"/>
        </w:rPr>
        <w:t>完成</w:t>
      </w:r>
      <w:r>
        <w:rPr>
          <w:szCs w:val="32"/>
        </w:rPr>
        <w:t>数</w:t>
      </w:r>
      <w:r>
        <w:rPr>
          <w:rFonts w:hint="eastAsia"/>
          <w:szCs w:val="32"/>
        </w:rPr>
        <w:t>196347</w:t>
      </w:r>
      <w:r>
        <w:rPr>
          <w:szCs w:val="32"/>
        </w:rPr>
        <w:t>万元增</w:t>
      </w:r>
      <w:r>
        <w:rPr>
          <w:rFonts w:hint="eastAsia"/>
          <w:szCs w:val="32"/>
        </w:rPr>
        <w:t>支5890</w:t>
      </w:r>
      <w:r>
        <w:rPr>
          <w:szCs w:val="32"/>
        </w:rPr>
        <w:t>万元，增长</w:t>
      </w:r>
      <w:r>
        <w:rPr>
          <w:rFonts w:hint="eastAsia"/>
          <w:szCs w:val="32"/>
        </w:rPr>
        <w:t>3</w:t>
      </w:r>
      <w:r>
        <w:rPr>
          <w:szCs w:val="32"/>
        </w:rPr>
        <w:t>%。</w:t>
      </w:r>
    </w:p>
    <w:p>
      <w:pPr>
        <w:spacing w:line="540" w:lineRule="exact"/>
        <w:ind w:firstLine="630"/>
        <w:rPr>
          <w:szCs w:val="32"/>
        </w:rPr>
      </w:pPr>
      <w:r>
        <w:rPr>
          <w:b/>
          <w:szCs w:val="32"/>
        </w:rPr>
        <w:t>（一）基本支出</w:t>
      </w:r>
      <w:r>
        <w:rPr>
          <w:rFonts w:hint="eastAsia"/>
          <w:b/>
          <w:szCs w:val="32"/>
          <w:lang w:eastAsia="zh-CN"/>
        </w:rPr>
        <w:t>预算</w:t>
      </w:r>
      <w:r>
        <w:rPr>
          <w:b/>
          <w:szCs w:val="32"/>
        </w:rPr>
        <w:t>情况。</w:t>
      </w:r>
      <w:r>
        <w:rPr>
          <w:szCs w:val="32"/>
        </w:rPr>
        <w:t>根据基本支出预算保障范围、标准及相关政策，20</w:t>
      </w:r>
      <w:r>
        <w:rPr>
          <w:rFonts w:hint="eastAsia"/>
          <w:szCs w:val="32"/>
        </w:rPr>
        <w:t>21</w:t>
      </w:r>
      <w:r>
        <w:rPr>
          <w:szCs w:val="32"/>
        </w:rPr>
        <w:t>年安排保工资、保运转、保民生的基本支出</w:t>
      </w:r>
      <w:r>
        <w:rPr>
          <w:rFonts w:hint="eastAsia"/>
          <w:szCs w:val="32"/>
        </w:rPr>
        <w:t>90886</w:t>
      </w:r>
      <w:r>
        <w:rPr>
          <w:szCs w:val="32"/>
        </w:rPr>
        <w:t>万元，具体是：</w:t>
      </w:r>
    </w:p>
    <w:p>
      <w:pPr>
        <w:spacing w:line="540" w:lineRule="exact"/>
        <w:ind w:firstLine="948" w:firstLineChars="300"/>
        <w:rPr>
          <w:szCs w:val="32"/>
        </w:rPr>
      </w:pPr>
      <w:r>
        <w:rPr>
          <w:b/>
          <w:szCs w:val="32"/>
        </w:rPr>
        <w:t>1．</w:t>
      </w:r>
      <w:r>
        <w:rPr>
          <w:rFonts w:hint="eastAsia"/>
          <w:b/>
          <w:szCs w:val="32"/>
        </w:rPr>
        <w:t>工资福利支出75647</w:t>
      </w:r>
      <w:r>
        <w:rPr>
          <w:b/>
          <w:szCs w:val="32"/>
        </w:rPr>
        <w:t>万元</w:t>
      </w:r>
      <w:r>
        <w:rPr>
          <w:rFonts w:hint="eastAsia"/>
          <w:b/>
          <w:szCs w:val="32"/>
        </w:rPr>
        <w:t>。其中：</w:t>
      </w:r>
      <w:r>
        <w:rPr>
          <w:szCs w:val="32"/>
        </w:rPr>
        <w:t>人员工资统发</w:t>
      </w:r>
      <w:r>
        <w:rPr>
          <w:rFonts w:hint="eastAsia"/>
          <w:szCs w:val="32"/>
        </w:rPr>
        <w:t>54423</w:t>
      </w:r>
      <w:r>
        <w:rPr>
          <w:szCs w:val="32"/>
        </w:rPr>
        <w:t>万元，</w:t>
      </w:r>
      <w:r>
        <w:rPr>
          <w:rFonts w:hint="eastAsia"/>
          <w:szCs w:val="32"/>
        </w:rPr>
        <w:t>社会保障缴费17614万元</w:t>
      </w:r>
      <w:r>
        <w:rPr>
          <w:szCs w:val="32"/>
        </w:rPr>
        <w:t>、</w:t>
      </w:r>
      <w:r>
        <w:rPr>
          <w:rFonts w:hint="eastAsia"/>
          <w:szCs w:val="32"/>
        </w:rPr>
        <w:t>职业年金3610</w:t>
      </w:r>
      <w:r>
        <w:rPr>
          <w:szCs w:val="32"/>
        </w:rPr>
        <w:t>万元。</w:t>
      </w:r>
    </w:p>
    <w:p>
      <w:pPr>
        <w:spacing w:line="540" w:lineRule="exact"/>
        <w:ind w:left="451" w:leftChars="143" w:firstLine="660" w:firstLineChars="209"/>
        <w:rPr>
          <w:szCs w:val="32"/>
        </w:rPr>
      </w:pPr>
      <w:r>
        <w:rPr>
          <w:b/>
          <w:szCs w:val="32"/>
        </w:rPr>
        <w:t>2.</w:t>
      </w:r>
      <w:r>
        <w:rPr>
          <w:rFonts w:hint="eastAsia"/>
          <w:b/>
          <w:szCs w:val="32"/>
        </w:rPr>
        <w:t>商品和服务支出4871</w:t>
      </w:r>
      <w:r>
        <w:rPr>
          <w:b/>
          <w:szCs w:val="32"/>
        </w:rPr>
        <w:t>万元</w:t>
      </w:r>
      <w:r>
        <w:rPr>
          <w:rFonts w:hint="eastAsia"/>
          <w:b/>
          <w:szCs w:val="32"/>
        </w:rPr>
        <w:t>。其中：</w:t>
      </w:r>
      <w:r>
        <w:rPr>
          <w:rFonts w:hint="eastAsia"/>
          <w:szCs w:val="32"/>
        </w:rPr>
        <w:t>办公</w:t>
      </w:r>
      <w:r>
        <w:rPr>
          <w:szCs w:val="32"/>
        </w:rPr>
        <w:t>费</w:t>
      </w:r>
      <w:r>
        <w:rPr>
          <w:rFonts w:hint="eastAsia"/>
          <w:szCs w:val="32"/>
        </w:rPr>
        <w:t>2272</w:t>
      </w:r>
      <w:r>
        <w:rPr>
          <w:szCs w:val="32"/>
        </w:rPr>
        <w:t>万元、</w:t>
      </w:r>
      <w:r>
        <w:rPr>
          <w:rFonts w:hint="eastAsia"/>
          <w:szCs w:val="32"/>
        </w:rPr>
        <w:t>工会费698万元、公务用车运行维护费484万元、其他交通费用1417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。</w:t>
      </w:r>
    </w:p>
    <w:p>
      <w:pPr>
        <w:spacing w:line="540" w:lineRule="exact"/>
        <w:ind w:firstLine="948" w:firstLineChars="300"/>
        <w:rPr>
          <w:rFonts w:cs="Times New Roman"/>
          <w:b/>
          <w:szCs w:val="32"/>
        </w:rPr>
      </w:pPr>
      <w:r>
        <w:rPr>
          <w:b/>
          <w:szCs w:val="32"/>
        </w:rPr>
        <w:t>3.</w:t>
      </w:r>
      <w:r>
        <w:rPr>
          <w:rFonts w:hint="eastAsia"/>
          <w:b/>
          <w:szCs w:val="32"/>
        </w:rPr>
        <w:t>对个人和家庭的补助10356</w:t>
      </w:r>
      <w:r>
        <w:rPr>
          <w:b/>
          <w:szCs w:val="32"/>
        </w:rPr>
        <w:t>万元。</w:t>
      </w:r>
      <w:r>
        <w:rPr>
          <w:rFonts w:hint="eastAsia"/>
          <w:szCs w:val="32"/>
        </w:rPr>
        <w:t>离退休费4235</w:t>
      </w:r>
      <w:r>
        <w:rPr>
          <w:szCs w:val="32"/>
        </w:rPr>
        <w:t>万元、</w:t>
      </w:r>
      <w:r>
        <w:rPr>
          <w:rFonts w:hint="eastAsia"/>
          <w:szCs w:val="32"/>
        </w:rPr>
        <w:t>抚恤费38</w:t>
      </w:r>
      <w:r>
        <w:rPr>
          <w:szCs w:val="32"/>
        </w:rPr>
        <w:t>万元、</w:t>
      </w:r>
      <w:r>
        <w:rPr>
          <w:rFonts w:hint="eastAsia"/>
          <w:szCs w:val="32"/>
        </w:rPr>
        <w:t>生活补助4599</w:t>
      </w:r>
      <w:r>
        <w:rPr>
          <w:szCs w:val="32"/>
        </w:rPr>
        <w:t>万元、</w:t>
      </w:r>
      <w:r>
        <w:rPr>
          <w:rFonts w:hint="eastAsia"/>
          <w:szCs w:val="32"/>
        </w:rPr>
        <w:t>救济费976</w:t>
      </w:r>
      <w:r>
        <w:rPr>
          <w:szCs w:val="32"/>
        </w:rPr>
        <w:t>万元</w:t>
      </w:r>
      <w:r>
        <w:rPr>
          <w:rFonts w:hint="eastAsia"/>
          <w:szCs w:val="32"/>
        </w:rPr>
        <w:t>、医疗补助484万元、其他补助24万元</w:t>
      </w:r>
      <w:r>
        <w:rPr>
          <w:szCs w:val="32"/>
        </w:rPr>
        <w:t>。</w:t>
      </w:r>
    </w:p>
    <w:p>
      <w:pPr>
        <w:spacing w:line="540" w:lineRule="exact"/>
        <w:ind w:firstLine="632" w:firstLineChars="200"/>
        <w:rPr>
          <w:rFonts w:cs="Times New Roman"/>
          <w:bCs/>
          <w:szCs w:val="32"/>
        </w:rPr>
      </w:pPr>
      <w:r>
        <w:rPr>
          <w:rFonts w:hint="eastAsia" w:cs="Times New Roman"/>
          <w:b/>
          <w:szCs w:val="32"/>
        </w:rPr>
        <w:t>（二）项目支出预算情况。</w:t>
      </w:r>
      <w:r>
        <w:rPr>
          <w:rFonts w:hint="eastAsia" w:cs="Times New Roman"/>
          <w:bCs/>
          <w:szCs w:val="32"/>
        </w:rPr>
        <w:t>按现行财政体制计算，扣除固定用途专项转移支付支出外，我县2022年可支配财力为95670万元，根据政府预算收支平衡的原则，全县2022年“三保”预算支出为90886万元，上解支出4724万元，没有更多资金用于安排项目支出，但是2022年必须支出的项目预算为62673万元，只有待争取上级转移支付补助资金和出让土地和资产收益后安排，项目支出安排顺序为人员支出、民生配套、债务还本付息支出、运转经费、工作经费。</w:t>
      </w:r>
    </w:p>
    <w:p>
      <w:pPr>
        <w:spacing w:line="540" w:lineRule="exact"/>
        <w:ind w:firstLine="632" w:firstLineChars="200"/>
        <w:rPr>
          <w:szCs w:val="32"/>
        </w:rPr>
      </w:pPr>
      <w:r>
        <w:rPr>
          <w:b/>
          <w:szCs w:val="32"/>
        </w:rPr>
        <w:t>（三）具有规定用途转移支付支出</w:t>
      </w:r>
      <w:r>
        <w:rPr>
          <w:rFonts w:hint="eastAsia"/>
          <w:b/>
          <w:szCs w:val="32"/>
        </w:rPr>
        <w:t>73168</w:t>
      </w:r>
      <w:r>
        <w:rPr>
          <w:b/>
          <w:szCs w:val="32"/>
        </w:rPr>
        <w:t>万元。</w:t>
      </w:r>
    </w:p>
    <w:p>
      <w:pPr>
        <w:spacing w:line="540" w:lineRule="exact"/>
        <w:ind w:firstLine="632" w:firstLineChars="200"/>
        <w:rPr>
          <w:b/>
          <w:szCs w:val="32"/>
        </w:rPr>
      </w:pPr>
      <w:r>
        <w:rPr>
          <w:b/>
          <w:szCs w:val="32"/>
        </w:rPr>
        <w:t>（四）当年省州专款支出</w:t>
      </w:r>
      <w:r>
        <w:rPr>
          <w:rFonts w:hint="eastAsia"/>
          <w:b/>
          <w:szCs w:val="32"/>
        </w:rPr>
        <w:t>33071</w:t>
      </w:r>
      <w:r>
        <w:rPr>
          <w:b/>
          <w:szCs w:val="32"/>
        </w:rPr>
        <w:t>万元。</w:t>
      </w:r>
      <w:r>
        <w:rPr>
          <w:szCs w:val="32"/>
        </w:rPr>
        <w:t>按照全口径预算的要求，20</w:t>
      </w:r>
      <w:r>
        <w:rPr>
          <w:rFonts w:hint="eastAsia"/>
          <w:szCs w:val="32"/>
        </w:rPr>
        <w:t>21</w:t>
      </w:r>
      <w:r>
        <w:rPr>
          <w:szCs w:val="32"/>
        </w:rPr>
        <w:t>年专项转移支付补助（中央、省、州专款）预算</w:t>
      </w:r>
      <w:r>
        <w:rPr>
          <w:rFonts w:hint="eastAsia"/>
          <w:szCs w:val="32"/>
        </w:rPr>
        <w:t>33071</w:t>
      </w:r>
      <w:r>
        <w:rPr>
          <w:szCs w:val="32"/>
        </w:rPr>
        <w:t>万元，按照“专款专用”的原则，相应安排专款支出，预算执行中根据省州实际下达的专款数，按批复项目拨付使用</w:t>
      </w:r>
      <w:r>
        <w:rPr>
          <w:rFonts w:hint="eastAsia"/>
          <w:szCs w:val="32"/>
        </w:rPr>
        <w:t>，</w:t>
      </w:r>
      <w:r>
        <w:rPr>
          <w:szCs w:val="32"/>
        </w:rPr>
        <w:t>上年结转支出</w:t>
      </w:r>
      <w:r>
        <w:rPr>
          <w:rFonts w:hint="eastAsia"/>
          <w:szCs w:val="32"/>
        </w:rPr>
        <w:t>1006</w:t>
      </w:r>
      <w:r>
        <w:rPr>
          <w:szCs w:val="32"/>
        </w:rPr>
        <w:t>万元。</w:t>
      </w:r>
    </w:p>
    <w:p>
      <w:pPr>
        <w:spacing w:line="540" w:lineRule="exact"/>
        <w:ind w:firstLine="632" w:firstLineChars="200"/>
        <w:rPr>
          <w:szCs w:val="32"/>
        </w:rPr>
      </w:pPr>
      <w:r>
        <w:rPr>
          <w:b/>
          <w:szCs w:val="32"/>
        </w:rPr>
        <w:t>（五）</w:t>
      </w:r>
      <w:r>
        <w:rPr>
          <w:rFonts w:hint="eastAsia"/>
          <w:b/>
          <w:szCs w:val="32"/>
        </w:rPr>
        <w:t>债务付息2106万元，预备费2000万元，</w:t>
      </w:r>
      <w:r>
        <w:rPr>
          <w:b/>
          <w:szCs w:val="32"/>
        </w:rPr>
        <w:t>上解支出</w:t>
      </w:r>
      <w:r>
        <w:rPr>
          <w:rFonts w:hint="eastAsia"/>
          <w:b/>
          <w:szCs w:val="32"/>
        </w:rPr>
        <w:t>4724</w:t>
      </w:r>
      <w:r>
        <w:rPr>
          <w:b/>
          <w:szCs w:val="32"/>
        </w:rPr>
        <w:t>万元。</w:t>
      </w:r>
    </w:p>
    <w:p>
      <w:pPr>
        <w:spacing w:line="540" w:lineRule="exact"/>
        <w:ind w:firstLine="632" w:firstLineChars="200"/>
        <w:rPr>
          <w:b/>
          <w:szCs w:val="32"/>
        </w:rPr>
      </w:pPr>
      <w:r>
        <w:rPr>
          <w:b/>
          <w:szCs w:val="32"/>
        </w:rPr>
        <w:t>（六）</w:t>
      </w:r>
      <w:r>
        <w:rPr>
          <w:rFonts w:hint="eastAsia"/>
          <w:b/>
          <w:szCs w:val="32"/>
        </w:rPr>
        <w:t>债务还本支出10962万元</w:t>
      </w:r>
      <w:r>
        <w:rPr>
          <w:b/>
          <w:szCs w:val="32"/>
        </w:rPr>
        <w:t>。</w:t>
      </w:r>
    </w:p>
    <w:p>
      <w:pPr>
        <w:spacing w:line="540" w:lineRule="exact"/>
        <w:ind w:firstLine="630"/>
        <w:rPr>
          <w:szCs w:val="32"/>
        </w:rPr>
      </w:pPr>
      <w:r>
        <w:rPr>
          <w:szCs w:val="32"/>
        </w:rPr>
        <w:t>以上</w:t>
      </w:r>
      <w:r>
        <w:rPr>
          <w:rFonts w:hint="eastAsia"/>
          <w:szCs w:val="32"/>
        </w:rPr>
        <w:t>一般公共预算支出202237万元，转移性支出4724万元</w:t>
      </w:r>
      <w:r>
        <w:rPr>
          <w:szCs w:val="32"/>
        </w:rPr>
        <w:t>，</w:t>
      </w:r>
      <w:r>
        <w:rPr>
          <w:rFonts w:hint="eastAsia"/>
          <w:szCs w:val="32"/>
        </w:rPr>
        <w:t>债务还本支出10962万元，</w:t>
      </w:r>
      <w:r>
        <w:rPr>
          <w:szCs w:val="32"/>
        </w:rPr>
        <w:t>全年支出总计</w:t>
      </w:r>
      <w:r>
        <w:rPr>
          <w:rFonts w:hint="eastAsia"/>
          <w:szCs w:val="32"/>
        </w:rPr>
        <w:t>217923</w:t>
      </w:r>
      <w:r>
        <w:rPr>
          <w:szCs w:val="32"/>
        </w:rPr>
        <w:t>万元。</w:t>
      </w:r>
    </w:p>
    <w:p>
      <w:pPr>
        <w:spacing w:line="540" w:lineRule="exact"/>
        <w:ind w:firstLine="632" w:firstLineChars="200"/>
        <w:rPr>
          <w:b/>
          <w:szCs w:val="32"/>
        </w:rPr>
      </w:pPr>
      <w:r>
        <w:rPr>
          <w:b/>
          <w:szCs w:val="32"/>
        </w:rPr>
        <w:t>三、一般公共预算平衡情况</w:t>
      </w:r>
    </w:p>
    <w:p>
      <w:pPr>
        <w:pStyle w:val="9"/>
        <w:widowControl/>
        <w:spacing w:beforeAutospacing="0" w:afterAutospacing="0" w:line="579" w:lineRule="exact"/>
        <w:ind w:firstLine="420"/>
        <w:jc w:val="both"/>
        <w:rPr>
          <w:sz w:val="32"/>
          <w:szCs w:val="32"/>
        </w:rPr>
      </w:pPr>
      <w:r>
        <w:rPr>
          <w:sz w:val="32"/>
          <w:szCs w:val="32"/>
        </w:rPr>
        <w:t>根据《</w:t>
      </w:r>
      <w:r>
        <w:rPr>
          <w:rFonts w:hint="eastAsia"/>
          <w:sz w:val="32"/>
          <w:szCs w:val="32"/>
        </w:rPr>
        <w:t>中华人民共和国</w:t>
      </w:r>
      <w:r>
        <w:rPr>
          <w:sz w:val="32"/>
          <w:szCs w:val="32"/>
        </w:rPr>
        <w:t>预算法》“地方预算不列赤字”的规定，20</w:t>
      </w:r>
      <w:r>
        <w:rPr>
          <w:rFonts w:hint="eastAsia"/>
          <w:sz w:val="32"/>
          <w:szCs w:val="32"/>
        </w:rPr>
        <w:t>22</w:t>
      </w:r>
      <w:r>
        <w:rPr>
          <w:sz w:val="32"/>
          <w:szCs w:val="32"/>
        </w:rPr>
        <w:t>年一般公共预算收入总计为</w:t>
      </w:r>
      <w:r>
        <w:rPr>
          <w:rFonts w:hint="eastAsia"/>
          <w:sz w:val="32"/>
          <w:szCs w:val="32"/>
        </w:rPr>
        <w:t>217923</w:t>
      </w:r>
      <w:r>
        <w:rPr>
          <w:sz w:val="32"/>
          <w:szCs w:val="32"/>
        </w:rPr>
        <w:t>万元，相应安排县级支出</w:t>
      </w:r>
      <w:r>
        <w:rPr>
          <w:rFonts w:hint="eastAsia"/>
          <w:sz w:val="32"/>
          <w:szCs w:val="32"/>
        </w:rPr>
        <w:t>217923</w:t>
      </w:r>
      <w:r>
        <w:rPr>
          <w:sz w:val="32"/>
          <w:szCs w:val="32"/>
        </w:rPr>
        <w:t>万元，实现收支预算平衡。</w:t>
      </w:r>
    </w:p>
    <w:p>
      <w:pPr>
        <w:pStyle w:val="9"/>
        <w:widowControl/>
        <w:spacing w:beforeAutospacing="0" w:afterAutospacing="0" w:line="579" w:lineRule="exact"/>
        <w:ind w:firstLine="420"/>
        <w:jc w:val="both"/>
        <w:rPr>
          <w:sz w:val="32"/>
          <w:szCs w:val="32"/>
        </w:rPr>
      </w:pPr>
    </w:p>
    <w:p>
      <w:pPr>
        <w:pStyle w:val="9"/>
        <w:widowControl/>
        <w:spacing w:beforeAutospacing="0" w:afterAutospacing="0" w:line="579" w:lineRule="exact"/>
        <w:ind w:firstLine="420"/>
        <w:jc w:val="both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                             </w:t>
      </w:r>
      <w:r>
        <w:rPr>
          <w:color w:val="000000"/>
          <w:sz w:val="32"/>
          <w:szCs w:val="32"/>
          <w:shd w:val="clear" w:color="auto" w:fill="FFFFFF"/>
        </w:rPr>
        <w:t>姚安县财政局         </w:t>
      </w:r>
    </w:p>
    <w:p>
      <w:pPr>
        <w:pStyle w:val="9"/>
        <w:widowControl/>
        <w:spacing w:beforeAutospacing="0" w:afterAutospacing="0" w:line="579" w:lineRule="exact"/>
        <w:ind w:firstLine="4835" w:firstLineChars="1530"/>
        <w:jc w:val="both"/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2022年2月10日        </w:t>
      </w:r>
      <w:r>
        <w:fldChar w:fldCharType="begin"/>
      </w:r>
      <w:r>
        <w:instrText xml:space="preserve"> HYPERLINK "javascript:void(0);" \o "分享到QQ好友" </w:instrText>
      </w:r>
      <w:r>
        <w:fldChar w:fldCharType="separate"/>
      </w:r>
      <w:r>
        <w:fldChar w:fldCharType="end"/>
      </w:r>
    </w:p>
    <w:sectPr>
      <w:footerReference r:id="rId3" w:type="default"/>
      <w:pgSz w:w="11906" w:h="16838"/>
      <w:pgMar w:top="2041" w:right="1531" w:bottom="1985" w:left="1531" w:header="851" w:footer="1418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480" w:leftChars="150" w:right="480" w:rightChars="15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 xml:space="preserve"> —</w: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ZjYzY3MjdiMmE2Yzg2YmZhYjUxZDcyYWY5NzAzMjQifQ=="/>
    <w:docVar w:name="KSO_WPS_MARK_KEY" w:val="e502c537-361e-41bc-8eb2-1938c4fd478c"/>
  </w:docVars>
  <w:rsids>
    <w:rsidRoot w:val="00C8269E"/>
    <w:rsid w:val="0001548A"/>
    <w:rsid w:val="00023BE9"/>
    <w:rsid w:val="000314BB"/>
    <w:rsid w:val="00077C3A"/>
    <w:rsid w:val="00085299"/>
    <w:rsid w:val="000C6C54"/>
    <w:rsid w:val="000D3C45"/>
    <w:rsid w:val="000F55DC"/>
    <w:rsid w:val="00101BEC"/>
    <w:rsid w:val="0010612E"/>
    <w:rsid w:val="00116DA2"/>
    <w:rsid w:val="00135016"/>
    <w:rsid w:val="00155CEC"/>
    <w:rsid w:val="00176903"/>
    <w:rsid w:val="001812AD"/>
    <w:rsid w:val="0019634B"/>
    <w:rsid w:val="001A47A0"/>
    <w:rsid w:val="001C08E8"/>
    <w:rsid w:val="001D297F"/>
    <w:rsid w:val="001D2A97"/>
    <w:rsid w:val="001F7CF6"/>
    <w:rsid w:val="00207560"/>
    <w:rsid w:val="00236DC2"/>
    <w:rsid w:val="002415B3"/>
    <w:rsid w:val="00250B29"/>
    <w:rsid w:val="00264104"/>
    <w:rsid w:val="0029754D"/>
    <w:rsid w:val="002C328C"/>
    <w:rsid w:val="003128D1"/>
    <w:rsid w:val="003651D6"/>
    <w:rsid w:val="00390A6A"/>
    <w:rsid w:val="003A5E00"/>
    <w:rsid w:val="003B208A"/>
    <w:rsid w:val="003B76CD"/>
    <w:rsid w:val="003C1753"/>
    <w:rsid w:val="003D070F"/>
    <w:rsid w:val="003D7382"/>
    <w:rsid w:val="003E6781"/>
    <w:rsid w:val="004039CC"/>
    <w:rsid w:val="004215B0"/>
    <w:rsid w:val="00453DEF"/>
    <w:rsid w:val="004847A8"/>
    <w:rsid w:val="00494246"/>
    <w:rsid w:val="004D5D0E"/>
    <w:rsid w:val="004E398A"/>
    <w:rsid w:val="005317DC"/>
    <w:rsid w:val="00541078"/>
    <w:rsid w:val="00544D1D"/>
    <w:rsid w:val="005739E4"/>
    <w:rsid w:val="00594B23"/>
    <w:rsid w:val="0059790C"/>
    <w:rsid w:val="005A5A51"/>
    <w:rsid w:val="005B50E2"/>
    <w:rsid w:val="00603A9E"/>
    <w:rsid w:val="006317EA"/>
    <w:rsid w:val="00641799"/>
    <w:rsid w:val="006417AF"/>
    <w:rsid w:val="0064442D"/>
    <w:rsid w:val="006529C7"/>
    <w:rsid w:val="00661299"/>
    <w:rsid w:val="00670C98"/>
    <w:rsid w:val="006B0F60"/>
    <w:rsid w:val="006B3AF9"/>
    <w:rsid w:val="006E2B1D"/>
    <w:rsid w:val="00724262"/>
    <w:rsid w:val="007350B3"/>
    <w:rsid w:val="00750F28"/>
    <w:rsid w:val="007A5E2F"/>
    <w:rsid w:val="007A7821"/>
    <w:rsid w:val="007B6752"/>
    <w:rsid w:val="007C58E8"/>
    <w:rsid w:val="007E36BF"/>
    <w:rsid w:val="007F2175"/>
    <w:rsid w:val="008026C8"/>
    <w:rsid w:val="00806E4E"/>
    <w:rsid w:val="0084184C"/>
    <w:rsid w:val="00856485"/>
    <w:rsid w:val="00896040"/>
    <w:rsid w:val="008A720B"/>
    <w:rsid w:val="008B2A0C"/>
    <w:rsid w:val="008B2F13"/>
    <w:rsid w:val="008B3EC1"/>
    <w:rsid w:val="008B5998"/>
    <w:rsid w:val="008B6BF6"/>
    <w:rsid w:val="008E088D"/>
    <w:rsid w:val="008E37FD"/>
    <w:rsid w:val="008E5740"/>
    <w:rsid w:val="008F3FEC"/>
    <w:rsid w:val="00940F6B"/>
    <w:rsid w:val="0096278F"/>
    <w:rsid w:val="009669C8"/>
    <w:rsid w:val="00976591"/>
    <w:rsid w:val="009916B3"/>
    <w:rsid w:val="009A40F3"/>
    <w:rsid w:val="009A7B05"/>
    <w:rsid w:val="009F565E"/>
    <w:rsid w:val="00A269F1"/>
    <w:rsid w:val="00A525FC"/>
    <w:rsid w:val="00AC2FE4"/>
    <w:rsid w:val="00AE4FA7"/>
    <w:rsid w:val="00B03C5D"/>
    <w:rsid w:val="00B52765"/>
    <w:rsid w:val="00B52AAA"/>
    <w:rsid w:val="00B55B5B"/>
    <w:rsid w:val="00B67213"/>
    <w:rsid w:val="00B706FE"/>
    <w:rsid w:val="00BA585C"/>
    <w:rsid w:val="00BA6293"/>
    <w:rsid w:val="00BC172A"/>
    <w:rsid w:val="00BC6128"/>
    <w:rsid w:val="00BC6BF3"/>
    <w:rsid w:val="00BE5A2D"/>
    <w:rsid w:val="00C11CED"/>
    <w:rsid w:val="00C31438"/>
    <w:rsid w:val="00C3423C"/>
    <w:rsid w:val="00C50455"/>
    <w:rsid w:val="00C76B2B"/>
    <w:rsid w:val="00C8269E"/>
    <w:rsid w:val="00CF0A55"/>
    <w:rsid w:val="00D37765"/>
    <w:rsid w:val="00D6449B"/>
    <w:rsid w:val="00D87E34"/>
    <w:rsid w:val="00DB3757"/>
    <w:rsid w:val="00DB6FC6"/>
    <w:rsid w:val="00DC7F6A"/>
    <w:rsid w:val="00DD6258"/>
    <w:rsid w:val="00DD75F1"/>
    <w:rsid w:val="00DD7CCD"/>
    <w:rsid w:val="00E01E1C"/>
    <w:rsid w:val="00E01F9B"/>
    <w:rsid w:val="00E06295"/>
    <w:rsid w:val="00E07C5A"/>
    <w:rsid w:val="00E11738"/>
    <w:rsid w:val="00E17D99"/>
    <w:rsid w:val="00E33BCA"/>
    <w:rsid w:val="00E40D4D"/>
    <w:rsid w:val="00E42586"/>
    <w:rsid w:val="00E525EE"/>
    <w:rsid w:val="00E76AD6"/>
    <w:rsid w:val="00E86AFD"/>
    <w:rsid w:val="00EB3D44"/>
    <w:rsid w:val="00EF4E49"/>
    <w:rsid w:val="00F274CC"/>
    <w:rsid w:val="00F36BEB"/>
    <w:rsid w:val="00F429F2"/>
    <w:rsid w:val="00F50A92"/>
    <w:rsid w:val="00F57540"/>
    <w:rsid w:val="00F57BFE"/>
    <w:rsid w:val="00F816BF"/>
    <w:rsid w:val="00F97556"/>
    <w:rsid w:val="00FB09E8"/>
    <w:rsid w:val="00FC3C26"/>
    <w:rsid w:val="02BB02F7"/>
    <w:rsid w:val="03777EA4"/>
    <w:rsid w:val="05E74CA4"/>
    <w:rsid w:val="06C65465"/>
    <w:rsid w:val="08247354"/>
    <w:rsid w:val="08307962"/>
    <w:rsid w:val="08681018"/>
    <w:rsid w:val="0A654821"/>
    <w:rsid w:val="0BB43AB1"/>
    <w:rsid w:val="0BCD6CF5"/>
    <w:rsid w:val="0D240006"/>
    <w:rsid w:val="0DC718EE"/>
    <w:rsid w:val="0F50008C"/>
    <w:rsid w:val="0F7C77B6"/>
    <w:rsid w:val="100174C2"/>
    <w:rsid w:val="10072F76"/>
    <w:rsid w:val="125D56CB"/>
    <w:rsid w:val="127E70B2"/>
    <w:rsid w:val="1499607D"/>
    <w:rsid w:val="159F1A79"/>
    <w:rsid w:val="16335ABC"/>
    <w:rsid w:val="16CA57F7"/>
    <w:rsid w:val="17D53728"/>
    <w:rsid w:val="18796951"/>
    <w:rsid w:val="18CB7B53"/>
    <w:rsid w:val="19C12AAD"/>
    <w:rsid w:val="1AE90719"/>
    <w:rsid w:val="1DFC06D5"/>
    <w:rsid w:val="1EEE33FE"/>
    <w:rsid w:val="1F476DC4"/>
    <w:rsid w:val="1F976D64"/>
    <w:rsid w:val="21BB63F7"/>
    <w:rsid w:val="22D43695"/>
    <w:rsid w:val="253D02E4"/>
    <w:rsid w:val="29AF0971"/>
    <w:rsid w:val="2A385F11"/>
    <w:rsid w:val="2A694EB9"/>
    <w:rsid w:val="2A7D0F8E"/>
    <w:rsid w:val="2B8E60C2"/>
    <w:rsid w:val="2C8E720A"/>
    <w:rsid w:val="2CED1DA4"/>
    <w:rsid w:val="2E571690"/>
    <w:rsid w:val="2F2B4AEF"/>
    <w:rsid w:val="2F411063"/>
    <w:rsid w:val="332E5038"/>
    <w:rsid w:val="33532B1C"/>
    <w:rsid w:val="35956531"/>
    <w:rsid w:val="369B20D1"/>
    <w:rsid w:val="386F68DF"/>
    <w:rsid w:val="38E8134B"/>
    <w:rsid w:val="3B313D18"/>
    <w:rsid w:val="3BA0173E"/>
    <w:rsid w:val="3BFB0E51"/>
    <w:rsid w:val="3E496567"/>
    <w:rsid w:val="3FF22866"/>
    <w:rsid w:val="407637A6"/>
    <w:rsid w:val="422E7D2A"/>
    <w:rsid w:val="42E330A9"/>
    <w:rsid w:val="44CE4D4B"/>
    <w:rsid w:val="46525E1B"/>
    <w:rsid w:val="47D40A0D"/>
    <w:rsid w:val="491C0C40"/>
    <w:rsid w:val="4BCD765D"/>
    <w:rsid w:val="4F680C45"/>
    <w:rsid w:val="4F725324"/>
    <w:rsid w:val="4F732ABA"/>
    <w:rsid w:val="507B22FE"/>
    <w:rsid w:val="508931F0"/>
    <w:rsid w:val="50EE4D88"/>
    <w:rsid w:val="50F5024E"/>
    <w:rsid w:val="51697633"/>
    <w:rsid w:val="5984533C"/>
    <w:rsid w:val="5A1E7AB0"/>
    <w:rsid w:val="5A847568"/>
    <w:rsid w:val="5AAC00AB"/>
    <w:rsid w:val="5B1619DF"/>
    <w:rsid w:val="5E111649"/>
    <w:rsid w:val="5E380212"/>
    <w:rsid w:val="64B86363"/>
    <w:rsid w:val="679E7C3A"/>
    <w:rsid w:val="67BB0D80"/>
    <w:rsid w:val="6F426E2A"/>
    <w:rsid w:val="70756877"/>
    <w:rsid w:val="72B542F6"/>
    <w:rsid w:val="72FB055A"/>
    <w:rsid w:val="732A39BD"/>
    <w:rsid w:val="744F3E0A"/>
    <w:rsid w:val="79882A91"/>
    <w:rsid w:val="7C1F3B2A"/>
    <w:rsid w:val="7D025BAF"/>
    <w:rsid w:val="7D1027E2"/>
    <w:rsid w:val="7E8410B6"/>
    <w:rsid w:val="7F786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ind w:right="214"/>
    </w:pPr>
    <w:rPr>
      <w:rFonts w:ascii="仿宋_GB2312" w:eastAsia="仿宋_GB2312"/>
      <w:szCs w:val="20"/>
    </w:rPr>
  </w:style>
  <w:style w:type="paragraph" w:customStyle="1" w:styleId="4">
    <w:name w:val="_Style 3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paragraph" w:styleId="5">
    <w:name w:val="Plain Text"/>
    <w:basedOn w:val="1"/>
    <w:next w:val="1"/>
    <w:unhideWhenUsed/>
    <w:qFormat/>
    <w:uiPriority w:val="99"/>
    <w:rPr>
      <w:rFonts w:hAnsi="Courier New"/>
      <w:kern w:val="0"/>
      <w:sz w:val="20"/>
      <w:szCs w:val="21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PlainText"/>
    <w:basedOn w:val="1"/>
    <w:next w:val="1"/>
    <w:qFormat/>
    <w:uiPriority w:val="0"/>
    <w:pPr>
      <w:textAlignment w:val="baseline"/>
    </w:pPr>
    <w:rPr>
      <w:rFonts w:hAnsi="Courier New"/>
      <w:kern w:val="0"/>
      <w:sz w:val="20"/>
      <w:szCs w:val="21"/>
      <w:lang w:val="zh-CN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customStyle="1" w:styleId="15">
    <w:name w:val="Char Char Char Char Char Char Char Char Char Char"/>
    <w:basedOn w:val="1"/>
    <w:semiHidden/>
    <w:qFormat/>
    <w:uiPriority w:val="0"/>
    <w:rPr>
      <w:rFonts w:ascii="Calibri" w:hAnsi="Calibri" w:eastAsia="宋体" w:cs="Times New Roman"/>
      <w:sz w:val="21"/>
    </w:rPr>
  </w:style>
  <w:style w:type="character" w:customStyle="1" w:styleId="16">
    <w:name w:val="页眉 Char"/>
    <w:basedOn w:val="11"/>
    <w:link w:val="8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="Times New Roman" w:hAnsi="Times New Roman" w:eastAsia="方正仿宋简体"/>
      <w:sz w:val="18"/>
      <w:szCs w:val="18"/>
    </w:rPr>
  </w:style>
  <w:style w:type="paragraph" w:styleId="18">
    <w:name w:val="No Spacing"/>
    <w:link w:val="19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9">
    <w:name w:val="无间隔 Char"/>
    <w:basedOn w:val="11"/>
    <w:link w:val="18"/>
    <w:qFormat/>
    <w:uiPriority w:val="1"/>
    <w:rPr>
      <w:kern w:val="0"/>
      <w:sz w:val="22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1922</Words>
  <Characters>2274</Characters>
  <Lines>16</Lines>
  <Paragraphs>4</Paragraphs>
  <TotalTime>1</TotalTime>
  <ScaleCrop>false</ScaleCrop>
  <LinksUpToDate>false</LinksUpToDate>
  <CharactersWithSpaces>2321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2018-11-21T02:22:00Z</dcterms:created>
  <dc:creator>微软用户</dc:creator>
  <cp:lastModifiedBy>Administrator</cp:lastModifiedBy>
  <cp:lastPrinted>2021-08-23T12:55:00Z</cp:lastPrinted>
  <dcterms:modified xsi:type="dcterms:W3CDTF">2024-05-13T08:04:03Z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548196337_btnclosed</vt:lpwstr>
  </property>
  <property fmtid="{D5CDD505-2E9C-101B-9397-08002B2CF9AE}" pid="4" name="ICV">
    <vt:lpwstr>C02FD4AB2E2D46F8A0EA59C7B60FAE26</vt:lpwstr>
  </property>
</Properties>
</file>